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E63A812">
      <w:pPr>
        <w:spacing w:line="240" w:lineRule="auto"/>
        <w:ind w:firstLine="0" w:firstLineChars="0"/>
        <w:jc w:val="both"/>
        <w:rPr>
          <w:rFonts w:cs="Times New Roman"/>
        </w:rPr>
      </w:pPr>
      <w:bookmarkStart w:id="0" w:name="_Toc307556233"/>
      <w:bookmarkStart w:id="1" w:name="_Toc140228004"/>
      <w:bookmarkStart w:id="2" w:name="_Toc85526948"/>
      <w:bookmarkStart w:id="3" w:name="_Toc307556232"/>
    </w:p>
    <w:p w14:paraId="0033B14E">
      <w:pPr>
        <w:spacing w:line="240" w:lineRule="auto"/>
        <w:ind w:firstLine="0" w:firstLineChars="0"/>
        <w:jc w:val="both"/>
        <w:rPr>
          <w:rFonts w:cs="Times New Roman"/>
        </w:rPr>
      </w:pPr>
    </w:p>
    <w:p w14:paraId="5A25AD10">
      <w:pPr>
        <w:spacing w:line="240" w:lineRule="auto"/>
        <w:ind w:firstLine="0" w:firstLineChars="0"/>
        <w:jc w:val="both"/>
        <w:rPr>
          <w:rFonts w:cs="Times New Roman"/>
        </w:rPr>
      </w:pPr>
    </w:p>
    <w:p w14:paraId="726D33B3">
      <w:pPr>
        <w:spacing w:line="240" w:lineRule="auto"/>
        <w:ind w:firstLine="0" w:firstLineChars="0"/>
        <w:jc w:val="both"/>
        <w:rPr>
          <w:rFonts w:cs="Times New Roman"/>
        </w:rPr>
      </w:pPr>
    </w:p>
    <w:p w14:paraId="6265500A">
      <w:pPr>
        <w:spacing w:line="240" w:lineRule="auto"/>
        <w:ind w:firstLine="0" w:firstLineChars="0"/>
        <w:jc w:val="center"/>
        <w:rPr>
          <w:rFonts w:eastAsia="楷体" w:cs="Times New Roman"/>
          <w:sz w:val="52"/>
          <w:szCs w:val="52"/>
        </w:rPr>
      </w:pPr>
      <w:r>
        <w:rPr>
          <w:rFonts w:hint="eastAsia" w:eastAsia="楷体" w:cs="Times New Roman"/>
          <w:sz w:val="52"/>
          <w:szCs w:val="52"/>
        </w:rPr>
        <w:t>淮安港涟水港区薛行作业区</w:t>
      </w:r>
    </w:p>
    <w:p w14:paraId="63BC6CC4">
      <w:pPr>
        <w:spacing w:line="240" w:lineRule="auto"/>
        <w:ind w:firstLine="0" w:firstLineChars="0"/>
        <w:jc w:val="center"/>
        <w:rPr>
          <w:rFonts w:cs="Times New Roman"/>
        </w:rPr>
      </w:pPr>
      <w:r>
        <w:rPr>
          <w:rFonts w:hint="eastAsia" w:eastAsia="楷体" w:cs="Times New Roman"/>
          <w:sz w:val="52"/>
          <w:szCs w:val="52"/>
        </w:rPr>
        <w:t>国能涟水一期热电联产项目配套码头工程</w:t>
      </w:r>
    </w:p>
    <w:p w14:paraId="4EA592F0">
      <w:pPr>
        <w:spacing w:line="240" w:lineRule="auto"/>
        <w:ind w:firstLine="0" w:firstLineChars="0"/>
        <w:jc w:val="center"/>
        <w:rPr>
          <w:rFonts w:cs="Times New Roman"/>
        </w:rPr>
      </w:pPr>
    </w:p>
    <w:p w14:paraId="4102E511">
      <w:pPr>
        <w:spacing w:line="240" w:lineRule="auto"/>
        <w:ind w:firstLine="0" w:firstLineChars="0"/>
        <w:jc w:val="center"/>
        <w:rPr>
          <w:rFonts w:eastAsia="楷体" w:cs="Times New Roman"/>
          <w:b/>
          <w:bCs/>
          <w:sz w:val="96"/>
          <w:szCs w:val="96"/>
        </w:rPr>
      </w:pPr>
      <w:r>
        <w:rPr>
          <w:rFonts w:hint="eastAsia" w:eastAsia="楷体" w:cs="Times New Roman"/>
          <w:b/>
          <w:bCs/>
          <w:sz w:val="96"/>
          <w:szCs w:val="96"/>
        </w:rPr>
        <w:t>环境影响报告书</w:t>
      </w:r>
    </w:p>
    <w:p w14:paraId="271A9BE3">
      <w:pPr>
        <w:wordWrap w:val="0"/>
        <w:spacing w:line="240" w:lineRule="auto"/>
        <w:ind w:firstLine="0" w:firstLineChars="0"/>
        <w:jc w:val="both"/>
        <w:rPr>
          <w:rFonts w:cs="Times New Roman"/>
        </w:rPr>
      </w:pPr>
    </w:p>
    <w:p w14:paraId="42DB1DB8">
      <w:pPr>
        <w:spacing w:line="240" w:lineRule="auto"/>
        <w:ind w:firstLine="0" w:firstLineChars="0"/>
        <w:jc w:val="center"/>
        <w:rPr>
          <w:rFonts w:hint="eastAsia" w:ascii="楷体" w:hAnsi="楷体" w:eastAsia="楷体" w:cs="Times New Roman"/>
          <w:sz w:val="52"/>
          <w:szCs w:val="44"/>
        </w:rPr>
      </w:pPr>
      <w:r>
        <w:rPr>
          <w:rFonts w:hint="eastAsia" w:ascii="楷体" w:hAnsi="楷体" w:eastAsia="楷体" w:cs="Times New Roman"/>
          <w:sz w:val="52"/>
          <w:szCs w:val="44"/>
        </w:rPr>
        <w:t>（报批稿）</w:t>
      </w:r>
    </w:p>
    <w:p w14:paraId="6B0FF5E8">
      <w:pPr>
        <w:spacing w:line="240" w:lineRule="auto"/>
        <w:ind w:firstLine="0" w:firstLineChars="0"/>
        <w:jc w:val="center"/>
        <w:rPr>
          <w:rFonts w:cs="Times New Roman"/>
        </w:rPr>
      </w:pPr>
    </w:p>
    <w:p w14:paraId="5E59ABDB">
      <w:pPr>
        <w:spacing w:line="240" w:lineRule="auto"/>
        <w:ind w:firstLine="0" w:firstLineChars="0"/>
        <w:jc w:val="center"/>
        <w:rPr>
          <w:rFonts w:cs="Times New Roman"/>
        </w:rPr>
      </w:pPr>
    </w:p>
    <w:p w14:paraId="3122E406">
      <w:pPr>
        <w:spacing w:line="240" w:lineRule="auto"/>
        <w:ind w:firstLine="0" w:firstLineChars="0"/>
        <w:jc w:val="center"/>
        <w:rPr>
          <w:rFonts w:cs="Times New Roman"/>
        </w:rPr>
      </w:pPr>
    </w:p>
    <w:p w14:paraId="22929080">
      <w:pPr>
        <w:spacing w:line="240" w:lineRule="auto"/>
        <w:ind w:firstLine="0" w:firstLineChars="0"/>
        <w:jc w:val="center"/>
        <w:rPr>
          <w:rFonts w:cs="Times New Roman"/>
        </w:rPr>
      </w:pPr>
    </w:p>
    <w:p w14:paraId="6BBE3B90">
      <w:pPr>
        <w:spacing w:line="240" w:lineRule="auto"/>
        <w:ind w:firstLine="0" w:firstLineChars="0"/>
        <w:jc w:val="center"/>
        <w:rPr>
          <w:rFonts w:eastAsia="宋体" w:cs="Times New Roman"/>
        </w:rPr>
      </w:pPr>
    </w:p>
    <w:p w14:paraId="7C0004EF">
      <w:pPr>
        <w:spacing w:line="240" w:lineRule="auto"/>
        <w:ind w:firstLine="0" w:firstLineChars="0"/>
        <w:jc w:val="center"/>
        <w:rPr>
          <w:rFonts w:cs="Times New Roman"/>
        </w:rPr>
      </w:pPr>
    </w:p>
    <w:p w14:paraId="27CA4E52">
      <w:pPr>
        <w:spacing w:line="240" w:lineRule="auto"/>
        <w:ind w:firstLine="0" w:firstLineChars="0"/>
        <w:jc w:val="center"/>
        <w:rPr>
          <w:rFonts w:cs="Times New Roman"/>
        </w:rPr>
      </w:pPr>
    </w:p>
    <w:p w14:paraId="172B5F42">
      <w:pPr>
        <w:spacing w:line="240" w:lineRule="auto"/>
        <w:ind w:firstLine="0" w:firstLineChars="0"/>
        <w:jc w:val="center"/>
        <w:rPr>
          <w:rFonts w:cs="Times New Roman"/>
        </w:rPr>
      </w:pPr>
    </w:p>
    <w:p w14:paraId="75F214AE">
      <w:pPr>
        <w:spacing w:line="240" w:lineRule="auto"/>
        <w:ind w:firstLine="0" w:firstLineChars="0"/>
        <w:jc w:val="center"/>
        <w:rPr>
          <w:rFonts w:cs="Times New Roman"/>
        </w:rPr>
      </w:pPr>
    </w:p>
    <w:p w14:paraId="63104FC5">
      <w:pPr>
        <w:spacing w:line="240" w:lineRule="auto"/>
        <w:ind w:firstLine="0" w:firstLineChars="0"/>
        <w:jc w:val="center"/>
        <w:rPr>
          <w:rFonts w:cs="Times New Roman"/>
        </w:rPr>
      </w:pPr>
    </w:p>
    <w:p w14:paraId="03D11C73">
      <w:pPr>
        <w:spacing w:line="240" w:lineRule="auto"/>
        <w:ind w:firstLine="0" w:firstLineChars="0"/>
        <w:jc w:val="center"/>
        <w:rPr>
          <w:rFonts w:cs="Times New Roman"/>
        </w:rPr>
      </w:pPr>
    </w:p>
    <w:p w14:paraId="083D2021">
      <w:pPr>
        <w:spacing w:line="240" w:lineRule="auto"/>
        <w:ind w:firstLine="0" w:firstLineChars="0"/>
        <w:jc w:val="center"/>
        <w:rPr>
          <w:rFonts w:cs="Times New Roman"/>
        </w:rPr>
      </w:pPr>
    </w:p>
    <w:p w14:paraId="2C0635E1">
      <w:pPr>
        <w:spacing w:line="240" w:lineRule="auto"/>
        <w:ind w:firstLine="0" w:firstLineChars="0"/>
        <w:jc w:val="center"/>
        <w:rPr>
          <w:rFonts w:cs="Times New Roman"/>
        </w:rPr>
      </w:pPr>
    </w:p>
    <w:p w14:paraId="054DD2CE">
      <w:pPr>
        <w:spacing w:line="240" w:lineRule="auto"/>
        <w:ind w:firstLine="0" w:firstLineChars="0"/>
        <w:jc w:val="center"/>
        <w:rPr>
          <w:rFonts w:cs="Times New Roman"/>
        </w:rPr>
      </w:pPr>
    </w:p>
    <w:p w14:paraId="159CE90D">
      <w:pPr>
        <w:spacing w:line="240" w:lineRule="auto"/>
        <w:ind w:firstLine="0" w:firstLineChars="0"/>
        <w:jc w:val="center"/>
        <w:rPr>
          <w:rFonts w:cs="Times New Roman"/>
        </w:rPr>
      </w:pPr>
    </w:p>
    <w:p w14:paraId="3FA564C0">
      <w:pPr>
        <w:spacing w:line="240" w:lineRule="auto"/>
        <w:ind w:firstLine="0" w:firstLineChars="0"/>
        <w:jc w:val="center"/>
        <w:rPr>
          <w:rFonts w:cs="Times New Roman"/>
        </w:rPr>
      </w:pPr>
    </w:p>
    <w:p w14:paraId="4716E919">
      <w:pPr>
        <w:spacing w:line="240" w:lineRule="auto"/>
        <w:ind w:firstLine="0" w:firstLineChars="0"/>
        <w:jc w:val="center"/>
        <w:rPr>
          <w:rFonts w:cs="Times New Roman"/>
        </w:rPr>
      </w:pPr>
    </w:p>
    <w:p w14:paraId="54F94BA2">
      <w:pPr>
        <w:spacing w:line="240" w:lineRule="auto"/>
        <w:ind w:firstLine="0" w:firstLineChars="0"/>
        <w:jc w:val="center"/>
        <w:rPr>
          <w:rFonts w:cs="Times New Roman"/>
        </w:rPr>
      </w:pPr>
    </w:p>
    <w:p w14:paraId="7AD760BC">
      <w:pPr>
        <w:ind w:firstLine="0" w:firstLineChars="0"/>
        <w:jc w:val="center"/>
        <w:outlineLvl w:val="0"/>
        <w:rPr>
          <w:b/>
          <w:bCs/>
          <w:kern w:val="0"/>
          <w:sz w:val="32"/>
          <w:szCs w:val="32"/>
        </w:rPr>
      </w:pPr>
      <w:bookmarkStart w:id="4" w:name="_Toc178570262"/>
      <w:bookmarkStart w:id="5" w:name="_Toc161181945"/>
      <w:bookmarkStart w:id="6" w:name="_Toc177551272"/>
      <w:bookmarkStart w:id="7" w:name="_Toc182171790"/>
      <w:bookmarkStart w:id="8" w:name="_Toc177849434"/>
      <w:bookmarkStart w:id="9" w:name="_Toc160064894"/>
      <w:r>
        <w:rPr>
          <w:rFonts w:hint="eastAsia" w:ascii="宋体" w:hAnsi="宋体"/>
          <w:b/>
          <w:bCs/>
          <w:kern w:val="0"/>
          <w:sz w:val="32"/>
          <w:szCs w:val="32"/>
        </w:rPr>
        <w:t>建设单位：国家能源集团江苏电力有限公司</w:t>
      </w:r>
      <w:bookmarkEnd w:id="4"/>
      <w:bookmarkEnd w:id="5"/>
      <w:bookmarkEnd w:id="6"/>
      <w:bookmarkEnd w:id="7"/>
      <w:bookmarkEnd w:id="8"/>
      <w:bookmarkEnd w:id="9"/>
    </w:p>
    <w:p w14:paraId="33A7192A">
      <w:pPr>
        <w:ind w:firstLine="0" w:firstLineChars="0"/>
        <w:jc w:val="center"/>
        <w:outlineLvl w:val="0"/>
        <w:rPr>
          <w:b/>
          <w:bCs/>
          <w:kern w:val="0"/>
          <w:szCs w:val="24"/>
        </w:rPr>
      </w:pPr>
      <w:bookmarkStart w:id="10" w:name="_Toc177849435"/>
      <w:bookmarkStart w:id="11" w:name="_Toc160064895"/>
      <w:bookmarkStart w:id="12" w:name="_Toc161181946"/>
      <w:bookmarkStart w:id="13" w:name="_Toc182171791"/>
      <w:bookmarkStart w:id="14" w:name="_Toc177551273"/>
      <w:bookmarkStart w:id="15" w:name="_Toc178570263"/>
      <w:r>
        <w:rPr>
          <w:rFonts w:hint="eastAsia" w:ascii="宋体" w:hAnsi="宋体"/>
          <w:b/>
          <w:kern w:val="0"/>
          <w:sz w:val="32"/>
          <w:szCs w:val="32"/>
        </w:rPr>
        <w:t>评价单位：南京普环电力科技有限公司</w:t>
      </w:r>
      <w:bookmarkEnd w:id="10"/>
      <w:bookmarkEnd w:id="11"/>
      <w:bookmarkEnd w:id="12"/>
      <w:bookmarkEnd w:id="13"/>
      <w:bookmarkEnd w:id="14"/>
      <w:bookmarkEnd w:id="15"/>
    </w:p>
    <w:p w14:paraId="2C7D2651">
      <w:pPr>
        <w:ind w:firstLine="0" w:firstLineChars="0"/>
        <w:jc w:val="center"/>
        <w:rPr>
          <w:b/>
          <w:kern w:val="0"/>
          <w:sz w:val="32"/>
          <w:szCs w:val="32"/>
        </w:rPr>
      </w:pPr>
      <w:r>
        <w:rPr>
          <w:rFonts w:hint="eastAsia"/>
          <w:b/>
          <w:kern w:val="0"/>
          <w:sz w:val="32"/>
          <w:szCs w:val="32"/>
        </w:rPr>
        <w:t>2024</w:t>
      </w:r>
      <w:r>
        <w:rPr>
          <w:rFonts w:hint="eastAsia" w:ascii="宋体" w:hAnsi="宋体"/>
          <w:b/>
          <w:kern w:val="0"/>
          <w:sz w:val="32"/>
          <w:szCs w:val="32"/>
        </w:rPr>
        <w:t>年</w:t>
      </w:r>
      <w:r>
        <w:rPr>
          <w:rFonts w:hint="eastAsia"/>
          <w:b/>
          <w:kern w:val="0"/>
          <w:sz w:val="32"/>
          <w:szCs w:val="32"/>
        </w:rPr>
        <w:t>11</w:t>
      </w:r>
      <w:r>
        <w:rPr>
          <w:rFonts w:hint="eastAsia" w:ascii="宋体" w:hAnsi="宋体"/>
          <w:b/>
          <w:kern w:val="0"/>
          <w:sz w:val="32"/>
          <w:szCs w:val="32"/>
        </w:rPr>
        <w:t>月</w:t>
      </w:r>
    </w:p>
    <w:p w14:paraId="5833C4E5">
      <w:pPr>
        <w:ind w:firstLine="0" w:firstLineChars="0"/>
        <w:jc w:val="center"/>
        <w:rPr>
          <w:rFonts w:cs="Times New Roman"/>
        </w:rPr>
      </w:pPr>
    </w:p>
    <w:p w14:paraId="55156C5E">
      <w:pPr>
        <w:ind w:firstLine="0" w:firstLineChars="0"/>
        <w:rPr>
          <w:rFonts w:cs="Times New Roman"/>
        </w:rPr>
      </w:pPr>
    </w:p>
    <w:p w14:paraId="5B55CF0D">
      <w:pPr>
        <w:tabs>
          <w:tab w:val="center" w:pos="4393"/>
        </w:tabs>
        <w:ind w:firstLine="48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992" w:footer="992" w:gutter="0"/>
          <w:pgNumType w:fmt="lowerRoman" w:start="1"/>
          <w:cols w:space="425" w:num="1"/>
          <w:docGrid w:linePitch="312" w:charSpace="0"/>
        </w:sectPr>
      </w:pPr>
      <w:r>
        <w:rPr>
          <w:rFonts w:hint="eastAsia" w:cs="Times New Roman"/>
        </w:rPr>
        <w:tab/>
      </w:r>
    </w:p>
    <w:p w14:paraId="28A05B86">
      <w:pPr>
        <w:ind w:firstLine="0" w:firstLineChars="0"/>
        <w:jc w:val="center"/>
      </w:pPr>
      <w:r>
        <w:rPr>
          <w:rFonts w:hint="eastAsia" w:cs="Times New Roman"/>
          <w:b/>
          <w:bCs/>
          <w:sz w:val="28"/>
          <w:szCs w:val="28"/>
        </w:rPr>
        <w:t>目　　录</w:t>
      </w:r>
      <w:r>
        <w:rPr>
          <w:rFonts w:hint="eastAsia" w:cs="Times New Roman" w:eastAsiaTheme="majorEastAsia"/>
          <w:b/>
          <w:bCs/>
          <w:caps/>
          <w:sz w:val="18"/>
          <w:szCs w:val="18"/>
        </w:rPr>
        <w:fldChar w:fldCharType="begin"/>
      </w:r>
      <w:r>
        <w:rPr>
          <w:rFonts w:hint="eastAsia" w:cs="Times New Roman" w:eastAsiaTheme="majorEastAsia"/>
          <w:sz w:val="18"/>
          <w:szCs w:val="18"/>
        </w:rPr>
        <w:instrText xml:space="preserve"> TOC \o "1-2" \u </w:instrText>
      </w:r>
      <w:r>
        <w:rPr>
          <w:rFonts w:hint="eastAsia" w:cs="Times New Roman" w:eastAsiaTheme="majorEastAsia"/>
          <w:b/>
          <w:bCs/>
          <w:caps/>
          <w:sz w:val="18"/>
          <w:szCs w:val="18"/>
        </w:rPr>
        <w:fldChar w:fldCharType="separate"/>
      </w:r>
    </w:p>
    <w:p w14:paraId="7BA752EF">
      <w:pPr>
        <w:pStyle w:val="29"/>
        <w:tabs>
          <w:tab w:val="right" w:leader="dot" w:pos="8296"/>
        </w:tabs>
        <w:ind w:firstLine="0" w:firstLineChars="0"/>
        <w:rPr>
          <w:rFonts w:asciiTheme="minorHAnsi" w:hAnsiTheme="minorHAnsi"/>
          <w:sz w:val="21"/>
          <w:szCs w:val="22"/>
          <w14:ligatures w14:val="standardContextual"/>
        </w:rPr>
      </w:pPr>
      <w:r>
        <w:rPr>
          <w:rFonts w:eastAsia="宋体"/>
        </w:rPr>
        <w:t>1</w:t>
      </w:r>
      <w:r>
        <w:t xml:space="preserve"> 概述</w:t>
      </w:r>
      <w:r>
        <w:tab/>
      </w:r>
      <w:r>
        <w:fldChar w:fldCharType="begin"/>
      </w:r>
      <w:r>
        <w:instrText xml:space="preserve"> PAGEREF _Toc182171794 \h </w:instrText>
      </w:r>
      <w:r>
        <w:fldChar w:fldCharType="separate"/>
      </w:r>
      <w:r>
        <w:t>1</w:t>
      </w:r>
      <w:r>
        <w:fldChar w:fldCharType="end"/>
      </w:r>
    </w:p>
    <w:p w14:paraId="5D258B11">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1.1</w:t>
      </w:r>
      <w:r>
        <w:rPr>
          <w:rFonts w:cs="Times New Roman"/>
        </w:rPr>
        <w:t xml:space="preserve"> 项目背景</w:t>
      </w:r>
      <w:r>
        <w:tab/>
      </w:r>
      <w:r>
        <w:fldChar w:fldCharType="begin"/>
      </w:r>
      <w:r>
        <w:instrText xml:space="preserve"> PAGEREF _Toc182171795 \h </w:instrText>
      </w:r>
      <w:r>
        <w:fldChar w:fldCharType="separate"/>
      </w:r>
      <w:r>
        <w:t>1</w:t>
      </w:r>
      <w:r>
        <w:fldChar w:fldCharType="end"/>
      </w:r>
    </w:p>
    <w:p w14:paraId="0454E8EA">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1.2</w:t>
      </w:r>
      <w:r>
        <w:rPr>
          <w:rFonts w:cs="Times New Roman"/>
        </w:rPr>
        <w:t xml:space="preserve"> 项目特点</w:t>
      </w:r>
      <w:r>
        <w:tab/>
      </w:r>
      <w:r>
        <w:fldChar w:fldCharType="begin"/>
      </w:r>
      <w:r>
        <w:instrText xml:space="preserve"> PAGEREF _Toc182171796 \h </w:instrText>
      </w:r>
      <w:r>
        <w:fldChar w:fldCharType="separate"/>
      </w:r>
      <w:r>
        <w:t>2</w:t>
      </w:r>
      <w:r>
        <w:fldChar w:fldCharType="end"/>
      </w:r>
    </w:p>
    <w:p w14:paraId="48781566">
      <w:pPr>
        <w:pStyle w:val="34"/>
        <w:tabs>
          <w:tab w:val="right" w:leader="dot" w:pos="8296"/>
        </w:tabs>
        <w:ind w:left="480" w:firstLine="0" w:firstLineChars="0"/>
        <w:rPr>
          <w:rFonts w:asciiTheme="minorHAnsi" w:hAnsiTheme="minorHAnsi"/>
          <w:sz w:val="21"/>
          <w:szCs w:val="22"/>
          <w14:ligatures w14:val="standardContextual"/>
        </w:rPr>
      </w:pPr>
      <w:r>
        <w:rPr>
          <w:rFonts w:eastAsia="宋体"/>
        </w:rPr>
        <w:t>1.3</w:t>
      </w:r>
      <w:r>
        <w:t xml:space="preserve"> 关注的主要环境问题及环境影响</w:t>
      </w:r>
      <w:r>
        <w:tab/>
      </w:r>
      <w:r>
        <w:fldChar w:fldCharType="begin"/>
      </w:r>
      <w:r>
        <w:instrText xml:space="preserve"> PAGEREF _Toc182171797 \h </w:instrText>
      </w:r>
      <w:r>
        <w:fldChar w:fldCharType="separate"/>
      </w:r>
      <w:r>
        <w:t>3</w:t>
      </w:r>
      <w:r>
        <w:fldChar w:fldCharType="end"/>
      </w:r>
    </w:p>
    <w:p w14:paraId="41D9D354">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1.4</w:t>
      </w:r>
      <w:r>
        <w:rPr>
          <w:rFonts w:cs="Times New Roman"/>
        </w:rPr>
        <w:t xml:space="preserve"> 环境影响评价工作过程</w:t>
      </w:r>
      <w:r>
        <w:tab/>
      </w:r>
      <w:r>
        <w:fldChar w:fldCharType="begin"/>
      </w:r>
      <w:r>
        <w:instrText xml:space="preserve"> PAGEREF _Toc182171798 \h </w:instrText>
      </w:r>
      <w:r>
        <w:fldChar w:fldCharType="separate"/>
      </w:r>
      <w:r>
        <w:t>3</w:t>
      </w:r>
      <w:r>
        <w:fldChar w:fldCharType="end"/>
      </w:r>
    </w:p>
    <w:p w14:paraId="5C8D1F38">
      <w:pPr>
        <w:pStyle w:val="34"/>
        <w:tabs>
          <w:tab w:val="right" w:leader="dot" w:pos="8296"/>
        </w:tabs>
        <w:ind w:left="480" w:firstLine="0" w:firstLineChars="0"/>
        <w:rPr>
          <w:rFonts w:asciiTheme="minorHAnsi" w:hAnsiTheme="minorHAnsi"/>
          <w:sz w:val="21"/>
          <w:szCs w:val="22"/>
          <w14:ligatures w14:val="standardContextual"/>
        </w:rPr>
      </w:pPr>
      <w:r>
        <w:rPr>
          <w:rFonts w:eastAsia="宋体"/>
        </w:rPr>
        <w:t>1.5</w:t>
      </w:r>
      <w:r>
        <w:t xml:space="preserve"> 分析判定相关情况</w:t>
      </w:r>
      <w:r>
        <w:tab/>
      </w:r>
      <w:r>
        <w:fldChar w:fldCharType="begin"/>
      </w:r>
      <w:r>
        <w:instrText xml:space="preserve"> PAGEREF _Toc182171799 \h </w:instrText>
      </w:r>
      <w:r>
        <w:fldChar w:fldCharType="separate"/>
      </w:r>
      <w:r>
        <w:t>5</w:t>
      </w:r>
      <w:r>
        <w:fldChar w:fldCharType="end"/>
      </w:r>
    </w:p>
    <w:p w14:paraId="2CF3A227">
      <w:pPr>
        <w:pStyle w:val="34"/>
        <w:tabs>
          <w:tab w:val="right" w:leader="dot" w:pos="8296"/>
        </w:tabs>
        <w:ind w:left="480" w:firstLine="0" w:firstLineChars="0"/>
        <w:rPr>
          <w:rFonts w:asciiTheme="minorHAnsi" w:hAnsiTheme="minorHAnsi"/>
          <w:sz w:val="21"/>
          <w:szCs w:val="22"/>
          <w14:ligatures w14:val="standardContextual"/>
        </w:rPr>
      </w:pPr>
      <w:r>
        <w:rPr>
          <w:rFonts w:eastAsia="宋体"/>
        </w:rPr>
        <w:t>1.6</w:t>
      </w:r>
      <w:r>
        <w:t xml:space="preserve"> 环境影响报告主要结论</w:t>
      </w:r>
      <w:r>
        <w:tab/>
      </w:r>
      <w:r>
        <w:fldChar w:fldCharType="begin"/>
      </w:r>
      <w:r>
        <w:instrText xml:space="preserve"> PAGEREF _Toc182171800 \h </w:instrText>
      </w:r>
      <w:r>
        <w:fldChar w:fldCharType="separate"/>
      </w:r>
      <w:r>
        <w:t>54</w:t>
      </w:r>
      <w:r>
        <w:fldChar w:fldCharType="end"/>
      </w:r>
    </w:p>
    <w:p w14:paraId="19A080D8">
      <w:pPr>
        <w:pStyle w:val="29"/>
        <w:tabs>
          <w:tab w:val="right" w:leader="dot" w:pos="8296"/>
        </w:tabs>
        <w:ind w:firstLine="0" w:firstLineChars="0"/>
        <w:rPr>
          <w:rFonts w:asciiTheme="minorHAnsi" w:hAnsiTheme="minorHAnsi"/>
          <w:sz w:val="21"/>
          <w:szCs w:val="22"/>
          <w14:ligatures w14:val="standardContextual"/>
        </w:rPr>
      </w:pPr>
      <w:r>
        <w:rPr>
          <w:rFonts w:eastAsia="宋体"/>
        </w:rPr>
        <w:t>2</w:t>
      </w:r>
      <w:r>
        <w:rPr>
          <w:rFonts w:ascii="宋体" w:hAnsi="宋体"/>
        </w:rPr>
        <w:t xml:space="preserve"> 总则</w:t>
      </w:r>
      <w:r>
        <w:tab/>
      </w:r>
      <w:r>
        <w:fldChar w:fldCharType="begin"/>
      </w:r>
      <w:r>
        <w:instrText xml:space="preserve"> PAGEREF _Toc182171801 \h </w:instrText>
      </w:r>
      <w:r>
        <w:fldChar w:fldCharType="separate"/>
      </w:r>
      <w:r>
        <w:t>56</w:t>
      </w:r>
      <w:r>
        <w:fldChar w:fldCharType="end"/>
      </w:r>
    </w:p>
    <w:p w14:paraId="3D7BADAB">
      <w:pPr>
        <w:pStyle w:val="34"/>
        <w:tabs>
          <w:tab w:val="right" w:leader="dot" w:pos="8296"/>
        </w:tabs>
        <w:ind w:left="480" w:firstLine="0" w:firstLineChars="0"/>
        <w:rPr>
          <w:rFonts w:asciiTheme="minorHAnsi" w:hAnsiTheme="minorHAnsi"/>
          <w:sz w:val="21"/>
          <w:szCs w:val="22"/>
          <w14:ligatures w14:val="standardContextual"/>
        </w:rPr>
      </w:pPr>
      <w:r>
        <w:rPr>
          <w:rFonts w:eastAsia="宋体"/>
        </w:rPr>
        <w:t>2.1</w:t>
      </w:r>
      <w:r>
        <w:t xml:space="preserve"> 编制依据</w:t>
      </w:r>
      <w:r>
        <w:tab/>
      </w:r>
      <w:r>
        <w:fldChar w:fldCharType="begin"/>
      </w:r>
      <w:r>
        <w:instrText xml:space="preserve"> PAGEREF _Toc182171802 \h </w:instrText>
      </w:r>
      <w:r>
        <w:fldChar w:fldCharType="separate"/>
      </w:r>
      <w:r>
        <w:t>56</w:t>
      </w:r>
      <w:r>
        <w:fldChar w:fldCharType="end"/>
      </w:r>
    </w:p>
    <w:p w14:paraId="4CC252BC">
      <w:pPr>
        <w:pStyle w:val="34"/>
        <w:tabs>
          <w:tab w:val="right" w:leader="dot" w:pos="8296"/>
        </w:tabs>
        <w:ind w:left="480" w:firstLine="0" w:firstLineChars="0"/>
        <w:rPr>
          <w:rFonts w:asciiTheme="minorHAnsi" w:hAnsiTheme="minorHAnsi"/>
          <w:sz w:val="21"/>
          <w:szCs w:val="22"/>
          <w14:ligatures w14:val="standardContextual"/>
        </w:rPr>
      </w:pPr>
      <w:r>
        <w:rPr>
          <w:rFonts w:eastAsia="宋体"/>
        </w:rPr>
        <w:t>2.2</w:t>
      </w:r>
      <w:r>
        <w:t xml:space="preserve"> 评价目的及评价原则</w:t>
      </w:r>
      <w:r>
        <w:tab/>
      </w:r>
      <w:r>
        <w:fldChar w:fldCharType="begin"/>
      </w:r>
      <w:r>
        <w:instrText xml:space="preserve"> PAGEREF _Toc182171803 \h </w:instrText>
      </w:r>
      <w:r>
        <w:fldChar w:fldCharType="separate"/>
      </w:r>
      <w:r>
        <w:t>60</w:t>
      </w:r>
      <w:r>
        <w:fldChar w:fldCharType="end"/>
      </w:r>
    </w:p>
    <w:p w14:paraId="55ECD96D">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2.3</w:t>
      </w:r>
      <w:r>
        <w:t xml:space="preserve"> 环境功能区划与评价标准</w:t>
      </w:r>
      <w:r>
        <w:tab/>
      </w:r>
      <w:r>
        <w:fldChar w:fldCharType="begin"/>
      </w:r>
      <w:r>
        <w:instrText xml:space="preserve"> PAGEREF _Toc182171804 \h </w:instrText>
      </w:r>
      <w:r>
        <w:fldChar w:fldCharType="separate"/>
      </w:r>
      <w:r>
        <w:t>62</w:t>
      </w:r>
      <w:r>
        <w:fldChar w:fldCharType="end"/>
      </w:r>
    </w:p>
    <w:p w14:paraId="7A5E1059">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2.4</w:t>
      </w:r>
      <w:r>
        <w:t xml:space="preserve"> 评价工作等级</w:t>
      </w:r>
      <w:r>
        <w:tab/>
      </w:r>
      <w:r>
        <w:fldChar w:fldCharType="begin"/>
      </w:r>
      <w:r>
        <w:instrText xml:space="preserve"> PAGEREF _Toc182171805 \h </w:instrText>
      </w:r>
      <w:r>
        <w:fldChar w:fldCharType="separate"/>
      </w:r>
      <w:r>
        <w:t>69</w:t>
      </w:r>
      <w:r>
        <w:fldChar w:fldCharType="end"/>
      </w:r>
    </w:p>
    <w:p w14:paraId="05A619CD">
      <w:pPr>
        <w:pStyle w:val="34"/>
        <w:tabs>
          <w:tab w:val="right" w:leader="dot" w:pos="8296"/>
        </w:tabs>
        <w:ind w:left="480" w:firstLine="0" w:firstLineChars="0"/>
        <w:rPr>
          <w:rFonts w:asciiTheme="minorHAnsi" w:hAnsiTheme="minorHAnsi"/>
          <w:sz w:val="21"/>
          <w:szCs w:val="22"/>
          <w14:ligatures w14:val="standardContextual"/>
        </w:rPr>
      </w:pPr>
      <w:r>
        <w:rPr>
          <w:rFonts w:eastAsia="宋体"/>
        </w:rPr>
        <w:t>2.5</w:t>
      </w:r>
      <w:r>
        <w:t xml:space="preserve"> 评价范围及环境保护目标</w:t>
      </w:r>
      <w:r>
        <w:tab/>
      </w:r>
      <w:r>
        <w:fldChar w:fldCharType="begin"/>
      </w:r>
      <w:r>
        <w:instrText xml:space="preserve"> PAGEREF _Toc182171806 \h </w:instrText>
      </w:r>
      <w:r>
        <w:fldChar w:fldCharType="separate"/>
      </w:r>
      <w:r>
        <w:t>77</w:t>
      </w:r>
      <w:r>
        <w:fldChar w:fldCharType="end"/>
      </w:r>
    </w:p>
    <w:p w14:paraId="50387D80">
      <w:pPr>
        <w:pStyle w:val="29"/>
        <w:tabs>
          <w:tab w:val="right" w:leader="dot" w:pos="8296"/>
        </w:tabs>
        <w:ind w:firstLine="0" w:firstLineChars="0"/>
        <w:rPr>
          <w:rFonts w:asciiTheme="minorHAnsi" w:hAnsiTheme="minorHAnsi"/>
          <w:sz w:val="21"/>
          <w:szCs w:val="22"/>
          <w14:ligatures w14:val="standardContextual"/>
        </w:rPr>
      </w:pPr>
      <w:r>
        <w:rPr>
          <w:rFonts w:eastAsia="宋体"/>
        </w:rPr>
        <w:t>3</w:t>
      </w:r>
      <w:r>
        <w:t xml:space="preserve"> 项目概况与工程分析</w:t>
      </w:r>
      <w:r>
        <w:tab/>
      </w:r>
      <w:r>
        <w:fldChar w:fldCharType="begin"/>
      </w:r>
      <w:r>
        <w:instrText xml:space="preserve"> PAGEREF _Toc182171807 \h </w:instrText>
      </w:r>
      <w:r>
        <w:fldChar w:fldCharType="separate"/>
      </w:r>
      <w:r>
        <w:t>82</w:t>
      </w:r>
      <w:r>
        <w:fldChar w:fldCharType="end"/>
      </w:r>
    </w:p>
    <w:p w14:paraId="223381E6">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3.1</w:t>
      </w:r>
      <w:r>
        <w:t xml:space="preserve"> 国能涟水一期热电联产项目概况</w:t>
      </w:r>
      <w:r>
        <w:tab/>
      </w:r>
      <w:r>
        <w:fldChar w:fldCharType="begin"/>
      </w:r>
      <w:r>
        <w:instrText xml:space="preserve"> PAGEREF _Toc182171808 \h </w:instrText>
      </w:r>
      <w:r>
        <w:fldChar w:fldCharType="separate"/>
      </w:r>
      <w:r>
        <w:t>82</w:t>
      </w:r>
      <w:r>
        <w:fldChar w:fldCharType="end"/>
      </w:r>
    </w:p>
    <w:p w14:paraId="2D0B2BB3">
      <w:pPr>
        <w:pStyle w:val="34"/>
        <w:tabs>
          <w:tab w:val="right" w:leader="dot" w:pos="8296"/>
        </w:tabs>
        <w:ind w:left="480" w:firstLine="0" w:firstLineChars="0"/>
        <w:rPr>
          <w:rFonts w:asciiTheme="minorHAnsi" w:hAnsiTheme="minorHAnsi"/>
          <w:sz w:val="21"/>
          <w:szCs w:val="22"/>
          <w14:ligatures w14:val="standardContextual"/>
        </w:rPr>
      </w:pPr>
      <w:r>
        <w:rPr>
          <w:rFonts w:eastAsia="宋体" w:cs="Times New Roman"/>
        </w:rPr>
        <w:t>3.2</w:t>
      </w:r>
      <w:r>
        <w:rPr>
          <w:rFonts w:cs="Times New Roman"/>
        </w:rPr>
        <w:t xml:space="preserve"> 本次码头项目概况及工程分析</w:t>
      </w:r>
      <w:r>
        <w:tab/>
      </w:r>
      <w:r>
        <w:fldChar w:fldCharType="begin"/>
      </w:r>
      <w:r>
        <w:instrText xml:space="preserve"> PAGEREF _Toc182171809 \h </w:instrText>
      </w:r>
      <w:r>
        <w:fldChar w:fldCharType="separate"/>
      </w:r>
      <w:r>
        <w:t>93</w:t>
      </w:r>
      <w:r>
        <w:fldChar w:fldCharType="end"/>
      </w:r>
    </w:p>
    <w:p w14:paraId="20982F05">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3.3</w:t>
      </w:r>
      <w:r>
        <w:t xml:space="preserve"> 水工建筑物</w:t>
      </w:r>
      <w:r>
        <w:tab/>
      </w:r>
      <w:r>
        <w:fldChar w:fldCharType="begin"/>
      </w:r>
      <w:r>
        <w:instrText xml:space="preserve"> PAGEREF _Toc182171810 \h </w:instrText>
      </w:r>
      <w:r>
        <w:fldChar w:fldCharType="separate"/>
      </w:r>
      <w:r>
        <w:t>111</w:t>
      </w:r>
      <w:r>
        <w:fldChar w:fldCharType="end"/>
      </w:r>
    </w:p>
    <w:p w14:paraId="0950A71D">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3.4</w:t>
      </w:r>
      <w:r>
        <w:t xml:space="preserve"> 施工方案</w:t>
      </w:r>
      <w:r>
        <w:tab/>
      </w:r>
      <w:r>
        <w:fldChar w:fldCharType="begin"/>
      </w:r>
      <w:r>
        <w:instrText xml:space="preserve"> PAGEREF _Toc182171811 \h </w:instrText>
      </w:r>
      <w:r>
        <w:fldChar w:fldCharType="separate"/>
      </w:r>
      <w:r>
        <w:t>115</w:t>
      </w:r>
      <w:r>
        <w:fldChar w:fldCharType="end"/>
      </w:r>
    </w:p>
    <w:p w14:paraId="7627C445">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3.5</w:t>
      </w:r>
      <w:r>
        <w:t xml:space="preserve"> 工艺流程及产污环节</w:t>
      </w:r>
      <w:r>
        <w:tab/>
      </w:r>
      <w:r>
        <w:fldChar w:fldCharType="begin"/>
      </w:r>
      <w:r>
        <w:instrText xml:space="preserve"> PAGEREF _Toc182171812 \h </w:instrText>
      </w:r>
      <w:r>
        <w:fldChar w:fldCharType="separate"/>
      </w:r>
      <w:r>
        <w:t>119</w:t>
      </w:r>
      <w:r>
        <w:fldChar w:fldCharType="end"/>
      </w:r>
    </w:p>
    <w:p w14:paraId="6EA188DE">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3.6</w:t>
      </w:r>
      <w:r>
        <w:t xml:space="preserve"> 环境风险识别</w:t>
      </w:r>
      <w:r>
        <w:tab/>
      </w:r>
      <w:r>
        <w:fldChar w:fldCharType="begin"/>
      </w:r>
      <w:r>
        <w:instrText xml:space="preserve"> PAGEREF _Toc182171813 \h </w:instrText>
      </w:r>
      <w:r>
        <w:fldChar w:fldCharType="separate"/>
      </w:r>
      <w:r>
        <w:t>123</w:t>
      </w:r>
      <w:r>
        <w:fldChar w:fldCharType="end"/>
      </w:r>
    </w:p>
    <w:p w14:paraId="460CABF4">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3.7</w:t>
      </w:r>
      <w:r>
        <w:t xml:space="preserve"> 施工期污染源分析</w:t>
      </w:r>
      <w:r>
        <w:tab/>
      </w:r>
      <w:r>
        <w:fldChar w:fldCharType="begin"/>
      </w:r>
      <w:r>
        <w:instrText xml:space="preserve"> PAGEREF _Toc182171814 \h </w:instrText>
      </w:r>
      <w:r>
        <w:fldChar w:fldCharType="separate"/>
      </w:r>
      <w:r>
        <w:t>125</w:t>
      </w:r>
      <w:r>
        <w:fldChar w:fldCharType="end"/>
      </w:r>
    </w:p>
    <w:p w14:paraId="6F2D7A7E">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3.8</w:t>
      </w:r>
      <w:r>
        <w:t xml:space="preserve"> 营运期污染源强</w:t>
      </w:r>
      <w:r>
        <w:tab/>
      </w:r>
      <w:r>
        <w:fldChar w:fldCharType="begin"/>
      </w:r>
      <w:r>
        <w:instrText xml:space="preserve"> PAGEREF _Toc182171815 \h </w:instrText>
      </w:r>
      <w:r>
        <w:fldChar w:fldCharType="separate"/>
      </w:r>
      <w:r>
        <w:t>134</w:t>
      </w:r>
      <w:r>
        <w:fldChar w:fldCharType="end"/>
      </w:r>
    </w:p>
    <w:p w14:paraId="3EC11F39">
      <w:pPr>
        <w:pStyle w:val="34"/>
        <w:tabs>
          <w:tab w:val="right" w:leader="dot" w:pos="8296"/>
        </w:tabs>
        <w:ind w:left="480" w:firstLine="0" w:firstLineChars="0"/>
        <w:rPr>
          <w:rFonts w:asciiTheme="minorHAnsi" w:hAnsiTheme="minorHAnsi"/>
          <w:sz w:val="21"/>
          <w:szCs w:val="22"/>
          <w14:ligatures w14:val="standardContextual"/>
        </w:rPr>
      </w:pPr>
      <w:r>
        <w:rPr>
          <w:rFonts w:eastAsia="宋体"/>
        </w:rPr>
        <w:t>3.9</w:t>
      </w:r>
      <w:r>
        <w:t xml:space="preserve"> 清洁生产分析</w:t>
      </w:r>
      <w:r>
        <w:tab/>
      </w:r>
      <w:r>
        <w:fldChar w:fldCharType="begin"/>
      </w:r>
      <w:r>
        <w:instrText xml:space="preserve"> PAGEREF _Toc182171816 \h </w:instrText>
      </w:r>
      <w:r>
        <w:fldChar w:fldCharType="separate"/>
      </w:r>
      <w:r>
        <w:t>150</w:t>
      </w:r>
      <w:r>
        <w:fldChar w:fldCharType="end"/>
      </w:r>
    </w:p>
    <w:p w14:paraId="11D79378">
      <w:pPr>
        <w:pStyle w:val="29"/>
        <w:tabs>
          <w:tab w:val="right" w:leader="dot" w:pos="8296"/>
        </w:tabs>
        <w:ind w:firstLine="0" w:firstLineChars="0"/>
        <w:rPr>
          <w:rFonts w:asciiTheme="minorHAnsi" w:hAnsiTheme="minorHAnsi"/>
          <w:sz w:val="21"/>
          <w:szCs w:val="22"/>
          <w14:ligatures w14:val="standardContextual"/>
        </w:rPr>
      </w:pPr>
      <w:r>
        <w:rPr>
          <w:rFonts w:eastAsia="宋体"/>
        </w:rPr>
        <w:t>4</w:t>
      </w:r>
      <w:r>
        <w:t xml:space="preserve"> 环境现状调查与评价</w:t>
      </w:r>
      <w:r>
        <w:tab/>
      </w:r>
      <w:r>
        <w:fldChar w:fldCharType="begin"/>
      </w:r>
      <w:r>
        <w:instrText xml:space="preserve"> PAGEREF _Toc182171817 \h </w:instrText>
      </w:r>
      <w:r>
        <w:fldChar w:fldCharType="separate"/>
      </w:r>
      <w:r>
        <w:t>152</w:t>
      </w:r>
      <w:r>
        <w:fldChar w:fldCharType="end"/>
      </w:r>
    </w:p>
    <w:p w14:paraId="16411A32">
      <w:pPr>
        <w:pStyle w:val="34"/>
        <w:tabs>
          <w:tab w:val="right" w:leader="dot" w:pos="8296"/>
        </w:tabs>
        <w:ind w:left="480" w:firstLine="0" w:firstLineChars="0"/>
        <w:rPr>
          <w:rFonts w:asciiTheme="minorHAnsi" w:hAnsiTheme="minorHAnsi"/>
          <w:sz w:val="21"/>
          <w:szCs w:val="22"/>
          <w14:ligatures w14:val="standardContextual"/>
        </w:rPr>
      </w:pPr>
      <w:r>
        <w:rPr>
          <w:rFonts w:eastAsia="宋体"/>
        </w:rPr>
        <w:t>4.1</w:t>
      </w:r>
      <w:r>
        <w:t xml:space="preserve"> 项目区自然环境简况</w:t>
      </w:r>
      <w:r>
        <w:tab/>
      </w:r>
      <w:r>
        <w:fldChar w:fldCharType="begin"/>
      </w:r>
      <w:r>
        <w:instrText xml:space="preserve"> PAGEREF _Toc182171818 \h </w:instrText>
      </w:r>
      <w:r>
        <w:fldChar w:fldCharType="separate"/>
      </w:r>
      <w:r>
        <w:t>152</w:t>
      </w:r>
      <w:r>
        <w:fldChar w:fldCharType="end"/>
      </w:r>
    </w:p>
    <w:p w14:paraId="5A969B19">
      <w:pPr>
        <w:pStyle w:val="34"/>
        <w:tabs>
          <w:tab w:val="right" w:leader="dot" w:pos="8296"/>
        </w:tabs>
        <w:ind w:left="480" w:firstLine="0" w:firstLineChars="0"/>
        <w:rPr>
          <w:rFonts w:asciiTheme="minorHAnsi" w:hAnsiTheme="minorHAnsi"/>
          <w:sz w:val="21"/>
          <w:szCs w:val="22"/>
          <w14:ligatures w14:val="standardContextual"/>
        </w:rPr>
      </w:pPr>
      <w:r>
        <w:rPr>
          <w:rFonts w:eastAsia="宋体"/>
        </w:rPr>
        <w:t>4.2</w:t>
      </w:r>
      <w:r>
        <w:t xml:space="preserve"> 现有岸线利用情况</w:t>
      </w:r>
      <w:r>
        <w:tab/>
      </w:r>
      <w:r>
        <w:fldChar w:fldCharType="begin"/>
      </w:r>
      <w:r>
        <w:instrText xml:space="preserve"> PAGEREF _Toc182171819 \h </w:instrText>
      </w:r>
      <w:r>
        <w:fldChar w:fldCharType="separate"/>
      </w:r>
      <w:r>
        <w:t>160</w:t>
      </w:r>
      <w:r>
        <w:fldChar w:fldCharType="end"/>
      </w:r>
    </w:p>
    <w:p w14:paraId="5EC8EAFE">
      <w:pPr>
        <w:pStyle w:val="34"/>
        <w:tabs>
          <w:tab w:val="right" w:leader="dot" w:pos="8296"/>
        </w:tabs>
        <w:ind w:left="480" w:firstLine="0" w:firstLineChars="0"/>
        <w:rPr>
          <w:rFonts w:asciiTheme="minorHAnsi" w:hAnsiTheme="minorHAnsi"/>
          <w:sz w:val="21"/>
          <w:szCs w:val="22"/>
          <w14:ligatures w14:val="standardContextual"/>
        </w:rPr>
      </w:pPr>
      <w:r>
        <w:rPr>
          <w:rFonts w:eastAsia="宋体"/>
        </w:rPr>
        <w:t>4.3</w:t>
      </w:r>
      <w:r>
        <w:t xml:space="preserve"> 环境质量现状调查与评价</w:t>
      </w:r>
      <w:r>
        <w:tab/>
      </w:r>
      <w:r>
        <w:fldChar w:fldCharType="begin"/>
      </w:r>
      <w:r>
        <w:instrText xml:space="preserve"> PAGEREF _Toc182171820 \h </w:instrText>
      </w:r>
      <w:r>
        <w:fldChar w:fldCharType="separate"/>
      </w:r>
      <w:r>
        <w:t>162</w:t>
      </w:r>
      <w:r>
        <w:fldChar w:fldCharType="end"/>
      </w:r>
    </w:p>
    <w:p w14:paraId="5CEBF51A">
      <w:pPr>
        <w:pStyle w:val="29"/>
        <w:tabs>
          <w:tab w:val="right" w:leader="dot" w:pos="8296"/>
        </w:tabs>
        <w:ind w:firstLine="0" w:firstLineChars="0"/>
        <w:rPr>
          <w:rFonts w:asciiTheme="minorHAnsi" w:hAnsiTheme="minorHAnsi"/>
          <w:sz w:val="21"/>
          <w:szCs w:val="22"/>
          <w14:ligatures w14:val="standardContextual"/>
        </w:rPr>
      </w:pPr>
      <w:r>
        <w:rPr>
          <w:rFonts w:eastAsia="宋体"/>
        </w:rPr>
        <w:t>5</w:t>
      </w:r>
      <w:r>
        <w:t xml:space="preserve"> 环境影响预测与评价</w:t>
      </w:r>
      <w:r>
        <w:tab/>
      </w:r>
      <w:r>
        <w:fldChar w:fldCharType="begin"/>
      </w:r>
      <w:r>
        <w:instrText xml:space="preserve"> PAGEREF _Toc182171821 \h </w:instrText>
      </w:r>
      <w:r>
        <w:fldChar w:fldCharType="separate"/>
      </w:r>
      <w:r>
        <w:t>179</w:t>
      </w:r>
      <w:r>
        <w:fldChar w:fldCharType="end"/>
      </w:r>
    </w:p>
    <w:p w14:paraId="6326D6B0">
      <w:pPr>
        <w:pStyle w:val="34"/>
        <w:tabs>
          <w:tab w:val="right" w:leader="dot" w:pos="8296"/>
        </w:tabs>
        <w:ind w:left="480" w:firstLine="0" w:firstLineChars="0"/>
        <w:rPr>
          <w:rFonts w:asciiTheme="minorHAnsi" w:hAnsiTheme="minorHAnsi"/>
          <w:sz w:val="21"/>
          <w:szCs w:val="22"/>
          <w14:ligatures w14:val="standardContextual"/>
        </w:rPr>
      </w:pPr>
      <w:r>
        <w:rPr>
          <w:rFonts w:eastAsia="宋体"/>
        </w:rPr>
        <w:t>5.1</w:t>
      </w:r>
      <w:r>
        <w:t xml:space="preserve"> 施工期影响分析</w:t>
      </w:r>
      <w:r>
        <w:tab/>
      </w:r>
      <w:r>
        <w:fldChar w:fldCharType="begin"/>
      </w:r>
      <w:r>
        <w:instrText xml:space="preserve"> PAGEREF _Toc182171822 \h </w:instrText>
      </w:r>
      <w:r>
        <w:fldChar w:fldCharType="separate"/>
      </w:r>
      <w:r>
        <w:t>179</w:t>
      </w:r>
      <w:r>
        <w:fldChar w:fldCharType="end"/>
      </w:r>
    </w:p>
    <w:p w14:paraId="6406FB85">
      <w:pPr>
        <w:pStyle w:val="34"/>
        <w:tabs>
          <w:tab w:val="right" w:leader="dot" w:pos="8296"/>
        </w:tabs>
        <w:ind w:left="480" w:firstLine="0" w:firstLineChars="0"/>
        <w:rPr>
          <w:rFonts w:asciiTheme="minorHAnsi" w:hAnsiTheme="minorHAnsi"/>
          <w:sz w:val="21"/>
          <w:szCs w:val="22"/>
          <w14:ligatures w14:val="standardContextual"/>
        </w:rPr>
      </w:pPr>
      <w:r>
        <w:rPr>
          <w:rFonts w:eastAsia="宋体"/>
        </w:rPr>
        <w:t>5.2</w:t>
      </w:r>
      <w:r>
        <w:t xml:space="preserve"> 营运期环境影响预测与评价</w:t>
      </w:r>
      <w:r>
        <w:tab/>
      </w:r>
      <w:r>
        <w:fldChar w:fldCharType="begin"/>
      </w:r>
      <w:r>
        <w:instrText xml:space="preserve"> PAGEREF _Toc182171823 \h </w:instrText>
      </w:r>
      <w:r>
        <w:fldChar w:fldCharType="separate"/>
      </w:r>
      <w:r>
        <w:t>190</w:t>
      </w:r>
      <w:r>
        <w:fldChar w:fldCharType="end"/>
      </w:r>
    </w:p>
    <w:p w14:paraId="7AEC187F">
      <w:pPr>
        <w:pStyle w:val="34"/>
        <w:tabs>
          <w:tab w:val="right" w:leader="dot" w:pos="8296"/>
        </w:tabs>
        <w:ind w:left="480" w:firstLine="0" w:firstLineChars="0"/>
        <w:rPr>
          <w:rFonts w:asciiTheme="minorHAnsi" w:hAnsiTheme="minorHAnsi"/>
          <w:sz w:val="21"/>
          <w:szCs w:val="22"/>
          <w14:ligatures w14:val="standardContextual"/>
        </w:rPr>
      </w:pPr>
      <w:r>
        <w:rPr>
          <w:rFonts w:eastAsia="宋体"/>
        </w:rPr>
        <w:t>5.3</w:t>
      </w:r>
      <w:r>
        <w:t xml:space="preserve"> 环境风险影响预测与评价</w:t>
      </w:r>
      <w:r>
        <w:tab/>
      </w:r>
      <w:r>
        <w:fldChar w:fldCharType="begin"/>
      </w:r>
      <w:r>
        <w:instrText xml:space="preserve"> PAGEREF _Toc182171824 \h </w:instrText>
      </w:r>
      <w:r>
        <w:fldChar w:fldCharType="separate"/>
      </w:r>
      <w:r>
        <w:t>216</w:t>
      </w:r>
      <w:r>
        <w:fldChar w:fldCharType="end"/>
      </w:r>
    </w:p>
    <w:p w14:paraId="4E74B1A7">
      <w:pPr>
        <w:pStyle w:val="29"/>
        <w:tabs>
          <w:tab w:val="right" w:leader="dot" w:pos="8296"/>
        </w:tabs>
        <w:ind w:firstLine="0" w:firstLineChars="0"/>
        <w:rPr>
          <w:rFonts w:asciiTheme="minorHAnsi" w:hAnsiTheme="minorHAnsi"/>
          <w:sz w:val="21"/>
          <w:szCs w:val="22"/>
          <w14:ligatures w14:val="standardContextual"/>
        </w:rPr>
      </w:pPr>
      <w:r>
        <w:rPr>
          <w:rFonts w:eastAsia="宋体"/>
        </w:rPr>
        <w:t>6</w:t>
      </w:r>
      <w:r>
        <w:t xml:space="preserve"> 环境保护措施及其可行性论证</w:t>
      </w:r>
      <w:r>
        <w:tab/>
      </w:r>
      <w:r>
        <w:fldChar w:fldCharType="begin"/>
      </w:r>
      <w:r>
        <w:instrText xml:space="preserve"> PAGEREF _Toc182171825 \h </w:instrText>
      </w:r>
      <w:r>
        <w:fldChar w:fldCharType="separate"/>
      </w:r>
      <w:r>
        <w:t>234</w:t>
      </w:r>
      <w:r>
        <w:fldChar w:fldCharType="end"/>
      </w:r>
    </w:p>
    <w:p w14:paraId="6DD034B3">
      <w:pPr>
        <w:pStyle w:val="34"/>
        <w:tabs>
          <w:tab w:val="right" w:leader="dot" w:pos="8296"/>
        </w:tabs>
        <w:ind w:left="480" w:firstLine="0" w:firstLineChars="0"/>
        <w:rPr>
          <w:rFonts w:asciiTheme="minorHAnsi" w:hAnsiTheme="minorHAnsi"/>
          <w:sz w:val="21"/>
          <w:szCs w:val="22"/>
          <w14:ligatures w14:val="standardContextual"/>
        </w:rPr>
      </w:pPr>
      <w:r>
        <w:rPr>
          <w:rFonts w:eastAsia="宋体"/>
        </w:rPr>
        <w:t>6.1</w:t>
      </w:r>
      <w:r>
        <w:t xml:space="preserve"> 施工期污染防治措施</w:t>
      </w:r>
      <w:r>
        <w:tab/>
      </w:r>
      <w:r>
        <w:fldChar w:fldCharType="begin"/>
      </w:r>
      <w:r>
        <w:instrText xml:space="preserve"> PAGEREF _Toc182171826 \h </w:instrText>
      </w:r>
      <w:r>
        <w:fldChar w:fldCharType="separate"/>
      </w:r>
      <w:r>
        <w:t>234</w:t>
      </w:r>
      <w:r>
        <w:fldChar w:fldCharType="end"/>
      </w:r>
    </w:p>
    <w:p w14:paraId="6782997B">
      <w:pPr>
        <w:pStyle w:val="34"/>
        <w:tabs>
          <w:tab w:val="right" w:leader="dot" w:pos="8296"/>
        </w:tabs>
        <w:ind w:left="480" w:firstLine="0" w:firstLineChars="0"/>
        <w:rPr>
          <w:rFonts w:asciiTheme="minorHAnsi" w:hAnsiTheme="minorHAnsi"/>
          <w:sz w:val="21"/>
          <w:szCs w:val="22"/>
          <w14:ligatures w14:val="standardContextual"/>
        </w:rPr>
      </w:pPr>
      <w:r>
        <w:rPr>
          <w:rFonts w:eastAsia="宋体"/>
        </w:rPr>
        <w:t>6.2</w:t>
      </w:r>
      <w:r>
        <w:t xml:space="preserve"> 营运期污染防治措施</w:t>
      </w:r>
      <w:r>
        <w:tab/>
      </w:r>
      <w:r>
        <w:fldChar w:fldCharType="begin"/>
      </w:r>
      <w:r>
        <w:instrText xml:space="preserve"> PAGEREF _Toc182171827 \h </w:instrText>
      </w:r>
      <w:r>
        <w:fldChar w:fldCharType="separate"/>
      </w:r>
      <w:r>
        <w:t>247</w:t>
      </w:r>
      <w:r>
        <w:fldChar w:fldCharType="end"/>
      </w:r>
    </w:p>
    <w:p w14:paraId="1846F79A">
      <w:pPr>
        <w:pStyle w:val="34"/>
        <w:tabs>
          <w:tab w:val="right" w:leader="dot" w:pos="8296"/>
        </w:tabs>
        <w:ind w:left="480" w:firstLine="0" w:firstLineChars="0"/>
        <w:rPr>
          <w:rFonts w:asciiTheme="minorHAnsi" w:hAnsiTheme="minorHAnsi"/>
          <w:sz w:val="21"/>
          <w:szCs w:val="22"/>
          <w14:ligatures w14:val="standardContextual"/>
        </w:rPr>
      </w:pPr>
      <w:r>
        <w:rPr>
          <w:rFonts w:eastAsia="宋体"/>
        </w:rPr>
        <w:t>6.3</w:t>
      </w:r>
      <w:r>
        <w:t xml:space="preserve"> 环境风险管理</w:t>
      </w:r>
      <w:r>
        <w:tab/>
      </w:r>
      <w:r>
        <w:fldChar w:fldCharType="begin"/>
      </w:r>
      <w:r>
        <w:instrText xml:space="preserve"> PAGEREF _Toc182171828 \h </w:instrText>
      </w:r>
      <w:r>
        <w:fldChar w:fldCharType="separate"/>
      </w:r>
      <w:r>
        <w:t>262</w:t>
      </w:r>
      <w:r>
        <w:fldChar w:fldCharType="end"/>
      </w:r>
    </w:p>
    <w:p w14:paraId="75958258">
      <w:pPr>
        <w:pStyle w:val="29"/>
        <w:tabs>
          <w:tab w:val="right" w:leader="dot" w:pos="8296"/>
        </w:tabs>
        <w:ind w:firstLine="0" w:firstLineChars="0"/>
        <w:rPr>
          <w:rFonts w:asciiTheme="minorHAnsi" w:hAnsiTheme="minorHAnsi"/>
          <w:sz w:val="21"/>
          <w:szCs w:val="22"/>
          <w14:ligatures w14:val="standardContextual"/>
        </w:rPr>
      </w:pPr>
      <w:r>
        <w:rPr>
          <w:rFonts w:eastAsia="宋体"/>
        </w:rPr>
        <w:t>7</w:t>
      </w:r>
      <w:r>
        <w:t xml:space="preserve"> 环境影响经济损益分析</w:t>
      </w:r>
      <w:r>
        <w:tab/>
      </w:r>
      <w:r>
        <w:fldChar w:fldCharType="begin"/>
      </w:r>
      <w:r>
        <w:instrText xml:space="preserve"> PAGEREF _Toc182171829 \h </w:instrText>
      </w:r>
      <w:r>
        <w:fldChar w:fldCharType="separate"/>
      </w:r>
      <w:r>
        <w:t>291</w:t>
      </w:r>
      <w:r>
        <w:fldChar w:fldCharType="end"/>
      </w:r>
    </w:p>
    <w:p w14:paraId="03B65B0A">
      <w:pPr>
        <w:pStyle w:val="34"/>
        <w:tabs>
          <w:tab w:val="right" w:leader="dot" w:pos="8296"/>
        </w:tabs>
        <w:ind w:left="480" w:firstLine="0" w:firstLineChars="0"/>
        <w:rPr>
          <w:rFonts w:asciiTheme="minorHAnsi" w:hAnsiTheme="minorHAnsi"/>
          <w:sz w:val="21"/>
          <w:szCs w:val="22"/>
          <w14:ligatures w14:val="standardContextual"/>
        </w:rPr>
      </w:pPr>
      <w:r>
        <w:rPr>
          <w:rFonts w:eastAsia="宋体"/>
        </w:rPr>
        <w:t>7.1</w:t>
      </w:r>
      <w:r>
        <w:t xml:space="preserve"> 环境损益分析</w:t>
      </w:r>
      <w:r>
        <w:tab/>
      </w:r>
      <w:r>
        <w:fldChar w:fldCharType="begin"/>
      </w:r>
      <w:r>
        <w:instrText xml:space="preserve"> PAGEREF _Toc182171830 \h </w:instrText>
      </w:r>
      <w:r>
        <w:fldChar w:fldCharType="separate"/>
      </w:r>
      <w:r>
        <w:t>291</w:t>
      </w:r>
      <w:r>
        <w:fldChar w:fldCharType="end"/>
      </w:r>
    </w:p>
    <w:p w14:paraId="05CF45DC">
      <w:pPr>
        <w:pStyle w:val="34"/>
        <w:tabs>
          <w:tab w:val="right" w:leader="dot" w:pos="8296"/>
        </w:tabs>
        <w:ind w:left="480" w:firstLine="0" w:firstLineChars="0"/>
        <w:rPr>
          <w:rFonts w:asciiTheme="minorHAnsi" w:hAnsiTheme="minorHAnsi"/>
          <w:sz w:val="21"/>
          <w:szCs w:val="22"/>
          <w14:ligatures w14:val="standardContextual"/>
        </w:rPr>
      </w:pPr>
      <w:r>
        <w:rPr>
          <w:rFonts w:eastAsia="宋体"/>
        </w:rPr>
        <w:t>7.2</w:t>
      </w:r>
      <w:r>
        <w:t xml:space="preserve"> 工程环境经济损益分析</w:t>
      </w:r>
      <w:r>
        <w:tab/>
      </w:r>
      <w:r>
        <w:fldChar w:fldCharType="begin"/>
      </w:r>
      <w:r>
        <w:instrText xml:space="preserve"> PAGEREF _Toc182171831 \h </w:instrText>
      </w:r>
      <w:r>
        <w:fldChar w:fldCharType="separate"/>
      </w:r>
      <w:r>
        <w:t>297</w:t>
      </w:r>
      <w:r>
        <w:fldChar w:fldCharType="end"/>
      </w:r>
    </w:p>
    <w:p w14:paraId="7BB7B760">
      <w:pPr>
        <w:pStyle w:val="29"/>
        <w:tabs>
          <w:tab w:val="right" w:leader="dot" w:pos="8296"/>
        </w:tabs>
        <w:ind w:firstLine="0" w:firstLineChars="0"/>
        <w:rPr>
          <w:rFonts w:asciiTheme="minorHAnsi" w:hAnsiTheme="minorHAnsi"/>
          <w:sz w:val="21"/>
          <w:szCs w:val="22"/>
          <w14:ligatures w14:val="standardContextual"/>
        </w:rPr>
      </w:pPr>
      <w:r>
        <w:rPr>
          <w:rFonts w:eastAsia="宋体"/>
        </w:rPr>
        <w:t>8</w:t>
      </w:r>
      <w:r>
        <w:t xml:space="preserve"> 环境管理与监测计划</w:t>
      </w:r>
      <w:r>
        <w:tab/>
      </w:r>
      <w:r>
        <w:fldChar w:fldCharType="begin"/>
      </w:r>
      <w:r>
        <w:instrText xml:space="preserve"> PAGEREF _Toc182171832 \h </w:instrText>
      </w:r>
      <w:r>
        <w:fldChar w:fldCharType="separate"/>
      </w:r>
      <w:r>
        <w:t>299</w:t>
      </w:r>
      <w:r>
        <w:fldChar w:fldCharType="end"/>
      </w:r>
    </w:p>
    <w:p w14:paraId="5202CF64">
      <w:pPr>
        <w:pStyle w:val="34"/>
        <w:tabs>
          <w:tab w:val="right" w:leader="dot" w:pos="8296"/>
        </w:tabs>
        <w:ind w:left="480" w:firstLine="0" w:firstLineChars="0"/>
        <w:rPr>
          <w:rFonts w:asciiTheme="minorHAnsi" w:hAnsiTheme="minorHAnsi"/>
          <w:sz w:val="21"/>
          <w:szCs w:val="22"/>
          <w14:ligatures w14:val="standardContextual"/>
        </w:rPr>
      </w:pPr>
      <w:r>
        <w:rPr>
          <w:rFonts w:eastAsia="宋体"/>
        </w:rPr>
        <w:t>8.1</w:t>
      </w:r>
      <w:r>
        <w:t xml:space="preserve"> 环境管理</w:t>
      </w:r>
      <w:r>
        <w:tab/>
      </w:r>
      <w:r>
        <w:fldChar w:fldCharType="begin"/>
      </w:r>
      <w:r>
        <w:instrText xml:space="preserve"> PAGEREF _Toc182171833 \h </w:instrText>
      </w:r>
      <w:r>
        <w:fldChar w:fldCharType="separate"/>
      </w:r>
      <w:r>
        <w:t>299</w:t>
      </w:r>
      <w:r>
        <w:fldChar w:fldCharType="end"/>
      </w:r>
    </w:p>
    <w:p w14:paraId="50DB105C">
      <w:pPr>
        <w:pStyle w:val="34"/>
        <w:tabs>
          <w:tab w:val="right" w:leader="dot" w:pos="8296"/>
        </w:tabs>
        <w:ind w:left="480" w:firstLine="0" w:firstLineChars="0"/>
        <w:rPr>
          <w:rFonts w:asciiTheme="minorHAnsi" w:hAnsiTheme="minorHAnsi"/>
          <w:sz w:val="21"/>
          <w:szCs w:val="22"/>
          <w14:ligatures w14:val="standardContextual"/>
        </w:rPr>
      </w:pPr>
      <w:r>
        <w:rPr>
          <w:rFonts w:eastAsia="宋体"/>
        </w:rPr>
        <w:t>8.2</w:t>
      </w:r>
      <w:r>
        <w:t xml:space="preserve"> 环境监测计划</w:t>
      </w:r>
      <w:r>
        <w:tab/>
      </w:r>
      <w:r>
        <w:fldChar w:fldCharType="begin"/>
      </w:r>
      <w:r>
        <w:instrText xml:space="preserve"> PAGEREF _Toc182171834 \h </w:instrText>
      </w:r>
      <w:r>
        <w:fldChar w:fldCharType="separate"/>
      </w:r>
      <w:r>
        <w:t>305</w:t>
      </w:r>
      <w:r>
        <w:fldChar w:fldCharType="end"/>
      </w:r>
    </w:p>
    <w:p w14:paraId="7F0F7BE0">
      <w:pPr>
        <w:pStyle w:val="34"/>
        <w:tabs>
          <w:tab w:val="right" w:leader="dot" w:pos="8296"/>
        </w:tabs>
        <w:ind w:left="480" w:firstLine="0" w:firstLineChars="0"/>
        <w:rPr>
          <w:rFonts w:asciiTheme="minorHAnsi" w:hAnsiTheme="minorHAnsi"/>
          <w:sz w:val="21"/>
          <w:szCs w:val="22"/>
          <w14:ligatures w14:val="standardContextual"/>
        </w:rPr>
      </w:pPr>
      <w:r>
        <w:rPr>
          <w:rFonts w:eastAsia="宋体"/>
        </w:rPr>
        <w:t>8.3</w:t>
      </w:r>
      <w:r>
        <w:t xml:space="preserve"> 排污口规范化设置</w:t>
      </w:r>
      <w:r>
        <w:tab/>
      </w:r>
      <w:r>
        <w:fldChar w:fldCharType="begin"/>
      </w:r>
      <w:r>
        <w:instrText xml:space="preserve"> PAGEREF _Toc182171835 \h </w:instrText>
      </w:r>
      <w:r>
        <w:fldChar w:fldCharType="separate"/>
      </w:r>
      <w:r>
        <w:t>307</w:t>
      </w:r>
      <w:r>
        <w:fldChar w:fldCharType="end"/>
      </w:r>
    </w:p>
    <w:p w14:paraId="10103424">
      <w:pPr>
        <w:pStyle w:val="34"/>
        <w:tabs>
          <w:tab w:val="right" w:leader="dot" w:pos="8296"/>
        </w:tabs>
        <w:ind w:left="480" w:firstLine="0" w:firstLineChars="0"/>
        <w:rPr>
          <w:rFonts w:asciiTheme="minorHAnsi" w:hAnsiTheme="minorHAnsi"/>
          <w:sz w:val="21"/>
          <w:szCs w:val="22"/>
          <w14:ligatures w14:val="standardContextual"/>
        </w:rPr>
      </w:pPr>
      <w:r>
        <w:rPr>
          <w:rFonts w:eastAsia="宋体"/>
        </w:rPr>
        <w:t>8.4</w:t>
      </w:r>
      <w:r>
        <w:t xml:space="preserve"> 建设项目“三同时”验收一览表</w:t>
      </w:r>
      <w:r>
        <w:tab/>
      </w:r>
      <w:r>
        <w:fldChar w:fldCharType="begin"/>
      </w:r>
      <w:r>
        <w:instrText xml:space="preserve"> PAGEREF _Toc182171836 \h </w:instrText>
      </w:r>
      <w:r>
        <w:fldChar w:fldCharType="separate"/>
      </w:r>
      <w:r>
        <w:t>308</w:t>
      </w:r>
      <w:r>
        <w:fldChar w:fldCharType="end"/>
      </w:r>
    </w:p>
    <w:p w14:paraId="58AD14FB">
      <w:pPr>
        <w:pStyle w:val="29"/>
        <w:tabs>
          <w:tab w:val="right" w:leader="dot" w:pos="8296"/>
        </w:tabs>
        <w:ind w:firstLine="0" w:firstLineChars="0"/>
        <w:rPr>
          <w:rFonts w:asciiTheme="minorHAnsi" w:hAnsiTheme="minorHAnsi"/>
          <w:sz w:val="21"/>
          <w:szCs w:val="22"/>
          <w14:ligatures w14:val="standardContextual"/>
        </w:rPr>
      </w:pPr>
      <w:r>
        <w:rPr>
          <w:rFonts w:eastAsia="宋体"/>
        </w:rPr>
        <w:t>9</w:t>
      </w:r>
      <w:r>
        <w:t xml:space="preserve"> 环境影响评价结论</w:t>
      </w:r>
      <w:r>
        <w:tab/>
      </w:r>
      <w:r>
        <w:fldChar w:fldCharType="begin"/>
      </w:r>
      <w:r>
        <w:instrText xml:space="preserve"> PAGEREF _Toc182171837 \h </w:instrText>
      </w:r>
      <w:r>
        <w:fldChar w:fldCharType="separate"/>
      </w:r>
      <w:r>
        <w:t>309</w:t>
      </w:r>
      <w:r>
        <w:fldChar w:fldCharType="end"/>
      </w:r>
    </w:p>
    <w:p w14:paraId="030ABB1A">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9.1</w:t>
      </w:r>
      <w:r>
        <w:t xml:space="preserve"> 项目概况</w:t>
      </w:r>
      <w:r>
        <w:tab/>
      </w:r>
      <w:r>
        <w:fldChar w:fldCharType="begin"/>
      </w:r>
      <w:r>
        <w:instrText xml:space="preserve"> PAGEREF _Toc182171838 \h </w:instrText>
      </w:r>
      <w:r>
        <w:fldChar w:fldCharType="separate"/>
      </w:r>
      <w:r>
        <w:t>309</w:t>
      </w:r>
      <w:r>
        <w:fldChar w:fldCharType="end"/>
      </w:r>
    </w:p>
    <w:p w14:paraId="4DB886B9">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9.2</w:t>
      </w:r>
      <w:r>
        <w:t xml:space="preserve"> 产业政策与相关规划符合性</w:t>
      </w:r>
      <w:r>
        <w:tab/>
      </w:r>
      <w:r>
        <w:fldChar w:fldCharType="begin"/>
      </w:r>
      <w:r>
        <w:instrText xml:space="preserve"> PAGEREF _Toc182171839 \h </w:instrText>
      </w:r>
      <w:r>
        <w:fldChar w:fldCharType="separate"/>
      </w:r>
      <w:r>
        <w:t>309</w:t>
      </w:r>
      <w:r>
        <w:fldChar w:fldCharType="end"/>
      </w:r>
    </w:p>
    <w:p w14:paraId="3B153C7A">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9.3</w:t>
      </w:r>
      <w:r>
        <w:t xml:space="preserve"> 环境质量现状</w:t>
      </w:r>
      <w:r>
        <w:tab/>
      </w:r>
      <w:r>
        <w:fldChar w:fldCharType="begin"/>
      </w:r>
      <w:r>
        <w:instrText xml:space="preserve"> PAGEREF _Toc182171840 \h </w:instrText>
      </w:r>
      <w:r>
        <w:fldChar w:fldCharType="separate"/>
      </w:r>
      <w:r>
        <w:t>310</w:t>
      </w:r>
      <w:r>
        <w:fldChar w:fldCharType="end"/>
      </w:r>
    </w:p>
    <w:p w14:paraId="38BDF9ED">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9.4</w:t>
      </w:r>
      <w:r>
        <w:t xml:space="preserve"> 主要环境影响</w:t>
      </w:r>
      <w:r>
        <w:tab/>
      </w:r>
      <w:r>
        <w:fldChar w:fldCharType="begin"/>
      </w:r>
      <w:r>
        <w:instrText xml:space="preserve"> PAGEREF _Toc182171841 \h </w:instrText>
      </w:r>
      <w:r>
        <w:fldChar w:fldCharType="separate"/>
      </w:r>
      <w:r>
        <w:t>311</w:t>
      </w:r>
      <w:r>
        <w:fldChar w:fldCharType="end"/>
      </w:r>
    </w:p>
    <w:p w14:paraId="6B29B843">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9.5</w:t>
      </w:r>
      <w:r>
        <w:t xml:space="preserve"> 公众意见采纳情况</w:t>
      </w:r>
      <w:r>
        <w:tab/>
      </w:r>
      <w:r>
        <w:fldChar w:fldCharType="begin"/>
      </w:r>
      <w:r>
        <w:instrText xml:space="preserve"> PAGEREF _Toc182171842 \h </w:instrText>
      </w:r>
      <w:r>
        <w:fldChar w:fldCharType="separate"/>
      </w:r>
      <w:r>
        <w:t>314</w:t>
      </w:r>
      <w:r>
        <w:fldChar w:fldCharType="end"/>
      </w:r>
    </w:p>
    <w:p w14:paraId="3A8EC0E6">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9.6</w:t>
      </w:r>
      <w:r>
        <w:t xml:space="preserve"> 环境保护措施</w:t>
      </w:r>
      <w:r>
        <w:tab/>
      </w:r>
      <w:r>
        <w:fldChar w:fldCharType="begin"/>
      </w:r>
      <w:r>
        <w:instrText xml:space="preserve"> PAGEREF _Toc182171843 \h </w:instrText>
      </w:r>
      <w:r>
        <w:fldChar w:fldCharType="separate"/>
      </w:r>
      <w:r>
        <w:t>315</w:t>
      </w:r>
      <w:r>
        <w:fldChar w:fldCharType="end"/>
      </w:r>
    </w:p>
    <w:p w14:paraId="118B1A63">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9.7</w:t>
      </w:r>
      <w:r>
        <w:t xml:space="preserve"> 环境经济损益分析</w:t>
      </w:r>
      <w:r>
        <w:tab/>
      </w:r>
      <w:r>
        <w:fldChar w:fldCharType="begin"/>
      </w:r>
      <w:r>
        <w:instrText xml:space="preserve"> PAGEREF _Toc182171844 \h </w:instrText>
      </w:r>
      <w:r>
        <w:fldChar w:fldCharType="separate"/>
      </w:r>
      <w:r>
        <w:t>317</w:t>
      </w:r>
      <w:r>
        <w:fldChar w:fldCharType="end"/>
      </w:r>
    </w:p>
    <w:p w14:paraId="208011D9">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9.8</w:t>
      </w:r>
      <w:r>
        <w:t xml:space="preserve"> 环境管理与监测计划</w:t>
      </w:r>
      <w:r>
        <w:tab/>
      </w:r>
      <w:r>
        <w:fldChar w:fldCharType="begin"/>
      </w:r>
      <w:r>
        <w:instrText xml:space="preserve"> PAGEREF _Toc182171845 \h </w:instrText>
      </w:r>
      <w:r>
        <w:fldChar w:fldCharType="separate"/>
      </w:r>
      <w:r>
        <w:t>318</w:t>
      </w:r>
      <w:r>
        <w:fldChar w:fldCharType="end"/>
      </w:r>
    </w:p>
    <w:p w14:paraId="6C39690D">
      <w:pPr>
        <w:pStyle w:val="34"/>
        <w:tabs>
          <w:tab w:val="right" w:leader="dot" w:pos="8296"/>
        </w:tabs>
        <w:ind w:left="480" w:firstLine="0" w:firstLineChars="0"/>
        <w:rPr>
          <w:rFonts w:asciiTheme="minorHAnsi" w:hAnsiTheme="minorHAnsi"/>
          <w:sz w:val="21"/>
          <w:szCs w:val="22"/>
          <w14:ligatures w14:val="standardContextual"/>
        </w:rPr>
      </w:pPr>
      <w:r>
        <w:rPr>
          <w:rFonts w:eastAsia="宋体"/>
        </w:rPr>
        <w:t>9.9</w:t>
      </w:r>
      <w:r>
        <w:t xml:space="preserve"> 总结论</w:t>
      </w:r>
      <w:r>
        <w:tab/>
      </w:r>
      <w:r>
        <w:fldChar w:fldCharType="begin"/>
      </w:r>
      <w:r>
        <w:instrText xml:space="preserve"> PAGEREF _Toc182171846 \h </w:instrText>
      </w:r>
      <w:r>
        <w:fldChar w:fldCharType="separate"/>
      </w:r>
      <w:r>
        <w:t>318</w:t>
      </w:r>
      <w:r>
        <w:fldChar w:fldCharType="end"/>
      </w:r>
    </w:p>
    <w:p w14:paraId="645AC7C0">
      <w:pPr>
        <w:pStyle w:val="17"/>
        <w:spacing w:line="300" w:lineRule="auto"/>
        <w:ind w:firstLine="0" w:firstLineChars="0"/>
        <w:rPr>
          <w:rFonts w:cs="Times New Roman" w:eastAsiaTheme="majorEastAsia"/>
        </w:rPr>
      </w:pPr>
      <w:r>
        <w:rPr>
          <w:rFonts w:hint="eastAsia" w:cs="Times New Roman" w:eastAsiaTheme="majorEastAsia"/>
        </w:rPr>
        <w:fldChar w:fldCharType="end"/>
      </w:r>
    </w:p>
    <w:p w14:paraId="09AE05B7">
      <w:pPr>
        <w:pStyle w:val="17"/>
        <w:spacing w:line="300" w:lineRule="auto"/>
        <w:ind w:firstLine="400"/>
        <w:rPr>
          <w:rFonts w:cs="Times New Roman"/>
        </w:rPr>
      </w:pPr>
    </w:p>
    <w:p w14:paraId="741E05B5">
      <w:pPr>
        <w:spacing w:line="240" w:lineRule="auto"/>
        <w:ind w:firstLine="0" w:firstLineChars="0"/>
        <w:rPr>
          <w:rFonts w:cs="Times New Roman"/>
          <w:b/>
          <w:bCs/>
          <w:kern w:val="0"/>
          <w:szCs w:val="28"/>
          <w:lang w:val="zh-CN"/>
        </w:rPr>
      </w:pPr>
      <w:r>
        <w:rPr>
          <w:rFonts w:hint="eastAsia" w:cs="Times New Roman"/>
          <w:b/>
          <w:bCs/>
          <w:szCs w:val="28"/>
        </w:rPr>
        <w:br w:type="page"/>
      </w:r>
    </w:p>
    <w:p w14:paraId="3ECDF4DA">
      <w:pPr>
        <w:pStyle w:val="17"/>
        <w:ind w:firstLine="482"/>
        <w:outlineLvl w:val="0"/>
        <w:rPr>
          <w:rFonts w:cs="Times New Roman"/>
          <w:b/>
          <w:bCs/>
          <w:sz w:val="24"/>
          <w:szCs w:val="28"/>
        </w:rPr>
      </w:pPr>
      <w:bookmarkStart w:id="16" w:name="_Toc161181947"/>
      <w:bookmarkStart w:id="17" w:name="_Toc182171792"/>
      <w:bookmarkStart w:id="18" w:name="_Toc177551274"/>
      <w:bookmarkStart w:id="19" w:name="_Toc177849436"/>
      <w:bookmarkStart w:id="20" w:name="_Toc160064896"/>
      <w:bookmarkStart w:id="21" w:name="_Toc178570264"/>
      <w:r>
        <w:rPr>
          <w:rFonts w:hint="eastAsia" w:cs="Times New Roman"/>
          <w:b/>
          <w:bCs/>
          <w:sz w:val="24"/>
          <w:szCs w:val="28"/>
        </w:rPr>
        <w:t>附件</w:t>
      </w:r>
      <w:bookmarkEnd w:id="16"/>
      <w:bookmarkEnd w:id="17"/>
      <w:bookmarkEnd w:id="18"/>
      <w:bookmarkEnd w:id="19"/>
      <w:bookmarkEnd w:id="20"/>
      <w:bookmarkEnd w:id="21"/>
    </w:p>
    <w:p w14:paraId="7E373206">
      <w:pPr>
        <w:pStyle w:val="139"/>
        <w:ind w:firstLine="480"/>
        <w:rPr>
          <w:rFonts w:cs="Times New Roman"/>
          <w:color w:val="auto"/>
        </w:rPr>
      </w:pPr>
      <w:r>
        <w:rPr>
          <w:rFonts w:hint="eastAsia" w:cs="Times New Roman"/>
          <w:color w:val="auto"/>
        </w:rPr>
        <w:t>附件1 环境影响评价委托书</w:t>
      </w:r>
    </w:p>
    <w:p w14:paraId="2687006D">
      <w:pPr>
        <w:pStyle w:val="139"/>
        <w:ind w:firstLine="480"/>
        <w:rPr>
          <w:rFonts w:cs="Times New Roman"/>
          <w:color w:val="auto"/>
        </w:rPr>
      </w:pPr>
      <w:r>
        <w:rPr>
          <w:rFonts w:hint="eastAsia" w:cs="Times New Roman"/>
          <w:color w:val="auto"/>
        </w:rPr>
        <w:t>附件2 本项目备案登记信息单</w:t>
      </w:r>
    </w:p>
    <w:p w14:paraId="24280CF9">
      <w:pPr>
        <w:pStyle w:val="139"/>
        <w:ind w:firstLine="480"/>
        <w:rPr>
          <w:rFonts w:cs="Times New Roman"/>
          <w:color w:val="auto"/>
        </w:rPr>
      </w:pPr>
      <w:r>
        <w:rPr>
          <w:rFonts w:hint="eastAsia" w:cs="Times New Roman"/>
          <w:color w:val="auto"/>
        </w:rPr>
        <w:t>附件3 《国能涟水一期热电联产项目建设项目用地预审与选址意见书》（涟水县自然资源和规划局）；</w:t>
      </w:r>
    </w:p>
    <w:p w14:paraId="2F8668DA">
      <w:pPr>
        <w:pStyle w:val="139"/>
        <w:ind w:firstLine="480"/>
        <w:rPr>
          <w:rFonts w:cs="Times New Roman"/>
          <w:color w:val="auto"/>
        </w:rPr>
      </w:pPr>
      <w:r>
        <w:rPr>
          <w:rFonts w:hint="eastAsia" w:cs="Times New Roman"/>
          <w:color w:val="auto"/>
        </w:rPr>
        <w:t>附件4 国能江苏和淮安新港公司码头合同框架协议</w:t>
      </w:r>
    </w:p>
    <w:p w14:paraId="5271361B">
      <w:pPr>
        <w:pStyle w:val="139"/>
        <w:ind w:firstLine="480"/>
        <w:rPr>
          <w:rFonts w:cs="Times New Roman"/>
          <w:color w:val="auto"/>
        </w:rPr>
      </w:pPr>
      <w:r>
        <w:rPr>
          <w:rFonts w:hint="eastAsia" w:cs="Times New Roman"/>
          <w:color w:val="auto"/>
        </w:rPr>
        <w:t>附件5 热电联产项目规划用地范围的函</w:t>
      </w:r>
    </w:p>
    <w:p w14:paraId="5C358B84">
      <w:pPr>
        <w:pStyle w:val="139"/>
        <w:ind w:firstLine="480"/>
        <w:rPr>
          <w:rFonts w:cs="Times New Roman"/>
          <w:color w:val="auto"/>
        </w:rPr>
      </w:pPr>
      <w:r>
        <w:rPr>
          <w:rFonts w:hint="eastAsia" w:cs="Times New Roman"/>
          <w:color w:val="auto"/>
        </w:rPr>
        <w:t>附件6 关于国能涟水一期热电联产项目环境影响报告书的批复（苏环审〔2022〕43号）</w:t>
      </w:r>
    </w:p>
    <w:p w14:paraId="0D361B67">
      <w:pPr>
        <w:pStyle w:val="139"/>
        <w:ind w:firstLine="480"/>
        <w:rPr>
          <w:rFonts w:cs="Times New Roman"/>
          <w:color w:val="auto"/>
        </w:rPr>
      </w:pPr>
      <w:r>
        <w:rPr>
          <w:rFonts w:hint="eastAsia" w:cs="Times New Roman"/>
          <w:color w:val="auto"/>
        </w:rPr>
        <w:t>附件7 准予交通运输行政许可决定书</w:t>
      </w:r>
    </w:p>
    <w:p w14:paraId="6FC5E6BA">
      <w:pPr>
        <w:pStyle w:val="139"/>
        <w:ind w:firstLine="480"/>
        <w:rPr>
          <w:rFonts w:cs="Times New Roman"/>
          <w:color w:val="auto"/>
        </w:rPr>
      </w:pPr>
      <w:r>
        <w:rPr>
          <w:rFonts w:hint="eastAsia" w:cs="Times New Roman"/>
          <w:color w:val="auto"/>
        </w:rPr>
        <w:t>附件8 淮安港规划环评报告审查意见</w:t>
      </w:r>
    </w:p>
    <w:p w14:paraId="16316323">
      <w:pPr>
        <w:pStyle w:val="139"/>
        <w:ind w:firstLine="480"/>
        <w:rPr>
          <w:rFonts w:cs="Times New Roman"/>
          <w:color w:val="auto"/>
        </w:rPr>
      </w:pPr>
      <w:r>
        <w:rPr>
          <w:rFonts w:hint="eastAsia" w:cs="Times New Roman"/>
          <w:color w:val="auto"/>
        </w:rPr>
        <w:t>附件9 环境质量现状监测报告</w:t>
      </w:r>
    </w:p>
    <w:p w14:paraId="7FB4E90A">
      <w:pPr>
        <w:pStyle w:val="139"/>
        <w:ind w:firstLine="480"/>
        <w:rPr>
          <w:rFonts w:cs="Times New Roman"/>
          <w:color w:val="auto"/>
        </w:rPr>
      </w:pPr>
      <w:r>
        <w:rPr>
          <w:rFonts w:hint="eastAsia" w:cs="Times New Roman"/>
          <w:color w:val="auto"/>
        </w:rPr>
        <w:t>附件10 煤质分析报告</w:t>
      </w:r>
    </w:p>
    <w:p w14:paraId="0CE4324B">
      <w:pPr>
        <w:pStyle w:val="139"/>
        <w:ind w:firstLine="480"/>
        <w:rPr>
          <w:rFonts w:cs="Times New Roman"/>
          <w:color w:val="auto"/>
        </w:rPr>
      </w:pPr>
      <w:r>
        <w:rPr>
          <w:rFonts w:hint="eastAsia" w:cs="Times New Roman"/>
          <w:color w:val="auto"/>
        </w:rPr>
        <w:t>附件11 国能涟水一期热电联产配套码头工程登记信息表变更的申请</w:t>
      </w:r>
    </w:p>
    <w:p w14:paraId="5A5D0EBB">
      <w:pPr>
        <w:pStyle w:val="139"/>
        <w:ind w:firstLine="480"/>
        <w:rPr>
          <w:rFonts w:cs="Times New Roman"/>
          <w:color w:val="auto"/>
        </w:rPr>
      </w:pPr>
    </w:p>
    <w:p w14:paraId="3F0AFD91">
      <w:pPr>
        <w:pStyle w:val="139"/>
        <w:ind w:firstLine="480"/>
        <w:rPr>
          <w:rFonts w:cs="Times New Roman"/>
          <w:color w:val="auto"/>
        </w:rPr>
      </w:pPr>
    </w:p>
    <w:p w14:paraId="23AE7127">
      <w:pPr>
        <w:pStyle w:val="139"/>
        <w:ind w:firstLine="480"/>
        <w:rPr>
          <w:rFonts w:cs="Times New Roman"/>
          <w:color w:val="auto"/>
        </w:rPr>
      </w:pPr>
    </w:p>
    <w:p w14:paraId="7637B7F6">
      <w:pPr>
        <w:spacing w:line="240" w:lineRule="auto"/>
        <w:ind w:firstLine="0" w:firstLineChars="0"/>
        <w:rPr>
          <w:rFonts w:cs="Times New Roman"/>
          <w:b/>
          <w:bCs/>
          <w:kern w:val="0"/>
          <w:szCs w:val="20"/>
          <w:lang w:val="zh-CN"/>
        </w:rPr>
      </w:pPr>
      <w:bookmarkStart w:id="22" w:name="_Toc160064897"/>
      <w:r>
        <w:rPr>
          <w:rFonts w:hint="eastAsia" w:cs="Times New Roman"/>
          <w:b/>
          <w:bCs/>
        </w:rPr>
        <w:br w:type="page"/>
      </w:r>
    </w:p>
    <w:p w14:paraId="5E411DB8">
      <w:pPr>
        <w:pStyle w:val="139"/>
        <w:ind w:firstLine="0" w:firstLineChars="0"/>
        <w:outlineLvl w:val="0"/>
        <w:rPr>
          <w:color w:val="auto"/>
        </w:rPr>
      </w:pPr>
      <w:bookmarkStart w:id="23" w:name="_Toc177551275"/>
      <w:bookmarkStart w:id="24" w:name="_Toc178570265"/>
      <w:bookmarkStart w:id="25" w:name="_Toc161181948"/>
      <w:bookmarkStart w:id="26" w:name="_Toc177849437"/>
      <w:bookmarkStart w:id="27" w:name="_Toc182171793"/>
      <w:r>
        <w:rPr>
          <w:rFonts w:hint="eastAsia" w:cs="Times New Roman"/>
          <w:b/>
          <w:bCs/>
          <w:color w:val="auto"/>
        </w:rPr>
        <w:t>图件</w:t>
      </w:r>
      <w:bookmarkEnd w:id="22"/>
      <w:bookmarkEnd w:id="23"/>
      <w:bookmarkEnd w:id="24"/>
      <w:bookmarkEnd w:id="25"/>
      <w:bookmarkEnd w:id="26"/>
      <w:r>
        <w:rPr>
          <w:rFonts w:hint="eastAsia" w:cs="Times New Roman"/>
          <w:b/>
          <w:bCs/>
          <w:color w:val="auto"/>
        </w:rPr>
        <w:t>：</w:t>
      </w:r>
      <w:r>
        <w:rPr>
          <w:rFonts w:hint="eastAsia"/>
          <w:color w:val="auto"/>
        </w:rPr>
        <w:t>图1.5-1 本项目与江苏省生态空间管控区位置关系图</w:t>
      </w:r>
      <w:bookmarkEnd w:id="27"/>
    </w:p>
    <w:p w14:paraId="031E1395">
      <w:pPr>
        <w:pStyle w:val="139"/>
        <w:ind w:firstLine="480"/>
        <w:rPr>
          <w:color w:val="auto"/>
        </w:rPr>
      </w:pPr>
      <w:r>
        <w:rPr>
          <w:rFonts w:hint="eastAsia"/>
          <w:color w:val="auto"/>
        </w:rPr>
        <w:t>图1.5-2 本项目与国家级生态保护红线位置关系图</w:t>
      </w:r>
    </w:p>
    <w:p w14:paraId="33E1F8A5">
      <w:pPr>
        <w:pStyle w:val="139"/>
        <w:ind w:firstLine="480"/>
        <w:rPr>
          <w:color w:val="auto"/>
        </w:rPr>
      </w:pPr>
      <w:r>
        <w:rPr>
          <w:rFonts w:hint="eastAsia"/>
          <w:color w:val="auto"/>
        </w:rPr>
        <w:t>图1.5-3 江苏省生态环境管控单元图（陆域）（2023年动态更新成果）</w:t>
      </w:r>
    </w:p>
    <w:p w14:paraId="7F0CB0A6">
      <w:pPr>
        <w:pStyle w:val="139"/>
        <w:ind w:firstLine="480"/>
        <w:rPr>
          <w:color w:val="auto"/>
        </w:rPr>
      </w:pPr>
      <w:r>
        <w:rPr>
          <w:rFonts w:hint="eastAsia"/>
          <w:color w:val="auto"/>
        </w:rPr>
        <w:t>图1.5-4 淮安市生态环境管控单元图（2023年动态更新成果）</w:t>
      </w:r>
    </w:p>
    <w:p w14:paraId="24E1D7ED">
      <w:pPr>
        <w:pStyle w:val="139"/>
        <w:ind w:firstLine="480"/>
        <w:rPr>
          <w:color w:val="auto"/>
        </w:rPr>
      </w:pPr>
      <w:r>
        <w:rPr>
          <w:rFonts w:hint="eastAsia"/>
          <w:color w:val="auto"/>
        </w:rPr>
        <w:t>图1.5-5 涟水县国土空间总体规划中心城区土地使用规划图</w:t>
      </w:r>
    </w:p>
    <w:p w14:paraId="07257040">
      <w:pPr>
        <w:pStyle w:val="139"/>
        <w:ind w:firstLine="480"/>
        <w:rPr>
          <w:color w:val="auto"/>
        </w:rPr>
      </w:pPr>
      <w:r>
        <w:rPr>
          <w:rFonts w:hint="eastAsia"/>
          <w:color w:val="auto"/>
        </w:rPr>
        <w:t>图1.5-6 本项目用地范围与用地预审范围关系情况图</w:t>
      </w:r>
    </w:p>
    <w:p w14:paraId="424FEFDC">
      <w:pPr>
        <w:pStyle w:val="139"/>
        <w:ind w:firstLine="480"/>
        <w:rPr>
          <w:color w:val="auto"/>
        </w:rPr>
      </w:pPr>
      <w:r>
        <w:rPr>
          <w:rFonts w:hint="eastAsia"/>
          <w:color w:val="auto"/>
        </w:rPr>
        <w:t>图1.5-7 涟水县（朱码街道）三区三线成果图</w:t>
      </w:r>
    </w:p>
    <w:p w14:paraId="0FB1B5FF">
      <w:pPr>
        <w:pStyle w:val="139"/>
        <w:ind w:firstLine="480"/>
        <w:rPr>
          <w:color w:val="auto"/>
        </w:rPr>
      </w:pPr>
      <w:r>
        <w:rPr>
          <w:rFonts w:hint="eastAsia"/>
          <w:color w:val="auto"/>
        </w:rPr>
        <w:t>图1.5-8 淮安港总体布局图</w:t>
      </w:r>
    </w:p>
    <w:p w14:paraId="2F9FC0C5">
      <w:pPr>
        <w:pStyle w:val="139"/>
        <w:ind w:firstLine="480"/>
        <w:rPr>
          <w:color w:val="auto"/>
        </w:rPr>
      </w:pPr>
      <w:r>
        <w:rPr>
          <w:rFonts w:hint="eastAsia"/>
          <w:color w:val="auto"/>
        </w:rPr>
        <w:t>图1.5-9 淮安港港口岸线利用规划图</w:t>
      </w:r>
    </w:p>
    <w:p w14:paraId="1EB303D6">
      <w:pPr>
        <w:pStyle w:val="139"/>
        <w:ind w:firstLine="480"/>
        <w:rPr>
          <w:color w:val="auto"/>
        </w:rPr>
      </w:pPr>
      <w:r>
        <w:rPr>
          <w:rFonts w:hint="eastAsia"/>
          <w:color w:val="auto"/>
        </w:rPr>
        <w:t>图1.5-10 薛行作业区岸线利用规划范围示意图</w:t>
      </w:r>
    </w:p>
    <w:p w14:paraId="54A6DA0B">
      <w:pPr>
        <w:pStyle w:val="139"/>
        <w:ind w:firstLine="480"/>
        <w:rPr>
          <w:color w:val="auto"/>
        </w:rPr>
      </w:pPr>
      <w:r>
        <w:rPr>
          <w:rFonts w:hint="eastAsia"/>
          <w:color w:val="auto"/>
        </w:rPr>
        <w:t>图2.6-1 大气环境保护目标图</w:t>
      </w:r>
    </w:p>
    <w:p w14:paraId="2007C5C5">
      <w:pPr>
        <w:pStyle w:val="139"/>
        <w:ind w:firstLine="480"/>
        <w:rPr>
          <w:color w:val="auto"/>
        </w:rPr>
      </w:pPr>
      <w:r>
        <w:rPr>
          <w:rFonts w:hint="eastAsia"/>
          <w:color w:val="auto"/>
        </w:rPr>
        <w:t>图3.1-1 热电项目工艺流程图</w:t>
      </w:r>
    </w:p>
    <w:p w14:paraId="37E6F5C5">
      <w:pPr>
        <w:pStyle w:val="139"/>
        <w:ind w:firstLine="480"/>
        <w:rPr>
          <w:color w:val="auto"/>
        </w:rPr>
      </w:pPr>
      <w:r>
        <w:rPr>
          <w:rFonts w:hint="eastAsia"/>
          <w:color w:val="auto"/>
        </w:rPr>
        <w:t xml:space="preserve">图3.1-2 现有项目水量平衡图 </w:t>
      </w:r>
    </w:p>
    <w:p w14:paraId="653ACE03">
      <w:pPr>
        <w:pStyle w:val="139"/>
        <w:ind w:firstLine="480"/>
        <w:rPr>
          <w:color w:val="auto"/>
        </w:rPr>
      </w:pPr>
      <w:r>
        <w:rPr>
          <w:rFonts w:hint="eastAsia"/>
          <w:color w:val="auto"/>
        </w:rPr>
        <w:t>图3.2-1 项目地理位置图</w:t>
      </w:r>
    </w:p>
    <w:p w14:paraId="1BFE32D1">
      <w:pPr>
        <w:pStyle w:val="139"/>
        <w:ind w:firstLine="480"/>
        <w:rPr>
          <w:color w:val="auto"/>
        </w:rPr>
      </w:pPr>
      <w:r>
        <w:rPr>
          <w:rFonts w:hint="eastAsia"/>
          <w:color w:val="auto"/>
        </w:rPr>
        <w:t>图3.2-2 厂区周边环境现状图</w:t>
      </w:r>
    </w:p>
    <w:p w14:paraId="01F03AB8">
      <w:pPr>
        <w:pStyle w:val="139"/>
        <w:ind w:firstLine="480"/>
        <w:rPr>
          <w:color w:val="auto"/>
        </w:rPr>
      </w:pPr>
      <w:r>
        <w:rPr>
          <w:rFonts w:hint="eastAsia"/>
          <w:color w:val="auto"/>
        </w:rPr>
        <w:t>图3.2-3 本项目依托工程布置情况图</w:t>
      </w:r>
    </w:p>
    <w:p w14:paraId="7809608F">
      <w:pPr>
        <w:pStyle w:val="139"/>
        <w:ind w:firstLine="480"/>
        <w:rPr>
          <w:color w:val="auto"/>
        </w:rPr>
      </w:pPr>
      <w:r>
        <w:rPr>
          <w:rFonts w:hint="eastAsia"/>
          <w:color w:val="auto"/>
        </w:rPr>
        <w:t>图3.2-4 本项目依托雨水和消防水系统布置图</w:t>
      </w:r>
    </w:p>
    <w:p w14:paraId="1ACA453D">
      <w:pPr>
        <w:pStyle w:val="139"/>
        <w:ind w:firstLine="480"/>
        <w:rPr>
          <w:color w:val="auto"/>
        </w:rPr>
      </w:pPr>
      <w:r>
        <w:rPr>
          <w:rFonts w:hint="eastAsia"/>
          <w:color w:val="auto"/>
        </w:rPr>
        <w:t>图3.2-5 本项目依托的生活污水和含煤废水系统布置图</w:t>
      </w:r>
    </w:p>
    <w:p w14:paraId="5CCF064E">
      <w:pPr>
        <w:pStyle w:val="139"/>
        <w:ind w:firstLine="480"/>
        <w:rPr>
          <w:color w:val="auto"/>
        </w:rPr>
      </w:pPr>
      <w:r>
        <w:rPr>
          <w:rFonts w:hint="eastAsia"/>
          <w:color w:val="auto"/>
        </w:rPr>
        <w:t>图3.2-6 码头总平面布置图</w:t>
      </w:r>
    </w:p>
    <w:p w14:paraId="0D31D3AD">
      <w:pPr>
        <w:pStyle w:val="139"/>
        <w:ind w:firstLine="480"/>
        <w:rPr>
          <w:color w:val="auto"/>
        </w:rPr>
      </w:pPr>
      <w:r>
        <w:rPr>
          <w:rFonts w:hint="eastAsia"/>
          <w:color w:val="auto"/>
        </w:rPr>
        <w:t>图3.2-7 项目土地利用现状图</w:t>
      </w:r>
    </w:p>
    <w:p w14:paraId="4B92588E">
      <w:pPr>
        <w:pStyle w:val="139"/>
        <w:ind w:firstLine="480"/>
        <w:rPr>
          <w:color w:val="auto"/>
        </w:rPr>
      </w:pPr>
      <w:r>
        <w:rPr>
          <w:rFonts w:hint="eastAsia"/>
          <w:color w:val="auto"/>
        </w:rPr>
        <w:t>图3.2-8 本项目雨污水管网布置图</w:t>
      </w:r>
    </w:p>
    <w:p w14:paraId="485C2F14">
      <w:pPr>
        <w:pStyle w:val="139"/>
        <w:ind w:firstLine="480"/>
        <w:rPr>
          <w:color w:val="auto"/>
          <w:lang w:val="en-US"/>
        </w:rPr>
      </w:pPr>
      <w:r>
        <w:rPr>
          <w:rFonts w:hint="eastAsia"/>
          <w:color w:val="auto"/>
          <w:lang w:val="en-US"/>
        </w:rPr>
        <w:t>图3.2-9 本项目水量平衡图</w:t>
      </w:r>
    </w:p>
    <w:p w14:paraId="6C0AD89D">
      <w:pPr>
        <w:pStyle w:val="139"/>
        <w:ind w:firstLine="480"/>
        <w:rPr>
          <w:color w:val="auto"/>
          <w:lang w:val="en-US"/>
        </w:rPr>
      </w:pPr>
      <w:r>
        <w:rPr>
          <w:rFonts w:hint="eastAsia"/>
          <w:color w:val="auto"/>
          <w:lang w:val="en-US"/>
        </w:rPr>
        <w:t>图3.2-10 项目建成后全厂水量平衡图</w:t>
      </w:r>
    </w:p>
    <w:p w14:paraId="1386F6E6">
      <w:pPr>
        <w:pStyle w:val="139"/>
        <w:ind w:firstLine="480"/>
        <w:rPr>
          <w:color w:val="auto"/>
        </w:rPr>
      </w:pPr>
      <w:r>
        <w:rPr>
          <w:rFonts w:hint="eastAsia"/>
          <w:color w:val="auto"/>
        </w:rPr>
        <w:t>图3.2-11  临时堆土场临时防护措施典型设计</w:t>
      </w:r>
    </w:p>
    <w:p w14:paraId="39025026">
      <w:pPr>
        <w:pStyle w:val="139"/>
        <w:ind w:firstLine="480"/>
        <w:rPr>
          <w:color w:val="auto"/>
        </w:rPr>
      </w:pPr>
      <w:r>
        <w:rPr>
          <w:rFonts w:hint="eastAsia"/>
          <w:color w:val="auto"/>
        </w:rPr>
        <w:t>图3.2-12 表土堆土场临时措施布置图</w:t>
      </w:r>
    </w:p>
    <w:p w14:paraId="3BBA86DC">
      <w:pPr>
        <w:pStyle w:val="139"/>
        <w:ind w:firstLine="480"/>
        <w:rPr>
          <w:color w:val="auto"/>
        </w:rPr>
      </w:pPr>
      <w:r>
        <w:rPr>
          <w:rFonts w:hint="eastAsia"/>
          <w:color w:val="auto"/>
        </w:rPr>
        <w:t>图3.4-1 码头疏浚范围及疏浚深度图</w:t>
      </w:r>
    </w:p>
    <w:p w14:paraId="7DD46D53">
      <w:pPr>
        <w:pStyle w:val="139"/>
        <w:ind w:firstLine="480"/>
        <w:rPr>
          <w:color w:val="auto"/>
        </w:rPr>
      </w:pPr>
      <w:r>
        <w:rPr>
          <w:rFonts w:hint="eastAsia"/>
          <w:color w:val="auto"/>
        </w:rPr>
        <w:t>图4.1-1 本项目周边水系图</w:t>
      </w:r>
    </w:p>
    <w:p w14:paraId="59730D53">
      <w:pPr>
        <w:pStyle w:val="139"/>
        <w:ind w:firstLine="480"/>
        <w:rPr>
          <w:color w:val="auto"/>
        </w:rPr>
      </w:pPr>
      <w:r>
        <w:rPr>
          <w:rFonts w:hint="eastAsia"/>
          <w:color w:val="auto"/>
        </w:rPr>
        <w:t>图4.1-2 本项目及周边1000m范围土地利用类型图</w:t>
      </w:r>
    </w:p>
    <w:p w14:paraId="2DD312E1">
      <w:pPr>
        <w:pStyle w:val="139"/>
        <w:ind w:firstLine="480"/>
        <w:rPr>
          <w:color w:val="auto"/>
        </w:rPr>
      </w:pPr>
      <w:r>
        <w:rPr>
          <w:rFonts w:hint="eastAsia"/>
          <w:color w:val="auto"/>
        </w:rPr>
        <w:t>图4.3-1 大气、地表水及噪声环境质量监测点位布置图</w:t>
      </w:r>
    </w:p>
    <w:p w14:paraId="041C3B99">
      <w:pPr>
        <w:pStyle w:val="139"/>
        <w:ind w:firstLine="480"/>
        <w:rPr>
          <w:rFonts w:cs="Times New Roman"/>
          <w:color w:val="auto"/>
          <w:sz w:val="18"/>
          <w:szCs w:val="18"/>
        </w:rPr>
      </w:pPr>
      <w:r>
        <w:rPr>
          <w:rFonts w:hint="eastAsia"/>
          <w:color w:val="auto"/>
        </w:rPr>
        <w:t>图5.3-2</w:t>
      </w:r>
      <w:r>
        <w:rPr>
          <w:rFonts w:hint="eastAsia"/>
          <w:color w:val="auto"/>
          <w:lang w:eastAsia="zh-CN"/>
        </w:rPr>
        <w:t>～</w:t>
      </w:r>
      <w:r>
        <w:rPr>
          <w:rFonts w:hint="eastAsia"/>
          <w:color w:val="auto"/>
        </w:rPr>
        <w:t>图5.3-7 环境风险预测结果图</w:t>
      </w:r>
      <w:r>
        <w:rPr>
          <w:rFonts w:hint="eastAsia" w:cs="Times New Roman"/>
          <w:color w:val="auto"/>
          <w:sz w:val="18"/>
          <w:szCs w:val="18"/>
        </w:rPr>
        <w:tab/>
      </w:r>
    </w:p>
    <w:p w14:paraId="318DD8A1">
      <w:pPr>
        <w:pStyle w:val="139"/>
        <w:ind w:firstLine="360"/>
        <w:rPr>
          <w:rFonts w:cs="Times New Roman"/>
          <w:color w:val="auto"/>
          <w:sz w:val="18"/>
          <w:szCs w:val="18"/>
        </w:rPr>
        <w:sectPr>
          <w:headerReference r:id="rId11" w:type="default"/>
          <w:footerReference r:id="rId12" w:type="default"/>
          <w:pgSz w:w="11906" w:h="16838"/>
          <w:pgMar w:top="1440" w:right="1800" w:bottom="1440" w:left="1800" w:header="992" w:footer="992" w:gutter="0"/>
          <w:pgNumType w:fmt="lowerRoman" w:start="1"/>
          <w:cols w:space="425" w:num="1"/>
          <w:docGrid w:linePitch="312" w:charSpace="0"/>
        </w:sectPr>
      </w:pPr>
    </w:p>
    <w:p w14:paraId="302F258D">
      <w:pPr>
        <w:pStyle w:val="76"/>
      </w:pPr>
      <w:bookmarkStart w:id="28" w:name="_Toc182171794"/>
      <w:r>
        <w:rPr>
          <w:rFonts w:hint="eastAsia"/>
        </w:rPr>
        <w:t>概述</w:t>
      </w:r>
      <w:bookmarkEnd w:id="28"/>
    </w:p>
    <w:p w14:paraId="1BC04C4B">
      <w:pPr>
        <w:pStyle w:val="80"/>
        <w:rPr>
          <w:rFonts w:cs="Times New Roman"/>
        </w:rPr>
      </w:pPr>
      <w:bookmarkStart w:id="29" w:name="_Ref61536919"/>
      <w:bookmarkStart w:id="30" w:name="_Toc182171795"/>
      <w:bookmarkStart w:id="31" w:name="_Hlk43827836"/>
      <w:r>
        <w:rPr>
          <w:rFonts w:hint="eastAsia" w:cs="Times New Roman"/>
        </w:rPr>
        <w:t>项目背景</w:t>
      </w:r>
      <w:bookmarkEnd w:id="29"/>
      <w:bookmarkEnd w:id="30"/>
    </w:p>
    <w:p w14:paraId="3B3BAA52">
      <w:pPr>
        <w:pStyle w:val="93"/>
        <w:rPr>
          <w:rFonts w:cs="Times New Roman"/>
          <w:lang w:val="en-US"/>
        </w:rPr>
      </w:pPr>
      <w:r>
        <w:rPr>
          <w:rFonts w:hint="eastAsia" w:cs="Times New Roman"/>
          <w:lang w:val="en-US"/>
        </w:rPr>
        <w:t>涟水县位于自古以来就有“南船北马、九省通衢之地”美称的淮安市的东北部，地理位置优越，具有畅达的立体交通优势。涟水是全国唯一拥有“空铁水公”综合交通体系的县级城市，贯穿全境的盐河黄金水道通江达海。</w:t>
      </w:r>
    </w:p>
    <w:p w14:paraId="7B01D3CB">
      <w:pPr>
        <w:pStyle w:val="93"/>
        <w:rPr>
          <w:rFonts w:cs="Times New Roman"/>
          <w:lang w:val="en-US"/>
        </w:rPr>
      </w:pPr>
      <w:bookmarkStart w:id="32" w:name="OLE_LINK7"/>
      <w:r>
        <w:rPr>
          <w:rFonts w:hint="eastAsia" w:cs="Times New Roman"/>
          <w:lang w:val="en-US"/>
        </w:rPr>
        <w:t>涟水县水运优势明显、基础良好，境内的盐河是江苏干线航道网中的三级航道，目前已经达到三级标准，按照新的《江苏省干线航道网规划（2023—2035年）》，盐河航道等级规划调整为二级（2031—2035年）。</w:t>
      </w:r>
      <w:bookmarkEnd w:id="32"/>
      <w:r>
        <w:rPr>
          <w:rFonts w:hint="eastAsia" w:cs="Times New Roman"/>
          <w:lang w:val="en-US"/>
        </w:rPr>
        <w:t>涟水县“借港出海</w:t>
      </w:r>
      <w:r>
        <w:rPr>
          <w:rFonts w:hint="eastAsia" w:cs="Times New Roman"/>
          <w:lang w:val="en-US" w:eastAsia="zh-CN"/>
        </w:rPr>
        <w:t>”“</w:t>
      </w:r>
      <w:r>
        <w:rPr>
          <w:rFonts w:hint="eastAsia" w:cs="Times New Roman"/>
          <w:lang w:val="en-US"/>
        </w:rPr>
        <w:t>海港内移”的发展思路明确，与连云港等初步建立了良好的合作关系</w:t>
      </w:r>
      <w:r>
        <w:rPr>
          <w:rFonts w:hint="eastAsia" w:cs="Times New Roman"/>
          <w:lang w:val="en-US" w:eastAsia="zh-CN"/>
        </w:rPr>
        <w:t>，以</w:t>
      </w:r>
      <w:r>
        <w:rPr>
          <w:rFonts w:hint="eastAsia" w:cs="Times New Roman"/>
          <w:lang w:val="en-US"/>
        </w:rPr>
        <w:t>低成本、高效率、立体化的优势，让涟水成为重要的物流基地。根据</w:t>
      </w:r>
      <w:bookmarkStart w:id="33" w:name="OLE_LINK8"/>
      <w:r>
        <w:rPr>
          <w:rFonts w:hint="eastAsia" w:cs="Times New Roman"/>
          <w:lang w:val="en-US"/>
        </w:rPr>
        <w:t>《淮安港总体规划（2020</w:t>
      </w:r>
      <w:r>
        <w:rPr>
          <w:rFonts w:hint="eastAsia" w:cs="Times New Roman"/>
          <w:lang w:val="en-US" w:eastAsia="zh-CN"/>
        </w:rPr>
        <w:t>—</w:t>
      </w:r>
      <w:r>
        <w:rPr>
          <w:rFonts w:hint="eastAsia" w:cs="Times New Roman"/>
          <w:lang w:val="en-US"/>
        </w:rPr>
        <w:t>2035年）》，</w:t>
      </w:r>
      <w:bookmarkStart w:id="34" w:name="OLE_LINK3"/>
      <w:r>
        <w:rPr>
          <w:rFonts w:hint="eastAsia" w:cs="Times New Roman"/>
          <w:lang w:val="en-US"/>
        </w:rPr>
        <w:t>涟水港区薛行作业区</w:t>
      </w:r>
      <w:bookmarkEnd w:id="34"/>
      <w:r>
        <w:rPr>
          <w:rFonts w:hint="eastAsia" w:cs="Times New Roman"/>
          <w:lang w:val="en-US"/>
        </w:rPr>
        <w:t>主要服务于薛行工业园区内的企业</w:t>
      </w:r>
      <w:bookmarkEnd w:id="33"/>
      <w:r>
        <w:rPr>
          <w:rFonts w:hint="eastAsia" w:cs="Times New Roman"/>
          <w:lang w:val="en-US"/>
        </w:rPr>
        <w:t>。作业区定位以装卸、仓储和物流服务功能为主，并服务临港工业发展，</w:t>
      </w:r>
      <w:bookmarkStart w:id="35" w:name="OLE_LINK12"/>
      <w:r>
        <w:rPr>
          <w:rFonts w:hint="eastAsia" w:cs="Times New Roman"/>
          <w:lang w:val="en-US"/>
        </w:rPr>
        <w:t>主要承担矿建材料、企业原材料和产成品等物资运输。</w:t>
      </w:r>
      <w:bookmarkEnd w:id="35"/>
    </w:p>
    <w:p w14:paraId="102701F1">
      <w:pPr>
        <w:pStyle w:val="93"/>
        <w:rPr>
          <w:rFonts w:cs="Times New Roman"/>
          <w:lang w:val="en-US"/>
        </w:rPr>
      </w:pPr>
      <w:r>
        <w:rPr>
          <w:rFonts w:hint="eastAsia" w:cs="Times New Roman"/>
          <w:lang w:val="en-US"/>
        </w:rPr>
        <w:t>随着涟水县经济的不断发展，供热需求也日益增加。但是目前的企业主要依靠分散小锅炉供热，带来环境污染和能源浪费的同时也影响了城市的景观和整体形象。</w:t>
      </w:r>
      <w:bookmarkStart w:id="36" w:name="OLE_LINK13"/>
      <w:r>
        <w:rPr>
          <w:rFonts w:hint="eastAsia" w:cs="Times New Roman"/>
          <w:lang w:val="en-US"/>
        </w:rPr>
        <w:t>国家能源集团江苏电力有限公司拟在江苏省涟水县朱码街道高台村建设国能涟水绿色智慧综合能源示范项目一期工程（简称：国能涟水一期热电联产项目）</w:t>
      </w:r>
      <w:bookmarkEnd w:id="36"/>
      <w:r>
        <w:rPr>
          <w:rFonts w:hint="eastAsia" w:cs="Times New Roman"/>
          <w:lang w:val="en-US"/>
        </w:rPr>
        <w:t>，该项目拟建设3×165t/h高温超高压循环流化床锅炉＋2×20MW抽背汽轮发电机组及相关公辅设施，预留扩建条件。项目环境影响评价已于2022年7月1日获得</w:t>
      </w:r>
      <w:bookmarkStart w:id="37" w:name="OLE_LINK14"/>
      <w:r>
        <w:rPr>
          <w:rFonts w:hint="eastAsia" w:cs="Times New Roman"/>
          <w:lang w:val="en-US"/>
        </w:rPr>
        <w:t>江苏省生态环境厅“苏环审〔2022〕4号”文的批复，目前该项目尚未开工。</w:t>
      </w:r>
      <w:bookmarkEnd w:id="37"/>
    </w:p>
    <w:p w14:paraId="4382434E">
      <w:pPr>
        <w:pStyle w:val="93"/>
        <w:rPr>
          <w:rFonts w:cs="Times New Roman"/>
          <w:lang w:val="en-US"/>
        </w:rPr>
      </w:pPr>
      <w:r>
        <w:rPr>
          <w:rFonts w:hint="eastAsia" w:cs="Times New Roman"/>
          <w:lang w:val="en-US"/>
        </w:rPr>
        <w:t>为了满足燃煤等进出及环保要求的同时也为了降低运输成本，国家能源集团江苏电力有限公司拟在规划厂区南侧，淮安市涟水县朱码闸下游约4.3km处盐河航道左岸，建设淮安港涟水港区薛行作业区国能涟水一期热电联产项目配套码头工程。</w:t>
      </w:r>
    </w:p>
    <w:p w14:paraId="775CEF7C">
      <w:pPr>
        <w:pStyle w:val="93"/>
        <w:rPr>
          <w:rFonts w:cs="Times New Roman"/>
          <w:lang w:val="en-US"/>
        </w:rPr>
      </w:pPr>
      <w:r>
        <w:rPr>
          <w:rFonts w:hint="eastAsia" w:cs="Times New Roman"/>
          <w:lang w:val="en-US"/>
        </w:rPr>
        <w:t>本次“淮安港涟水港区薛行作业区国能涟水一期热电联产项目配套码头工程”为国能涟水一期热电联产项目配套的码头新建项目，</w:t>
      </w:r>
      <w:r>
        <w:rPr>
          <w:rStyle w:val="140"/>
          <w:rFonts w:hint="eastAsia"/>
          <w:color w:val="auto"/>
          <w:lang w:val="en-US"/>
        </w:rPr>
        <w:t>本码头使用岸线性质为企业岸线，仅服务于后方热电联产项目</w:t>
      </w:r>
      <w:r>
        <w:rPr>
          <w:rStyle w:val="140"/>
          <w:rFonts w:hint="eastAsia"/>
          <w:color w:val="auto"/>
        </w:rPr>
        <w:t>。</w:t>
      </w:r>
      <w:r>
        <w:rPr>
          <w:rFonts w:hint="eastAsia" w:cs="Times New Roman"/>
          <w:lang w:val="en-US"/>
        </w:rPr>
        <w:t>本项目进行了建设项目备案信息登记（见附件2），项目代码为：2212-320000-04-01-268177。</w:t>
      </w:r>
    </w:p>
    <w:p w14:paraId="1B0FFF19">
      <w:pPr>
        <w:pStyle w:val="139"/>
        <w:ind w:firstLine="480"/>
        <w:rPr>
          <w:color w:val="auto"/>
        </w:rPr>
      </w:pPr>
      <w:r>
        <w:rPr>
          <w:rFonts w:hint="eastAsia"/>
          <w:color w:val="auto"/>
        </w:rPr>
        <w:t>现有热电项目环评中“设3个1000吨级散货泊位，分别为煤炭卸船泊位、煤炭清仓泊位和灰运出泊位，泊位长度为230m，设计通过能力为153万吨。”为了减少对盐河的生态环境影响，集约岸线资源利用，节约码头建设成本，建设单位决定对本码头向下游调整位置。2022年11月24日，建设单位向江苏省</w:t>
      </w:r>
      <w:r>
        <w:rPr>
          <w:rFonts w:hint="eastAsia"/>
          <w:color w:val="auto"/>
          <w:lang w:eastAsia="zh-CN"/>
        </w:rPr>
        <w:t>发展改革委</w:t>
      </w:r>
      <w:r>
        <w:rPr>
          <w:rFonts w:hint="eastAsia"/>
          <w:color w:val="auto"/>
        </w:rPr>
        <w:t>提交了《国能涟水一期热电联产配套码头工程登记信息表变更的申请》（见附件11），对原登记信息表内的部分信息进行变更，变更后的码头方案为“拟布置2个1000吨级散货泊位，1个1000吨级待泊泊位，泊位总长220m，设计通过能力为118万吨”。</w:t>
      </w:r>
      <w:r>
        <w:rPr>
          <w:rFonts w:hint="eastAsia"/>
          <w:color w:val="auto"/>
          <w:lang w:val="en-US"/>
        </w:rPr>
        <w:t>于2023年3月完成调整后的码头位置及方案布置，</w:t>
      </w:r>
      <w:r>
        <w:rPr>
          <w:rFonts w:hint="eastAsia"/>
          <w:color w:val="auto"/>
        </w:rPr>
        <w:t>并对本项目布置进行了优化。</w:t>
      </w:r>
    </w:p>
    <w:p w14:paraId="435C5452">
      <w:pPr>
        <w:pStyle w:val="93"/>
        <w:rPr>
          <w:rFonts w:cs="Times New Roman"/>
          <w:lang w:val="en-US"/>
        </w:rPr>
      </w:pPr>
      <w:r>
        <w:rPr>
          <w:rFonts w:hint="eastAsia" w:cs="Times New Roman"/>
          <w:lang w:val="en-US"/>
        </w:rPr>
        <w:t>根据《中华人民共和国环境保护法》《中华人民共和国环境影响评价法》《建设项目环境保护管理条例》中的有关规定，建设项目需进行环境影响评价。根据《建设项目环境影响评价分类管理名录》（2021年版），本项目属于“五十二、交通运输业、管道运输业 139干散货（含煤炭、矿石）、杂件、多用途、通用码头 单个泊位1000吨级及以上的内河港口类别”，需编制环境影响报告书。国家能源集团江苏电力有限公司委托南京普环电力科技有限公司对本项目进行环境影响评价。通过对项目所在地现场勘查，收集相关资料，对有关数据进行分析，依照《环境影响评价技术导则》及其他技术规范，编制完成了该项目的环境影响报告书，以供主管部门审查。</w:t>
      </w:r>
    </w:p>
    <w:bookmarkEnd w:id="31"/>
    <w:p w14:paraId="481B9366">
      <w:pPr>
        <w:pStyle w:val="80"/>
        <w:rPr>
          <w:rFonts w:cs="Times New Roman"/>
        </w:rPr>
      </w:pPr>
      <w:bookmarkStart w:id="38" w:name="_Ref61536934"/>
      <w:bookmarkStart w:id="39" w:name="_Toc182171796"/>
      <w:r>
        <w:rPr>
          <w:rFonts w:hint="eastAsia" w:cs="Times New Roman"/>
        </w:rPr>
        <w:t>项目</w:t>
      </w:r>
      <w:bookmarkEnd w:id="38"/>
      <w:r>
        <w:rPr>
          <w:rFonts w:hint="eastAsia" w:cs="Times New Roman"/>
        </w:rPr>
        <w:t>特点</w:t>
      </w:r>
      <w:bookmarkEnd w:id="39"/>
    </w:p>
    <w:p w14:paraId="64F28014">
      <w:pPr>
        <w:adjustRightInd w:val="0"/>
        <w:snapToGrid w:val="0"/>
        <w:ind w:firstLine="480"/>
        <w:rPr>
          <w:szCs w:val="24"/>
        </w:rPr>
      </w:pPr>
      <w:bookmarkStart w:id="40" w:name="_Toc15556207"/>
      <w:r>
        <w:rPr>
          <w:rFonts w:hint="eastAsia" w:ascii="宋体" w:hAnsi="宋体"/>
          <w:szCs w:val="24"/>
        </w:rPr>
        <w:t>本项目主要的特点有：</w:t>
      </w:r>
    </w:p>
    <w:p w14:paraId="462858CE">
      <w:pPr>
        <w:widowControl w:val="0"/>
        <w:numPr>
          <w:ilvl w:val="0"/>
          <w:numId w:val="5"/>
        </w:numPr>
        <w:adjustRightInd w:val="0"/>
        <w:snapToGrid w:val="0"/>
        <w:ind w:firstLine="480"/>
        <w:jc w:val="both"/>
        <w:rPr>
          <w:szCs w:val="24"/>
        </w:rPr>
      </w:pPr>
      <w:r>
        <w:rPr>
          <w:rFonts w:hint="eastAsia" w:ascii="宋体" w:hAnsi="宋体"/>
          <w:szCs w:val="24"/>
        </w:rPr>
        <w:t>本项目为</w:t>
      </w:r>
      <w:r>
        <w:rPr>
          <w:rStyle w:val="140"/>
          <w:rFonts w:hint="eastAsia"/>
          <w:color w:val="auto"/>
        </w:rPr>
        <w:t>新建码头项目</w:t>
      </w:r>
      <w:r>
        <w:rPr>
          <w:rFonts w:hint="eastAsia" w:ascii="宋体" w:hAnsi="宋体"/>
          <w:szCs w:val="24"/>
        </w:rPr>
        <w:t>，装卸货种为煤炭，不涉及危化品；拟建设</w:t>
      </w:r>
      <w:r>
        <w:rPr>
          <w:rFonts w:hint="eastAsia"/>
          <w:szCs w:val="24"/>
        </w:rPr>
        <w:t>2</w:t>
      </w:r>
      <w:r>
        <w:rPr>
          <w:rFonts w:hint="eastAsia" w:ascii="宋体" w:hAnsi="宋体"/>
          <w:szCs w:val="24"/>
        </w:rPr>
        <w:t>个</w:t>
      </w:r>
      <w:r>
        <w:rPr>
          <w:rFonts w:hint="eastAsia"/>
          <w:szCs w:val="24"/>
        </w:rPr>
        <w:t>1000</w:t>
      </w:r>
      <w:r>
        <w:rPr>
          <w:rFonts w:hint="eastAsia" w:ascii="宋体" w:hAnsi="宋体"/>
          <w:szCs w:val="24"/>
        </w:rPr>
        <w:t>吨级煤炭卸船泊位，</w:t>
      </w:r>
      <w:r>
        <w:rPr>
          <w:rFonts w:hint="eastAsia"/>
          <w:szCs w:val="24"/>
        </w:rPr>
        <w:t>1</w:t>
      </w:r>
      <w:r>
        <w:rPr>
          <w:rFonts w:hint="eastAsia" w:ascii="宋体" w:hAnsi="宋体"/>
          <w:szCs w:val="24"/>
        </w:rPr>
        <w:t>个</w:t>
      </w:r>
      <w:r>
        <w:rPr>
          <w:rFonts w:hint="eastAsia"/>
          <w:szCs w:val="24"/>
        </w:rPr>
        <w:t>1000</w:t>
      </w:r>
      <w:r>
        <w:rPr>
          <w:rFonts w:hint="eastAsia" w:ascii="宋体" w:hAnsi="宋体"/>
          <w:szCs w:val="24"/>
        </w:rPr>
        <w:t>吨级待泊泊位。码头主要货种为煤炭，码头吞吐量</w:t>
      </w:r>
      <w:r>
        <w:rPr>
          <w:rFonts w:hint="eastAsia"/>
          <w:szCs w:val="24"/>
        </w:rPr>
        <w:t>2030</w:t>
      </w:r>
      <w:r>
        <w:rPr>
          <w:rFonts w:hint="eastAsia" w:ascii="宋体" w:hAnsi="宋体"/>
          <w:szCs w:val="24"/>
        </w:rPr>
        <w:t>年将达到</w:t>
      </w:r>
      <w:r>
        <w:rPr>
          <w:rFonts w:hint="eastAsia"/>
          <w:szCs w:val="24"/>
        </w:rPr>
        <w:t>112</w:t>
      </w:r>
      <w:r>
        <w:rPr>
          <w:rFonts w:hint="eastAsia" w:ascii="宋体" w:hAnsi="宋体"/>
          <w:szCs w:val="24"/>
        </w:rPr>
        <w:t>万吨。</w:t>
      </w:r>
    </w:p>
    <w:p w14:paraId="14E3B300">
      <w:pPr>
        <w:widowControl w:val="0"/>
        <w:numPr>
          <w:ilvl w:val="0"/>
          <w:numId w:val="5"/>
        </w:numPr>
        <w:adjustRightInd w:val="0"/>
        <w:snapToGrid w:val="0"/>
        <w:ind w:firstLine="480"/>
        <w:jc w:val="both"/>
        <w:rPr>
          <w:szCs w:val="24"/>
        </w:rPr>
      </w:pPr>
      <w:bookmarkStart w:id="41" w:name="_Hlk181738592"/>
      <w:r>
        <w:rPr>
          <w:rFonts w:hint="eastAsia" w:ascii="宋体" w:hAnsi="宋体"/>
          <w:szCs w:val="24"/>
        </w:rPr>
        <w:t>本项目为码头工程，采用挖入式港池布置，项目选址位于国能涟水一期热电联产项目厂区内</w:t>
      </w:r>
      <w:r>
        <w:rPr>
          <w:rStyle w:val="140"/>
          <w:rFonts w:hint="eastAsia"/>
          <w:color w:val="auto"/>
        </w:rPr>
        <w:t xml:space="preserve">（置换调整后的用地红线内，具体情况见3.2.8 </w:t>
      </w:r>
      <w:r>
        <w:rPr>
          <w:rStyle w:val="140"/>
          <w:color w:val="auto"/>
        </w:rPr>
        <w:t>工程用地情况</w:t>
      </w:r>
      <w:r>
        <w:rPr>
          <w:rStyle w:val="140"/>
          <w:rFonts w:hint="eastAsia"/>
          <w:color w:val="auto"/>
        </w:rPr>
        <w:t>）</w:t>
      </w:r>
      <w:r>
        <w:rPr>
          <w:rFonts w:hint="eastAsia" w:ascii="宋体" w:hAnsi="宋体"/>
          <w:szCs w:val="24"/>
        </w:rPr>
        <w:t>，对照《江苏省国家级生态保护红线规划》（苏政发〔</w:t>
      </w:r>
      <w:r>
        <w:rPr>
          <w:rFonts w:hint="eastAsia"/>
          <w:szCs w:val="24"/>
        </w:rPr>
        <w:t>2018</w:t>
      </w:r>
      <w:r>
        <w:rPr>
          <w:rFonts w:hint="eastAsia" w:ascii="宋体" w:hAnsi="宋体"/>
          <w:szCs w:val="24"/>
        </w:rPr>
        <w:t>〕</w:t>
      </w:r>
      <w:r>
        <w:rPr>
          <w:rFonts w:hint="eastAsia"/>
          <w:szCs w:val="24"/>
        </w:rPr>
        <w:t>74</w:t>
      </w:r>
      <w:r>
        <w:rPr>
          <w:rFonts w:hint="eastAsia" w:ascii="宋体" w:hAnsi="宋体"/>
          <w:szCs w:val="24"/>
        </w:rPr>
        <w:t>号）和《江苏省生态空间管控区域规划》（苏政发〔</w:t>
      </w:r>
      <w:r>
        <w:rPr>
          <w:rFonts w:hint="eastAsia"/>
          <w:szCs w:val="24"/>
        </w:rPr>
        <w:t>2020</w:t>
      </w:r>
      <w:r>
        <w:rPr>
          <w:rFonts w:hint="eastAsia" w:ascii="宋体" w:hAnsi="宋体"/>
          <w:szCs w:val="24"/>
        </w:rPr>
        <w:t>〕</w:t>
      </w:r>
      <w:r>
        <w:rPr>
          <w:rFonts w:hint="eastAsia"/>
          <w:szCs w:val="24"/>
        </w:rPr>
        <w:t>1</w:t>
      </w:r>
      <w:r>
        <w:rPr>
          <w:rFonts w:hint="eastAsia" w:ascii="宋体" w:hAnsi="宋体"/>
          <w:szCs w:val="24"/>
        </w:rPr>
        <w:t>号），本项目评价范围内不涉及江苏省国家级生态保护红线、江苏省生态空间管控区域。对照涟水县（朱码街道）“三区三线”成果图，本项目不占用永久基本农田保护区和生态保护红线，用地预审置换的用地在城镇开发边界范围内，其余部分不在城镇开发边界范围内，目前本项目已取得建设用地许可证，本项目与当地土地利用总体规划无冲突。</w:t>
      </w:r>
    </w:p>
    <w:bookmarkEnd w:id="41"/>
    <w:p w14:paraId="7E56CA82">
      <w:pPr>
        <w:widowControl w:val="0"/>
        <w:numPr>
          <w:ilvl w:val="0"/>
          <w:numId w:val="5"/>
        </w:numPr>
        <w:adjustRightInd w:val="0"/>
        <w:snapToGrid w:val="0"/>
        <w:ind w:firstLine="480"/>
        <w:jc w:val="both"/>
        <w:rPr>
          <w:szCs w:val="24"/>
        </w:rPr>
      </w:pPr>
      <w:r>
        <w:rPr>
          <w:rFonts w:hint="eastAsia" w:ascii="宋体" w:hAnsi="宋体"/>
          <w:szCs w:val="24"/>
        </w:rPr>
        <w:t>本环评对项目选址附近的空气、声环境质量等进行现状评价及影响分析。项目选址环境敏感度较低，结合码头布局以及周围敏感点分布情况，从地理位置上看，本项目选址合理。</w:t>
      </w:r>
    </w:p>
    <w:p w14:paraId="62A3D051">
      <w:pPr>
        <w:pStyle w:val="80"/>
      </w:pPr>
      <w:bookmarkStart w:id="42" w:name="_Toc15556208"/>
      <w:bookmarkStart w:id="43" w:name="_Toc182171797"/>
      <w:r>
        <w:rPr>
          <w:rFonts w:hint="eastAsia"/>
        </w:rPr>
        <w:t>关注的主要环境问题</w:t>
      </w:r>
      <w:bookmarkEnd w:id="42"/>
      <w:r>
        <w:rPr>
          <w:rFonts w:hint="eastAsia"/>
        </w:rPr>
        <w:t>及环境影响</w:t>
      </w:r>
      <w:bookmarkEnd w:id="43"/>
    </w:p>
    <w:p w14:paraId="417B8D44">
      <w:pPr>
        <w:ind w:firstLine="480"/>
        <w:rPr>
          <w:rFonts w:cs="Times New Roman"/>
        </w:rPr>
      </w:pPr>
      <w:r>
        <w:rPr>
          <w:rFonts w:hint="eastAsia" w:cs="Times New Roman"/>
        </w:rPr>
        <w:t>作为煤炭散货码头项目，本次评价主要关注的环境问题是建设项目建设期和运营期间主要污染物的产生、控制和环境风险。本项目关注的主要环境问题是：</w:t>
      </w:r>
    </w:p>
    <w:p w14:paraId="3BE73B60">
      <w:pPr>
        <w:ind w:firstLine="480"/>
        <w:rPr>
          <w:rFonts w:cs="Times New Roman"/>
        </w:rPr>
      </w:pPr>
      <w:r>
        <w:rPr>
          <w:rFonts w:hint="eastAsia" w:cs="Times New Roman"/>
        </w:rPr>
        <w:t>（1）施工期对区域河流水质及水生生态环境的影响；</w:t>
      </w:r>
    </w:p>
    <w:p w14:paraId="30DDAB44">
      <w:pPr>
        <w:ind w:firstLine="480"/>
        <w:rPr>
          <w:rFonts w:cs="Times New Roman"/>
        </w:rPr>
      </w:pPr>
      <w:r>
        <w:rPr>
          <w:rFonts w:hint="eastAsia" w:cs="Times New Roman"/>
        </w:rPr>
        <w:t>（2）施工期弃土、占地对陆生生态环境的影响；</w:t>
      </w:r>
    </w:p>
    <w:p w14:paraId="43001DEE">
      <w:pPr>
        <w:ind w:firstLine="480"/>
        <w:rPr>
          <w:rFonts w:cs="Times New Roman"/>
        </w:rPr>
      </w:pPr>
      <w:r>
        <w:rPr>
          <w:rFonts w:hint="eastAsia" w:cs="Times New Roman"/>
        </w:rPr>
        <w:t>（3）运营期产生的废气、废水、噪声、固废等影响；</w:t>
      </w:r>
    </w:p>
    <w:p w14:paraId="7688FF36">
      <w:pPr>
        <w:ind w:firstLine="480"/>
        <w:rPr>
          <w:rFonts w:cs="Times New Roman"/>
        </w:rPr>
      </w:pPr>
      <w:r>
        <w:rPr>
          <w:rFonts w:hint="eastAsia" w:cs="Times New Roman"/>
        </w:rPr>
        <w:t>（4）运营期装卸货种的环境影响是否能够满足环境功能区划的要求；</w:t>
      </w:r>
    </w:p>
    <w:p w14:paraId="00B3ACF6">
      <w:pPr>
        <w:ind w:firstLine="480"/>
        <w:rPr>
          <w:rFonts w:cs="Times New Roman"/>
        </w:rPr>
      </w:pPr>
      <w:r>
        <w:rPr>
          <w:rFonts w:hint="eastAsia" w:cs="Times New Roman"/>
        </w:rPr>
        <w:t>（5）施工期及运营期拟采取的环保措施是否能确保污染物稳定达标排放；</w:t>
      </w:r>
    </w:p>
    <w:p w14:paraId="07FF140A">
      <w:pPr>
        <w:ind w:firstLine="480"/>
        <w:rPr>
          <w:rFonts w:cs="Times New Roman"/>
        </w:rPr>
      </w:pPr>
      <w:r>
        <w:rPr>
          <w:rFonts w:hint="eastAsia" w:cs="Times New Roman"/>
        </w:rPr>
        <w:t>（6）环境风险是否达到环境可接受。</w:t>
      </w:r>
    </w:p>
    <w:p w14:paraId="5FB07FBA">
      <w:pPr>
        <w:pStyle w:val="80"/>
        <w:rPr>
          <w:rFonts w:cs="Times New Roman"/>
        </w:rPr>
      </w:pPr>
      <w:bookmarkStart w:id="44" w:name="_Toc182171798"/>
      <w:r>
        <w:rPr>
          <w:rFonts w:hint="eastAsia" w:cs="Times New Roman"/>
        </w:rPr>
        <w:t>环境影响评价工作过程</w:t>
      </w:r>
      <w:bookmarkEnd w:id="40"/>
      <w:bookmarkEnd w:id="44"/>
    </w:p>
    <w:p w14:paraId="1120DB7A">
      <w:pPr>
        <w:ind w:firstLine="480"/>
        <w:jc w:val="both"/>
        <w:rPr>
          <w:rFonts w:cs="Times New Roman"/>
          <w:szCs w:val="32"/>
        </w:rPr>
      </w:pPr>
      <w:r>
        <w:rPr>
          <w:rFonts w:hint="eastAsia" w:cs="Times New Roman"/>
          <w:szCs w:val="32"/>
        </w:rPr>
        <w:t>根据《建设项目环境影响评价技术导则 总纲》（HJ2.1-2016）等相关技术规范的要求，本项目环境影响评价的工作过程见图1.4-1。</w:t>
      </w:r>
    </w:p>
    <w:p w14:paraId="34908B79">
      <w:pPr>
        <w:pStyle w:val="180"/>
        <w:rPr>
          <w:color w:val="auto"/>
          <w:kern w:val="2"/>
          <w:szCs w:val="21"/>
        </w:rPr>
      </w:pPr>
      <w:r>
        <w:rPr>
          <w:rFonts w:hint="eastAsia"/>
          <w:color w:val="auto"/>
        </w:rPr>
        <w:drawing>
          <wp:inline distT="0" distB="0" distL="0" distR="0">
            <wp:extent cx="4999355" cy="6050280"/>
            <wp:effectExtent l="0" t="0" r="0" b="7620"/>
            <wp:docPr id="684990905"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0905" name="图片 1" descr="文本, 信件&#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02334" cy="6053270"/>
                    </a:xfrm>
                    <a:prstGeom prst="rect">
                      <a:avLst/>
                    </a:prstGeom>
                    <a:noFill/>
                    <a:ln>
                      <a:noFill/>
                    </a:ln>
                  </pic:spPr>
                </pic:pic>
              </a:graphicData>
            </a:graphic>
          </wp:inline>
        </w:drawing>
      </w:r>
    </w:p>
    <w:p w14:paraId="2843649E">
      <w:pPr>
        <w:pStyle w:val="90"/>
        <w:rPr>
          <w:rFonts w:cs="Times New Roman"/>
        </w:rPr>
      </w:pPr>
      <w:r>
        <w:rPr>
          <w:rFonts w:hint="eastAsia" w:cs="Times New Roman"/>
        </w:rPr>
        <w:t>图1.</w:t>
      </w:r>
      <w:r>
        <w:rPr>
          <w:rFonts w:cs="Times New Roman"/>
        </w:rPr>
        <w:t>4</w:t>
      </w:r>
      <w:r>
        <w:rPr>
          <w:rFonts w:hint="eastAsia" w:cs="Times New Roman"/>
        </w:rPr>
        <w:t>-1 项目环评工作流程图</w:t>
      </w:r>
    </w:p>
    <w:p w14:paraId="3C77DC10">
      <w:pPr>
        <w:pStyle w:val="93"/>
        <w:rPr>
          <w:rFonts w:cs="Times New Roman"/>
        </w:rPr>
      </w:pPr>
      <w:r>
        <w:rPr>
          <w:rFonts w:hint="eastAsia" w:cs="Times New Roman"/>
        </w:rPr>
        <w:t>本次评价的主要工作过程及时间节点如下：</w:t>
      </w:r>
    </w:p>
    <w:p w14:paraId="5D422368">
      <w:pPr>
        <w:pStyle w:val="93"/>
        <w:rPr>
          <w:rFonts w:cs="Times New Roman"/>
        </w:rPr>
      </w:pPr>
      <w:r>
        <w:rPr>
          <w:rFonts w:hint="eastAsia" w:cs="Times New Roman"/>
        </w:rPr>
        <w:t>◆ 2023年7月10日，建设单位委托南京普环电力科技有限公司承担《淮安港涟水港区薛行作业区国能涟水一期热电联产项目配套码头工程环境影响报告书》的编制工作。</w:t>
      </w:r>
    </w:p>
    <w:p w14:paraId="4D554591">
      <w:pPr>
        <w:pStyle w:val="93"/>
        <w:rPr>
          <w:rFonts w:cs="Times New Roman"/>
        </w:rPr>
      </w:pPr>
      <w:r>
        <w:rPr>
          <w:rFonts w:hint="eastAsia" w:cs="Times New Roman"/>
        </w:rPr>
        <w:t>◆ 2023年7月14日，建设单位在涟水新闻网站上进行了项目环境影响评价首次公众参与公示。</w:t>
      </w:r>
    </w:p>
    <w:p w14:paraId="5B5A9E05">
      <w:pPr>
        <w:pStyle w:val="93"/>
        <w:rPr>
          <w:rFonts w:cs="Times New Roman"/>
        </w:rPr>
      </w:pPr>
      <w:r>
        <w:rPr>
          <w:rFonts w:hint="eastAsia" w:cs="Times New Roman"/>
        </w:rPr>
        <w:t>◆ 2023年7月，评价单位根据项目可行性研究报告及项目单位提供的其他技术资料进行工程分析，确定评价思路、评价重点及各环境要素评价等级。</w:t>
      </w:r>
    </w:p>
    <w:p w14:paraId="3E6D178F">
      <w:pPr>
        <w:pStyle w:val="93"/>
        <w:rPr>
          <w:rFonts w:cs="Times New Roman"/>
        </w:rPr>
      </w:pPr>
      <w:r>
        <w:rPr>
          <w:rFonts w:hint="eastAsia" w:cs="Times New Roman"/>
        </w:rPr>
        <w:t>◆ 2023年7月和8月，评价单位委托监测公司对项目区进行了环境质量现状监测。</w:t>
      </w:r>
    </w:p>
    <w:p w14:paraId="7A2D9872">
      <w:pPr>
        <w:pStyle w:val="93"/>
        <w:rPr>
          <w:rFonts w:cs="Times New Roman"/>
        </w:rPr>
      </w:pPr>
      <w:r>
        <w:rPr>
          <w:rFonts w:hint="eastAsia" w:cs="Times New Roman"/>
        </w:rPr>
        <w:t>◆ 2023年9月，建设单位对工程内容进行了调整。</w:t>
      </w:r>
    </w:p>
    <w:p w14:paraId="423E42E7">
      <w:pPr>
        <w:pStyle w:val="93"/>
        <w:rPr>
          <w:rFonts w:cs="Times New Roman"/>
        </w:rPr>
      </w:pPr>
      <w:r>
        <w:rPr>
          <w:rFonts w:hint="eastAsia" w:cs="Times New Roman"/>
        </w:rPr>
        <w:t>◆ 202</w:t>
      </w:r>
      <w:r>
        <w:rPr>
          <w:rFonts w:cs="Times New Roman"/>
        </w:rPr>
        <w:t>4</w:t>
      </w:r>
      <w:r>
        <w:rPr>
          <w:rFonts w:hint="eastAsia" w:cs="Times New Roman"/>
        </w:rPr>
        <w:t>年</w:t>
      </w:r>
      <w:r>
        <w:rPr>
          <w:rFonts w:cs="Times New Roman"/>
        </w:rPr>
        <w:t>3</w:t>
      </w:r>
      <w:r>
        <w:rPr>
          <w:rFonts w:hint="eastAsia" w:cs="Times New Roman"/>
        </w:rPr>
        <w:t>月，评价单位根据调整后的工程内容编制完成了项目征求意见稿，于2024年</w:t>
      </w:r>
      <w:r>
        <w:rPr>
          <w:rFonts w:cs="Times New Roman"/>
        </w:rPr>
        <w:t>3</w:t>
      </w:r>
      <w:r>
        <w:rPr>
          <w:rFonts w:hint="eastAsia" w:cs="Times New Roman"/>
        </w:rPr>
        <w:t>月</w:t>
      </w:r>
      <w:r>
        <w:rPr>
          <w:rFonts w:cs="Times New Roman"/>
        </w:rPr>
        <w:t>4</w:t>
      </w:r>
      <w:r>
        <w:rPr>
          <w:rFonts w:hint="eastAsia" w:cs="Times New Roman"/>
        </w:rPr>
        <w:t>日在涟水新闻网上进行了征求意见稿公示，2024年</w:t>
      </w:r>
      <w:r>
        <w:rPr>
          <w:rFonts w:cs="Times New Roman"/>
        </w:rPr>
        <w:t>3</w:t>
      </w:r>
      <w:r>
        <w:rPr>
          <w:rFonts w:hint="eastAsia" w:cs="Times New Roman"/>
        </w:rPr>
        <w:t>月</w:t>
      </w:r>
      <w:r>
        <w:rPr>
          <w:rFonts w:cs="Times New Roman"/>
        </w:rPr>
        <w:t>5</w:t>
      </w:r>
      <w:r>
        <w:rPr>
          <w:rFonts w:hint="eastAsia" w:cs="Times New Roman"/>
        </w:rPr>
        <w:t>日及9日在现代快报进行了登报公示。</w:t>
      </w:r>
    </w:p>
    <w:p w14:paraId="69996A90">
      <w:pPr>
        <w:pStyle w:val="93"/>
        <w:rPr>
          <w:rFonts w:cs="Times New Roman"/>
        </w:rPr>
      </w:pPr>
      <w:r>
        <w:rPr>
          <w:rFonts w:hint="eastAsia" w:cs="Times New Roman"/>
        </w:rPr>
        <w:t>◆ 2024年8月</w:t>
      </w:r>
      <w:r>
        <w:rPr>
          <w:rFonts w:cs="Times New Roman"/>
        </w:rPr>
        <w:t>2</w:t>
      </w:r>
      <w:r>
        <w:rPr>
          <w:rFonts w:hint="eastAsia" w:cs="Times New Roman"/>
        </w:rPr>
        <w:t>0日，经审核审定后形成《淮安港涟水港区薛行作业区国能涟水一期热电联产项目配套码头工程环境影响报告书（送审稿）》。</w:t>
      </w:r>
    </w:p>
    <w:p w14:paraId="3D99FD90">
      <w:pPr>
        <w:pStyle w:val="80"/>
      </w:pPr>
      <w:bookmarkStart w:id="45" w:name="_Toc182171799"/>
      <w:r>
        <w:rPr>
          <w:rFonts w:hint="eastAsia"/>
        </w:rPr>
        <w:t>分析判定相关情况</w:t>
      </w:r>
      <w:bookmarkEnd w:id="45"/>
    </w:p>
    <w:p w14:paraId="57A162B0">
      <w:pPr>
        <w:pStyle w:val="82"/>
      </w:pPr>
      <w:r>
        <w:rPr>
          <w:rFonts w:hint="eastAsia"/>
        </w:rPr>
        <w:t>产业政策相符性</w:t>
      </w:r>
    </w:p>
    <w:p w14:paraId="6553F0EC">
      <w:pPr>
        <w:adjustRightInd w:val="0"/>
        <w:snapToGrid w:val="0"/>
        <w:ind w:firstLine="480"/>
        <w:rPr>
          <w:kern w:val="0"/>
          <w:szCs w:val="24"/>
        </w:rPr>
      </w:pPr>
      <w:r>
        <w:rPr>
          <w:rFonts w:hint="eastAsia" w:ascii="宋体" w:hAnsi="宋体"/>
          <w:kern w:val="0"/>
          <w:szCs w:val="24"/>
        </w:rPr>
        <w:t>根据《港口深水岸线标准》：二、内河港口深水岸线（一）内河港口岸线的范围：内河港口岸线是指除沿海港口岸线以外的河流、湖泊、水库等水域内的港口岸线。（二）内河港口深水岸线的标准：内河港口深水岸线是指适宜建设千吨级及以上泊位的内河港口岸线（含维持其正常运营所需的相关水域和陆域）。本项目位于内河港口岸线，且建设千吨级及以上泊位，故属于深水岸线。</w:t>
      </w:r>
    </w:p>
    <w:p w14:paraId="604E78A8">
      <w:pPr>
        <w:pStyle w:val="93"/>
      </w:pPr>
      <w:r>
        <w:rPr>
          <w:rFonts w:hint="eastAsia"/>
        </w:rPr>
        <w:t>根据《产业结构调整指导目录（2024年本）》，本项目属于第一类（鼓励类）第二十五项（水运）第1款“2．港口枢纽建设：码头泊位建设”的范畴。本项目不属于《限制用地项目目录》（2012年本）和《禁止用地项目目录》（2012年本）中所列的限制用地和禁止用地项目。</w:t>
      </w:r>
    </w:p>
    <w:p w14:paraId="3D77A697">
      <w:pPr>
        <w:pStyle w:val="93"/>
      </w:pPr>
      <w:r>
        <w:rPr>
          <w:rFonts w:hint="eastAsia"/>
        </w:rPr>
        <w:t>本项目不属于《省政府办公厅转发省经济和信息化委省发展改革委江苏省工业和信息产业结构调整限制淘汰目录和能耗限额的通知》（苏政办发〔2015〕118号）中限制类和淘汰类；不属于《江苏省产业结构调整限制、淘汰和禁止目录》（苏办发〔2018〕32号配套文件）中限制、淘汰和禁止类；不属于《江苏省限制用地项目目录（2013）》及《江苏省禁止用地项目目录（2013）》中涉及的行业及项目。</w:t>
      </w:r>
    </w:p>
    <w:p w14:paraId="323EB55D">
      <w:pPr>
        <w:adjustRightInd w:val="0"/>
        <w:snapToGrid w:val="0"/>
        <w:ind w:firstLine="480"/>
        <w:rPr>
          <w:kern w:val="0"/>
          <w:szCs w:val="24"/>
        </w:rPr>
      </w:pPr>
      <w:r>
        <w:rPr>
          <w:rFonts w:hint="eastAsia" w:ascii="宋体" w:hAnsi="宋体"/>
          <w:kern w:val="0"/>
          <w:szCs w:val="24"/>
        </w:rPr>
        <w:t>项目建设符合产业政策要求。</w:t>
      </w:r>
    </w:p>
    <w:p w14:paraId="2AC087B4">
      <w:pPr>
        <w:pStyle w:val="82"/>
      </w:pPr>
      <w:r>
        <w:rPr>
          <w:rFonts w:hint="eastAsia"/>
        </w:rPr>
        <w:t>“</w:t>
      </w:r>
      <w:r>
        <w:rPr>
          <w:rFonts w:hint="eastAsia" w:ascii="宋体" w:hAnsi="宋体"/>
        </w:rPr>
        <w:t>三线一单</w:t>
      </w:r>
      <w:r>
        <w:rPr>
          <w:rFonts w:hint="eastAsia"/>
        </w:rPr>
        <w:t>”</w:t>
      </w:r>
      <w:r>
        <w:rPr>
          <w:rFonts w:hint="eastAsia" w:ascii="宋体" w:hAnsi="宋体"/>
        </w:rPr>
        <w:t>相符性</w:t>
      </w:r>
    </w:p>
    <w:p w14:paraId="3722D2D7">
      <w:pPr>
        <w:pStyle w:val="84"/>
      </w:pPr>
      <w:r>
        <w:rPr>
          <w:rFonts w:hint="eastAsia"/>
        </w:rPr>
        <w:t>生态红线</w:t>
      </w:r>
    </w:p>
    <w:p w14:paraId="4DFF62C3">
      <w:pPr>
        <w:autoSpaceDE w:val="0"/>
        <w:autoSpaceDN w:val="0"/>
        <w:adjustRightInd w:val="0"/>
        <w:snapToGrid w:val="0"/>
        <w:ind w:firstLine="480"/>
        <w:rPr>
          <w:kern w:val="0"/>
          <w:szCs w:val="24"/>
        </w:rPr>
      </w:pPr>
      <w:r>
        <w:rPr>
          <w:rFonts w:hint="eastAsia" w:ascii="宋体" w:hAnsi="宋体"/>
          <w:kern w:val="0"/>
          <w:szCs w:val="24"/>
        </w:rPr>
        <w:t>本项目与《省政府关于印发江苏省生态空间管控区域规划的通知》（苏政发〔</w:t>
      </w:r>
      <w:r>
        <w:rPr>
          <w:rFonts w:hint="eastAsia"/>
          <w:kern w:val="0"/>
          <w:szCs w:val="24"/>
        </w:rPr>
        <w:t>2020</w:t>
      </w:r>
      <w:r>
        <w:rPr>
          <w:rFonts w:hint="eastAsia" w:ascii="宋体" w:hAnsi="宋体"/>
          <w:kern w:val="0"/>
          <w:szCs w:val="24"/>
        </w:rPr>
        <w:t>〕</w:t>
      </w:r>
      <w:r>
        <w:rPr>
          <w:rFonts w:hint="eastAsia"/>
          <w:kern w:val="0"/>
          <w:szCs w:val="24"/>
        </w:rPr>
        <w:t>1</w:t>
      </w:r>
      <w:r>
        <w:rPr>
          <w:rFonts w:hint="eastAsia" w:ascii="宋体" w:hAnsi="宋体"/>
          <w:kern w:val="0"/>
          <w:szCs w:val="24"/>
        </w:rPr>
        <w:t>号）、《江苏省国家级生态保护红线规划》（苏政发〔</w:t>
      </w:r>
      <w:r>
        <w:rPr>
          <w:rFonts w:hint="eastAsia"/>
          <w:kern w:val="0"/>
          <w:szCs w:val="24"/>
        </w:rPr>
        <w:t>2018</w:t>
      </w:r>
      <w:r>
        <w:rPr>
          <w:rFonts w:hint="eastAsia" w:ascii="宋体" w:hAnsi="宋体"/>
          <w:kern w:val="0"/>
          <w:szCs w:val="24"/>
        </w:rPr>
        <w:t>〕</w:t>
      </w:r>
      <w:r>
        <w:rPr>
          <w:rFonts w:hint="eastAsia"/>
          <w:kern w:val="0"/>
          <w:szCs w:val="24"/>
        </w:rPr>
        <w:t>74</w:t>
      </w:r>
      <w:r>
        <w:rPr>
          <w:rFonts w:hint="eastAsia" w:ascii="宋体" w:hAnsi="宋体"/>
          <w:kern w:val="0"/>
          <w:szCs w:val="24"/>
        </w:rPr>
        <w:t>号）相符性分析见表</w:t>
      </w:r>
      <w:r>
        <w:rPr>
          <w:rFonts w:hint="eastAsia"/>
          <w:kern w:val="0"/>
          <w:szCs w:val="24"/>
        </w:rPr>
        <w:t>1.5-1</w:t>
      </w:r>
      <w:r>
        <w:rPr>
          <w:rFonts w:hint="eastAsia" w:ascii="宋体" w:hAnsi="宋体"/>
          <w:kern w:val="0"/>
          <w:szCs w:val="24"/>
        </w:rPr>
        <w:t>。</w:t>
      </w:r>
    </w:p>
    <w:p w14:paraId="597CB8D1">
      <w:pPr>
        <w:pStyle w:val="86"/>
      </w:pPr>
      <w:r>
        <w:rPr>
          <w:rFonts w:hint="eastAsia"/>
        </w:rPr>
        <w:t>本项目与生态红线相符性分析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033"/>
        <w:gridCol w:w="3703"/>
        <w:gridCol w:w="1800"/>
        <w:gridCol w:w="1603"/>
      </w:tblGrid>
      <w:tr w14:paraId="76D4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9" w:type="dxa"/>
            <w:vMerge w:val="restart"/>
            <w:tcBorders>
              <w:top w:val="single" w:color="auto" w:sz="4" w:space="0"/>
              <w:left w:val="single" w:color="auto" w:sz="4" w:space="0"/>
              <w:bottom w:val="single" w:color="auto" w:sz="4" w:space="0"/>
              <w:right w:val="single" w:color="auto" w:sz="4" w:space="0"/>
            </w:tcBorders>
            <w:vAlign w:val="center"/>
          </w:tcPr>
          <w:p w14:paraId="20CB0BEF">
            <w:pPr>
              <w:pStyle w:val="196"/>
              <w:rPr>
                <w:b/>
                <w:bCs/>
                <w:szCs w:val="21"/>
              </w:rPr>
            </w:pPr>
            <w:r>
              <w:rPr>
                <w:rFonts w:hint="eastAsia"/>
                <w:b/>
                <w:bCs/>
              </w:rPr>
              <w:t>地区名称</w:t>
            </w:r>
          </w:p>
        </w:tc>
        <w:tc>
          <w:tcPr>
            <w:tcW w:w="1008" w:type="dxa"/>
            <w:vMerge w:val="restart"/>
            <w:tcBorders>
              <w:top w:val="single" w:color="auto" w:sz="4" w:space="0"/>
              <w:left w:val="single" w:color="auto" w:sz="4" w:space="0"/>
              <w:bottom w:val="single" w:color="auto" w:sz="4" w:space="0"/>
              <w:right w:val="single" w:color="auto" w:sz="4" w:space="0"/>
            </w:tcBorders>
            <w:vAlign w:val="center"/>
          </w:tcPr>
          <w:p w14:paraId="289599C8">
            <w:pPr>
              <w:pStyle w:val="196"/>
              <w:rPr>
                <w:b/>
                <w:bCs/>
              </w:rPr>
            </w:pPr>
            <w:r>
              <w:rPr>
                <w:rFonts w:hint="eastAsia"/>
                <w:b/>
                <w:bCs/>
              </w:rPr>
              <w:t>红线区域名称</w:t>
            </w:r>
          </w:p>
        </w:tc>
        <w:tc>
          <w:tcPr>
            <w:tcW w:w="5369" w:type="dxa"/>
            <w:gridSpan w:val="2"/>
            <w:tcBorders>
              <w:top w:val="single" w:color="auto" w:sz="4" w:space="0"/>
              <w:left w:val="single" w:color="auto" w:sz="4" w:space="0"/>
              <w:bottom w:val="single" w:color="auto" w:sz="4" w:space="0"/>
              <w:right w:val="single" w:color="auto" w:sz="4" w:space="0"/>
            </w:tcBorders>
            <w:vAlign w:val="center"/>
          </w:tcPr>
          <w:p w14:paraId="0E394BDA">
            <w:pPr>
              <w:pStyle w:val="196"/>
              <w:rPr>
                <w:b/>
                <w:bCs/>
              </w:rPr>
            </w:pPr>
            <w:r>
              <w:rPr>
                <w:rFonts w:hint="eastAsia"/>
                <w:b/>
                <w:bCs/>
              </w:rPr>
              <w:t>红线区域范围</w:t>
            </w:r>
          </w:p>
        </w:tc>
        <w:tc>
          <w:tcPr>
            <w:tcW w:w="1564" w:type="dxa"/>
            <w:vMerge w:val="restart"/>
            <w:tcBorders>
              <w:top w:val="single" w:color="auto" w:sz="4" w:space="0"/>
              <w:left w:val="single" w:color="auto" w:sz="4" w:space="0"/>
              <w:bottom w:val="single" w:color="auto" w:sz="4" w:space="0"/>
              <w:right w:val="single" w:color="auto" w:sz="4" w:space="0"/>
            </w:tcBorders>
            <w:vAlign w:val="center"/>
          </w:tcPr>
          <w:p w14:paraId="471F9488">
            <w:pPr>
              <w:pStyle w:val="196"/>
              <w:rPr>
                <w:b/>
                <w:bCs/>
              </w:rPr>
            </w:pPr>
            <w:r>
              <w:rPr>
                <w:rFonts w:hint="eastAsia"/>
                <w:b/>
                <w:bCs/>
              </w:rPr>
              <w:t>项目</w:t>
            </w:r>
          </w:p>
          <w:p w14:paraId="2191F0F0">
            <w:pPr>
              <w:pStyle w:val="196"/>
              <w:rPr>
                <w:b/>
                <w:bCs/>
              </w:rPr>
            </w:pPr>
            <w:r>
              <w:rPr>
                <w:rFonts w:hint="eastAsia"/>
                <w:b/>
                <w:bCs/>
              </w:rPr>
              <w:t>相符性分析</w:t>
            </w:r>
          </w:p>
        </w:tc>
      </w:tr>
      <w:tr w14:paraId="484B0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9" w:type="dxa"/>
            <w:vMerge w:val="continue"/>
            <w:tcBorders>
              <w:top w:val="single" w:color="auto" w:sz="4" w:space="0"/>
              <w:left w:val="single" w:color="auto" w:sz="4" w:space="0"/>
              <w:bottom w:val="single" w:color="auto" w:sz="4" w:space="0"/>
              <w:right w:val="single" w:color="auto" w:sz="4" w:space="0"/>
            </w:tcBorders>
            <w:vAlign w:val="center"/>
          </w:tcPr>
          <w:p w14:paraId="5F5F7738">
            <w:pPr>
              <w:pStyle w:val="196"/>
              <w:rPr>
                <w:b/>
                <w:bCs/>
                <w:szCs w:val="21"/>
              </w:rPr>
            </w:pPr>
          </w:p>
        </w:tc>
        <w:tc>
          <w:tcPr>
            <w:tcW w:w="1008" w:type="dxa"/>
            <w:vMerge w:val="continue"/>
            <w:tcBorders>
              <w:top w:val="single" w:color="auto" w:sz="4" w:space="0"/>
              <w:left w:val="single" w:color="auto" w:sz="4" w:space="0"/>
              <w:bottom w:val="single" w:color="auto" w:sz="4" w:space="0"/>
              <w:right w:val="single" w:color="auto" w:sz="4" w:space="0"/>
            </w:tcBorders>
            <w:vAlign w:val="center"/>
          </w:tcPr>
          <w:p w14:paraId="6C6D9940">
            <w:pPr>
              <w:pStyle w:val="196"/>
              <w:rPr>
                <w:b/>
                <w:bCs/>
                <w:szCs w:val="21"/>
              </w:rPr>
            </w:pPr>
          </w:p>
        </w:tc>
        <w:tc>
          <w:tcPr>
            <w:tcW w:w="3613" w:type="dxa"/>
            <w:tcBorders>
              <w:top w:val="single" w:color="auto" w:sz="4" w:space="0"/>
              <w:left w:val="single" w:color="auto" w:sz="4" w:space="0"/>
              <w:bottom w:val="single" w:color="auto" w:sz="4" w:space="0"/>
              <w:right w:val="single" w:color="auto" w:sz="4" w:space="0"/>
            </w:tcBorders>
            <w:vAlign w:val="center"/>
          </w:tcPr>
          <w:p w14:paraId="439D1A65">
            <w:pPr>
              <w:pStyle w:val="196"/>
              <w:rPr>
                <w:b/>
                <w:bCs/>
              </w:rPr>
            </w:pPr>
            <w:r>
              <w:rPr>
                <w:rFonts w:hint="eastAsia"/>
                <w:b/>
                <w:bCs/>
              </w:rPr>
              <w:t>国家级生态红线保护范围</w:t>
            </w:r>
          </w:p>
        </w:tc>
        <w:tc>
          <w:tcPr>
            <w:tcW w:w="1756" w:type="dxa"/>
            <w:tcBorders>
              <w:top w:val="single" w:color="auto" w:sz="4" w:space="0"/>
              <w:left w:val="single" w:color="auto" w:sz="4" w:space="0"/>
              <w:bottom w:val="single" w:color="auto" w:sz="4" w:space="0"/>
              <w:right w:val="single" w:color="auto" w:sz="4" w:space="0"/>
            </w:tcBorders>
            <w:vAlign w:val="center"/>
          </w:tcPr>
          <w:p w14:paraId="7D0A6F20">
            <w:pPr>
              <w:pStyle w:val="196"/>
              <w:rPr>
                <w:b/>
                <w:bCs/>
              </w:rPr>
            </w:pPr>
            <w:r>
              <w:rPr>
                <w:rFonts w:hint="eastAsia"/>
                <w:b/>
                <w:bCs/>
              </w:rPr>
              <w:t>生态空间管控区域范围</w:t>
            </w:r>
          </w:p>
        </w:tc>
        <w:tc>
          <w:tcPr>
            <w:tcW w:w="1564" w:type="dxa"/>
            <w:vMerge w:val="continue"/>
            <w:tcBorders>
              <w:top w:val="single" w:color="auto" w:sz="4" w:space="0"/>
              <w:left w:val="single" w:color="auto" w:sz="4" w:space="0"/>
              <w:bottom w:val="single" w:color="auto" w:sz="4" w:space="0"/>
              <w:right w:val="single" w:color="auto" w:sz="4" w:space="0"/>
            </w:tcBorders>
            <w:vAlign w:val="center"/>
          </w:tcPr>
          <w:p w14:paraId="1456280C">
            <w:pPr>
              <w:pStyle w:val="196"/>
              <w:rPr>
                <w:b/>
                <w:bCs/>
                <w:szCs w:val="21"/>
              </w:rPr>
            </w:pPr>
          </w:p>
        </w:tc>
      </w:tr>
      <w:tr w14:paraId="3BA6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19" w:type="dxa"/>
            <w:tcBorders>
              <w:top w:val="single" w:color="auto" w:sz="4" w:space="0"/>
              <w:left w:val="single" w:color="auto" w:sz="4" w:space="0"/>
              <w:bottom w:val="single" w:color="auto" w:sz="4" w:space="0"/>
              <w:right w:val="single" w:color="auto" w:sz="4" w:space="0"/>
            </w:tcBorders>
            <w:vAlign w:val="center"/>
          </w:tcPr>
          <w:p w14:paraId="023BE5A0">
            <w:pPr>
              <w:pStyle w:val="196"/>
            </w:pPr>
            <w:r>
              <w:rPr>
                <w:rFonts w:hint="eastAsia"/>
              </w:rPr>
              <w:t>江苏涟水涟漪湖黄嘴白鹭省级自然保护区</w:t>
            </w:r>
          </w:p>
        </w:tc>
        <w:tc>
          <w:tcPr>
            <w:tcW w:w="1008" w:type="dxa"/>
            <w:tcBorders>
              <w:top w:val="single" w:color="auto" w:sz="4" w:space="0"/>
              <w:left w:val="single" w:color="auto" w:sz="4" w:space="0"/>
              <w:bottom w:val="single" w:color="auto" w:sz="4" w:space="0"/>
              <w:right w:val="single" w:color="auto" w:sz="4" w:space="0"/>
            </w:tcBorders>
            <w:vAlign w:val="center"/>
          </w:tcPr>
          <w:p w14:paraId="4EE4D276">
            <w:pPr>
              <w:pStyle w:val="196"/>
            </w:pPr>
            <w:r>
              <w:rPr>
                <w:rFonts w:hint="eastAsia"/>
              </w:rPr>
              <w:t>生物多样性保护</w:t>
            </w:r>
          </w:p>
        </w:tc>
        <w:tc>
          <w:tcPr>
            <w:tcW w:w="3613" w:type="dxa"/>
            <w:tcBorders>
              <w:top w:val="single" w:color="auto" w:sz="4" w:space="0"/>
              <w:left w:val="single" w:color="auto" w:sz="4" w:space="0"/>
              <w:bottom w:val="single" w:color="auto" w:sz="4" w:space="0"/>
              <w:right w:val="single" w:color="auto" w:sz="4" w:space="0"/>
            </w:tcBorders>
            <w:vAlign w:val="center"/>
          </w:tcPr>
          <w:p w14:paraId="3B6AE092">
            <w:pPr>
              <w:pStyle w:val="196"/>
            </w:pPr>
            <w:r>
              <w:rPr>
                <w:rFonts w:hint="eastAsia"/>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1756" w:type="dxa"/>
            <w:tcBorders>
              <w:top w:val="single" w:color="auto" w:sz="4" w:space="0"/>
              <w:left w:val="single" w:color="auto" w:sz="4" w:space="0"/>
              <w:bottom w:val="single" w:color="auto" w:sz="4" w:space="0"/>
              <w:right w:val="single" w:color="auto" w:sz="4" w:space="0"/>
            </w:tcBorders>
            <w:vAlign w:val="center"/>
          </w:tcPr>
          <w:p w14:paraId="0E361A82">
            <w:pPr>
              <w:pStyle w:val="196"/>
            </w:pPr>
            <w:r>
              <w:rPr>
                <w:rFonts w:hint="eastAsia"/>
              </w:rPr>
              <w:t>—</w:t>
            </w:r>
          </w:p>
        </w:tc>
        <w:tc>
          <w:tcPr>
            <w:tcW w:w="1564" w:type="dxa"/>
            <w:tcBorders>
              <w:top w:val="single" w:color="auto" w:sz="4" w:space="0"/>
              <w:left w:val="single" w:color="auto" w:sz="4" w:space="0"/>
              <w:bottom w:val="single" w:color="auto" w:sz="4" w:space="0"/>
              <w:right w:val="single" w:color="auto" w:sz="4" w:space="0"/>
            </w:tcBorders>
            <w:vAlign w:val="center"/>
          </w:tcPr>
          <w:p w14:paraId="4CA39C0E">
            <w:pPr>
              <w:pStyle w:val="196"/>
            </w:pPr>
            <w:r>
              <w:rPr>
                <w:rFonts w:hint="eastAsia"/>
              </w:rPr>
              <w:t>本项目位于国家级生态保护红线实验区的东北侧约7.5km左右，不在生态空间保护区域范围内</w:t>
            </w:r>
          </w:p>
        </w:tc>
      </w:tr>
    </w:tbl>
    <w:p w14:paraId="0530F8FC">
      <w:pPr>
        <w:pStyle w:val="93"/>
        <w:rPr>
          <w:rFonts w:cs="Times New Roman"/>
        </w:rPr>
      </w:pPr>
      <w:r>
        <w:rPr>
          <w:rFonts w:hint="eastAsia"/>
        </w:rPr>
        <w:t>由表1.5-1可知，本项目距离最近的国家级生态红线保护为江苏涟水涟漪湖黄嘴白鹭省级自然保护区，距离生态红线边界约7.5km，不在生态红线范围内，因此项目建设与《省政府关于印发江苏省生态空间管控区域规划的通知》（苏政发〔2020〕1号）、《江苏省国家级生态保护红线规划》的通知（苏政发〔2018〕74号）相符，项目与生态管控空间规划及生态保护红线关系详见图1.5-1和图1.5-2。</w:t>
      </w:r>
    </w:p>
    <w:p w14:paraId="42CC928B">
      <w:pPr>
        <w:pStyle w:val="84"/>
      </w:pPr>
      <w:r>
        <w:rPr>
          <w:rFonts w:hint="eastAsia"/>
        </w:rPr>
        <w:t>环境质量底线</w:t>
      </w:r>
    </w:p>
    <w:p w14:paraId="3D1EC4C6">
      <w:pPr>
        <w:autoSpaceDE w:val="0"/>
        <w:autoSpaceDN w:val="0"/>
        <w:adjustRightInd w:val="0"/>
        <w:snapToGrid w:val="0"/>
        <w:ind w:firstLine="480"/>
        <w:rPr>
          <w:kern w:val="0"/>
          <w:szCs w:val="24"/>
        </w:rPr>
      </w:pPr>
      <w:r>
        <w:rPr>
          <w:rFonts w:hint="eastAsia" w:ascii="宋体" w:hAnsi="宋体" w:eastAsia="宋体" w:cs="宋体"/>
          <w:kern w:val="0"/>
          <w:szCs w:val="24"/>
        </w:rPr>
        <w:t>①</w:t>
      </w:r>
      <w:r>
        <w:rPr>
          <w:rFonts w:hint="eastAsia" w:ascii="宋体" w:hAnsi="宋体"/>
          <w:kern w:val="0"/>
          <w:szCs w:val="24"/>
        </w:rPr>
        <w:t>地表水环境质量现状情况</w:t>
      </w:r>
    </w:p>
    <w:p w14:paraId="606FB772">
      <w:pPr>
        <w:autoSpaceDE w:val="0"/>
        <w:autoSpaceDN w:val="0"/>
        <w:adjustRightInd w:val="0"/>
        <w:snapToGrid w:val="0"/>
        <w:ind w:firstLine="480"/>
        <w:rPr>
          <w:kern w:val="0"/>
          <w:szCs w:val="24"/>
        </w:rPr>
      </w:pPr>
      <w:r>
        <w:rPr>
          <w:rFonts w:hint="eastAsia" w:ascii="宋体" w:hAnsi="宋体"/>
          <w:kern w:val="0"/>
          <w:szCs w:val="24"/>
        </w:rPr>
        <w:t>地表水环境渠西河、盐河均满足《地表水环境质量标准》（</w:t>
      </w:r>
      <w:r>
        <w:rPr>
          <w:rFonts w:hint="eastAsia"/>
          <w:kern w:val="0"/>
          <w:szCs w:val="24"/>
        </w:rPr>
        <w:t>GB3838-2002</w:t>
      </w:r>
      <w:r>
        <w:rPr>
          <w:rFonts w:hint="eastAsia" w:ascii="宋体" w:hAnsi="宋体"/>
          <w:kern w:val="0"/>
          <w:szCs w:val="24"/>
        </w:rPr>
        <w:t>）中的相应水质标准。</w:t>
      </w:r>
    </w:p>
    <w:p w14:paraId="38DD7040">
      <w:pPr>
        <w:autoSpaceDE w:val="0"/>
        <w:autoSpaceDN w:val="0"/>
        <w:adjustRightInd w:val="0"/>
        <w:snapToGrid w:val="0"/>
        <w:ind w:firstLine="480"/>
        <w:rPr>
          <w:kern w:val="0"/>
          <w:szCs w:val="24"/>
        </w:rPr>
      </w:pPr>
      <w:bookmarkStart w:id="46" w:name="_Hlk181738761"/>
      <w:r>
        <w:rPr>
          <w:rFonts w:hint="eastAsia" w:ascii="宋体" w:hAnsi="宋体" w:eastAsia="宋体" w:cs="宋体"/>
          <w:kern w:val="0"/>
          <w:szCs w:val="24"/>
        </w:rPr>
        <w:t>②</w:t>
      </w:r>
      <w:r>
        <w:rPr>
          <w:rFonts w:hint="eastAsia" w:ascii="宋体" w:hAnsi="宋体"/>
          <w:kern w:val="0"/>
          <w:szCs w:val="24"/>
        </w:rPr>
        <w:t>大气环境质量现状情况</w:t>
      </w:r>
    </w:p>
    <w:p w14:paraId="6A610E3C">
      <w:pPr>
        <w:pStyle w:val="139"/>
        <w:ind w:firstLine="480"/>
        <w:rPr>
          <w:color w:val="auto"/>
        </w:rPr>
      </w:pPr>
      <w:r>
        <w:rPr>
          <w:rFonts w:hint="eastAsia" w:ascii="宋体" w:hAnsi="宋体"/>
          <w:color w:val="auto"/>
        </w:rPr>
        <w:t>根据</w:t>
      </w:r>
      <w:bookmarkStart w:id="47" w:name="_Hlk178569578"/>
      <w:r>
        <w:rPr>
          <w:rFonts w:hint="eastAsia" w:ascii="宋体" w:hAnsi="宋体"/>
          <w:color w:val="auto"/>
        </w:rPr>
        <w:t>《</w:t>
      </w:r>
      <w:r>
        <w:rPr>
          <w:rFonts w:hint="eastAsia"/>
          <w:color w:val="auto"/>
        </w:rPr>
        <w:t>2023</w:t>
      </w:r>
      <w:r>
        <w:rPr>
          <w:rFonts w:hint="eastAsia" w:ascii="宋体" w:hAnsi="宋体"/>
          <w:color w:val="auto"/>
        </w:rPr>
        <w:t>年淮安市生态环境状况公报》</w:t>
      </w:r>
      <w:bookmarkEnd w:id="47"/>
      <w:r>
        <w:rPr>
          <w:rFonts w:hint="eastAsia" w:ascii="宋体" w:hAnsi="宋体"/>
          <w:color w:val="auto"/>
        </w:rPr>
        <w:t>：</w:t>
      </w:r>
      <w:r>
        <w:rPr>
          <w:rFonts w:hint="eastAsia"/>
          <w:color w:val="auto"/>
        </w:rPr>
        <w:t>“2023</w:t>
      </w:r>
      <w:r>
        <w:rPr>
          <w:rFonts w:hint="eastAsia" w:ascii="宋体" w:hAnsi="宋体"/>
          <w:color w:val="auto"/>
        </w:rPr>
        <w:t>年，淮安市细颗粒物（</w:t>
      </w:r>
      <w:r>
        <w:rPr>
          <w:rFonts w:hint="eastAsia"/>
          <w:color w:val="auto"/>
        </w:rPr>
        <w:t>PM</w:t>
      </w:r>
      <w:r>
        <w:rPr>
          <w:rFonts w:hint="eastAsia"/>
          <w:color w:val="auto"/>
          <w:vertAlign w:val="subscript"/>
        </w:rPr>
        <w:t>2.</w:t>
      </w:r>
      <w:r>
        <w:rPr>
          <w:rFonts w:hint="eastAsia"/>
          <w:color w:val="auto"/>
          <w:vertAlign w:val="subscript"/>
          <w:lang w:eastAsia="zh-CN"/>
        </w:rPr>
        <w:t>5）</w:t>
      </w:r>
      <w:r>
        <w:rPr>
          <w:rFonts w:hint="eastAsia" w:ascii="宋体" w:hAnsi="宋体"/>
          <w:color w:val="auto"/>
        </w:rPr>
        <w:t>可吸入颗粒物（</w:t>
      </w:r>
      <w:r>
        <w:rPr>
          <w:rFonts w:hint="eastAsia"/>
          <w:color w:val="auto"/>
        </w:rPr>
        <w:t>PM</w:t>
      </w:r>
      <w:r>
        <w:rPr>
          <w:rFonts w:hint="eastAsia"/>
          <w:color w:val="auto"/>
          <w:vertAlign w:val="subscript"/>
        </w:rPr>
        <w:t>10</w:t>
      </w:r>
      <w:r>
        <w:rPr>
          <w:rFonts w:hint="eastAsia" w:ascii="宋体" w:hAnsi="宋体"/>
          <w:color w:val="auto"/>
        </w:rPr>
        <w:t>）、二氧化硫（</w:t>
      </w:r>
      <w:r>
        <w:rPr>
          <w:rFonts w:hint="eastAsia"/>
          <w:color w:val="auto"/>
        </w:rPr>
        <w:t>SO</w:t>
      </w:r>
      <w:r>
        <w:rPr>
          <w:rFonts w:hint="eastAsia"/>
          <w:color w:val="auto"/>
          <w:vertAlign w:val="subscript"/>
        </w:rPr>
        <w:t>2</w:t>
      </w:r>
      <w:r>
        <w:rPr>
          <w:rFonts w:hint="eastAsia" w:ascii="宋体" w:hAnsi="宋体"/>
          <w:color w:val="auto"/>
        </w:rPr>
        <w:t>）、二氧化氮（</w:t>
      </w:r>
      <w:r>
        <w:rPr>
          <w:rFonts w:hint="eastAsia"/>
          <w:color w:val="auto"/>
        </w:rPr>
        <w:t>NO</w:t>
      </w:r>
      <w:r>
        <w:rPr>
          <w:rFonts w:hint="eastAsia"/>
          <w:color w:val="auto"/>
          <w:vertAlign w:val="subscript"/>
        </w:rPr>
        <w:t>2</w:t>
      </w:r>
      <w:r>
        <w:rPr>
          <w:rFonts w:hint="eastAsia" w:ascii="宋体" w:hAnsi="宋体"/>
          <w:color w:val="auto"/>
        </w:rPr>
        <w:t>）年均浓度分别为</w:t>
      </w:r>
      <w:r>
        <w:rPr>
          <w:rFonts w:hint="eastAsia"/>
          <w:color w:val="auto"/>
        </w:rPr>
        <w:t>36</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25</w:t>
      </w:r>
      <w:r>
        <w:rPr>
          <w:rFonts w:hint="eastAsia" w:ascii="宋体" w:hAnsi="宋体"/>
          <w:color w:val="auto"/>
        </w:rPr>
        <w:t>微克</w:t>
      </w:r>
      <w:r>
        <w:rPr>
          <w:rFonts w:hint="eastAsia"/>
          <w:color w:val="auto"/>
        </w:rPr>
        <w:t>/</w:t>
      </w:r>
      <w:r>
        <w:rPr>
          <w:rFonts w:hint="eastAsia" w:ascii="宋体" w:hAnsi="宋体"/>
          <w:color w:val="auto"/>
        </w:rPr>
        <w:t>立方米；一氧化碳（</w:t>
      </w:r>
      <w:r>
        <w:rPr>
          <w:rFonts w:hint="eastAsia"/>
          <w:color w:val="auto"/>
        </w:rPr>
        <w:t>CO</w:t>
      </w:r>
      <w:r>
        <w:rPr>
          <w:rFonts w:hint="eastAsia" w:ascii="宋体" w:hAnsi="宋体"/>
          <w:color w:val="auto"/>
        </w:rPr>
        <w:t>）和臭氧（</w:t>
      </w:r>
      <w:r>
        <w:rPr>
          <w:rFonts w:hint="eastAsia"/>
          <w:color w:val="auto"/>
        </w:rPr>
        <w:t>O</w:t>
      </w:r>
      <w:r>
        <w:rPr>
          <w:rFonts w:hint="eastAsia"/>
          <w:color w:val="auto"/>
          <w:vertAlign w:val="subscript"/>
        </w:rPr>
        <w:t>3</w:t>
      </w:r>
      <w:r>
        <w:rPr>
          <w:rFonts w:hint="eastAsia" w:ascii="宋体" w:hAnsi="宋体"/>
          <w:color w:val="auto"/>
        </w:rPr>
        <w:t>）浓度分别为</w:t>
      </w:r>
      <w:r>
        <w:rPr>
          <w:rFonts w:hint="eastAsia"/>
          <w:color w:val="auto"/>
        </w:rPr>
        <w:t>1</w:t>
      </w:r>
      <w:r>
        <w:rPr>
          <w:rFonts w:hint="eastAsia" w:ascii="宋体" w:hAnsi="宋体"/>
          <w:color w:val="auto"/>
        </w:rPr>
        <w:t>毫克</w:t>
      </w:r>
      <w:r>
        <w:rPr>
          <w:rFonts w:hint="eastAsia"/>
          <w:color w:val="auto"/>
        </w:rPr>
        <w:t>/</w:t>
      </w:r>
      <w:r>
        <w:rPr>
          <w:rFonts w:hint="eastAsia" w:ascii="宋体" w:hAnsi="宋体"/>
          <w:color w:val="auto"/>
        </w:rPr>
        <w:t>立方米、</w:t>
      </w:r>
      <w:r>
        <w:rPr>
          <w:rFonts w:hint="eastAsia"/>
          <w:color w:val="auto"/>
        </w:rPr>
        <w:t>158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”“各县区中，PM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、NO</w:t>
      </w:r>
      <w:r>
        <w:rPr>
          <w:rFonts w:hint="eastAsia"/>
          <w:color w:val="auto"/>
          <w:vertAlign w:val="subscript"/>
        </w:rPr>
        <w:t>2</w:t>
      </w:r>
      <w:r>
        <w:rPr>
          <w:rFonts w:hint="eastAsia"/>
          <w:color w:val="auto"/>
        </w:rPr>
        <w:t>、CO、SO</w:t>
      </w:r>
      <w:r>
        <w:rPr>
          <w:rFonts w:hint="eastAsia"/>
          <w:color w:val="auto"/>
          <w:vertAlign w:val="subscript"/>
        </w:rPr>
        <w:t>2</w:t>
      </w:r>
      <w:r>
        <w:rPr>
          <w:rFonts w:hint="eastAsia"/>
          <w:color w:val="auto"/>
        </w:rPr>
        <w:t>均达标，各县区PM</w:t>
      </w:r>
      <w:r>
        <w:rPr>
          <w:rFonts w:hint="eastAsia"/>
          <w:color w:val="auto"/>
          <w:vertAlign w:val="subscript"/>
        </w:rPr>
        <w:t>2.5</w:t>
      </w:r>
      <w:r>
        <w:rPr>
          <w:rFonts w:hint="eastAsia"/>
          <w:color w:val="auto"/>
        </w:rPr>
        <w:t>年均浓度在31-36微克/立方米之间，其中金湖县最低，清江浦区最高，PM</w:t>
      </w:r>
      <w:r>
        <w:rPr>
          <w:rFonts w:hint="eastAsia"/>
          <w:color w:val="auto"/>
          <w:vertAlign w:val="subscript"/>
        </w:rPr>
        <w:t>10</w:t>
      </w:r>
      <w:r>
        <w:rPr>
          <w:rFonts w:hint="eastAsia"/>
          <w:color w:val="auto"/>
        </w:rPr>
        <w:t>年均浓度介于52~62微克/立方米之间，金湖县浓度最低，淮阴区浓度最高。”</w:t>
      </w:r>
    </w:p>
    <w:p w14:paraId="222806F1">
      <w:pPr>
        <w:pStyle w:val="139"/>
        <w:ind w:firstLine="480"/>
        <w:rPr>
          <w:color w:val="auto"/>
        </w:rPr>
      </w:pPr>
      <w:r>
        <w:rPr>
          <w:rFonts w:hint="eastAsia"/>
          <w:color w:val="auto"/>
        </w:rPr>
        <w:t>因此，本次收集了距离本项目7.2km处涟水县环境监测监控站点2023年的全年例行监测数据，统计了各因子的百分位日均值数据，具体如下表，除PM</w:t>
      </w:r>
      <w:r>
        <w:rPr>
          <w:rFonts w:hint="eastAsia"/>
          <w:color w:val="auto"/>
          <w:vertAlign w:val="subscript"/>
        </w:rPr>
        <w:t>2.5</w:t>
      </w:r>
      <w:r>
        <w:rPr>
          <w:rFonts w:hint="eastAsia"/>
          <w:color w:val="auto"/>
        </w:rPr>
        <w:t>保证率日均值</w:t>
      </w:r>
      <w:r>
        <w:rPr>
          <w:color w:val="auto"/>
        </w:rPr>
        <w:t>外，其余</w:t>
      </w:r>
      <w:r>
        <w:rPr>
          <w:rFonts w:hint="eastAsia"/>
          <w:color w:val="auto"/>
        </w:rPr>
        <w:t>各因子年均值和保证率均满足环境空气质量标准要求，PM</w:t>
      </w:r>
      <w:r>
        <w:rPr>
          <w:rFonts w:hint="eastAsia"/>
          <w:color w:val="auto"/>
          <w:vertAlign w:val="subscript"/>
        </w:rPr>
        <w:t>2.5</w:t>
      </w:r>
      <w:r>
        <w:rPr>
          <w:rFonts w:hint="eastAsia"/>
          <w:color w:val="auto"/>
        </w:rPr>
        <w:t>保证率日均值占标率为110.7</w:t>
      </w:r>
      <w:r>
        <w:rPr>
          <w:color w:val="auto"/>
        </w:rPr>
        <w:t>%</w:t>
      </w:r>
      <w:r>
        <w:rPr>
          <w:rFonts w:hint="eastAsia"/>
          <w:color w:val="auto"/>
        </w:rPr>
        <w:t>。根据《环境影响评价技术导则 大气环境》（HJ2.2-2018）达标区判定要求，项目所在区域为不达标区。</w:t>
      </w:r>
    </w:p>
    <w:p w14:paraId="27E973EF">
      <w:pPr>
        <w:pStyle w:val="139"/>
        <w:ind w:firstLine="480"/>
        <w:rPr>
          <w:color w:val="auto"/>
          <w:lang w:val="en-US"/>
        </w:rPr>
      </w:pPr>
      <w:r>
        <w:rPr>
          <w:rFonts w:hint="eastAsia"/>
          <w:color w:val="auto"/>
        </w:rPr>
        <w:t>涟水县发布了《涟水县2024年生态环境基础设施建设重点项目计划》，淮安市发布了《淮安市空气质量持续改善行动两年实施方案》，随着计划和方案的实施，本项目所在区域环境空气质量将得到持续改善。</w:t>
      </w:r>
    </w:p>
    <w:bookmarkEnd w:id="46"/>
    <w:p w14:paraId="749F0E29">
      <w:pPr>
        <w:autoSpaceDE w:val="0"/>
        <w:autoSpaceDN w:val="0"/>
        <w:adjustRightInd w:val="0"/>
        <w:snapToGrid w:val="0"/>
        <w:ind w:firstLine="480"/>
        <w:rPr>
          <w:kern w:val="0"/>
          <w:szCs w:val="24"/>
        </w:rPr>
      </w:pPr>
      <w:r>
        <w:rPr>
          <w:rFonts w:hint="eastAsia" w:ascii="宋体" w:hAnsi="宋体" w:eastAsia="宋体" w:cs="宋体"/>
          <w:kern w:val="0"/>
          <w:szCs w:val="24"/>
        </w:rPr>
        <w:t>③</w:t>
      </w:r>
      <w:r>
        <w:rPr>
          <w:rFonts w:hint="eastAsia" w:ascii="宋体" w:hAnsi="宋体"/>
          <w:kern w:val="0"/>
          <w:szCs w:val="24"/>
        </w:rPr>
        <w:t>声环境质量现状情况</w:t>
      </w:r>
    </w:p>
    <w:p w14:paraId="14EF2718">
      <w:pPr>
        <w:autoSpaceDE w:val="0"/>
        <w:autoSpaceDN w:val="0"/>
        <w:adjustRightInd w:val="0"/>
        <w:snapToGrid w:val="0"/>
        <w:ind w:firstLine="480"/>
        <w:rPr>
          <w:rFonts w:hint="eastAsia" w:ascii="宋体" w:hAnsi="宋体"/>
          <w:kern w:val="0"/>
          <w:szCs w:val="24"/>
        </w:rPr>
      </w:pPr>
      <w:r>
        <w:rPr>
          <w:rFonts w:hint="eastAsia" w:ascii="宋体" w:hAnsi="宋体"/>
          <w:kern w:val="0"/>
          <w:szCs w:val="24"/>
        </w:rPr>
        <w:t>项目主厂区和码头厂界及周边声环境可以满足《声环境质量标准》（</w:t>
      </w:r>
      <w:r>
        <w:rPr>
          <w:rFonts w:hint="eastAsia"/>
          <w:kern w:val="0"/>
          <w:szCs w:val="24"/>
        </w:rPr>
        <w:t>GB3096-2008</w:t>
      </w:r>
      <w:r>
        <w:rPr>
          <w:rFonts w:hint="eastAsia" w:ascii="宋体" w:hAnsi="宋体"/>
          <w:kern w:val="0"/>
          <w:szCs w:val="24"/>
        </w:rPr>
        <w:t>）中相应标准。</w:t>
      </w:r>
    </w:p>
    <w:p w14:paraId="35BB8249">
      <w:pPr>
        <w:autoSpaceDE w:val="0"/>
        <w:autoSpaceDN w:val="0"/>
        <w:adjustRightInd w:val="0"/>
        <w:snapToGrid w:val="0"/>
        <w:ind w:firstLine="480"/>
        <w:rPr>
          <w:kern w:val="0"/>
          <w:szCs w:val="24"/>
        </w:rPr>
      </w:pPr>
      <w:r>
        <w:rPr>
          <w:rFonts w:hint="eastAsia"/>
        </w:rPr>
        <w:t>开挖港池处河道底泥</w:t>
      </w:r>
      <w:r>
        <w:rPr>
          <w:rFonts w:hint="eastAsia"/>
          <w:kern w:val="0"/>
          <w:szCs w:val="24"/>
        </w:rPr>
        <w:t>重金属指标满足《土壤环境质量 农用地土壤污染风险管控标准（试行）》（GB15618-2018</w:t>
      </w:r>
      <w:r>
        <w:rPr>
          <w:rFonts w:hint="eastAsia"/>
          <w:kern w:val="0"/>
          <w:szCs w:val="24"/>
          <w:lang w:eastAsia="zh-CN"/>
        </w:rPr>
        <w:t>）</w:t>
      </w:r>
      <w:r>
        <w:rPr>
          <w:rFonts w:hint="eastAsia"/>
          <w:kern w:val="0"/>
          <w:szCs w:val="24"/>
        </w:rPr>
        <w:t>中其他类标准，其余指标满足《土壤环境质量 建设用地土壤污染风险管控标准（试行）》（GB36600-2018）中表1中第二类用地筛选值。</w:t>
      </w:r>
    </w:p>
    <w:p w14:paraId="7581F7B1">
      <w:pPr>
        <w:ind w:firstLine="480"/>
        <w:rPr>
          <w:szCs w:val="24"/>
        </w:rPr>
      </w:pPr>
      <w:r>
        <w:rPr>
          <w:rFonts w:hint="eastAsia" w:ascii="宋体" w:hAnsi="宋体"/>
          <w:szCs w:val="24"/>
        </w:rPr>
        <w:t>本项目废气主要为运输、装卸产生粉尘，采用洒水等降尘措施，无组织废气能够达标排放，不会降低区域环境空气质量功能。建设期和运营期无</w:t>
      </w:r>
      <w:r>
        <w:rPr>
          <w:rFonts w:hint="eastAsia" w:ascii="宋体" w:hAnsi="宋体"/>
          <w:szCs w:val="24"/>
          <w:lang w:eastAsia="zh-CN"/>
        </w:rPr>
        <w:t>污染</w:t>
      </w:r>
      <w:r>
        <w:rPr>
          <w:rFonts w:hint="eastAsia" w:ascii="宋体" w:hAnsi="宋体"/>
          <w:szCs w:val="24"/>
        </w:rPr>
        <w:t>废水排入盐河，根据预测及分析，项目废气、废水、噪声均能达标排放，固废均能妥善处置。项目的建设不会恶化区域环境质量功能，不会触碰区域环境质量底线</w:t>
      </w:r>
      <w:r>
        <w:rPr>
          <w:rStyle w:val="140"/>
          <w:rFonts w:hint="eastAsia"/>
          <w:color w:val="auto"/>
        </w:rPr>
        <w:t>，随着</w:t>
      </w:r>
      <w:r>
        <w:rPr>
          <w:rFonts w:hint="eastAsia"/>
        </w:rPr>
        <w:t>淮安市实施方案和涟水县生态环境重点项目的实施，本项目区域空气质量将得到持续改善。</w:t>
      </w:r>
    </w:p>
    <w:p w14:paraId="160844F4">
      <w:pPr>
        <w:pStyle w:val="14"/>
        <w:adjustRightInd w:val="0"/>
        <w:snapToGrid w:val="0"/>
        <w:spacing w:line="360" w:lineRule="auto"/>
        <w:ind w:firstLine="480" w:firstLineChars="200"/>
        <w:rPr>
          <w:sz w:val="24"/>
          <w:szCs w:val="24"/>
        </w:rPr>
      </w:pPr>
      <w:r>
        <w:rPr>
          <w:rFonts w:hint="eastAsia" w:ascii="宋体" w:hAnsi="宋体"/>
          <w:sz w:val="24"/>
          <w:szCs w:val="24"/>
        </w:rPr>
        <w:t>因此，项目的建设符合环境质量底线要求。</w:t>
      </w:r>
    </w:p>
    <w:p w14:paraId="5649FDA9">
      <w:pPr>
        <w:pStyle w:val="84"/>
      </w:pPr>
      <w:r>
        <w:rPr>
          <w:rFonts w:hint="eastAsia"/>
        </w:rPr>
        <w:t>资源利用上线</w:t>
      </w:r>
    </w:p>
    <w:p w14:paraId="6F951EFF">
      <w:pPr>
        <w:adjustRightInd w:val="0"/>
        <w:snapToGrid w:val="0"/>
        <w:ind w:firstLine="480"/>
        <w:rPr>
          <w:kern w:val="0"/>
          <w:szCs w:val="24"/>
        </w:rPr>
      </w:pPr>
      <w:r>
        <w:rPr>
          <w:rFonts w:hint="eastAsia" w:ascii="宋体" w:hAnsi="宋体"/>
          <w:kern w:val="0"/>
          <w:szCs w:val="24"/>
        </w:rPr>
        <w:t>本项目用水来自市政供水管网，用电来自市政供电。本项目建成后通过内部管理、设备选择的选用和管理、废物回收利用和污染治理等多方面采取合理可行的防治措施，以</w:t>
      </w:r>
      <w:r>
        <w:rPr>
          <w:rFonts w:hint="eastAsia"/>
          <w:kern w:val="0"/>
          <w:szCs w:val="24"/>
        </w:rPr>
        <w:t>“</w:t>
      </w:r>
      <w:r>
        <w:rPr>
          <w:rFonts w:hint="eastAsia" w:ascii="宋体" w:hAnsi="宋体"/>
          <w:kern w:val="0"/>
          <w:szCs w:val="24"/>
        </w:rPr>
        <w:t>节能、降耗、减污</w:t>
      </w:r>
      <w:r>
        <w:rPr>
          <w:rFonts w:hint="eastAsia"/>
          <w:kern w:val="0"/>
          <w:szCs w:val="24"/>
        </w:rPr>
        <w:t>”</w:t>
      </w:r>
      <w:r>
        <w:rPr>
          <w:rFonts w:hint="eastAsia" w:ascii="宋体" w:hAnsi="宋体"/>
          <w:kern w:val="0"/>
          <w:szCs w:val="24"/>
        </w:rPr>
        <w:t>为目标，有效控制污染。本项目的水气电等资源利用不会突破区域的资源利用上限要求。</w:t>
      </w:r>
      <w:r>
        <w:rPr>
          <w:rStyle w:val="140"/>
          <w:rFonts w:hint="eastAsia"/>
          <w:color w:val="auto"/>
        </w:rPr>
        <w:t>目前项目用地为国能涟水一期热电项目预留建设用地</w:t>
      </w:r>
      <w:r>
        <w:rPr>
          <w:rFonts w:hint="eastAsia" w:ascii="宋体" w:hAnsi="宋体"/>
          <w:kern w:val="0"/>
          <w:szCs w:val="24"/>
        </w:rPr>
        <w:t>，不违背当地土地规划要求，亦不会达到项目所在区域土地资源利用上</w:t>
      </w:r>
      <w:r>
        <w:rPr>
          <w:rFonts w:hint="eastAsia" w:ascii="宋体" w:hAnsi="宋体"/>
          <w:kern w:val="0"/>
          <w:szCs w:val="24"/>
          <w:lang w:eastAsia="zh-CN"/>
        </w:rPr>
        <w:t>限</w:t>
      </w:r>
      <w:r>
        <w:rPr>
          <w:rFonts w:hint="eastAsia" w:ascii="宋体" w:hAnsi="宋体"/>
          <w:kern w:val="0"/>
          <w:szCs w:val="24"/>
        </w:rPr>
        <w:t>。</w:t>
      </w:r>
      <w:r>
        <w:rPr>
          <w:rFonts w:hint="eastAsia" w:ascii="宋体" w:hAnsi="宋体"/>
          <w:szCs w:val="24"/>
        </w:rPr>
        <w:t>本工程位于</w:t>
      </w:r>
      <w:r>
        <w:rPr>
          <w:rFonts w:hint="eastAsia"/>
        </w:rPr>
        <w:t>淮安市涟水县朱码街道高台村国能涟水一期热电联产项目厂区</w:t>
      </w:r>
      <w:r>
        <w:rPr>
          <w:rFonts w:hint="eastAsia" w:ascii="宋体" w:hAnsi="宋体"/>
          <w:szCs w:val="24"/>
        </w:rPr>
        <w:t>内，属于国能涟水一期热电联产项目配套码头，盐河左岸，地理位置优越。根据《淮安港总体规划（</w:t>
      </w:r>
      <w:r>
        <w:rPr>
          <w:rFonts w:hint="eastAsia"/>
          <w:szCs w:val="24"/>
        </w:rPr>
        <w:t>2020</w:t>
      </w:r>
      <w:r>
        <w:rPr>
          <w:rFonts w:hint="eastAsia"/>
          <w:szCs w:val="24"/>
          <w:lang w:eastAsia="zh-CN"/>
        </w:rPr>
        <w:t>—</w:t>
      </w:r>
      <w:r>
        <w:rPr>
          <w:rFonts w:hint="eastAsia"/>
          <w:szCs w:val="24"/>
        </w:rPr>
        <w:t>2035</w:t>
      </w:r>
      <w:r>
        <w:rPr>
          <w:rFonts w:hint="eastAsia" w:ascii="宋体" w:hAnsi="宋体"/>
          <w:szCs w:val="24"/>
        </w:rPr>
        <w:t>年）》，本项目所在的港口规划岸线为朱码船闸下游</w:t>
      </w:r>
      <w:r>
        <w:rPr>
          <w:rFonts w:hint="eastAsia"/>
          <w:szCs w:val="24"/>
        </w:rPr>
        <w:t>4300</w:t>
      </w:r>
      <w:r>
        <w:rPr>
          <w:rFonts w:hint="eastAsia" w:ascii="宋体" w:hAnsi="宋体"/>
          <w:szCs w:val="24"/>
        </w:rPr>
        <w:t>m至朱码船闸下游</w:t>
      </w:r>
      <w:r>
        <w:rPr>
          <w:rFonts w:hint="eastAsia"/>
          <w:szCs w:val="24"/>
        </w:rPr>
        <w:t>5300</w:t>
      </w:r>
      <w:r>
        <w:rPr>
          <w:rFonts w:hint="eastAsia" w:ascii="宋体" w:hAnsi="宋体"/>
          <w:szCs w:val="24"/>
        </w:rPr>
        <w:t>m，全长</w:t>
      </w:r>
      <w:r>
        <w:rPr>
          <w:rFonts w:hint="eastAsia"/>
          <w:szCs w:val="24"/>
        </w:rPr>
        <w:t>1000</w:t>
      </w:r>
      <w:r>
        <w:rPr>
          <w:rFonts w:hint="eastAsia" w:ascii="宋体" w:hAnsi="宋体"/>
          <w:szCs w:val="24"/>
        </w:rPr>
        <w:t>m，岸线用途为矿建材等散杂货。本码头实际利用的岸线为朱码船闸下游</w:t>
      </w:r>
      <w:r>
        <w:rPr>
          <w:rFonts w:hint="eastAsia"/>
          <w:szCs w:val="24"/>
        </w:rPr>
        <w:t>4300</w:t>
      </w:r>
      <w:r>
        <w:rPr>
          <w:rFonts w:hint="eastAsia" w:ascii="宋体" w:hAnsi="宋体"/>
          <w:szCs w:val="24"/>
        </w:rPr>
        <w:t>m至朱码船闸下游</w:t>
      </w:r>
      <w:r>
        <w:rPr>
          <w:rFonts w:hint="eastAsia"/>
          <w:szCs w:val="24"/>
        </w:rPr>
        <w:t>4482</w:t>
      </w:r>
      <w:r>
        <w:rPr>
          <w:rFonts w:hint="eastAsia" w:ascii="宋体" w:hAnsi="宋体"/>
          <w:szCs w:val="24"/>
        </w:rPr>
        <w:t>m，约</w:t>
      </w:r>
      <w:r>
        <w:rPr>
          <w:rFonts w:hint="eastAsia"/>
          <w:szCs w:val="24"/>
        </w:rPr>
        <w:t>182m</w:t>
      </w:r>
      <w:r>
        <w:rPr>
          <w:rFonts w:hint="eastAsia" w:ascii="宋体" w:hAnsi="宋体"/>
          <w:szCs w:val="24"/>
        </w:rPr>
        <w:t>，位于规划岸线范围内，本码头工程所使用的岸线符合《淮安港总体规划（</w:t>
      </w:r>
      <w:r>
        <w:rPr>
          <w:rFonts w:hint="eastAsia"/>
          <w:szCs w:val="24"/>
        </w:rPr>
        <w:t>2020</w:t>
      </w:r>
      <w:r>
        <w:rPr>
          <w:rFonts w:hint="eastAsia"/>
          <w:szCs w:val="24"/>
          <w:lang w:eastAsia="zh-CN"/>
        </w:rPr>
        <w:t>—</w:t>
      </w:r>
      <w:r>
        <w:rPr>
          <w:rFonts w:hint="eastAsia"/>
          <w:szCs w:val="24"/>
        </w:rPr>
        <w:t>2035</w:t>
      </w:r>
      <w:r>
        <w:rPr>
          <w:rFonts w:hint="eastAsia" w:ascii="宋体" w:hAnsi="宋体"/>
          <w:szCs w:val="24"/>
        </w:rPr>
        <w:t>年）》。</w:t>
      </w:r>
      <w:r>
        <w:rPr>
          <w:rFonts w:hint="eastAsia" w:ascii="宋体" w:hAnsi="宋体"/>
          <w:kern w:val="0"/>
          <w:szCs w:val="24"/>
        </w:rPr>
        <w:t>项目</w:t>
      </w:r>
      <w:r>
        <w:rPr>
          <w:rFonts w:hint="eastAsia" w:ascii="宋体" w:hAnsi="宋体"/>
          <w:kern w:val="0"/>
          <w:szCs w:val="24"/>
          <w:lang w:eastAsia="zh-CN"/>
        </w:rPr>
        <w:t>不断</w:t>
      </w:r>
      <w:r>
        <w:rPr>
          <w:rFonts w:hint="eastAsia" w:ascii="宋体" w:hAnsi="宋体"/>
          <w:kern w:val="0"/>
          <w:szCs w:val="24"/>
        </w:rPr>
        <w:t>突破地区能源、水、土地、岸线等资源消耗的</w:t>
      </w:r>
      <w:r>
        <w:rPr>
          <w:rFonts w:hint="eastAsia"/>
          <w:kern w:val="0"/>
          <w:szCs w:val="24"/>
        </w:rPr>
        <w:t>“</w:t>
      </w:r>
      <w:r>
        <w:rPr>
          <w:rFonts w:hint="eastAsia" w:ascii="宋体" w:hAnsi="宋体"/>
          <w:kern w:val="0"/>
          <w:szCs w:val="24"/>
        </w:rPr>
        <w:t>天花板</w:t>
      </w:r>
      <w:r>
        <w:rPr>
          <w:rFonts w:hint="eastAsia"/>
          <w:kern w:val="0"/>
          <w:szCs w:val="24"/>
        </w:rPr>
        <w:t>”</w:t>
      </w:r>
      <w:r>
        <w:rPr>
          <w:rFonts w:hint="eastAsia" w:ascii="宋体" w:hAnsi="宋体"/>
          <w:kern w:val="0"/>
          <w:szCs w:val="24"/>
        </w:rPr>
        <w:t>。</w:t>
      </w:r>
    </w:p>
    <w:p w14:paraId="46D31E56">
      <w:pPr>
        <w:pStyle w:val="84"/>
      </w:pPr>
      <w:r>
        <w:rPr>
          <w:rFonts w:hint="eastAsia"/>
        </w:rPr>
        <w:t>环境准入负面清单</w:t>
      </w:r>
    </w:p>
    <w:p w14:paraId="2C3FB344">
      <w:pPr>
        <w:adjustRightInd w:val="0"/>
        <w:snapToGrid w:val="0"/>
        <w:ind w:firstLine="480"/>
        <w:rPr>
          <w:sz w:val="21"/>
        </w:rPr>
      </w:pPr>
      <w:r>
        <w:rPr>
          <w:rFonts w:hint="eastAsia" w:ascii="宋体" w:hAnsi="宋体"/>
          <w:szCs w:val="24"/>
        </w:rPr>
        <w:t>对照《长江经济带发展负面清单指南（试行，</w:t>
      </w:r>
      <w:r>
        <w:rPr>
          <w:rFonts w:hint="eastAsia"/>
          <w:szCs w:val="24"/>
        </w:rPr>
        <w:t>2022</w:t>
      </w:r>
      <w:r>
        <w:rPr>
          <w:rFonts w:hint="eastAsia" w:ascii="宋体" w:hAnsi="宋体"/>
          <w:szCs w:val="24"/>
        </w:rPr>
        <w:t>年版）</w:t>
      </w:r>
      <w:r>
        <w:rPr>
          <w:rFonts w:hint="eastAsia" w:ascii="宋体" w:hAnsi="宋体"/>
          <w:szCs w:val="24"/>
          <w:lang w:eastAsia="zh-CN"/>
        </w:rPr>
        <w:t>》《</w:t>
      </w:r>
      <w:r>
        <w:rPr>
          <w:rFonts w:hint="eastAsia" w:ascii="宋体" w:hAnsi="宋体"/>
          <w:szCs w:val="24"/>
        </w:rPr>
        <w:t>〈长江经济带发展负面清单指南（试行，</w:t>
      </w:r>
      <w:r>
        <w:rPr>
          <w:rFonts w:hint="eastAsia"/>
          <w:szCs w:val="24"/>
        </w:rPr>
        <w:t>2022</w:t>
      </w:r>
      <w:r>
        <w:rPr>
          <w:rFonts w:hint="eastAsia" w:ascii="宋体" w:hAnsi="宋体"/>
          <w:szCs w:val="24"/>
        </w:rPr>
        <w:t>年版）〉江苏省实施细则》，本项目为码头新建项目，符合产业定位，未被列入环境准入负面清单内，符合环境准入负面清单管理要求，详见表</w:t>
      </w:r>
      <w:r>
        <w:rPr>
          <w:rFonts w:hint="eastAsia"/>
          <w:szCs w:val="24"/>
        </w:rPr>
        <w:t>1.5-2</w:t>
      </w:r>
      <w:r>
        <w:rPr>
          <w:rFonts w:hint="eastAsia" w:ascii="宋体" w:hAnsi="宋体"/>
          <w:szCs w:val="24"/>
        </w:rPr>
        <w:t>和表</w:t>
      </w:r>
      <w:r>
        <w:rPr>
          <w:rFonts w:hint="eastAsia"/>
          <w:szCs w:val="24"/>
        </w:rPr>
        <w:t>1.5-3</w:t>
      </w:r>
      <w:r>
        <w:rPr>
          <w:rFonts w:hint="eastAsia" w:ascii="宋体" w:hAnsi="宋体"/>
          <w:szCs w:val="24"/>
        </w:rPr>
        <w:t>。</w:t>
      </w:r>
    </w:p>
    <w:p w14:paraId="22CD125E">
      <w:pPr>
        <w:pStyle w:val="86"/>
      </w:pPr>
      <w:r>
        <w:rPr>
          <w:rFonts w:hint="eastAsia"/>
        </w:rPr>
        <w:t>与《长江经济带发展负面清单指南（试行，2022年版）》相符性分析</w:t>
      </w:r>
    </w:p>
    <w:tbl>
      <w:tblPr>
        <w:tblStyle w:val="38"/>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3"/>
        <w:gridCol w:w="4735"/>
        <w:gridCol w:w="2763"/>
        <w:gridCol w:w="1028"/>
      </w:tblGrid>
      <w:tr w14:paraId="01F62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592" w:type="dxa"/>
            <w:tcBorders>
              <w:top w:val="single" w:color="auto" w:sz="4" w:space="0"/>
              <w:left w:val="single" w:color="auto" w:sz="4" w:space="0"/>
              <w:bottom w:val="single" w:color="auto" w:sz="4" w:space="0"/>
              <w:right w:val="single" w:color="auto" w:sz="4" w:space="0"/>
            </w:tcBorders>
            <w:vAlign w:val="center"/>
          </w:tcPr>
          <w:p w14:paraId="304671BF">
            <w:pPr>
              <w:pStyle w:val="196"/>
              <w:rPr>
                <w:b/>
                <w:bCs/>
                <w:szCs w:val="21"/>
              </w:rPr>
            </w:pPr>
            <w:r>
              <w:rPr>
                <w:rFonts w:hint="eastAsia"/>
                <w:b/>
                <w:bCs/>
              </w:rPr>
              <w:t>序号</w:t>
            </w:r>
          </w:p>
        </w:tc>
        <w:tc>
          <w:tcPr>
            <w:tcW w:w="4725" w:type="dxa"/>
            <w:tcBorders>
              <w:top w:val="single" w:color="auto" w:sz="4" w:space="0"/>
              <w:left w:val="single" w:color="auto" w:sz="4" w:space="0"/>
              <w:bottom w:val="single" w:color="auto" w:sz="4" w:space="0"/>
              <w:right w:val="single" w:color="auto" w:sz="4" w:space="0"/>
            </w:tcBorders>
            <w:vAlign w:val="center"/>
          </w:tcPr>
          <w:p w14:paraId="19867ECF">
            <w:pPr>
              <w:pStyle w:val="196"/>
              <w:rPr>
                <w:b/>
                <w:bCs/>
              </w:rPr>
            </w:pPr>
            <w:r>
              <w:rPr>
                <w:rFonts w:hint="eastAsia"/>
                <w:b/>
                <w:bCs/>
              </w:rPr>
              <w:t>文件相关内容</w:t>
            </w:r>
          </w:p>
        </w:tc>
        <w:tc>
          <w:tcPr>
            <w:tcW w:w="2757" w:type="dxa"/>
            <w:tcBorders>
              <w:top w:val="single" w:color="auto" w:sz="4" w:space="0"/>
              <w:left w:val="single" w:color="auto" w:sz="4" w:space="0"/>
              <w:bottom w:val="single" w:color="auto" w:sz="4" w:space="0"/>
              <w:right w:val="single" w:color="auto" w:sz="4" w:space="0"/>
            </w:tcBorders>
            <w:vAlign w:val="center"/>
          </w:tcPr>
          <w:p w14:paraId="57BB9D8B">
            <w:pPr>
              <w:pStyle w:val="196"/>
              <w:rPr>
                <w:b/>
                <w:bCs/>
              </w:rPr>
            </w:pPr>
            <w:r>
              <w:rPr>
                <w:rFonts w:hint="eastAsia"/>
                <w:b/>
                <w:bCs/>
              </w:rPr>
              <w:t>相符性分析</w:t>
            </w:r>
          </w:p>
        </w:tc>
        <w:tc>
          <w:tcPr>
            <w:tcW w:w="1026" w:type="dxa"/>
            <w:tcBorders>
              <w:top w:val="single" w:color="auto" w:sz="4" w:space="0"/>
              <w:left w:val="single" w:color="auto" w:sz="4" w:space="0"/>
              <w:bottom w:val="single" w:color="auto" w:sz="4" w:space="0"/>
              <w:right w:val="single" w:color="auto" w:sz="4" w:space="0"/>
            </w:tcBorders>
            <w:vAlign w:val="center"/>
          </w:tcPr>
          <w:p w14:paraId="5397CF3D">
            <w:pPr>
              <w:pStyle w:val="196"/>
              <w:rPr>
                <w:b/>
                <w:bCs/>
              </w:rPr>
            </w:pPr>
            <w:r>
              <w:rPr>
                <w:rFonts w:hint="eastAsia"/>
                <w:b/>
                <w:bCs/>
              </w:rPr>
              <w:t>是否相符</w:t>
            </w:r>
          </w:p>
        </w:tc>
      </w:tr>
      <w:tr w14:paraId="7F94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5B35F084">
            <w:pPr>
              <w:pStyle w:val="196"/>
            </w:pPr>
            <w:r>
              <w:rPr>
                <w:rFonts w:hint="eastAsia"/>
              </w:rPr>
              <w:t>1</w:t>
            </w:r>
          </w:p>
        </w:tc>
        <w:tc>
          <w:tcPr>
            <w:tcW w:w="4725" w:type="dxa"/>
            <w:tcBorders>
              <w:top w:val="single" w:color="auto" w:sz="4" w:space="0"/>
              <w:left w:val="single" w:color="auto" w:sz="4" w:space="0"/>
              <w:bottom w:val="single" w:color="auto" w:sz="4" w:space="0"/>
              <w:right w:val="single" w:color="auto" w:sz="4" w:space="0"/>
            </w:tcBorders>
            <w:vAlign w:val="center"/>
          </w:tcPr>
          <w:p w14:paraId="3F58F0F7">
            <w:pPr>
              <w:pStyle w:val="196"/>
            </w:pPr>
            <w:r>
              <w:rPr>
                <w:rFonts w:hint="eastAsia"/>
              </w:rPr>
              <w:t>禁止建设不符合全国和省级港口布局规划以及港口总体规划的码头项目，禁止建设不符合《长江干线过江通道布局规划》</w:t>
            </w:r>
            <w:r>
              <w:rPr>
                <w:rFonts w:hint="eastAsia"/>
                <w:lang w:eastAsia="zh-CN"/>
              </w:rPr>
              <w:t>地过</w:t>
            </w:r>
            <w:r>
              <w:rPr>
                <w:rFonts w:hint="eastAsia"/>
              </w:rPr>
              <w:t>长江通道项目。</w:t>
            </w:r>
          </w:p>
        </w:tc>
        <w:tc>
          <w:tcPr>
            <w:tcW w:w="2757" w:type="dxa"/>
            <w:tcBorders>
              <w:top w:val="single" w:color="auto" w:sz="4" w:space="0"/>
              <w:left w:val="single" w:color="auto" w:sz="4" w:space="0"/>
              <w:bottom w:val="single" w:color="auto" w:sz="4" w:space="0"/>
              <w:right w:val="single" w:color="auto" w:sz="4" w:space="0"/>
            </w:tcBorders>
            <w:vAlign w:val="center"/>
          </w:tcPr>
          <w:p w14:paraId="52210B9F">
            <w:pPr>
              <w:pStyle w:val="196"/>
              <w:rPr>
                <w:rFonts w:cs="Times New Roman"/>
                <w:bCs/>
                <w:szCs w:val="21"/>
              </w:rPr>
            </w:pPr>
            <w:r>
              <w:rPr>
                <w:rFonts w:hint="eastAsia" w:cs="Times New Roman"/>
                <w:bCs/>
                <w:szCs w:val="21"/>
              </w:rPr>
              <w:t>本码头建设位置在规划岸线上，符合《淮安港总体规划（2020</w:t>
            </w:r>
            <w:r>
              <w:rPr>
                <w:rFonts w:hint="eastAsia" w:cs="Times New Roman"/>
                <w:bCs/>
                <w:szCs w:val="21"/>
                <w:lang w:eastAsia="zh-CN"/>
              </w:rPr>
              <w:t>—</w:t>
            </w:r>
            <w:r>
              <w:rPr>
                <w:rFonts w:hint="eastAsia" w:cs="Times New Roman"/>
                <w:bCs/>
                <w:szCs w:val="21"/>
              </w:rPr>
              <w:t>2035年）》，不属于长江通道项目。</w:t>
            </w:r>
          </w:p>
        </w:tc>
        <w:tc>
          <w:tcPr>
            <w:tcW w:w="1026" w:type="dxa"/>
            <w:tcBorders>
              <w:top w:val="single" w:color="auto" w:sz="4" w:space="0"/>
              <w:left w:val="single" w:color="auto" w:sz="4" w:space="0"/>
              <w:bottom w:val="single" w:color="auto" w:sz="4" w:space="0"/>
              <w:right w:val="single" w:color="auto" w:sz="4" w:space="0"/>
            </w:tcBorders>
            <w:vAlign w:val="center"/>
          </w:tcPr>
          <w:p w14:paraId="58C7AF12">
            <w:pPr>
              <w:pStyle w:val="196"/>
              <w:rPr>
                <w:rFonts w:cs="Times New Roman"/>
                <w:szCs w:val="21"/>
              </w:rPr>
            </w:pPr>
            <w:r>
              <w:rPr>
                <w:rFonts w:hint="eastAsia"/>
              </w:rPr>
              <w:t>相符</w:t>
            </w:r>
          </w:p>
        </w:tc>
      </w:tr>
      <w:tr w14:paraId="4A20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5026A2D">
            <w:pPr>
              <w:pStyle w:val="196"/>
            </w:pPr>
            <w:r>
              <w:rPr>
                <w:rFonts w:hint="eastAsia"/>
              </w:rPr>
              <w:t>2</w:t>
            </w:r>
          </w:p>
        </w:tc>
        <w:tc>
          <w:tcPr>
            <w:tcW w:w="4725" w:type="dxa"/>
            <w:tcBorders>
              <w:top w:val="single" w:color="auto" w:sz="4" w:space="0"/>
              <w:left w:val="single" w:color="auto" w:sz="4" w:space="0"/>
              <w:bottom w:val="single" w:color="auto" w:sz="4" w:space="0"/>
              <w:right w:val="single" w:color="auto" w:sz="4" w:space="0"/>
            </w:tcBorders>
            <w:vAlign w:val="center"/>
          </w:tcPr>
          <w:p w14:paraId="78B04172">
            <w:pPr>
              <w:pStyle w:val="196"/>
            </w:pPr>
            <w:r>
              <w:rPr>
                <w:rFonts w:hint="eastAsia"/>
              </w:rPr>
              <w:t>禁止在自然保护区核心区、缓冲区的岸线和河段范围内投资建设旅游和生产经营项目。禁止在风景名胜区核心景区的岸线和河段范围内投资建设与风景名胜资源保护无关的项目。</w:t>
            </w:r>
          </w:p>
        </w:tc>
        <w:tc>
          <w:tcPr>
            <w:tcW w:w="2757" w:type="dxa"/>
            <w:tcBorders>
              <w:top w:val="single" w:color="auto" w:sz="4" w:space="0"/>
              <w:left w:val="single" w:color="auto" w:sz="4" w:space="0"/>
              <w:bottom w:val="single" w:color="auto" w:sz="4" w:space="0"/>
              <w:right w:val="single" w:color="auto" w:sz="4" w:space="0"/>
            </w:tcBorders>
            <w:vAlign w:val="center"/>
          </w:tcPr>
          <w:p w14:paraId="1CCBB16C">
            <w:pPr>
              <w:pStyle w:val="196"/>
              <w:rPr>
                <w:rFonts w:cs="Times New Roman"/>
                <w:bCs/>
                <w:szCs w:val="21"/>
              </w:rPr>
            </w:pPr>
            <w:r>
              <w:rPr>
                <w:rFonts w:hint="eastAsia" w:cs="Times New Roman"/>
                <w:bCs/>
                <w:szCs w:val="21"/>
              </w:rPr>
              <w:t>本项目选址不属于自然保护区和风景名胜区。</w:t>
            </w:r>
          </w:p>
        </w:tc>
        <w:tc>
          <w:tcPr>
            <w:tcW w:w="1026" w:type="dxa"/>
            <w:tcBorders>
              <w:top w:val="single" w:color="auto" w:sz="4" w:space="0"/>
              <w:left w:val="single" w:color="auto" w:sz="4" w:space="0"/>
              <w:bottom w:val="single" w:color="auto" w:sz="4" w:space="0"/>
              <w:right w:val="single" w:color="auto" w:sz="4" w:space="0"/>
            </w:tcBorders>
            <w:vAlign w:val="center"/>
          </w:tcPr>
          <w:p w14:paraId="4D622B37">
            <w:pPr>
              <w:pStyle w:val="196"/>
              <w:rPr>
                <w:rFonts w:cs="Times New Roman"/>
                <w:szCs w:val="21"/>
              </w:rPr>
            </w:pPr>
            <w:r>
              <w:rPr>
                <w:rFonts w:hint="eastAsia"/>
              </w:rPr>
              <w:t>相符</w:t>
            </w:r>
          </w:p>
        </w:tc>
      </w:tr>
      <w:tr w14:paraId="79DE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8"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636E8F55">
            <w:pPr>
              <w:pStyle w:val="196"/>
            </w:pPr>
            <w:r>
              <w:rPr>
                <w:rFonts w:hint="eastAsia"/>
              </w:rPr>
              <w:t>3</w:t>
            </w:r>
          </w:p>
        </w:tc>
        <w:tc>
          <w:tcPr>
            <w:tcW w:w="4725" w:type="dxa"/>
            <w:tcBorders>
              <w:top w:val="single" w:color="auto" w:sz="4" w:space="0"/>
              <w:left w:val="single" w:color="auto" w:sz="4" w:space="0"/>
              <w:bottom w:val="single" w:color="auto" w:sz="4" w:space="0"/>
              <w:right w:val="single" w:color="auto" w:sz="4" w:space="0"/>
            </w:tcBorders>
            <w:vAlign w:val="center"/>
          </w:tcPr>
          <w:p w14:paraId="237D8DFE">
            <w:pPr>
              <w:pStyle w:val="196"/>
            </w:pPr>
            <w:r>
              <w:rPr>
                <w:rFonts w:hint="eastAsia"/>
              </w:rPr>
              <w:t>禁止在饮用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757" w:type="dxa"/>
            <w:tcBorders>
              <w:top w:val="single" w:color="auto" w:sz="4" w:space="0"/>
              <w:left w:val="single" w:color="auto" w:sz="4" w:space="0"/>
              <w:bottom w:val="single" w:color="auto" w:sz="4" w:space="0"/>
              <w:right w:val="single" w:color="auto" w:sz="4" w:space="0"/>
            </w:tcBorders>
            <w:vAlign w:val="center"/>
          </w:tcPr>
          <w:p w14:paraId="22BD0225">
            <w:pPr>
              <w:pStyle w:val="196"/>
              <w:rPr>
                <w:rFonts w:cs="Times New Roman"/>
                <w:bCs/>
                <w:szCs w:val="21"/>
              </w:rPr>
            </w:pPr>
            <w:r>
              <w:rPr>
                <w:rFonts w:hint="eastAsia" w:cs="Times New Roman"/>
                <w:bCs/>
                <w:szCs w:val="21"/>
              </w:rPr>
              <w:t>项目选址不在饮用水水源一级保护区和二级保护区的岸线和河段范围内。</w:t>
            </w:r>
          </w:p>
        </w:tc>
        <w:tc>
          <w:tcPr>
            <w:tcW w:w="1026" w:type="dxa"/>
            <w:tcBorders>
              <w:top w:val="single" w:color="auto" w:sz="4" w:space="0"/>
              <w:left w:val="single" w:color="auto" w:sz="4" w:space="0"/>
              <w:bottom w:val="single" w:color="auto" w:sz="4" w:space="0"/>
              <w:right w:val="single" w:color="auto" w:sz="4" w:space="0"/>
            </w:tcBorders>
            <w:vAlign w:val="center"/>
          </w:tcPr>
          <w:p w14:paraId="48081A1C">
            <w:pPr>
              <w:pStyle w:val="196"/>
              <w:rPr>
                <w:rFonts w:cs="Times New Roman"/>
                <w:szCs w:val="21"/>
              </w:rPr>
            </w:pPr>
            <w:r>
              <w:rPr>
                <w:rFonts w:hint="eastAsia"/>
              </w:rPr>
              <w:t>相符</w:t>
            </w:r>
          </w:p>
        </w:tc>
      </w:tr>
      <w:tr w14:paraId="41D8C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690AB9F2">
            <w:pPr>
              <w:pStyle w:val="196"/>
            </w:pPr>
            <w:r>
              <w:rPr>
                <w:rFonts w:hint="eastAsia"/>
              </w:rPr>
              <w:t>4</w:t>
            </w:r>
          </w:p>
        </w:tc>
        <w:tc>
          <w:tcPr>
            <w:tcW w:w="4725" w:type="dxa"/>
            <w:tcBorders>
              <w:top w:val="single" w:color="auto" w:sz="4" w:space="0"/>
              <w:left w:val="single" w:color="auto" w:sz="4" w:space="0"/>
              <w:bottom w:val="single" w:color="auto" w:sz="4" w:space="0"/>
              <w:right w:val="single" w:color="auto" w:sz="4" w:space="0"/>
            </w:tcBorders>
            <w:vAlign w:val="center"/>
          </w:tcPr>
          <w:p w14:paraId="5B8C7A04">
            <w:pPr>
              <w:pStyle w:val="196"/>
            </w:pPr>
            <w:r>
              <w:rPr>
                <w:rFonts w:hint="eastAsia"/>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757" w:type="dxa"/>
            <w:tcBorders>
              <w:top w:val="single" w:color="auto" w:sz="4" w:space="0"/>
              <w:left w:val="single" w:color="auto" w:sz="4" w:space="0"/>
              <w:bottom w:val="single" w:color="auto" w:sz="4" w:space="0"/>
              <w:right w:val="single" w:color="auto" w:sz="4" w:space="0"/>
            </w:tcBorders>
            <w:vAlign w:val="center"/>
          </w:tcPr>
          <w:p w14:paraId="3731C405">
            <w:pPr>
              <w:pStyle w:val="196"/>
              <w:rPr>
                <w:rFonts w:cs="Times New Roman"/>
                <w:bCs/>
                <w:szCs w:val="21"/>
              </w:rPr>
            </w:pPr>
            <w:r>
              <w:rPr>
                <w:rFonts w:hint="eastAsia" w:cs="Times New Roman"/>
                <w:bCs/>
                <w:szCs w:val="21"/>
              </w:rPr>
              <w:t>本项目不涉及水产种质资源保护区和国家湿地公园。</w:t>
            </w:r>
          </w:p>
        </w:tc>
        <w:tc>
          <w:tcPr>
            <w:tcW w:w="1026" w:type="dxa"/>
            <w:tcBorders>
              <w:top w:val="single" w:color="auto" w:sz="4" w:space="0"/>
              <w:left w:val="single" w:color="auto" w:sz="4" w:space="0"/>
              <w:bottom w:val="single" w:color="auto" w:sz="4" w:space="0"/>
              <w:right w:val="single" w:color="auto" w:sz="4" w:space="0"/>
            </w:tcBorders>
            <w:vAlign w:val="center"/>
          </w:tcPr>
          <w:p w14:paraId="0B39C21F">
            <w:pPr>
              <w:pStyle w:val="196"/>
              <w:rPr>
                <w:rFonts w:cs="Times New Roman"/>
                <w:szCs w:val="21"/>
              </w:rPr>
            </w:pPr>
            <w:r>
              <w:rPr>
                <w:rFonts w:hint="eastAsia"/>
              </w:rPr>
              <w:t>相符</w:t>
            </w:r>
          </w:p>
        </w:tc>
      </w:tr>
      <w:tr w14:paraId="695D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35085A9E">
            <w:pPr>
              <w:pStyle w:val="196"/>
            </w:pPr>
            <w:r>
              <w:rPr>
                <w:rFonts w:hint="eastAsia"/>
              </w:rPr>
              <w:t>5</w:t>
            </w:r>
          </w:p>
        </w:tc>
        <w:tc>
          <w:tcPr>
            <w:tcW w:w="4725" w:type="dxa"/>
            <w:tcBorders>
              <w:top w:val="single" w:color="auto" w:sz="4" w:space="0"/>
              <w:left w:val="single" w:color="auto" w:sz="4" w:space="0"/>
              <w:bottom w:val="single" w:color="auto" w:sz="4" w:space="0"/>
              <w:right w:val="single" w:color="auto" w:sz="4" w:space="0"/>
            </w:tcBorders>
            <w:vAlign w:val="center"/>
          </w:tcPr>
          <w:p w14:paraId="1C8940A8">
            <w:pPr>
              <w:pStyle w:val="196"/>
            </w:pPr>
            <w:r>
              <w:rPr>
                <w:rFonts w:hint="eastAsia"/>
              </w:rPr>
              <w:t>禁止违法利用、占用长江流域河湖岸线。禁止在《长江岸线保护和开发利用总体规划》划定的岸线保护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757" w:type="dxa"/>
            <w:tcBorders>
              <w:top w:val="single" w:color="auto" w:sz="4" w:space="0"/>
              <w:left w:val="single" w:color="auto" w:sz="4" w:space="0"/>
              <w:bottom w:val="single" w:color="auto" w:sz="4" w:space="0"/>
              <w:right w:val="single" w:color="auto" w:sz="4" w:space="0"/>
            </w:tcBorders>
            <w:vAlign w:val="center"/>
          </w:tcPr>
          <w:p w14:paraId="58823E07">
            <w:pPr>
              <w:pStyle w:val="196"/>
              <w:rPr>
                <w:rFonts w:cs="Times New Roman"/>
                <w:bCs/>
                <w:szCs w:val="21"/>
              </w:rPr>
            </w:pPr>
            <w:r>
              <w:rPr>
                <w:rFonts w:hint="eastAsia" w:cs="Times New Roman"/>
                <w:bCs/>
                <w:szCs w:val="21"/>
              </w:rPr>
              <w:t>本项目不在《长江岸线保护和开发利用总体规划》划定的岸线保护区内，不在《全国重要江河湖泊水功能区划》划定的河段及湖泊保护区、保留区内。</w:t>
            </w:r>
          </w:p>
        </w:tc>
        <w:tc>
          <w:tcPr>
            <w:tcW w:w="1026" w:type="dxa"/>
            <w:tcBorders>
              <w:top w:val="single" w:color="auto" w:sz="4" w:space="0"/>
              <w:left w:val="single" w:color="auto" w:sz="4" w:space="0"/>
              <w:bottom w:val="single" w:color="auto" w:sz="4" w:space="0"/>
              <w:right w:val="single" w:color="auto" w:sz="4" w:space="0"/>
            </w:tcBorders>
            <w:vAlign w:val="center"/>
          </w:tcPr>
          <w:p w14:paraId="179279F2">
            <w:pPr>
              <w:pStyle w:val="196"/>
              <w:rPr>
                <w:rFonts w:cs="Times New Roman"/>
                <w:szCs w:val="21"/>
              </w:rPr>
            </w:pPr>
            <w:r>
              <w:rPr>
                <w:rFonts w:hint="eastAsia"/>
              </w:rPr>
              <w:t>相符</w:t>
            </w:r>
          </w:p>
        </w:tc>
      </w:tr>
      <w:tr w14:paraId="5DC5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30B6DE08">
            <w:pPr>
              <w:pStyle w:val="196"/>
            </w:pPr>
            <w:r>
              <w:rPr>
                <w:rFonts w:hint="eastAsia"/>
              </w:rPr>
              <w:t>6</w:t>
            </w:r>
          </w:p>
        </w:tc>
        <w:tc>
          <w:tcPr>
            <w:tcW w:w="4725" w:type="dxa"/>
            <w:tcBorders>
              <w:top w:val="single" w:color="auto" w:sz="4" w:space="0"/>
              <w:left w:val="single" w:color="auto" w:sz="4" w:space="0"/>
              <w:bottom w:val="single" w:color="auto" w:sz="4" w:space="0"/>
              <w:right w:val="single" w:color="auto" w:sz="4" w:space="0"/>
            </w:tcBorders>
            <w:vAlign w:val="center"/>
          </w:tcPr>
          <w:p w14:paraId="72709E36">
            <w:pPr>
              <w:pStyle w:val="196"/>
            </w:pPr>
            <w:r>
              <w:rPr>
                <w:rFonts w:hint="eastAsia"/>
              </w:rPr>
              <w:t>禁止未经许可在长江干支流及湖泊新设、改设或扩大排污口。</w:t>
            </w:r>
          </w:p>
        </w:tc>
        <w:tc>
          <w:tcPr>
            <w:tcW w:w="2757" w:type="dxa"/>
            <w:tcBorders>
              <w:top w:val="single" w:color="auto" w:sz="4" w:space="0"/>
              <w:left w:val="single" w:color="auto" w:sz="4" w:space="0"/>
              <w:bottom w:val="single" w:color="auto" w:sz="4" w:space="0"/>
              <w:right w:val="single" w:color="auto" w:sz="4" w:space="0"/>
            </w:tcBorders>
            <w:vAlign w:val="center"/>
          </w:tcPr>
          <w:p w14:paraId="65727E7E">
            <w:pPr>
              <w:pStyle w:val="196"/>
              <w:rPr>
                <w:rFonts w:cs="Times New Roman"/>
                <w:bCs/>
                <w:szCs w:val="21"/>
              </w:rPr>
            </w:pPr>
            <w:r>
              <w:rPr>
                <w:rFonts w:hint="eastAsia" w:cs="Times New Roman"/>
                <w:bCs/>
                <w:szCs w:val="21"/>
              </w:rPr>
              <w:t>本项目不新设、改设或扩大排污口。</w:t>
            </w:r>
          </w:p>
        </w:tc>
        <w:tc>
          <w:tcPr>
            <w:tcW w:w="1026" w:type="dxa"/>
            <w:tcBorders>
              <w:top w:val="single" w:color="auto" w:sz="4" w:space="0"/>
              <w:left w:val="single" w:color="auto" w:sz="4" w:space="0"/>
              <w:bottom w:val="single" w:color="auto" w:sz="4" w:space="0"/>
              <w:right w:val="single" w:color="auto" w:sz="4" w:space="0"/>
            </w:tcBorders>
            <w:vAlign w:val="center"/>
          </w:tcPr>
          <w:p w14:paraId="746B91CB">
            <w:pPr>
              <w:pStyle w:val="196"/>
              <w:rPr>
                <w:rFonts w:cs="Times New Roman"/>
                <w:szCs w:val="21"/>
              </w:rPr>
            </w:pPr>
            <w:r>
              <w:rPr>
                <w:rFonts w:hint="eastAsia"/>
              </w:rPr>
              <w:t>相符</w:t>
            </w:r>
          </w:p>
        </w:tc>
      </w:tr>
      <w:tr w14:paraId="1983E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6D7A92AD">
            <w:pPr>
              <w:pStyle w:val="196"/>
            </w:pPr>
            <w:r>
              <w:rPr>
                <w:rFonts w:hint="eastAsia"/>
              </w:rPr>
              <w:t>7</w:t>
            </w:r>
          </w:p>
        </w:tc>
        <w:tc>
          <w:tcPr>
            <w:tcW w:w="4725" w:type="dxa"/>
            <w:tcBorders>
              <w:top w:val="single" w:color="auto" w:sz="4" w:space="0"/>
              <w:left w:val="single" w:color="auto" w:sz="4" w:space="0"/>
              <w:bottom w:val="single" w:color="auto" w:sz="4" w:space="0"/>
              <w:right w:val="single" w:color="auto" w:sz="4" w:space="0"/>
            </w:tcBorders>
            <w:vAlign w:val="center"/>
          </w:tcPr>
          <w:p w14:paraId="1259D735">
            <w:pPr>
              <w:pStyle w:val="196"/>
            </w:pPr>
            <w:r>
              <w:rPr>
                <w:rFonts w:hint="eastAsia"/>
              </w:rPr>
              <w:t>禁止在“一江一口两湖七河”和332个水生生物保护区开展生产性捕捞。</w:t>
            </w:r>
          </w:p>
        </w:tc>
        <w:tc>
          <w:tcPr>
            <w:tcW w:w="2757" w:type="dxa"/>
            <w:tcBorders>
              <w:top w:val="single" w:color="auto" w:sz="4" w:space="0"/>
              <w:left w:val="single" w:color="auto" w:sz="4" w:space="0"/>
              <w:bottom w:val="single" w:color="auto" w:sz="4" w:space="0"/>
              <w:right w:val="single" w:color="auto" w:sz="4" w:space="0"/>
            </w:tcBorders>
            <w:vAlign w:val="center"/>
          </w:tcPr>
          <w:p w14:paraId="1BA1D683">
            <w:pPr>
              <w:pStyle w:val="196"/>
              <w:rPr>
                <w:rFonts w:cs="Times New Roman"/>
                <w:bCs/>
                <w:szCs w:val="21"/>
              </w:rPr>
            </w:pPr>
            <w:r>
              <w:rPr>
                <w:rFonts w:hint="eastAsia" w:cs="Times New Roman"/>
                <w:bCs/>
                <w:szCs w:val="21"/>
              </w:rPr>
              <w:t>本项目不涉及生产性捕捞。</w:t>
            </w:r>
          </w:p>
        </w:tc>
        <w:tc>
          <w:tcPr>
            <w:tcW w:w="1026" w:type="dxa"/>
            <w:tcBorders>
              <w:top w:val="single" w:color="auto" w:sz="4" w:space="0"/>
              <w:left w:val="single" w:color="auto" w:sz="4" w:space="0"/>
              <w:bottom w:val="single" w:color="auto" w:sz="4" w:space="0"/>
              <w:right w:val="single" w:color="auto" w:sz="4" w:space="0"/>
            </w:tcBorders>
            <w:vAlign w:val="center"/>
          </w:tcPr>
          <w:p w14:paraId="2AAF134B">
            <w:pPr>
              <w:pStyle w:val="196"/>
              <w:rPr>
                <w:rFonts w:cs="Times New Roman"/>
                <w:szCs w:val="21"/>
              </w:rPr>
            </w:pPr>
            <w:r>
              <w:rPr>
                <w:rFonts w:hint="eastAsia"/>
              </w:rPr>
              <w:t>相符</w:t>
            </w:r>
          </w:p>
        </w:tc>
      </w:tr>
      <w:tr w14:paraId="69C6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3E04FE4">
            <w:pPr>
              <w:pStyle w:val="196"/>
            </w:pPr>
            <w:r>
              <w:rPr>
                <w:rFonts w:hint="eastAsia"/>
              </w:rPr>
              <w:t>8</w:t>
            </w:r>
          </w:p>
        </w:tc>
        <w:tc>
          <w:tcPr>
            <w:tcW w:w="4725" w:type="dxa"/>
            <w:tcBorders>
              <w:top w:val="single" w:color="auto" w:sz="4" w:space="0"/>
              <w:left w:val="single" w:color="auto" w:sz="4" w:space="0"/>
              <w:bottom w:val="single" w:color="auto" w:sz="4" w:space="0"/>
              <w:right w:val="single" w:color="auto" w:sz="4" w:space="0"/>
            </w:tcBorders>
            <w:vAlign w:val="center"/>
          </w:tcPr>
          <w:p w14:paraId="7F65D389">
            <w:pPr>
              <w:pStyle w:val="196"/>
            </w:pPr>
            <w:r>
              <w:rPr>
                <w:rFonts w:hint="eastAsia"/>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757" w:type="dxa"/>
            <w:tcBorders>
              <w:top w:val="single" w:color="auto" w:sz="4" w:space="0"/>
              <w:left w:val="single" w:color="auto" w:sz="4" w:space="0"/>
              <w:bottom w:val="single" w:color="auto" w:sz="4" w:space="0"/>
              <w:right w:val="single" w:color="auto" w:sz="4" w:space="0"/>
            </w:tcBorders>
            <w:vAlign w:val="center"/>
          </w:tcPr>
          <w:p w14:paraId="00713CC3">
            <w:pPr>
              <w:pStyle w:val="196"/>
              <w:rPr>
                <w:rFonts w:cs="Times New Roman"/>
                <w:bCs/>
                <w:szCs w:val="21"/>
              </w:rPr>
            </w:pPr>
            <w:r>
              <w:rPr>
                <w:rFonts w:hint="eastAsia" w:cs="Times New Roman"/>
                <w:bCs/>
                <w:szCs w:val="21"/>
              </w:rPr>
              <w:t>本项目不属于新建、扩建化工园区和化工项目，不属于新建、改建、扩建尾矿库、冶炼渣库和磷石膏库。</w:t>
            </w:r>
          </w:p>
        </w:tc>
        <w:tc>
          <w:tcPr>
            <w:tcW w:w="1026" w:type="dxa"/>
            <w:tcBorders>
              <w:top w:val="single" w:color="auto" w:sz="4" w:space="0"/>
              <w:left w:val="single" w:color="auto" w:sz="4" w:space="0"/>
              <w:bottom w:val="single" w:color="auto" w:sz="4" w:space="0"/>
              <w:right w:val="single" w:color="auto" w:sz="4" w:space="0"/>
            </w:tcBorders>
            <w:vAlign w:val="center"/>
          </w:tcPr>
          <w:p w14:paraId="1334C069">
            <w:pPr>
              <w:pStyle w:val="196"/>
              <w:rPr>
                <w:rFonts w:cs="Times New Roman"/>
                <w:kern w:val="0"/>
                <w:szCs w:val="21"/>
              </w:rPr>
            </w:pPr>
            <w:r>
              <w:rPr>
                <w:rFonts w:hint="eastAsia"/>
              </w:rPr>
              <w:t>相符</w:t>
            </w:r>
          </w:p>
        </w:tc>
      </w:tr>
      <w:tr w14:paraId="57A84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7570C929">
            <w:pPr>
              <w:pStyle w:val="196"/>
            </w:pPr>
            <w:r>
              <w:rPr>
                <w:rFonts w:hint="eastAsia"/>
              </w:rPr>
              <w:t>9</w:t>
            </w:r>
          </w:p>
        </w:tc>
        <w:tc>
          <w:tcPr>
            <w:tcW w:w="4725" w:type="dxa"/>
            <w:tcBorders>
              <w:top w:val="single" w:color="auto" w:sz="4" w:space="0"/>
              <w:left w:val="single" w:color="auto" w:sz="4" w:space="0"/>
              <w:bottom w:val="single" w:color="auto" w:sz="4" w:space="0"/>
              <w:right w:val="single" w:color="auto" w:sz="4" w:space="0"/>
            </w:tcBorders>
            <w:vAlign w:val="center"/>
          </w:tcPr>
          <w:p w14:paraId="02E22F45">
            <w:pPr>
              <w:pStyle w:val="196"/>
            </w:pPr>
            <w:r>
              <w:rPr>
                <w:rFonts w:hint="eastAsia"/>
              </w:rPr>
              <w:t>禁止在合规园区外新建、扩建钢铁、石化、化工、焦化、建材、有色、制浆造纸等高污染项目</w:t>
            </w:r>
          </w:p>
        </w:tc>
        <w:tc>
          <w:tcPr>
            <w:tcW w:w="2757" w:type="dxa"/>
            <w:tcBorders>
              <w:top w:val="single" w:color="auto" w:sz="4" w:space="0"/>
              <w:left w:val="single" w:color="auto" w:sz="4" w:space="0"/>
              <w:bottom w:val="single" w:color="auto" w:sz="4" w:space="0"/>
              <w:right w:val="single" w:color="auto" w:sz="4" w:space="0"/>
            </w:tcBorders>
            <w:vAlign w:val="center"/>
          </w:tcPr>
          <w:p w14:paraId="3A3C29D5">
            <w:pPr>
              <w:pStyle w:val="196"/>
              <w:rPr>
                <w:rFonts w:cs="Times New Roman"/>
                <w:bCs/>
                <w:szCs w:val="21"/>
              </w:rPr>
            </w:pPr>
            <w:r>
              <w:rPr>
                <w:rFonts w:hint="eastAsia" w:cs="Times New Roman"/>
                <w:bCs/>
                <w:szCs w:val="21"/>
              </w:rPr>
              <w:t>/</w:t>
            </w:r>
          </w:p>
        </w:tc>
        <w:tc>
          <w:tcPr>
            <w:tcW w:w="1026" w:type="dxa"/>
            <w:tcBorders>
              <w:top w:val="single" w:color="auto" w:sz="4" w:space="0"/>
              <w:left w:val="single" w:color="auto" w:sz="4" w:space="0"/>
              <w:bottom w:val="single" w:color="auto" w:sz="4" w:space="0"/>
              <w:right w:val="single" w:color="auto" w:sz="4" w:space="0"/>
            </w:tcBorders>
            <w:vAlign w:val="center"/>
          </w:tcPr>
          <w:p w14:paraId="311D99F6">
            <w:pPr>
              <w:pStyle w:val="196"/>
              <w:rPr>
                <w:rFonts w:cs="Times New Roman"/>
                <w:szCs w:val="21"/>
              </w:rPr>
            </w:pPr>
            <w:r>
              <w:rPr>
                <w:rFonts w:hint="eastAsia"/>
              </w:rPr>
              <w:t>/</w:t>
            </w:r>
          </w:p>
        </w:tc>
      </w:tr>
      <w:tr w14:paraId="7BB6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6E5540DD">
            <w:pPr>
              <w:pStyle w:val="196"/>
            </w:pPr>
            <w:r>
              <w:rPr>
                <w:rFonts w:hint="eastAsia"/>
              </w:rPr>
              <w:t>10</w:t>
            </w:r>
          </w:p>
        </w:tc>
        <w:tc>
          <w:tcPr>
            <w:tcW w:w="4725" w:type="dxa"/>
            <w:tcBorders>
              <w:top w:val="single" w:color="auto" w:sz="4" w:space="0"/>
              <w:left w:val="single" w:color="auto" w:sz="4" w:space="0"/>
              <w:bottom w:val="single" w:color="auto" w:sz="4" w:space="0"/>
              <w:right w:val="single" w:color="auto" w:sz="4" w:space="0"/>
            </w:tcBorders>
            <w:vAlign w:val="center"/>
          </w:tcPr>
          <w:p w14:paraId="57A64F20">
            <w:pPr>
              <w:pStyle w:val="196"/>
            </w:pPr>
            <w:r>
              <w:rPr>
                <w:rFonts w:hint="eastAsia"/>
              </w:rPr>
              <w:t>禁止新建、扩建不符合国家石化、现代煤化工等产业布局的规划的项目。</w:t>
            </w:r>
          </w:p>
        </w:tc>
        <w:tc>
          <w:tcPr>
            <w:tcW w:w="2757" w:type="dxa"/>
            <w:tcBorders>
              <w:top w:val="single" w:color="auto" w:sz="4" w:space="0"/>
              <w:left w:val="single" w:color="auto" w:sz="4" w:space="0"/>
              <w:bottom w:val="single" w:color="auto" w:sz="4" w:space="0"/>
              <w:right w:val="single" w:color="auto" w:sz="4" w:space="0"/>
            </w:tcBorders>
            <w:vAlign w:val="center"/>
          </w:tcPr>
          <w:p w14:paraId="22366DBF">
            <w:pPr>
              <w:pStyle w:val="196"/>
              <w:rPr>
                <w:rFonts w:cs="Times New Roman"/>
                <w:bCs/>
                <w:szCs w:val="21"/>
              </w:rPr>
            </w:pPr>
            <w:r>
              <w:rPr>
                <w:rFonts w:hint="eastAsia" w:cs="Times New Roman"/>
                <w:bCs/>
                <w:szCs w:val="21"/>
              </w:rPr>
              <w:t>本项目不属于石化、现代煤化工产业。</w:t>
            </w:r>
          </w:p>
        </w:tc>
        <w:tc>
          <w:tcPr>
            <w:tcW w:w="1026" w:type="dxa"/>
            <w:tcBorders>
              <w:top w:val="single" w:color="auto" w:sz="4" w:space="0"/>
              <w:left w:val="single" w:color="auto" w:sz="4" w:space="0"/>
              <w:bottom w:val="single" w:color="auto" w:sz="4" w:space="0"/>
              <w:right w:val="single" w:color="auto" w:sz="4" w:space="0"/>
            </w:tcBorders>
            <w:vAlign w:val="center"/>
          </w:tcPr>
          <w:p w14:paraId="1D1CFA2D">
            <w:pPr>
              <w:pStyle w:val="196"/>
              <w:rPr>
                <w:rFonts w:cs="Times New Roman"/>
                <w:szCs w:val="21"/>
              </w:rPr>
            </w:pPr>
            <w:r>
              <w:rPr>
                <w:rFonts w:hint="eastAsia"/>
              </w:rPr>
              <w:t>相符</w:t>
            </w:r>
          </w:p>
        </w:tc>
      </w:tr>
      <w:tr w14:paraId="7D95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92" w:type="dxa"/>
            <w:tcBorders>
              <w:top w:val="single" w:color="auto" w:sz="4" w:space="0"/>
              <w:left w:val="single" w:color="auto" w:sz="4" w:space="0"/>
              <w:bottom w:val="single" w:color="auto" w:sz="4" w:space="0"/>
              <w:right w:val="single" w:color="auto" w:sz="4" w:space="0"/>
            </w:tcBorders>
            <w:vAlign w:val="center"/>
          </w:tcPr>
          <w:p w14:paraId="1D17E783">
            <w:pPr>
              <w:pStyle w:val="196"/>
            </w:pPr>
            <w:r>
              <w:rPr>
                <w:rFonts w:hint="eastAsia"/>
              </w:rPr>
              <w:t>11</w:t>
            </w:r>
          </w:p>
        </w:tc>
        <w:tc>
          <w:tcPr>
            <w:tcW w:w="4725" w:type="dxa"/>
            <w:tcBorders>
              <w:top w:val="single" w:color="auto" w:sz="4" w:space="0"/>
              <w:left w:val="single" w:color="auto" w:sz="4" w:space="0"/>
              <w:bottom w:val="single" w:color="auto" w:sz="4" w:space="0"/>
              <w:right w:val="single" w:color="auto" w:sz="4" w:space="0"/>
            </w:tcBorders>
            <w:vAlign w:val="center"/>
          </w:tcPr>
          <w:p w14:paraId="391955A5">
            <w:pPr>
              <w:pStyle w:val="196"/>
            </w:pPr>
            <w:r>
              <w:rPr>
                <w:rFonts w:hint="eastAsia"/>
              </w:rPr>
              <w:t>禁止新建、扩建法律法规和相关政策明令禁止的落后产能项目。禁止新建、扩建不符合国家产能置换要求的严重过剩产能行业的项目。禁止新建、扩建不符合要求的高耗能高排放项目。</w:t>
            </w:r>
          </w:p>
        </w:tc>
        <w:tc>
          <w:tcPr>
            <w:tcW w:w="2757" w:type="dxa"/>
            <w:tcBorders>
              <w:top w:val="single" w:color="auto" w:sz="4" w:space="0"/>
              <w:left w:val="single" w:color="auto" w:sz="4" w:space="0"/>
              <w:bottom w:val="single" w:color="auto" w:sz="4" w:space="0"/>
              <w:right w:val="single" w:color="auto" w:sz="4" w:space="0"/>
            </w:tcBorders>
            <w:vAlign w:val="center"/>
          </w:tcPr>
          <w:p w14:paraId="1BF7789B">
            <w:pPr>
              <w:pStyle w:val="196"/>
              <w:rPr>
                <w:rFonts w:cs="Times New Roman"/>
                <w:bCs/>
                <w:szCs w:val="21"/>
              </w:rPr>
            </w:pPr>
            <w:r>
              <w:rPr>
                <w:rFonts w:hint="eastAsia" w:cs="Times New Roman"/>
                <w:bCs/>
                <w:szCs w:val="21"/>
              </w:rPr>
              <w:t>本项目不属于此类项目。</w:t>
            </w:r>
          </w:p>
        </w:tc>
        <w:tc>
          <w:tcPr>
            <w:tcW w:w="1026" w:type="dxa"/>
            <w:tcBorders>
              <w:top w:val="single" w:color="auto" w:sz="4" w:space="0"/>
              <w:left w:val="single" w:color="auto" w:sz="4" w:space="0"/>
              <w:bottom w:val="single" w:color="auto" w:sz="4" w:space="0"/>
              <w:right w:val="single" w:color="auto" w:sz="4" w:space="0"/>
            </w:tcBorders>
            <w:vAlign w:val="center"/>
          </w:tcPr>
          <w:p w14:paraId="7FDA87BB">
            <w:pPr>
              <w:pStyle w:val="196"/>
              <w:rPr>
                <w:rFonts w:cs="Times New Roman"/>
                <w:szCs w:val="21"/>
              </w:rPr>
            </w:pPr>
            <w:r>
              <w:rPr>
                <w:rFonts w:hint="eastAsia"/>
              </w:rPr>
              <w:t>相符</w:t>
            </w:r>
          </w:p>
        </w:tc>
      </w:tr>
    </w:tbl>
    <w:p w14:paraId="7E4ABDD8">
      <w:pPr>
        <w:pStyle w:val="86"/>
      </w:pPr>
      <w:r>
        <w:rPr>
          <w:rFonts w:hint="eastAsia"/>
        </w:rPr>
        <w:t>与《〈长江经济带发展负面清单指南（试行，2022年版）〉江苏省实施细则》相符性分析</w:t>
      </w:r>
    </w:p>
    <w:tbl>
      <w:tblPr>
        <w:tblStyle w:val="38"/>
        <w:tblW w:w="4890" w:type="pct"/>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727"/>
        <w:gridCol w:w="2669"/>
        <w:gridCol w:w="992"/>
      </w:tblGrid>
      <w:tr w14:paraId="052A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82" w:type="pct"/>
            <w:tcBorders>
              <w:top w:val="single" w:color="auto" w:sz="4" w:space="0"/>
              <w:left w:val="single" w:color="auto" w:sz="4" w:space="0"/>
              <w:bottom w:val="single" w:color="auto" w:sz="4" w:space="0"/>
              <w:right w:val="single" w:color="auto" w:sz="4" w:space="0"/>
            </w:tcBorders>
            <w:vAlign w:val="center"/>
          </w:tcPr>
          <w:p w14:paraId="146205E0">
            <w:pPr>
              <w:pStyle w:val="196"/>
              <w:rPr>
                <w:b/>
                <w:bCs/>
                <w:szCs w:val="21"/>
              </w:rPr>
            </w:pPr>
            <w:r>
              <w:rPr>
                <w:rFonts w:hint="eastAsia"/>
                <w:b/>
                <w:bCs/>
              </w:rPr>
              <w:t>序号</w:t>
            </w:r>
          </w:p>
        </w:tc>
        <w:tc>
          <w:tcPr>
            <w:tcW w:w="4727" w:type="dxa"/>
            <w:tcBorders>
              <w:top w:val="single" w:color="auto" w:sz="4" w:space="0"/>
              <w:left w:val="single" w:color="auto" w:sz="4" w:space="0"/>
              <w:bottom w:val="single" w:color="auto" w:sz="4" w:space="0"/>
              <w:right w:val="single" w:color="auto" w:sz="4" w:space="0"/>
            </w:tcBorders>
            <w:vAlign w:val="center"/>
          </w:tcPr>
          <w:p w14:paraId="0F882657">
            <w:pPr>
              <w:pStyle w:val="196"/>
              <w:rPr>
                <w:b/>
                <w:bCs/>
              </w:rPr>
            </w:pPr>
            <w:r>
              <w:rPr>
                <w:rFonts w:hint="eastAsia"/>
                <w:b/>
                <w:bCs/>
              </w:rPr>
              <w:t>文件相关内容</w:t>
            </w:r>
          </w:p>
        </w:tc>
        <w:tc>
          <w:tcPr>
            <w:tcW w:w="2669" w:type="dxa"/>
            <w:tcBorders>
              <w:top w:val="single" w:color="auto" w:sz="4" w:space="0"/>
              <w:left w:val="single" w:color="auto" w:sz="4" w:space="0"/>
              <w:bottom w:val="single" w:color="auto" w:sz="4" w:space="0"/>
              <w:right w:val="single" w:color="auto" w:sz="4" w:space="0"/>
            </w:tcBorders>
            <w:vAlign w:val="center"/>
          </w:tcPr>
          <w:p w14:paraId="7533816A">
            <w:pPr>
              <w:pStyle w:val="196"/>
              <w:rPr>
                <w:b/>
                <w:bCs/>
              </w:rPr>
            </w:pPr>
            <w:r>
              <w:rPr>
                <w:rFonts w:hint="eastAsia"/>
                <w:b/>
                <w:bCs/>
              </w:rPr>
              <w:t>相符性分析</w:t>
            </w:r>
          </w:p>
        </w:tc>
        <w:tc>
          <w:tcPr>
            <w:tcW w:w="992" w:type="dxa"/>
            <w:tcBorders>
              <w:top w:val="single" w:color="auto" w:sz="4" w:space="0"/>
              <w:left w:val="single" w:color="auto" w:sz="4" w:space="0"/>
              <w:bottom w:val="single" w:color="auto" w:sz="4" w:space="0"/>
              <w:right w:val="single" w:color="auto" w:sz="4" w:space="0"/>
            </w:tcBorders>
            <w:vAlign w:val="center"/>
          </w:tcPr>
          <w:p w14:paraId="53F8A6FC">
            <w:pPr>
              <w:pStyle w:val="196"/>
              <w:rPr>
                <w:b/>
                <w:bCs/>
              </w:rPr>
            </w:pPr>
            <w:r>
              <w:rPr>
                <w:rFonts w:hint="eastAsia"/>
                <w:b/>
                <w:bCs/>
              </w:rPr>
              <w:t>是否相符</w:t>
            </w:r>
          </w:p>
        </w:tc>
      </w:tr>
      <w:tr w14:paraId="3C163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59B4D0B9">
            <w:pPr>
              <w:pStyle w:val="196"/>
            </w:pPr>
            <w:r>
              <w:rPr>
                <w:rFonts w:hint="eastAsia"/>
              </w:rPr>
              <w:t>1</w:t>
            </w:r>
          </w:p>
        </w:tc>
        <w:tc>
          <w:tcPr>
            <w:tcW w:w="2601" w:type="pct"/>
            <w:tcBorders>
              <w:top w:val="single" w:color="auto" w:sz="4" w:space="0"/>
              <w:left w:val="single" w:color="auto" w:sz="4" w:space="0"/>
              <w:bottom w:val="single" w:color="auto" w:sz="4" w:space="0"/>
              <w:right w:val="single" w:color="auto" w:sz="4" w:space="0"/>
            </w:tcBorders>
            <w:vAlign w:val="center"/>
          </w:tcPr>
          <w:p w14:paraId="08B83123">
            <w:pPr>
              <w:pStyle w:val="196"/>
            </w:pPr>
            <w:r>
              <w:rPr>
                <w:rFonts w:hint="eastAsia"/>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469" w:type="pct"/>
            <w:tcBorders>
              <w:top w:val="single" w:color="auto" w:sz="4" w:space="0"/>
              <w:left w:val="single" w:color="auto" w:sz="4" w:space="0"/>
              <w:bottom w:val="single" w:color="auto" w:sz="4" w:space="0"/>
              <w:right w:val="single" w:color="auto" w:sz="4" w:space="0"/>
            </w:tcBorders>
            <w:vAlign w:val="center"/>
          </w:tcPr>
          <w:p w14:paraId="1D41BCB8">
            <w:pPr>
              <w:pStyle w:val="196"/>
            </w:pPr>
            <w:r>
              <w:rPr>
                <w:rFonts w:hint="eastAsia"/>
              </w:rPr>
              <w:t>本项目不涉及自然保护区、风景名胜区。</w:t>
            </w:r>
          </w:p>
        </w:tc>
        <w:tc>
          <w:tcPr>
            <w:tcW w:w="546" w:type="pct"/>
            <w:tcBorders>
              <w:top w:val="single" w:color="auto" w:sz="4" w:space="0"/>
              <w:left w:val="single" w:color="auto" w:sz="4" w:space="0"/>
              <w:bottom w:val="single" w:color="auto" w:sz="4" w:space="0"/>
              <w:right w:val="single" w:color="auto" w:sz="4" w:space="0"/>
            </w:tcBorders>
            <w:vAlign w:val="center"/>
          </w:tcPr>
          <w:p w14:paraId="7DF1B0BD">
            <w:pPr>
              <w:pStyle w:val="196"/>
            </w:pPr>
            <w:r>
              <w:rPr>
                <w:rFonts w:hint="eastAsia"/>
              </w:rPr>
              <w:t>相符</w:t>
            </w:r>
          </w:p>
        </w:tc>
      </w:tr>
      <w:tr w14:paraId="4ECF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3A60E8DE">
            <w:pPr>
              <w:pStyle w:val="196"/>
            </w:pPr>
            <w:r>
              <w:rPr>
                <w:rFonts w:hint="eastAsia"/>
              </w:rPr>
              <w:t>2</w:t>
            </w:r>
          </w:p>
        </w:tc>
        <w:tc>
          <w:tcPr>
            <w:tcW w:w="2601" w:type="pct"/>
            <w:tcBorders>
              <w:top w:val="single" w:color="auto" w:sz="4" w:space="0"/>
              <w:left w:val="single" w:color="auto" w:sz="4" w:space="0"/>
              <w:bottom w:val="single" w:color="auto" w:sz="4" w:space="0"/>
              <w:right w:val="single" w:color="auto" w:sz="4" w:space="0"/>
            </w:tcBorders>
            <w:vAlign w:val="center"/>
          </w:tcPr>
          <w:p w14:paraId="32D25987">
            <w:pPr>
              <w:pStyle w:val="196"/>
            </w:pPr>
            <w:r>
              <w:rPr>
                <w:rFonts w:hint="eastAsia"/>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禁止在饮用水水源准保护区的岸线和河段范围内新建、扩建对水体污染严重的投资建设项目，改建项目应当削减排污量。</w:t>
            </w:r>
          </w:p>
        </w:tc>
        <w:tc>
          <w:tcPr>
            <w:tcW w:w="1469" w:type="pct"/>
            <w:tcBorders>
              <w:top w:val="single" w:color="auto" w:sz="4" w:space="0"/>
              <w:left w:val="single" w:color="auto" w:sz="4" w:space="0"/>
              <w:bottom w:val="single" w:color="auto" w:sz="4" w:space="0"/>
              <w:right w:val="single" w:color="auto" w:sz="4" w:space="0"/>
            </w:tcBorders>
            <w:vAlign w:val="center"/>
          </w:tcPr>
          <w:p w14:paraId="4AC15174">
            <w:pPr>
              <w:pStyle w:val="196"/>
            </w:pPr>
            <w:r>
              <w:rPr>
                <w:rFonts w:hint="eastAsia"/>
              </w:rPr>
              <w:t>本项目不在饮用水水源一级保护区和二级保护区内，项目满足《中华人民共和国水污染防治法》《江苏省人民代表大会常务委员会关于加强饮用水源地保护的决定》《江苏省水污染防治条例》要求。</w:t>
            </w:r>
          </w:p>
        </w:tc>
        <w:tc>
          <w:tcPr>
            <w:tcW w:w="546" w:type="pct"/>
            <w:tcBorders>
              <w:top w:val="single" w:color="auto" w:sz="4" w:space="0"/>
              <w:left w:val="single" w:color="auto" w:sz="4" w:space="0"/>
              <w:bottom w:val="single" w:color="auto" w:sz="4" w:space="0"/>
              <w:right w:val="single" w:color="auto" w:sz="4" w:space="0"/>
            </w:tcBorders>
            <w:vAlign w:val="center"/>
          </w:tcPr>
          <w:p w14:paraId="755EBEEE">
            <w:pPr>
              <w:pStyle w:val="196"/>
            </w:pPr>
            <w:r>
              <w:rPr>
                <w:rFonts w:hint="eastAsia"/>
              </w:rPr>
              <w:t>相符</w:t>
            </w:r>
          </w:p>
        </w:tc>
      </w:tr>
      <w:tr w14:paraId="3F25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10C4BAFE">
            <w:pPr>
              <w:pStyle w:val="196"/>
            </w:pPr>
            <w:r>
              <w:rPr>
                <w:rFonts w:hint="eastAsia"/>
              </w:rPr>
              <w:t>3</w:t>
            </w:r>
          </w:p>
        </w:tc>
        <w:tc>
          <w:tcPr>
            <w:tcW w:w="2601" w:type="pct"/>
            <w:tcBorders>
              <w:top w:val="single" w:color="auto" w:sz="4" w:space="0"/>
              <w:left w:val="single" w:color="auto" w:sz="4" w:space="0"/>
              <w:bottom w:val="single" w:color="auto" w:sz="4" w:space="0"/>
              <w:right w:val="single" w:color="auto" w:sz="4" w:space="0"/>
            </w:tcBorders>
            <w:vAlign w:val="center"/>
          </w:tcPr>
          <w:p w14:paraId="66464BC8">
            <w:pPr>
              <w:pStyle w:val="196"/>
            </w:pPr>
            <w:r>
              <w:rPr>
                <w:rFonts w:hint="eastAsia"/>
              </w:rPr>
              <w:t>严格执行《水产种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469" w:type="pct"/>
            <w:tcBorders>
              <w:top w:val="single" w:color="auto" w:sz="4" w:space="0"/>
              <w:left w:val="single" w:color="auto" w:sz="4" w:space="0"/>
              <w:bottom w:val="single" w:color="auto" w:sz="4" w:space="0"/>
              <w:right w:val="single" w:color="auto" w:sz="4" w:space="0"/>
            </w:tcBorders>
            <w:vAlign w:val="center"/>
          </w:tcPr>
          <w:p w14:paraId="31D629A0">
            <w:pPr>
              <w:pStyle w:val="196"/>
            </w:pPr>
            <w:r>
              <w:rPr>
                <w:rFonts w:hint="eastAsia"/>
              </w:rPr>
              <w:t>本项目不新建排污口，无围湖造田、围海造地或围填海。</w:t>
            </w:r>
          </w:p>
        </w:tc>
        <w:tc>
          <w:tcPr>
            <w:tcW w:w="546" w:type="pct"/>
            <w:tcBorders>
              <w:top w:val="single" w:color="auto" w:sz="4" w:space="0"/>
              <w:left w:val="single" w:color="auto" w:sz="4" w:space="0"/>
              <w:bottom w:val="single" w:color="auto" w:sz="4" w:space="0"/>
              <w:right w:val="single" w:color="auto" w:sz="4" w:space="0"/>
            </w:tcBorders>
            <w:vAlign w:val="center"/>
          </w:tcPr>
          <w:p w14:paraId="00079D2B">
            <w:pPr>
              <w:pStyle w:val="196"/>
            </w:pPr>
            <w:r>
              <w:rPr>
                <w:rFonts w:hint="eastAsia"/>
              </w:rPr>
              <w:t>相符</w:t>
            </w:r>
          </w:p>
        </w:tc>
      </w:tr>
      <w:tr w14:paraId="585E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12B0AC60">
            <w:pPr>
              <w:pStyle w:val="196"/>
            </w:pPr>
            <w:r>
              <w:rPr>
                <w:rFonts w:hint="eastAsia"/>
              </w:rPr>
              <w:t>4</w:t>
            </w:r>
          </w:p>
        </w:tc>
        <w:tc>
          <w:tcPr>
            <w:tcW w:w="2601" w:type="pct"/>
            <w:tcBorders>
              <w:top w:val="single" w:color="auto" w:sz="4" w:space="0"/>
              <w:left w:val="single" w:color="auto" w:sz="4" w:space="0"/>
              <w:bottom w:val="single" w:color="auto" w:sz="4" w:space="0"/>
              <w:right w:val="single" w:color="auto" w:sz="4" w:space="0"/>
            </w:tcBorders>
            <w:vAlign w:val="center"/>
          </w:tcPr>
          <w:p w14:paraId="1ED1A2D6">
            <w:pPr>
              <w:pStyle w:val="196"/>
            </w:pPr>
            <w:r>
              <w:rPr>
                <w:rFonts w:hint="eastAsia"/>
              </w:rPr>
              <w:t>禁止未经许可在长江干支流及湖泊新设、改设或扩大排污口。</w:t>
            </w:r>
          </w:p>
        </w:tc>
        <w:tc>
          <w:tcPr>
            <w:tcW w:w="1469" w:type="pct"/>
            <w:tcBorders>
              <w:top w:val="single" w:color="auto" w:sz="4" w:space="0"/>
              <w:left w:val="single" w:color="auto" w:sz="4" w:space="0"/>
              <w:bottom w:val="single" w:color="auto" w:sz="4" w:space="0"/>
              <w:right w:val="single" w:color="auto" w:sz="4" w:space="0"/>
            </w:tcBorders>
            <w:vAlign w:val="center"/>
          </w:tcPr>
          <w:p w14:paraId="6B60BBEA">
            <w:pPr>
              <w:pStyle w:val="196"/>
            </w:pPr>
            <w:r>
              <w:rPr>
                <w:rFonts w:hint="eastAsia"/>
              </w:rPr>
              <w:t>本项目废水接管热电联产项目污水处理站，不在长江干支流及湖泊设置排污口。</w:t>
            </w:r>
          </w:p>
        </w:tc>
        <w:tc>
          <w:tcPr>
            <w:tcW w:w="546" w:type="pct"/>
            <w:tcBorders>
              <w:top w:val="single" w:color="auto" w:sz="4" w:space="0"/>
              <w:left w:val="single" w:color="auto" w:sz="4" w:space="0"/>
              <w:bottom w:val="single" w:color="auto" w:sz="4" w:space="0"/>
              <w:right w:val="single" w:color="auto" w:sz="4" w:space="0"/>
            </w:tcBorders>
            <w:vAlign w:val="center"/>
          </w:tcPr>
          <w:p w14:paraId="7915E77B">
            <w:pPr>
              <w:pStyle w:val="196"/>
            </w:pPr>
            <w:r>
              <w:rPr>
                <w:rFonts w:hint="eastAsia"/>
              </w:rPr>
              <w:t>相符</w:t>
            </w:r>
          </w:p>
        </w:tc>
      </w:tr>
      <w:tr w14:paraId="297A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35CAF54D">
            <w:pPr>
              <w:pStyle w:val="196"/>
            </w:pPr>
            <w:r>
              <w:rPr>
                <w:rFonts w:hint="eastAsia"/>
              </w:rPr>
              <w:t>5</w:t>
            </w:r>
          </w:p>
        </w:tc>
        <w:tc>
          <w:tcPr>
            <w:tcW w:w="2601" w:type="pct"/>
            <w:tcBorders>
              <w:top w:val="single" w:color="auto" w:sz="4" w:space="0"/>
              <w:left w:val="single" w:color="auto" w:sz="4" w:space="0"/>
              <w:bottom w:val="single" w:color="auto" w:sz="4" w:space="0"/>
              <w:right w:val="single" w:color="auto" w:sz="4" w:space="0"/>
            </w:tcBorders>
            <w:vAlign w:val="center"/>
          </w:tcPr>
          <w:p w14:paraId="46315381">
            <w:pPr>
              <w:pStyle w:val="196"/>
            </w:pPr>
            <w:r>
              <w:rPr>
                <w:rFonts w:hint="eastAsia"/>
              </w:rPr>
              <w:t>禁止在距离长江干支流岸线一公里范围内新建、扩建化工园区和化工项目。</w:t>
            </w:r>
          </w:p>
        </w:tc>
        <w:tc>
          <w:tcPr>
            <w:tcW w:w="1469" w:type="pct"/>
            <w:tcBorders>
              <w:top w:val="single" w:color="auto" w:sz="4" w:space="0"/>
              <w:left w:val="single" w:color="auto" w:sz="4" w:space="0"/>
              <w:bottom w:val="single" w:color="auto" w:sz="4" w:space="0"/>
              <w:right w:val="single" w:color="auto" w:sz="4" w:space="0"/>
            </w:tcBorders>
            <w:vAlign w:val="center"/>
          </w:tcPr>
          <w:p w14:paraId="6D5D4F1B">
            <w:pPr>
              <w:pStyle w:val="196"/>
            </w:pPr>
            <w:r>
              <w:rPr>
                <w:rFonts w:hint="eastAsia"/>
              </w:rPr>
              <w:t>本项目不属于化工项目。</w:t>
            </w:r>
          </w:p>
        </w:tc>
        <w:tc>
          <w:tcPr>
            <w:tcW w:w="546" w:type="pct"/>
            <w:tcBorders>
              <w:top w:val="single" w:color="auto" w:sz="4" w:space="0"/>
              <w:left w:val="single" w:color="auto" w:sz="4" w:space="0"/>
              <w:bottom w:val="single" w:color="auto" w:sz="4" w:space="0"/>
              <w:right w:val="single" w:color="auto" w:sz="4" w:space="0"/>
            </w:tcBorders>
            <w:vAlign w:val="center"/>
          </w:tcPr>
          <w:p w14:paraId="2FB0B772">
            <w:pPr>
              <w:pStyle w:val="196"/>
            </w:pPr>
            <w:r>
              <w:rPr>
                <w:rFonts w:hint="eastAsia"/>
              </w:rPr>
              <w:t>相符</w:t>
            </w:r>
          </w:p>
        </w:tc>
      </w:tr>
      <w:tr w14:paraId="1173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551AB603">
            <w:pPr>
              <w:pStyle w:val="196"/>
            </w:pPr>
            <w:r>
              <w:rPr>
                <w:rFonts w:hint="eastAsia"/>
              </w:rPr>
              <w:t>6</w:t>
            </w:r>
          </w:p>
        </w:tc>
        <w:tc>
          <w:tcPr>
            <w:tcW w:w="2601" w:type="pct"/>
            <w:tcBorders>
              <w:top w:val="single" w:color="auto" w:sz="4" w:space="0"/>
              <w:left w:val="single" w:color="auto" w:sz="4" w:space="0"/>
              <w:bottom w:val="single" w:color="auto" w:sz="4" w:space="0"/>
              <w:right w:val="single" w:color="auto" w:sz="4" w:space="0"/>
            </w:tcBorders>
            <w:vAlign w:val="center"/>
          </w:tcPr>
          <w:p w14:paraId="7CC57DF5">
            <w:pPr>
              <w:pStyle w:val="196"/>
            </w:pPr>
            <w:r>
              <w:rPr>
                <w:rFonts w:hint="eastAsia"/>
              </w:rPr>
              <w:t>禁止在距离长江干流岸线 3 公里范围内新建、改建、扩建尾矿库、冶炼渣库和磷石膏库，以提升安全、生态环境保护水平为目的的改建除外。</w:t>
            </w:r>
          </w:p>
        </w:tc>
        <w:tc>
          <w:tcPr>
            <w:tcW w:w="1469" w:type="pct"/>
            <w:tcBorders>
              <w:top w:val="single" w:color="auto" w:sz="4" w:space="0"/>
              <w:left w:val="single" w:color="auto" w:sz="4" w:space="0"/>
              <w:bottom w:val="single" w:color="auto" w:sz="4" w:space="0"/>
              <w:right w:val="single" w:color="auto" w:sz="4" w:space="0"/>
            </w:tcBorders>
            <w:vAlign w:val="center"/>
          </w:tcPr>
          <w:p w14:paraId="3F7E1D49">
            <w:pPr>
              <w:pStyle w:val="196"/>
            </w:pPr>
            <w:r>
              <w:rPr>
                <w:rFonts w:hint="eastAsia"/>
              </w:rPr>
              <w:t>本项目无尾矿库、冶炼渣库和磷石膏库。</w:t>
            </w:r>
          </w:p>
        </w:tc>
        <w:tc>
          <w:tcPr>
            <w:tcW w:w="546" w:type="pct"/>
            <w:tcBorders>
              <w:top w:val="single" w:color="auto" w:sz="4" w:space="0"/>
              <w:left w:val="single" w:color="auto" w:sz="4" w:space="0"/>
              <w:bottom w:val="single" w:color="auto" w:sz="4" w:space="0"/>
              <w:right w:val="single" w:color="auto" w:sz="4" w:space="0"/>
            </w:tcBorders>
            <w:vAlign w:val="center"/>
          </w:tcPr>
          <w:p w14:paraId="643647F8">
            <w:pPr>
              <w:pStyle w:val="196"/>
            </w:pPr>
            <w:r>
              <w:rPr>
                <w:rFonts w:hint="eastAsia"/>
              </w:rPr>
              <w:t>相符</w:t>
            </w:r>
          </w:p>
        </w:tc>
      </w:tr>
      <w:tr w14:paraId="2355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23DC0CBB">
            <w:pPr>
              <w:pStyle w:val="196"/>
            </w:pPr>
            <w:r>
              <w:rPr>
                <w:rFonts w:hint="eastAsia"/>
              </w:rPr>
              <w:t>7</w:t>
            </w:r>
          </w:p>
        </w:tc>
        <w:tc>
          <w:tcPr>
            <w:tcW w:w="2601" w:type="pct"/>
            <w:tcBorders>
              <w:top w:val="single" w:color="auto" w:sz="4" w:space="0"/>
              <w:left w:val="single" w:color="auto" w:sz="4" w:space="0"/>
              <w:bottom w:val="single" w:color="auto" w:sz="4" w:space="0"/>
              <w:right w:val="single" w:color="auto" w:sz="4" w:space="0"/>
            </w:tcBorders>
            <w:vAlign w:val="center"/>
          </w:tcPr>
          <w:p w14:paraId="4BE11D93">
            <w:pPr>
              <w:pStyle w:val="196"/>
            </w:pPr>
            <w:r>
              <w:rPr>
                <w:rFonts w:hint="eastAsia"/>
              </w:rPr>
              <w:t>禁止在太湖流域一、二、三级保护区内开展《江苏省太湖水污染防治</w:t>
            </w:r>
            <w:r>
              <w:rPr>
                <w:rFonts w:hint="eastAsia"/>
                <w:lang w:val="en-US"/>
              </w:rPr>
              <w:t>条例</w:t>
            </w:r>
            <w:r>
              <w:rPr>
                <w:rFonts w:hint="eastAsia"/>
              </w:rPr>
              <w:t>》禁止的投资建设活动。</w:t>
            </w:r>
          </w:p>
        </w:tc>
        <w:tc>
          <w:tcPr>
            <w:tcW w:w="1469" w:type="pct"/>
            <w:tcBorders>
              <w:top w:val="single" w:color="auto" w:sz="4" w:space="0"/>
              <w:left w:val="single" w:color="auto" w:sz="4" w:space="0"/>
              <w:bottom w:val="single" w:color="auto" w:sz="4" w:space="0"/>
              <w:right w:val="single" w:color="auto" w:sz="4" w:space="0"/>
            </w:tcBorders>
            <w:vAlign w:val="center"/>
          </w:tcPr>
          <w:p w14:paraId="163880B9">
            <w:pPr>
              <w:pStyle w:val="196"/>
            </w:pPr>
            <w:r>
              <w:rPr>
                <w:rFonts w:hint="eastAsia"/>
              </w:rPr>
              <w:t>本项目不涉及。</w:t>
            </w:r>
          </w:p>
        </w:tc>
        <w:tc>
          <w:tcPr>
            <w:tcW w:w="546" w:type="pct"/>
            <w:tcBorders>
              <w:top w:val="single" w:color="auto" w:sz="4" w:space="0"/>
              <w:left w:val="single" w:color="auto" w:sz="4" w:space="0"/>
              <w:bottom w:val="single" w:color="auto" w:sz="4" w:space="0"/>
              <w:right w:val="single" w:color="auto" w:sz="4" w:space="0"/>
            </w:tcBorders>
            <w:vAlign w:val="center"/>
          </w:tcPr>
          <w:p w14:paraId="10AEF767">
            <w:pPr>
              <w:pStyle w:val="196"/>
            </w:pPr>
            <w:r>
              <w:rPr>
                <w:rFonts w:hint="eastAsia"/>
              </w:rPr>
              <w:t>相符</w:t>
            </w:r>
          </w:p>
        </w:tc>
      </w:tr>
      <w:tr w14:paraId="18BE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2ECFBBA4">
            <w:pPr>
              <w:pStyle w:val="196"/>
            </w:pPr>
            <w:r>
              <w:rPr>
                <w:rFonts w:hint="eastAsia"/>
              </w:rPr>
              <w:t>8</w:t>
            </w:r>
          </w:p>
        </w:tc>
        <w:tc>
          <w:tcPr>
            <w:tcW w:w="2601" w:type="pct"/>
            <w:tcBorders>
              <w:top w:val="single" w:color="auto" w:sz="4" w:space="0"/>
              <w:left w:val="single" w:color="auto" w:sz="4" w:space="0"/>
              <w:bottom w:val="single" w:color="auto" w:sz="4" w:space="0"/>
              <w:right w:val="single" w:color="auto" w:sz="4" w:space="0"/>
            </w:tcBorders>
            <w:vAlign w:val="center"/>
          </w:tcPr>
          <w:p w14:paraId="725E6003">
            <w:pPr>
              <w:pStyle w:val="196"/>
            </w:pPr>
            <w:r>
              <w:rPr>
                <w:rFonts w:hint="eastAsia"/>
              </w:rPr>
              <w:t>禁止在沿江地区新建、扩建未纳入国家和省市布局规划的燃煤发电项目。</w:t>
            </w:r>
          </w:p>
        </w:tc>
        <w:tc>
          <w:tcPr>
            <w:tcW w:w="1469" w:type="pct"/>
            <w:tcBorders>
              <w:top w:val="single" w:color="auto" w:sz="4" w:space="0"/>
              <w:left w:val="single" w:color="auto" w:sz="4" w:space="0"/>
              <w:bottom w:val="single" w:color="auto" w:sz="4" w:space="0"/>
              <w:right w:val="single" w:color="auto" w:sz="4" w:space="0"/>
            </w:tcBorders>
            <w:vAlign w:val="center"/>
          </w:tcPr>
          <w:p w14:paraId="29964056">
            <w:pPr>
              <w:pStyle w:val="196"/>
            </w:pPr>
            <w:r>
              <w:rPr>
                <w:rFonts w:hint="eastAsia"/>
              </w:rPr>
              <w:t>本项目不涉及。</w:t>
            </w:r>
          </w:p>
        </w:tc>
        <w:tc>
          <w:tcPr>
            <w:tcW w:w="546" w:type="pct"/>
            <w:tcBorders>
              <w:top w:val="single" w:color="auto" w:sz="4" w:space="0"/>
              <w:left w:val="single" w:color="auto" w:sz="4" w:space="0"/>
              <w:bottom w:val="single" w:color="auto" w:sz="4" w:space="0"/>
              <w:right w:val="single" w:color="auto" w:sz="4" w:space="0"/>
            </w:tcBorders>
            <w:vAlign w:val="center"/>
          </w:tcPr>
          <w:p w14:paraId="042EF6CB">
            <w:pPr>
              <w:pStyle w:val="196"/>
            </w:pPr>
            <w:r>
              <w:rPr>
                <w:rFonts w:hint="eastAsia"/>
              </w:rPr>
              <w:t>相符</w:t>
            </w:r>
          </w:p>
        </w:tc>
      </w:tr>
      <w:tr w14:paraId="1724C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5C22048C">
            <w:pPr>
              <w:pStyle w:val="196"/>
            </w:pPr>
            <w:r>
              <w:rPr>
                <w:rFonts w:hint="eastAsia"/>
              </w:rPr>
              <w:t>9</w:t>
            </w:r>
          </w:p>
        </w:tc>
        <w:tc>
          <w:tcPr>
            <w:tcW w:w="2601" w:type="pct"/>
            <w:tcBorders>
              <w:top w:val="single" w:color="auto" w:sz="4" w:space="0"/>
              <w:left w:val="single" w:color="auto" w:sz="4" w:space="0"/>
              <w:bottom w:val="single" w:color="auto" w:sz="4" w:space="0"/>
              <w:right w:val="single" w:color="auto" w:sz="4" w:space="0"/>
            </w:tcBorders>
            <w:vAlign w:val="center"/>
          </w:tcPr>
          <w:p w14:paraId="201543FB">
            <w:pPr>
              <w:pStyle w:val="196"/>
            </w:pPr>
            <w:r>
              <w:rPr>
                <w:rFonts w:hint="eastAsia"/>
              </w:rPr>
              <w:t>禁止在合规园区外新建、扩建钢铁、石化、化工、焦化、建材、有色等高污染项目。合规园区名录按照《江苏省长江经济带发展负面清单实施细则（试行）合规园区名录》执行。高污染项目应严格按照《环境保护综合名录》等有关要求执行。</w:t>
            </w:r>
          </w:p>
        </w:tc>
        <w:tc>
          <w:tcPr>
            <w:tcW w:w="1469" w:type="pct"/>
            <w:tcBorders>
              <w:top w:val="single" w:color="auto" w:sz="4" w:space="0"/>
              <w:left w:val="single" w:color="auto" w:sz="4" w:space="0"/>
              <w:bottom w:val="single" w:color="auto" w:sz="4" w:space="0"/>
              <w:right w:val="single" w:color="auto" w:sz="4" w:space="0"/>
            </w:tcBorders>
            <w:vAlign w:val="center"/>
          </w:tcPr>
          <w:p w14:paraId="6ADDB4D8">
            <w:pPr>
              <w:pStyle w:val="196"/>
            </w:pPr>
            <w:r>
              <w:rPr>
                <w:rFonts w:hint="eastAsia"/>
              </w:rPr>
              <w:t>本项目不属于钢铁、石化、化工、焦化、建材、有色等高污染项目。</w:t>
            </w:r>
          </w:p>
        </w:tc>
        <w:tc>
          <w:tcPr>
            <w:tcW w:w="546" w:type="pct"/>
            <w:tcBorders>
              <w:top w:val="single" w:color="auto" w:sz="4" w:space="0"/>
              <w:left w:val="single" w:color="auto" w:sz="4" w:space="0"/>
              <w:bottom w:val="single" w:color="auto" w:sz="4" w:space="0"/>
              <w:right w:val="single" w:color="auto" w:sz="4" w:space="0"/>
            </w:tcBorders>
            <w:vAlign w:val="center"/>
          </w:tcPr>
          <w:p w14:paraId="566FB94E">
            <w:pPr>
              <w:pStyle w:val="196"/>
            </w:pPr>
            <w:r>
              <w:rPr>
                <w:rFonts w:hint="eastAsia"/>
              </w:rPr>
              <w:t>相符</w:t>
            </w:r>
          </w:p>
        </w:tc>
      </w:tr>
      <w:tr w14:paraId="0435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 w:type="pct"/>
            <w:tcBorders>
              <w:top w:val="single" w:color="auto" w:sz="4" w:space="0"/>
              <w:left w:val="single" w:color="auto" w:sz="4" w:space="0"/>
              <w:bottom w:val="single" w:color="auto" w:sz="4" w:space="0"/>
              <w:right w:val="single" w:color="auto" w:sz="4" w:space="0"/>
            </w:tcBorders>
            <w:vAlign w:val="center"/>
          </w:tcPr>
          <w:p w14:paraId="78456D53">
            <w:pPr>
              <w:pStyle w:val="196"/>
            </w:pPr>
            <w:r>
              <w:rPr>
                <w:rFonts w:hint="eastAsia"/>
              </w:rPr>
              <w:t>10</w:t>
            </w:r>
          </w:p>
        </w:tc>
        <w:tc>
          <w:tcPr>
            <w:tcW w:w="2601" w:type="pct"/>
            <w:tcBorders>
              <w:top w:val="single" w:color="auto" w:sz="4" w:space="0"/>
              <w:left w:val="single" w:color="auto" w:sz="4" w:space="0"/>
              <w:bottom w:val="single" w:color="auto" w:sz="4" w:space="0"/>
              <w:right w:val="single" w:color="auto" w:sz="4" w:space="0"/>
            </w:tcBorders>
            <w:vAlign w:val="center"/>
          </w:tcPr>
          <w:p w14:paraId="1A801366">
            <w:pPr>
              <w:pStyle w:val="196"/>
            </w:pPr>
            <w:r>
              <w:rPr>
                <w:rFonts w:hint="eastAsia"/>
              </w:rPr>
              <w:t>禁止在取消化工定位的园区（集中区）内新建化工项目。</w:t>
            </w:r>
          </w:p>
        </w:tc>
        <w:tc>
          <w:tcPr>
            <w:tcW w:w="1469" w:type="pct"/>
            <w:tcBorders>
              <w:top w:val="single" w:color="auto" w:sz="4" w:space="0"/>
              <w:left w:val="single" w:color="auto" w:sz="4" w:space="0"/>
              <w:bottom w:val="single" w:color="auto" w:sz="4" w:space="0"/>
              <w:right w:val="single" w:color="auto" w:sz="4" w:space="0"/>
            </w:tcBorders>
            <w:vAlign w:val="center"/>
          </w:tcPr>
          <w:p w14:paraId="3E74E87A">
            <w:pPr>
              <w:pStyle w:val="196"/>
            </w:pPr>
            <w:r>
              <w:rPr>
                <w:rFonts w:hint="eastAsia"/>
              </w:rPr>
              <w:t>本项目符合园区定位且不属于化工项目。</w:t>
            </w:r>
          </w:p>
        </w:tc>
        <w:tc>
          <w:tcPr>
            <w:tcW w:w="546" w:type="pct"/>
            <w:tcBorders>
              <w:top w:val="single" w:color="auto" w:sz="4" w:space="0"/>
              <w:left w:val="single" w:color="auto" w:sz="4" w:space="0"/>
              <w:bottom w:val="single" w:color="auto" w:sz="4" w:space="0"/>
              <w:right w:val="single" w:color="auto" w:sz="4" w:space="0"/>
            </w:tcBorders>
            <w:vAlign w:val="center"/>
          </w:tcPr>
          <w:p w14:paraId="2607618B">
            <w:pPr>
              <w:pStyle w:val="196"/>
            </w:pPr>
            <w:r>
              <w:rPr>
                <w:rFonts w:hint="eastAsia"/>
              </w:rPr>
              <w:t>相符</w:t>
            </w:r>
          </w:p>
        </w:tc>
      </w:tr>
      <w:tr w14:paraId="71C86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22FC9AA4">
            <w:pPr>
              <w:pStyle w:val="196"/>
            </w:pPr>
            <w:r>
              <w:rPr>
                <w:rFonts w:hint="eastAsia"/>
              </w:rPr>
              <w:t>11</w:t>
            </w:r>
          </w:p>
        </w:tc>
        <w:tc>
          <w:tcPr>
            <w:tcW w:w="2601" w:type="pct"/>
            <w:tcBorders>
              <w:top w:val="single" w:color="auto" w:sz="4" w:space="0"/>
              <w:left w:val="single" w:color="auto" w:sz="4" w:space="0"/>
              <w:bottom w:val="single" w:color="auto" w:sz="4" w:space="0"/>
              <w:right w:val="single" w:color="auto" w:sz="4" w:space="0"/>
            </w:tcBorders>
            <w:vAlign w:val="center"/>
          </w:tcPr>
          <w:p w14:paraId="4FC54F15">
            <w:pPr>
              <w:pStyle w:val="196"/>
            </w:pPr>
            <w:r>
              <w:rPr>
                <w:rFonts w:hint="eastAsia"/>
              </w:rPr>
              <w:t>禁止在化工企业周边建设不符合安全距离规定的劳动密集型的非化工项目和其他人员密集的公共设施项目。</w:t>
            </w:r>
          </w:p>
        </w:tc>
        <w:tc>
          <w:tcPr>
            <w:tcW w:w="1469" w:type="pct"/>
            <w:tcBorders>
              <w:top w:val="single" w:color="auto" w:sz="4" w:space="0"/>
              <w:left w:val="single" w:color="auto" w:sz="4" w:space="0"/>
              <w:bottom w:val="single" w:color="auto" w:sz="4" w:space="0"/>
              <w:right w:val="single" w:color="auto" w:sz="4" w:space="0"/>
            </w:tcBorders>
            <w:vAlign w:val="center"/>
          </w:tcPr>
          <w:p w14:paraId="5F77B9BC">
            <w:pPr>
              <w:pStyle w:val="196"/>
            </w:pPr>
            <w:r>
              <w:rPr>
                <w:rFonts w:hint="eastAsia"/>
              </w:rPr>
              <w:t>本项目与周边化工企业符合安全距离规定且不属于劳动密集型项目。</w:t>
            </w:r>
          </w:p>
        </w:tc>
        <w:tc>
          <w:tcPr>
            <w:tcW w:w="546" w:type="pct"/>
            <w:tcBorders>
              <w:top w:val="single" w:color="auto" w:sz="4" w:space="0"/>
              <w:left w:val="single" w:color="auto" w:sz="4" w:space="0"/>
              <w:bottom w:val="single" w:color="auto" w:sz="4" w:space="0"/>
              <w:right w:val="single" w:color="auto" w:sz="4" w:space="0"/>
            </w:tcBorders>
            <w:vAlign w:val="center"/>
          </w:tcPr>
          <w:p w14:paraId="0F1D4AB9">
            <w:pPr>
              <w:pStyle w:val="196"/>
            </w:pPr>
            <w:r>
              <w:rPr>
                <w:rFonts w:hint="eastAsia"/>
              </w:rPr>
              <w:t>相符</w:t>
            </w:r>
          </w:p>
        </w:tc>
      </w:tr>
      <w:tr w14:paraId="0711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2FC3DB9D">
            <w:pPr>
              <w:pStyle w:val="196"/>
            </w:pPr>
            <w:r>
              <w:rPr>
                <w:rFonts w:hint="eastAsia"/>
              </w:rPr>
              <w:t>12</w:t>
            </w:r>
          </w:p>
        </w:tc>
        <w:tc>
          <w:tcPr>
            <w:tcW w:w="2601" w:type="pct"/>
            <w:tcBorders>
              <w:top w:val="single" w:color="auto" w:sz="4" w:space="0"/>
              <w:left w:val="single" w:color="auto" w:sz="4" w:space="0"/>
              <w:bottom w:val="single" w:color="auto" w:sz="4" w:space="0"/>
              <w:right w:val="single" w:color="auto" w:sz="4" w:space="0"/>
            </w:tcBorders>
            <w:vAlign w:val="center"/>
          </w:tcPr>
          <w:p w14:paraId="07CCE58A">
            <w:pPr>
              <w:pStyle w:val="196"/>
            </w:pPr>
            <w:r>
              <w:rPr>
                <w:rFonts w:hint="eastAsia"/>
              </w:rPr>
              <w:t>禁止新建、扩建不符合国家和省产业政策的尿素、磷铵、电石、烧碱、聚氯乙烯、纯碱等行业新增产能项目。</w:t>
            </w:r>
          </w:p>
        </w:tc>
        <w:tc>
          <w:tcPr>
            <w:tcW w:w="1469" w:type="pct"/>
            <w:tcBorders>
              <w:top w:val="single" w:color="auto" w:sz="4" w:space="0"/>
              <w:left w:val="single" w:color="auto" w:sz="4" w:space="0"/>
              <w:bottom w:val="single" w:color="auto" w:sz="4" w:space="0"/>
              <w:right w:val="single" w:color="auto" w:sz="4" w:space="0"/>
            </w:tcBorders>
            <w:vAlign w:val="center"/>
          </w:tcPr>
          <w:p w14:paraId="5A8E87E4">
            <w:pPr>
              <w:pStyle w:val="196"/>
            </w:pPr>
            <w:r>
              <w:rPr>
                <w:rFonts w:hint="eastAsia"/>
              </w:rPr>
              <w:t>本项目不涉及。</w:t>
            </w:r>
          </w:p>
        </w:tc>
        <w:tc>
          <w:tcPr>
            <w:tcW w:w="546" w:type="pct"/>
            <w:tcBorders>
              <w:top w:val="single" w:color="auto" w:sz="4" w:space="0"/>
              <w:left w:val="single" w:color="auto" w:sz="4" w:space="0"/>
              <w:bottom w:val="single" w:color="auto" w:sz="4" w:space="0"/>
              <w:right w:val="single" w:color="auto" w:sz="4" w:space="0"/>
            </w:tcBorders>
            <w:vAlign w:val="center"/>
          </w:tcPr>
          <w:p w14:paraId="29002ED7">
            <w:pPr>
              <w:pStyle w:val="196"/>
            </w:pPr>
            <w:r>
              <w:rPr>
                <w:rFonts w:hint="eastAsia"/>
              </w:rPr>
              <w:t>相符</w:t>
            </w:r>
          </w:p>
        </w:tc>
      </w:tr>
      <w:tr w14:paraId="2321A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4C732BA7">
            <w:pPr>
              <w:pStyle w:val="196"/>
            </w:pPr>
            <w:r>
              <w:rPr>
                <w:rFonts w:hint="eastAsia"/>
              </w:rPr>
              <w:t>13</w:t>
            </w:r>
          </w:p>
        </w:tc>
        <w:tc>
          <w:tcPr>
            <w:tcW w:w="2601" w:type="pct"/>
            <w:tcBorders>
              <w:top w:val="single" w:color="auto" w:sz="4" w:space="0"/>
              <w:left w:val="single" w:color="auto" w:sz="4" w:space="0"/>
              <w:bottom w:val="single" w:color="auto" w:sz="4" w:space="0"/>
              <w:right w:val="single" w:color="auto" w:sz="4" w:space="0"/>
            </w:tcBorders>
            <w:vAlign w:val="center"/>
          </w:tcPr>
          <w:p w14:paraId="795E764A">
            <w:pPr>
              <w:pStyle w:val="196"/>
            </w:pPr>
            <w:r>
              <w:rPr>
                <w:rFonts w:hint="eastAsia"/>
              </w:rPr>
              <w:t>禁止新建、改建、扩建高毒、高残留以及对环境影响大的农药原药（化学合成类）项目，禁止新建、扩建不符合国家和省产业政策的农药、医药和染料中间体化工项目。</w:t>
            </w:r>
          </w:p>
        </w:tc>
        <w:tc>
          <w:tcPr>
            <w:tcW w:w="1469" w:type="pct"/>
            <w:tcBorders>
              <w:top w:val="single" w:color="auto" w:sz="4" w:space="0"/>
              <w:left w:val="single" w:color="auto" w:sz="4" w:space="0"/>
              <w:bottom w:val="single" w:color="auto" w:sz="4" w:space="0"/>
              <w:right w:val="single" w:color="auto" w:sz="4" w:space="0"/>
            </w:tcBorders>
            <w:vAlign w:val="center"/>
          </w:tcPr>
          <w:p w14:paraId="37ECDFCE">
            <w:pPr>
              <w:pStyle w:val="196"/>
            </w:pPr>
            <w:r>
              <w:rPr>
                <w:rFonts w:hint="eastAsia"/>
              </w:rPr>
              <w:t>本项目不涉及。</w:t>
            </w:r>
          </w:p>
        </w:tc>
        <w:tc>
          <w:tcPr>
            <w:tcW w:w="546" w:type="pct"/>
            <w:tcBorders>
              <w:top w:val="single" w:color="auto" w:sz="4" w:space="0"/>
              <w:left w:val="single" w:color="auto" w:sz="4" w:space="0"/>
              <w:bottom w:val="single" w:color="auto" w:sz="4" w:space="0"/>
              <w:right w:val="single" w:color="auto" w:sz="4" w:space="0"/>
            </w:tcBorders>
            <w:vAlign w:val="center"/>
          </w:tcPr>
          <w:p w14:paraId="1552C378">
            <w:pPr>
              <w:pStyle w:val="196"/>
            </w:pPr>
            <w:r>
              <w:rPr>
                <w:rFonts w:hint="eastAsia"/>
              </w:rPr>
              <w:t>相符</w:t>
            </w:r>
          </w:p>
        </w:tc>
      </w:tr>
      <w:tr w14:paraId="56B2F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5C06A555">
            <w:pPr>
              <w:pStyle w:val="196"/>
            </w:pPr>
            <w:r>
              <w:rPr>
                <w:rFonts w:hint="eastAsia"/>
              </w:rPr>
              <w:t>14</w:t>
            </w:r>
          </w:p>
        </w:tc>
        <w:tc>
          <w:tcPr>
            <w:tcW w:w="2601" w:type="pct"/>
            <w:tcBorders>
              <w:top w:val="single" w:color="auto" w:sz="4" w:space="0"/>
              <w:left w:val="single" w:color="auto" w:sz="4" w:space="0"/>
              <w:bottom w:val="single" w:color="auto" w:sz="4" w:space="0"/>
              <w:right w:val="single" w:color="auto" w:sz="4" w:space="0"/>
            </w:tcBorders>
            <w:vAlign w:val="center"/>
          </w:tcPr>
          <w:p w14:paraId="0601A312">
            <w:pPr>
              <w:pStyle w:val="196"/>
            </w:pPr>
            <w:r>
              <w:rPr>
                <w:rFonts w:hint="eastAsia"/>
              </w:rPr>
              <w:t>禁止新建、扩建国家《产业结构调整指导目录》明确的限制类、淘汰类、禁止类项目，法律法规和相关政策明令禁止的落后产能项目，以及明令淘汰的安全生产落后工艺及装备项目。</w:t>
            </w:r>
          </w:p>
        </w:tc>
        <w:tc>
          <w:tcPr>
            <w:tcW w:w="1469" w:type="pct"/>
            <w:tcBorders>
              <w:top w:val="single" w:color="auto" w:sz="4" w:space="0"/>
              <w:left w:val="single" w:color="auto" w:sz="4" w:space="0"/>
              <w:bottom w:val="single" w:color="auto" w:sz="4" w:space="0"/>
              <w:right w:val="single" w:color="auto" w:sz="4" w:space="0"/>
            </w:tcBorders>
            <w:vAlign w:val="center"/>
          </w:tcPr>
          <w:p w14:paraId="07D9A051">
            <w:pPr>
              <w:pStyle w:val="196"/>
            </w:pPr>
            <w:r>
              <w:rPr>
                <w:rFonts w:hint="eastAsia"/>
              </w:rPr>
              <w:t>本项目不属于《产业结构调整指导目录（2024年本）》明确的限制类、淘汰类、禁止类项目，不属于法律法规和相关政策明令禁止的落后产能项目以及明令淘汰的安全生产落后工艺及装备项目。</w:t>
            </w:r>
          </w:p>
        </w:tc>
        <w:tc>
          <w:tcPr>
            <w:tcW w:w="546" w:type="pct"/>
            <w:tcBorders>
              <w:top w:val="single" w:color="auto" w:sz="4" w:space="0"/>
              <w:left w:val="single" w:color="auto" w:sz="4" w:space="0"/>
              <w:bottom w:val="single" w:color="auto" w:sz="4" w:space="0"/>
              <w:right w:val="single" w:color="auto" w:sz="4" w:space="0"/>
            </w:tcBorders>
            <w:vAlign w:val="center"/>
          </w:tcPr>
          <w:p w14:paraId="42E7EE6F">
            <w:pPr>
              <w:pStyle w:val="196"/>
            </w:pPr>
            <w:r>
              <w:rPr>
                <w:rFonts w:hint="eastAsia"/>
              </w:rPr>
              <w:t>相符</w:t>
            </w:r>
          </w:p>
        </w:tc>
      </w:tr>
      <w:tr w14:paraId="32F0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tcBorders>
              <w:top w:val="single" w:color="auto" w:sz="4" w:space="0"/>
              <w:left w:val="single" w:color="auto" w:sz="4" w:space="0"/>
              <w:bottom w:val="single" w:color="auto" w:sz="4" w:space="0"/>
              <w:right w:val="single" w:color="auto" w:sz="4" w:space="0"/>
            </w:tcBorders>
            <w:vAlign w:val="center"/>
          </w:tcPr>
          <w:p w14:paraId="2B82359A">
            <w:pPr>
              <w:pStyle w:val="196"/>
            </w:pPr>
            <w:r>
              <w:rPr>
                <w:rFonts w:hint="eastAsia"/>
              </w:rPr>
              <w:t>15</w:t>
            </w:r>
          </w:p>
        </w:tc>
        <w:tc>
          <w:tcPr>
            <w:tcW w:w="2601" w:type="pct"/>
            <w:tcBorders>
              <w:top w:val="single" w:color="auto" w:sz="4" w:space="0"/>
              <w:left w:val="single" w:color="auto" w:sz="4" w:space="0"/>
              <w:bottom w:val="single" w:color="auto" w:sz="4" w:space="0"/>
              <w:right w:val="single" w:color="auto" w:sz="4" w:space="0"/>
            </w:tcBorders>
            <w:vAlign w:val="center"/>
          </w:tcPr>
          <w:p w14:paraId="3D4F1F33">
            <w:pPr>
              <w:pStyle w:val="196"/>
            </w:pPr>
            <w:r>
              <w:rPr>
                <w:rFonts w:hint="eastAsia"/>
              </w:rPr>
              <w:t>禁止新建、扩建不符合国家产能置换要求的严重产能过剩产能行业的项目。</w:t>
            </w:r>
          </w:p>
        </w:tc>
        <w:tc>
          <w:tcPr>
            <w:tcW w:w="1469" w:type="pct"/>
            <w:tcBorders>
              <w:top w:val="single" w:color="auto" w:sz="4" w:space="0"/>
              <w:left w:val="single" w:color="auto" w:sz="4" w:space="0"/>
              <w:bottom w:val="single" w:color="auto" w:sz="4" w:space="0"/>
              <w:right w:val="single" w:color="auto" w:sz="4" w:space="0"/>
            </w:tcBorders>
            <w:vAlign w:val="center"/>
          </w:tcPr>
          <w:p w14:paraId="1F6CC198">
            <w:pPr>
              <w:pStyle w:val="196"/>
            </w:pPr>
            <w:r>
              <w:rPr>
                <w:rFonts w:hint="eastAsia"/>
              </w:rPr>
              <w:t>本项目不属于严重过剩产能行业的项目。</w:t>
            </w:r>
          </w:p>
        </w:tc>
        <w:tc>
          <w:tcPr>
            <w:tcW w:w="546" w:type="pct"/>
            <w:tcBorders>
              <w:top w:val="single" w:color="auto" w:sz="4" w:space="0"/>
              <w:left w:val="single" w:color="auto" w:sz="4" w:space="0"/>
              <w:bottom w:val="single" w:color="auto" w:sz="4" w:space="0"/>
              <w:right w:val="single" w:color="auto" w:sz="4" w:space="0"/>
            </w:tcBorders>
            <w:vAlign w:val="center"/>
          </w:tcPr>
          <w:p w14:paraId="2A4BA46F">
            <w:pPr>
              <w:pStyle w:val="196"/>
            </w:pPr>
            <w:r>
              <w:rPr>
                <w:rFonts w:hint="eastAsia"/>
              </w:rPr>
              <w:t>相符</w:t>
            </w:r>
          </w:p>
        </w:tc>
      </w:tr>
    </w:tbl>
    <w:p w14:paraId="3CBD630B">
      <w:pPr>
        <w:adjustRightInd w:val="0"/>
        <w:snapToGrid w:val="0"/>
        <w:ind w:firstLine="480"/>
        <w:rPr>
          <w:rFonts w:cs="Times New Roman"/>
          <w:szCs w:val="24"/>
        </w:rPr>
      </w:pPr>
      <w:r>
        <w:rPr>
          <w:rFonts w:hint="eastAsia" w:ascii="宋体" w:hAnsi="宋体"/>
          <w:szCs w:val="24"/>
        </w:rPr>
        <w:t>对照《淮安港总体规划（</w:t>
      </w:r>
      <w:r>
        <w:rPr>
          <w:rFonts w:hint="eastAsia"/>
          <w:szCs w:val="24"/>
        </w:rPr>
        <w:t>2020</w:t>
      </w:r>
      <w:r>
        <w:rPr>
          <w:rFonts w:hint="eastAsia"/>
          <w:szCs w:val="24"/>
          <w:lang w:eastAsia="zh-CN"/>
        </w:rPr>
        <w:t>—</w:t>
      </w:r>
      <w:r>
        <w:rPr>
          <w:rFonts w:hint="eastAsia"/>
          <w:szCs w:val="24"/>
        </w:rPr>
        <w:t>2035</w:t>
      </w:r>
      <w:r>
        <w:rPr>
          <w:rFonts w:hint="eastAsia" w:ascii="宋体" w:hAnsi="宋体"/>
          <w:szCs w:val="24"/>
        </w:rPr>
        <w:t>年）》及环境影响报告书环境准入清单，本项目不属于其中规定的禁止引入的项目，符合引入类项目的要求。详见表</w:t>
      </w:r>
      <w:r>
        <w:rPr>
          <w:rFonts w:hint="eastAsia"/>
          <w:szCs w:val="24"/>
        </w:rPr>
        <w:t>1.5-4</w:t>
      </w:r>
      <w:r>
        <w:rPr>
          <w:rFonts w:hint="eastAsia" w:ascii="宋体" w:hAnsi="宋体"/>
          <w:szCs w:val="24"/>
        </w:rPr>
        <w:t>。</w:t>
      </w:r>
    </w:p>
    <w:p w14:paraId="488D848C">
      <w:pPr>
        <w:pStyle w:val="86"/>
      </w:pPr>
      <w:bookmarkStart w:id="48" w:name="OLE_LINK24"/>
      <w:r>
        <w:rPr>
          <w:rFonts w:hint="eastAsia"/>
        </w:rPr>
        <w:t>《淮安港总体规划（2020</w:t>
      </w:r>
      <w:r>
        <w:rPr>
          <w:rFonts w:hint="eastAsia"/>
          <w:lang w:eastAsia="zh-CN"/>
        </w:rPr>
        <w:t>—</w:t>
      </w:r>
      <w:r>
        <w:rPr>
          <w:rFonts w:hint="eastAsia"/>
        </w:rPr>
        <w:t>2035年）环境影响报告书》</w:t>
      </w:r>
      <w:bookmarkStart w:id="49" w:name="_Hlk181739396"/>
      <w:r>
        <w:rPr>
          <w:rFonts w:hint="eastAsia"/>
        </w:rPr>
        <w:t>环境准入清单</w:t>
      </w:r>
      <w:bookmarkEnd w:id="49"/>
    </w:p>
    <w:bookmarkEnd w:id="48"/>
    <w:tbl>
      <w:tblPr>
        <w:tblStyle w:val="3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1"/>
        <w:gridCol w:w="3854"/>
        <w:gridCol w:w="3239"/>
        <w:gridCol w:w="1111"/>
      </w:tblGrid>
      <w:tr w14:paraId="4825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blHeader/>
          <w:jc w:val="center"/>
        </w:trPr>
        <w:tc>
          <w:tcPr>
            <w:tcW w:w="485" w:type="pct"/>
            <w:tcBorders>
              <w:top w:val="single" w:color="auto" w:sz="4" w:space="0"/>
              <w:left w:val="single" w:color="auto" w:sz="4" w:space="0"/>
              <w:bottom w:val="single" w:color="auto" w:sz="4" w:space="0"/>
              <w:right w:val="single" w:color="auto" w:sz="4" w:space="0"/>
            </w:tcBorders>
            <w:vAlign w:val="center"/>
          </w:tcPr>
          <w:p w14:paraId="7822C9BF">
            <w:pPr>
              <w:pStyle w:val="196"/>
              <w:rPr>
                <w:b/>
                <w:bCs/>
              </w:rPr>
            </w:pPr>
            <w:r>
              <w:rPr>
                <w:rFonts w:hint="eastAsia"/>
                <w:b/>
                <w:bCs/>
              </w:rPr>
              <w:t>类别</w:t>
            </w:r>
          </w:p>
        </w:tc>
        <w:tc>
          <w:tcPr>
            <w:tcW w:w="2120" w:type="pct"/>
            <w:tcBorders>
              <w:top w:val="single" w:color="auto" w:sz="4" w:space="0"/>
              <w:left w:val="single" w:color="auto" w:sz="4" w:space="0"/>
              <w:bottom w:val="single" w:color="auto" w:sz="4" w:space="0"/>
              <w:right w:val="single" w:color="auto" w:sz="4" w:space="0"/>
            </w:tcBorders>
            <w:vAlign w:val="center"/>
          </w:tcPr>
          <w:p w14:paraId="69A28AE3">
            <w:pPr>
              <w:pStyle w:val="196"/>
              <w:rPr>
                <w:b/>
                <w:bCs/>
              </w:rPr>
            </w:pPr>
            <w:r>
              <w:rPr>
                <w:rFonts w:hint="eastAsia" w:ascii="宋体"/>
                <w:b/>
                <w:bCs/>
              </w:rPr>
              <w:t>准入清单相关内容</w:t>
            </w:r>
          </w:p>
        </w:tc>
        <w:tc>
          <w:tcPr>
            <w:tcW w:w="1782" w:type="pct"/>
            <w:tcBorders>
              <w:top w:val="single" w:color="auto" w:sz="4" w:space="0"/>
              <w:left w:val="single" w:color="auto" w:sz="4" w:space="0"/>
              <w:bottom w:val="single" w:color="auto" w:sz="4" w:space="0"/>
              <w:right w:val="single" w:color="auto" w:sz="4" w:space="0"/>
            </w:tcBorders>
            <w:vAlign w:val="center"/>
          </w:tcPr>
          <w:p w14:paraId="1BB712E3">
            <w:pPr>
              <w:pStyle w:val="196"/>
              <w:rPr>
                <w:b/>
                <w:bCs/>
              </w:rPr>
            </w:pPr>
            <w:r>
              <w:rPr>
                <w:rFonts w:hint="eastAsia" w:ascii="宋体"/>
                <w:b/>
                <w:bCs/>
              </w:rPr>
              <w:t>相符性分析</w:t>
            </w:r>
          </w:p>
        </w:tc>
        <w:tc>
          <w:tcPr>
            <w:tcW w:w="611" w:type="pct"/>
            <w:tcBorders>
              <w:top w:val="single" w:color="auto" w:sz="4" w:space="0"/>
              <w:left w:val="single" w:color="auto" w:sz="4" w:space="0"/>
              <w:bottom w:val="single" w:color="auto" w:sz="4" w:space="0"/>
              <w:right w:val="single" w:color="auto" w:sz="4" w:space="0"/>
            </w:tcBorders>
            <w:vAlign w:val="center"/>
          </w:tcPr>
          <w:p w14:paraId="595C61EF">
            <w:pPr>
              <w:pStyle w:val="196"/>
              <w:rPr>
                <w:b/>
                <w:bCs/>
              </w:rPr>
            </w:pPr>
            <w:r>
              <w:rPr>
                <w:rFonts w:hint="eastAsia" w:ascii="宋体"/>
                <w:b/>
                <w:bCs/>
              </w:rPr>
              <w:t>是否相符</w:t>
            </w:r>
          </w:p>
        </w:tc>
      </w:tr>
      <w:tr w14:paraId="6381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jc w:val="center"/>
        </w:trPr>
        <w:tc>
          <w:tcPr>
            <w:tcW w:w="485" w:type="pct"/>
            <w:vMerge w:val="restart"/>
            <w:tcBorders>
              <w:top w:val="nil"/>
              <w:left w:val="single" w:color="auto" w:sz="4" w:space="0"/>
              <w:bottom w:val="single" w:color="auto" w:sz="4" w:space="0"/>
              <w:right w:val="single" w:color="auto" w:sz="4" w:space="0"/>
            </w:tcBorders>
            <w:vAlign w:val="center"/>
          </w:tcPr>
          <w:p w14:paraId="7334DF68">
            <w:pPr>
              <w:pStyle w:val="196"/>
              <w:rPr>
                <w:bCs/>
              </w:rPr>
            </w:pPr>
            <w:r>
              <w:rPr>
                <w:rFonts w:hint="eastAsia"/>
                <w:bCs/>
              </w:rPr>
              <w:t>优先引入类项目</w:t>
            </w:r>
          </w:p>
        </w:tc>
        <w:tc>
          <w:tcPr>
            <w:tcW w:w="2120" w:type="pct"/>
            <w:tcBorders>
              <w:top w:val="single" w:color="auto" w:sz="4" w:space="0"/>
              <w:left w:val="single" w:color="auto" w:sz="4" w:space="0"/>
              <w:bottom w:val="single" w:color="auto" w:sz="4" w:space="0"/>
              <w:right w:val="single" w:color="auto" w:sz="4" w:space="0"/>
            </w:tcBorders>
            <w:vAlign w:val="center"/>
          </w:tcPr>
          <w:p w14:paraId="4E6B93E3">
            <w:pPr>
              <w:pStyle w:val="196"/>
              <w:rPr>
                <w:bCs/>
              </w:rPr>
            </w:pPr>
            <w:r>
              <w:rPr>
                <w:rFonts w:hint="eastAsia"/>
                <w:bCs/>
              </w:rPr>
              <w:t>清洁型货种项目：1、集装箱；2、件杂货。（不含采用集装箱或件杂货形式包装运输的危险化学品）</w:t>
            </w:r>
          </w:p>
        </w:tc>
        <w:tc>
          <w:tcPr>
            <w:tcW w:w="1782" w:type="pct"/>
            <w:tcBorders>
              <w:top w:val="single" w:color="auto" w:sz="4" w:space="0"/>
              <w:left w:val="single" w:color="auto" w:sz="4" w:space="0"/>
              <w:bottom w:val="single" w:color="auto" w:sz="4" w:space="0"/>
              <w:right w:val="single" w:color="auto" w:sz="4" w:space="0"/>
            </w:tcBorders>
            <w:vAlign w:val="center"/>
          </w:tcPr>
          <w:p w14:paraId="10155617">
            <w:pPr>
              <w:pStyle w:val="196"/>
              <w:rPr>
                <w:bCs/>
              </w:rPr>
            </w:pPr>
            <w:bookmarkStart w:id="50" w:name="_Hlk181743513"/>
            <w:bookmarkStart w:id="51" w:name="_Hlk181739425"/>
            <w:r>
              <w:rPr>
                <w:rFonts w:hint="eastAsia"/>
                <w:bCs/>
              </w:rPr>
              <w:t>本项目为煤炭散货码头</w:t>
            </w:r>
            <w:bookmarkEnd w:id="50"/>
            <w:r>
              <w:rPr>
                <w:rFonts w:hint="eastAsia"/>
                <w:bCs/>
              </w:rPr>
              <w:t>，不涉及危险化学品。</w:t>
            </w:r>
            <w:bookmarkEnd w:id="51"/>
          </w:p>
        </w:tc>
        <w:tc>
          <w:tcPr>
            <w:tcW w:w="611" w:type="pct"/>
            <w:tcBorders>
              <w:top w:val="single" w:color="auto" w:sz="4" w:space="0"/>
              <w:left w:val="single" w:color="auto" w:sz="4" w:space="0"/>
              <w:bottom w:val="single" w:color="auto" w:sz="4" w:space="0"/>
              <w:right w:val="single" w:color="auto" w:sz="4" w:space="0"/>
            </w:tcBorders>
            <w:vAlign w:val="center"/>
          </w:tcPr>
          <w:p w14:paraId="1D94760B">
            <w:pPr>
              <w:pStyle w:val="196"/>
              <w:rPr>
                <w:bCs/>
              </w:rPr>
            </w:pPr>
            <w:r>
              <w:rPr>
                <w:rFonts w:hint="eastAsia"/>
                <w:bCs/>
              </w:rPr>
              <w:t>不符合</w:t>
            </w:r>
          </w:p>
        </w:tc>
      </w:tr>
      <w:tr w14:paraId="7D0F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52"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ECCB38A">
            <w:pPr>
              <w:pStyle w:val="196"/>
              <w:rPr>
                <w:bCs/>
                <w:kern w:val="0"/>
              </w:rPr>
            </w:pPr>
          </w:p>
        </w:tc>
        <w:tc>
          <w:tcPr>
            <w:tcW w:w="2120" w:type="pct"/>
            <w:tcBorders>
              <w:top w:val="single" w:color="auto" w:sz="4" w:space="0"/>
              <w:left w:val="single" w:color="auto" w:sz="4" w:space="0"/>
              <w:bottom w:val="single" w:color="auto" w:sz="4" w:space="0"/>
              <w:right w:val="single" w:color="auto" w:sz="4" w:space="0"/>
            </w:tcBorders>
            <w:vAlign w:val="center"/>
          </w:tcPr>
          <w:p w14:paraId="3E10B808">
            <w:pPr>
              <w:pStyle w:val="196"/>
              <w:rPr>
                <w:bCs/>
              </w:rPr>
            </w:pPr>
            <w:r>
              <w:rPr>
                <w:rFonts w:hint="eastAsia"/>
                <w:bCs/>
              </w:rPr>
              <w:t>采用低污染方式的项目：1、集装箱运输；2、散货转运密闭化与自动化：散货由码头向堆场的转运以封闭式固定皮带为主；3、船舶使用岸电：新建码头作业区设置船舶使用岸电设施。</w:t>
            </w:r>
          </w:p>
        </w:tc>
        <w:tc>
          <w:tcPr>
            <w:tcW w:w="1782" w:type="pct"/>
            <w:tcBorders>
              <w:top w:val="single" w:color="auto" w:sz="4" w:space="0"/>
              <w:left w:val="single" w:color="auto" w:sz="4" w:space="0"/>
              <w:bottom w:val="single" w:color="auto" w:sz="4" w:space="0"/>
              <w:right w:val="single" w:color="auto" w:sz="4" w:space="0"/>
            </w:tcBorders>
            <w:vAlign w:val="center"/>
          </w:tcPr>
          <w:p w14:paraId="2270F156">
            <w:pPr>
              <w:pStyle w:val="196"/>
              <w:rPr>
                <w:bCs/>
              </w:rPr>
            </w:pPr>
            <w:r>
              <w:rPr>
                <w:rFonts w:hint="eastAsia"/>
                <w:bCs/>
              </w:rPr>
              <w:t>本项目港口码头物料的卸船运输实行全过程控制，防止物料扬散，采取各类除尘、抑尘设施；抓斗卸船时，落料落差低于1.5m；码头落地的物料清扫后回用；向堆场的转运采用封闭式固定皮带。</w:t>
            </w:r>
          </w:p>
        </w:tc>
        <w:tc>
          <w:tcPr>
            <w:tcW w:w="611" w:type="pct"/>
            <w:tcBorders>
              <w:top w:val="single" w:color="auto" w:sz="4" w:space="0"/>
              <w:left w:val="single" w:color="auto" w:sz="4" w:space="0"/>
              <w:bottom w:val="single" w:color="auto" w:sz="4" w:space="0"/>
              <w:right w:val="single" w:color="auto" w:sz="4" w:space="0"/>
            </w:tcBorders>
            <w:vAlign w:val="center"/>
          </w:tcPr>
          <w:p w14:paraId="61E72F54">
            <w:pPr>
              <w:pStyle w:val="196"/>
              <w:rPr>
                <w:bCs/>
              </w:rPr>
            </w:pPr>
            <w:r>
              <w:rPr>
                <w:rFonts w:hint="eastAsia"/>
                <w:bCs/>
              </w:rPr>
              <w:t>符合</w:t>
            </w:r>
          </w:p>
        </w:tc>
      </w:tr>
      <w:tr w14:paraId="3C93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C988D65">
            <w:pPr>
              <w:pStyle w:val="196"/>
              <w:rPr>
                <w:bCs/>
                <w:kern w:val="0"/>
              </w:rPr>
            </w:pPr>
          </w:p>
        </w:tc>
        <w:tc>
          <w:tcPr>
            <w:tcW w:w="2120" w:type="pct"/>
            <w:tcBorders>
              <w:top w:val="single" w:color="auto" w:sz="4" w:space="0"/>
              <w:left w:val="single" w:color="auto" w:sz="4" w:space="0"/>
              <w:bottom w:val="single" w:color="auto" w:sz="4" w:space="0"/>
              <w:right w:val="single" w:color="auto" w:sz="4" w:space="0"/>
            </w:tcBorders>
            <w:vAlign w:val="center"/>
          </w:tcPr>
          <w:p w14:paraId="63753D9F">
            <w:pPr>
              <w:pStyle w:val="196"/>
              <w:rPr>
                <w:bCs/>
              </w:rPr>
            </w:pPr>
            <w:r>
              <w:rPr>
                <w:rFonts w:hint="eastAsia"/>
                <w:bCs/>
              </w:rPr>
              <w:t>岸线集约化利用程度高的项目：单位岸线通过能力&gt;0.2万吨/米的码头。</w:t>
            </w:r>
          </w:p>
        </w:tc>
        <w:tc>
          <w:tcPr>
            <w:tcW w:w="1782" w:type="pct"/>
            <w:tcBorders>
              <w:top w:val="single" w:color="auto" w:sz="4" w:space="0"/>
              <w:left w:val="single" w:color="auto" w:sz="4" w:space="0"/>
              <w:bottom w:val="single" w:color="auto" w:sz="4" w:space="0"/>
              <w:right w:val="single" w:color="auto" w:sz="4" w:space="0"/>
            </w:tcBorders>
            <w:vAlign w:val="center"/>
          </w:tcPr>
          <w:p w14:paraId="23C9E61D">
            <w:pPr>
              <w:pStyle w:val="196"/>
              <w:rPr>
                <w:bCs/>
              </w:rPr>
            </w:pPr>
            <w:r>
              <w:rPr>
                <w:rFonts w:hint="eastAsia"/>
                <w:bCs/>
              </w:rPr>
              <w:t>本项目岸线长度182m，设计年通过能力为118万吨，单位岸线通过能力0.66万吨/m&gt;0.2万吨/m。</w:t>
            </w:r>
          </w:p>
        </w:tc>
        <w:tc>
          <w:tcPr>
            <w:tcW w:w="611" w:type="pct"/>
            <w:tcBorders>
              <w:top w:val="single" w:color="auto" w:sz="4" w:space="0"/>
              <w:left w:val="single" w:color="auto" w:sz="4" w:space="0"/>
              <w:bottom w:val="single" w:color="auto" w:sz="4" w:space="0"/>
              <w:right w:val="single" w:color="auto" w:sz="4" w:space="0"/>
            </w:tcBorders>
            <w:vAlign w:val="center"/>
          </w:tcPr>
          <w:p w14:paraId="138DA8DA">
            <w:pPr>
              <w:pStyle w:val="196"/>
              <w:rPr>
                <w:bCs/>
              </w:rPr>
            </w:pPr>
            <w:r>
              <w:rPr>
                <w:rFonts w:hint="eastAsia"/>
                <w:bCs/>
              </w:rPr>
              <w:t>符合</w:t>
            </w:r>
          </w:p>
        </w:tc>
      </w:tr>
      <w:tr w14:paraId="17F4D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62" w:hRule="atLeast"/>
          <w:jc w:val="center"/>
        </w:trPr>
        <w:tc>
          <w:tcPr>
            <w:tcW w:w="485" w:type="pct"/>
            <w:tcBorders>
              <w:top w:val="single" w:color="auto" w:sz="4" w:space="0"/>
              <w:left w:val="single" w:color="auto" w:sz="4" w:space="0"/>
              <w:bottom w:val="single" w:color="auto" w:sz="4" w:space="0"/>
              <w:right w:val="single" w:color="auto" w:sz="4" w:space="0"/>
            </w:tcBorders>
            <w:vAlign w:val="center"/>
          </w:tcPr>
          <w:p w14:paraId="7C699694">
            <w:pPr>
              <w:pStyle w:val="196"/>
              <w:rPr>
                <w:bCs/>
              </w:rPr>
            </w:pPr>
            <w:r>
              <w:rPr>
                <w:rFonts w:hint="eastAsia"/>
                <w:bCs/>
              </w:rPr>
              <w:t>禁止引入类项目</w:t>
            </w:r>
          </w:p>
        </w:tc>
        <w:tc>
          <w:tcPr>
            <w:tcW w:w="2120" w:type="pct"/>
            <w:tcBorders>
              <w:top w:val="single" w:color="auto" w:sz="4" w:space="0"/>
              <w:left w:val="single" w:color="auto" w:sz="4" w:space="0"/>
              <w:bottom w:val="single" w:color="auto" w:sz="4" w:space="0"/>
              <w:right w:val="single" w:color="auto" w:sz="4" w:space="0"/>
            </w:tcBorders>
            <w:vAlign w:val="center"/>
          </w:tcPr>
          <w:p w14:paraId="79C29DCE">
            <w:pPr>
              <w:pStyle w:val="196"/>
              <w:rPr>
                <w:bCs/>
              </w:rPr>
            </w:pPr>
            <w:r>
              <w:rPr>
                <w:rFonts w:hint="eastAsia"/>
                <w:bCs/>
              </w:rPr>
              <w:t>1、吞吐列入《内河禁运危险化学品目录（2019版）》的危险化学品的码头。2、京杭运河两侧1公里范围内，和位于重要湿地、清水通道维护区生态红线区域，饮用水水源保护区及准保护区，新、改、扩建化工码头。</w:t>
            </w:r>
          </w:p>
        </w:tc>
        <w:tc>
          <w:tcPr>
            <w:tcW w:w="1782" w:type="pct"/>
            <w:tcBorders>
              <w:top w:val="single" w:color="auto" w:sz="4" w:space="0"/>
              <w:left w:val="single" w:color="auto" w:sz="4" w:space="0"/>
              <w:bottom w:val="single" w:color="auto" w:sz="4" w:space="0"/>
              <w:right w:val="single" w:color="auto" w:sz="4" w:space="0"/>
            </w:tcBorders>
            <w:vAlign w:val="center"/>
          </w:tcPr>
          <w:p w14:paraId="3A2CD35C">
            <w:pPr>
              <w:pStyle w:val="196"/>
              <w:rPr>
                <w:bCs/>
              </w:rPr>
            </w:pPr>
            <w:r>
              <w:rPr>
                <w:rFonts w:hint="eastAsia"/>
                <w:bCs/>
              </w:rPr>
              <w:t>本项目不涉及。</w:t>
            </w:r>
          </w:p>
        </w:tc>
        <w:tc>
          <w:tcPr>
            <w:tcW w:w="611" w:type="pct"/>
            <w:tcBorders>
              <w:top w:val="single" w:color="auto" w:sz="4" w:space="0"/>
              <w:left w:val="single" w:color="auto" w:sz="4" w:space="0"/>
              <w:bottom w:val="single" w:color="auto" w:sz="4" w:space="0"/>
              <w:right w:val="single" w:color="auto" w:sz="4" w:space="0"/>
            </w:tcBorders>
            <w:vAlign w:val="center"/>
          </w:tcPr>
          <w:p w14:paraId="64B53D12">
            <w:pPr>
              <w:pStyle w:val="196"/>
              <w:rPr>
                <w:bCs/>
              </w:rPr>
            </w:pPr>
            <w:r>
              <w:rPr>
                <w:rFonts w:hint="eastAsia"/>
                <w:bCs/>
              </w:rPr>
              <w:t>符合</w:t>
            </w:r>
          </w:p>
        </w:tc>
      </w:tr>
      <w:tr w14:paraId="2868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58" w:hRule="atLeast"/>
          <w:jc w:val="center"/>
        </w:trPr>
        <w:tc>
          <w:tcPr>
            <w:tcW w:w="485" w:type="pct"/>
            <w:vMerge w:val="restart"/>
            <w:tcBorders>
              <w:top w:val="nil"/>
              <w:left w:val="single" w:color="auto" w:sz="4" w:space="0"/>
              <w:bottom w:val="single" w:color="auto" w:sz="4" w:space="0"/>
              <w:right w:val="single" w:color="auto" w:sz="4" w:space="0"/>
            </w:tcBorders>
            <w:vAlign w:val="center"/>
          </w:tcPr>
          <w:p w14:paraId="269385B9">
            <w:pPr>
              <w:pStyle w:val="196"/>
              <w:rPr>
                <w:bCs/>
              </w:rPr>
            </w:pPr>
            <w:r>
              <w:rPr>
                <w:rFonts w:hint="eastAsia"/>
                <w:bCs/>
              </w:rPr>
              <w:t>限制引入类项目</w:t>
            </w:r>
          </w:p>
        </w:tc>
        <w:tc>
          <w:tcPr>
            <w:tcW w:w="2120" w:type="pct"/>
            <w:tcBorders>
              <w:top w:val="single" w:color="auto" w:sz="4" w:space="0"/>
              <w:left w:val="single" w:color="auto" w:sz="4" w:space="0"/>
              <w:bottom w:val="single" w:color="auto" w:sz="4" w:space="0"/>
              <w:right w:val="single" w:color="auto" w:sz="4" w:space="0"/>
            </w:tcBorders>
            <w:vAlign w:val="center"/>
          </w:tcPr>
          <w:p w14:paraId="047DE33A">
            <w:pPr>
              <w:pStyle w:val="196"/>
              <w:rPr>
                <w:bCs/>
              </w:rPr>
            </w:pPr>
            <w:r>
              <w:rPr>
                <w:rFonts w:hint="eastAsia"/>
                <w:bCs/>
              </w:rPr>
              <w:t>污染型货种项目：1、粉尘治理措施达不到《江苏省港口粉尘综合治理专项行动实施方案》等要求的吞吐矿建材、煤炭、矿石等散货的码头作业区；2、挥发性有机物治理措施达不到《挥发性有机物（VOCs）污染防治技术政策》《江苏省重点行业挥发性有机物污染控制指南》等要求的危险化学品码头作业区；3、初期雨水未收集处理的散货和化学品码头作业区。</w:t>
            </w:r>
          </w:p>
        </w:tc>
        <w:tc>
          <w:tcPr>
            <w:tcW w:w="1782" w:type="pct"/>
            <w:tcBorders>
              <w:top w:val="single" w:color="auto" w:sz="4" w:space="0"/>
              <w:left w:val="single" w:color="auto" w:sz="4" w:space="0"/>
              <w:bottom w:val="single" w:color="auto" w:sz="4" w:space="0"/>
              <w:right w:val="single" w:color="auto" w:sz="4" w:space="0"/>
            </w:tcBorders>
            <w:vAlign w:val="center"/>
          </w:tcPr>
          <w:p w14:paraId="6C82D374">
            <w:pPr>
              <w:pStyle w:val="196"/>
              <w:rPr>
                <w:bCs/>
              </w:rPr>
            </w:pPr>
            <w:bookmarkStart w:id="52" w:name="_Hlk181739457"/>
            <w:r>
              <w:rPr>
                <w:rFonts w:hint="eastAsia"/>
                <w:bCs/>
              </w:rPr>
              <w:t>本项目粉尘治理后能满足标准要求，粉尘治理措施能够达到《江苏省港口粉尘综合治理专项行动实施方案》的要求，初期雨水收集后处理；本项目除船舶、运输车辆尾气中涉及烃类排放，无其他vocs排放。</w:t>
            </w:r>
            <w:bookmarkEnd w:id="52"/>
          </w:p>
        </w:tc>
        <w:tc>
          <w:tcPr>
            <w:tcW w:w="611" w:type="pct"/>
            <w:tcBorders>
              <w:top w:val="single" w:color="auto" w:sz="4" w:space="0"/>
              <w:left w:val="single" w:color="auto" w:sz="4" w:space="0"/>
              <w:bottom w:val="single" w:color="auto" w:sz="4" w:space="0"/>
              <w:right w:val="single" w:color="auto" w:sz="4" w:space="0"/>
            </w:tcBorders>
            <w:vAlign w:val="center"/>
          </w:tcPr>
          <w:p w14:paraId="71F6E97F">
            <w:pPr>
              <w:pStyle w:val="196"/>
              <w:rPr>
                <w:bCs/>
              </w:rPr>
            </w:pPr>
            <w:r>
              <w:rPr>
                <w:rFonts w:hint="eastAsia"/>
                <w:bCs/>
              </w:rPr>
              <w:t>符合</w:t>
            </w:r>
          </w:p>
        </w:tc>
      </w:tr>
      <w:tr w14:paraId="413C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9"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078CF40">
            <w:pPr>
              <w:pStyle w:val="196"/>
              <w:rPr>
                <w:bCs/>
                <w:kern w:val="0"/>
              </w:rPr>
            </w:pPr>
          </w:p>
        </w:tc>
        <w:tc>
          <w:tcPr>
            <w:tcW w:w="2120" w:type="pct"/>
            <w:tcBorders>
              <w:top w:val="single" w:color="auto" w:sz="4" w:space="0"/>
              <w:left w:val="single" w:color="auto" w:sz="4" w:space="0"/>
              <w:bottom w:val="single" w:color="auto" w:sz="4" w:space="0"/>
              <w:right w:val="single" w:color="auto" w:sz="4" w:space="0"/>
            </w:tcBorders>
            <w:vAlign w:val="center"/>
          </w:tcPr>
          <w:p w14:paraId="45B3B7CC">
            <w:pPr>
              <w:pStyle w:val="196"/>
              <w:rPr>
                <w:bCs/>
              </w:rPr>
            </w:pPr>
            <w:r>
              <w:rPr>
                <w:rFonts w:hint="eastAsia"/>
                <w:bCs/>
              </w:rPr>
              <w:t>岸线集约化利用程度低的项目：1、主要和一般作业码头：单位岸线通过能力&lt;0.2万吨/米；2、其他码头：单位岸线通过能力&lt;0.07万吨/米。</w:t>
            </w:r>
          </w:p>
        </w:tc>
        <w:tc>
          <w:tcPr>
            <w:tcW w:w="1782" w:type="pct"/>
            <w:tcBorders>
              <w:top w:val="single" w:color="auto" w:sz="4" w:space="0"/>
              <w:left w:val="single" w:color="auto" w:sz="4" w:space="0"/>
              <w:bottom w:val="single" w:color="auto" w:sz="4" w:space="0"/>
              <w:right w:val="single" w:color="auto" w:sz="4" w:space="0"/>
            </w:tcBorders>
            <w:vAlign w:val="center"/>
          </w:tcPr>
          <w:p w14:paraId="1A9ED604">
            <w:pPr>
              <w:pStyle w:val="196"/>
              <w:rPr>
                <w:bCs/>
              </w:rPr>
            </w:pPr>
            <w:r>
              <w:rPr>
                <w:rFonts w:hint="eastAsia"/>
                <w:bCs/>
              </w:rPr>
              <w:t>本项目单位岸线通过能力0.66万吨/m的码头&gt;0.2万吨/m，不属于岸线集约化利用程度低的项目。</w:t>
            </w:r>
          </w:p>
        </w:tc>
        <w:tc>
          <w:tcPr>
            <w:tcW w:w="611" w:type="pct"/>
            <w:tcBorders>
              <w:top w:val="single" w:color="auto" w:sz="4" w:space="0"/>
              <w:left w:val="single" w:color="auto" w:sz="4" w:space="0"/>
              <w:bottom w:val="single" w:color="auto" w:sz="4" w:space="0"/>
              <w:right w:val="single" w:color="auto" w:sz="4" w:space="0"/>
            </w:tcBorders>
            <w:vAlign w:val="center"/>
          </w:tcPr>
          <w:p w14:paraId="5A85272D">
            <w:pPr>
              <w:pStyle w:val="196"/>
              <w:rPr>
                <w:bCs/>
              </w:rPr>
            </w:pPr>
            <w:r>
              <w:rPr>
                <w:rFonts w:hint="eastAsia"/>
                <w:bCs/>
              </w:rPr>
              <w:t>符合</w:t>
            </w:r>
          </w:p>
        </w:tc>
      </w:tr>
      <w:tr w14:paraId="32E7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9" w:hRule="atLeast"/>
          <w:jc w:val="center"/>
        </w:trPr>
        <w:tc>
          <w:tcPr>
            <w:tcW w:w="485" w:type="pct"/>
            <w:vMerge w:val="restart"/>
            <w:tcBorders>
              <w:top w:val="nil"/>
              <w:left w:val="single" w:color="auto" w:sz="4" w:space="0"/>
              <w:bottom w:val="single" w:color="auto" w:sz="4" w:space="0"/>
              <w:right w:val="single" w:color="auto" w:sz="4" w:space="0"/>
            </w:tcBorders>
            <w:vAlign w:val="center"/>
          </w:tcPr>
          <w:p w14:paraId="549FC885">
            <w:pPr>
              <w:pStyle w:val="196"/>
              <w:rPr>
                <w:bCs/>
              </w:rPr>
            </w:pPr>
            <w:r>
              <w:rPr>
                <w:rFonts w:hint="eastAsia"/>
                <w:bCs/>
              </w:rPr>
              <w:t>空间管制要求禁止引入的项目</w:t>
            </w:r>
          </w:p>
        </w:tc>
        <w:tc>
          <w:tcPr>
            <w:tcW w:w="2120" w:type="pct"/>
            <w:tcBorders>
              <w:top w:val="single" w:color="auto" w:sz="4" w:space="0"/>
              <w:left w:val="single" w:color="auto" w:sz="4" w:space="0"/>
              <w:bottom w:val="single" w:color="auto" w:sz="4" w:space="0"/>
              <w:right w:val="single" w:color="auto" w:sz="4" w:space="0"/>
            </w:tcBorders>
            <w:vAlign w:val="center"/>
          </w:tcPr>
          <w:p w14:paraId="10DC7EB2">
            <w:pPr>
              <w:pStyle w:val="196"/>
              <w:rPr>
                <w:bCs/>
              </w:rPr>
            </w:pPr>
            <w:r>
              <w:rPr>
                <w:rFonts w:hint="eastAsia"/>
                <w:bCs/>
              </w:rPr>
              <w:t>国家生态保护红线内，饮用水源一级、二级保护区内，永久基本农田内；新改扩建码头作业区。</w:t>
            </w:r>
          </w:p>
        </w:tc>
        <w:tc>
          <w:tcPr>
            <w:tcW w:w="1782" w:type="pct"/>
            <w:tcBorders>
              <w:top w:val="single" w:color="auto" w:sz="4" w:space="0"/>
              <w:left w:val="single" w:color="auto" w:sz="4" w:space="0"/>
              <w:bottom w:val="single" w:color="auto" w:sz="4" w:space="0"/>
              <w:right w:val="single" w:color="auto" w:sz="4" w:space="0"/>
            </w:tcBorders>
            <w:vAlign w:val="center"/>
          </w:tcPr>
          <w:p w14:paraId="75F5271C">
            <w:pPr>
              <w:pStyle w:val="196"/>
              <w:rPr>
                <w:bCs/>
              </w:rPr>
            </w:pPr>
            <w:r>
              <w:rPr>
                <w:rFonts w:hint="eastAsia"/>
                <w:bCs/>
              </w:rPr>
              <w:t>本项目不涉及。</w:t>
            </w:r>
          </w:p>
        </w:tc>
        <w:tc>
          <w:tcPr>
            <w:tcW w:w="611" w:type="pct"/>
            <w:tcBorders>
              <w:top w:val="single" w:color="auto" w:sz="4" w:space="0"/>
              <w:left w:val="single" w:color="auto" w:sz="4" w:space="0"/>
              <w:bottom w:val="single" w:color="auto" w:sz="4" w:space="0"/>
              <w:right w:val="single" w:color="auto" w:sz="4" w:space="0"/>
            </w:tcBorders>
            <w:vAlign w:val="center"/>
          </w:tcPr>
          <w:p w14:paraId="58EA6311">
            <w:pPr>
              <w:pStyle w:val="196"/>
              <w:rPr>
                <w:bCs/>
              </w:rPr>
            </w:pPr>
            <w:r>
              <w:rPr>
                <w:rFonts w:hint="eastAsia"/>
                <w:bCs/>
              </w:rPr>
              <w:t>符合</w:t>
            </w:r>
          </w:p>
        </w:tc>
      </w:tr>
      <w:tr w14:paraId="0A49D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4520CCF">
            <w:pPr>
              <w:pStyle w:val="196"/>
              <w:rPr>
                <w:bCs/>
                <w:kern w:val="0"/>
              </w:rPr>
            </w:pPr>
          </w:p>
        </w:tc>
        <w:tc>
          <w:tcPr>
            <w:tcW w:w="2120" w:type="pct"/>
            <w:tcBorders>
              <w:top w:val="single" w:color="auto" w:sz="4" w:space="0"/>
              <w:left w:val="single" w:color="auto" w:sz="4" w:space="0"/>
              <w:bottom w:val="single" w:color="auto" w:sz="4" w:space="0"/>
              <w:right w:val="single" w:color="auto" w:sz="4" w:space="0"/>
            </w:tcBorders>
            <w:vAlign w:val="center"/>
          </w:tcPr>
          <w:p w14:paraId="0AC247C8">
            <w:pPr>
              <w:pStyle w:val="196"/>
              <w:rPr>
                <w:bCs/>
              </w:rPr>
            </w:pPr>
            <w:r>
              <w:rPr>
                <w:rFonts w:hint="eastAsia"/>
                <w:bCs/>
              </w:rPr>
              <w:t>饮用水源准保护区：新建吞吐危险化学品、煤炭的码头作业区。</w:t>
            </w:r>
          </w:p>
        </w:tc>
        <w:tc>
          <w:tcPr>
            <w:tcW w:w="1782" w:type="pct"/>
            <w:tcBorders>
              <w:top w:val="single" w:color="auto" w:sz="4" w:space="0"/>
              <w:left w:val="single" w:color="auto" w:sz="4" w:space="0"/>
              <w:bottom w:val="single" w:color="auto" w:sz="4" w:space="0"/>
              <w:right w:val="single" w:color="auto" w:sz="4" w:space="0"/>
            </w:tcBorders>
            <w:vAlign w:val="center"/>
          </w:tcPr>
          <w:p w14:paraId="5A486A65">
            <w:pPr>
              <w:pStyle w:val="196"/>
              <w:rPr>
                <w:bCs/>
              </w:rPr>
            </w:pPr>
            <w:r>
              <w:rPr>
                <w:rFonts w:hint="eastAsia"/>
                <w:bCs/>
              </w:rPr>
              <w:t>本项目不涉及。</w:t>
            </w:r>
          </w:p>
        </w:tc>
        <w:tc>
          <w:tcPr>
            <w:tcW w:w="611" w:type="pct"/>
            <w:tcBorders>
              <w:top w:val="single" w:color="auto" w:sz="4" w:space="0"/>
              <w:left w:val="single" w:color="auto" w:sz="4" w:space="0"/>
              <w:bottom w:val="single" w:color="auto" w:sz="4" w:space="0"/>
              <w:right w:val="single" w:color="auto" w:sz="4" w:space="0"/>
            </w:tcBorders>
            <w:vAlign w:val="center"/>
          </w:tcPr>
          <w:p w14:paraId="27267B03">
            <w:pPr>
              <w:pStyle w:val="196"/>
              <w:rPr>
                <w:bCs/>
              </w:rPr>
            </w:pPr>
            <w:r>
              <w:rPr>
                <w:rFonts w:hint="eastAsia"/>
                <w:bCs/>
              </w:rPr>
              <w:t>符合</w:t>
            </w:r>
          </w:p>
        </w:tc>
      </w:tr>
    </w:tbl>
    <w:p w14:paraId="4F02DCCB">
      <w:pPr>
        <w:adjustRightInd w:val="0"/>
        <w:snapToGrid w:val="0"/>
        <w:ind w:firstLine="480"/>
        <w:rPr>
          <w:rFonts w:cs="Times New Roman"/>
          <w:szCs w:val="24"/>
        </w:rPr>
      </w:pPr>
      <w:r>
        <w:rPr>
          <w:rFonts w:hint="eastAsia" w:ascii="宋体" w:hAnsi="宋体"/>
          <w:szCs w:val="24"/>
        </w:rPr>
        <w:t>因此，本码头新建项目的建设与区域环境准入负面清单相符。</w:t>
      </w:r>
    </w:p>
    <w:p w14:paraId="3BDD3ABA">
      <w:pPr>
        <w:pStyle w:val="84"/>
      </w:pPr>
      <w:r>
        <w:rPr>
          <w:rFonts w:hint="eastAsia"/>
        </w:rPr>
        <w:t>与《江苏省2023年度生态环境分区管控动态更新成果》符合性分析</w:t>
      </w:r>
    </w:p>
    <w:p w14:paraId="3122C963">
      <w:pPr>
        <w:pStyle w:val="139"/>
        <w:ind w:firstLine="480"/>
        <w:rPr>
          <w:color w:val="auto"/>
        </w:rPr>
      </w:pPr>
      <w:r>
        <w:rPr>
          <w:rFonts w:hint="eastAsia"/>
          <w:color w:val="auto"/>
        </w:rPr>
        <w:t>2024年6月13日，江苏省生态环境厅发布了《江苏省2023年度生态环境分区管控动态更新成果公告》，对江苏省生态环境分区管控成果进行了动态更新。</w:t>
      </w:r>
    </w:p>
    <w:p w14:paraId="1E94B04F">
      <w:pPr>
        <w:pStyle w:val="139"/>
        <w:ind w:firstLine="480"/>
        <w:rPr>
          <w:color w:val="auto"/>
        </w:rPr>
      </w:pPr>
      <w:r>
        <w:rPr>
          <w:rFonts w:hint="eastAsia"/>
          <w:color w:val="auto"/>
        </w:rPr>
        <w:t>对照《江苏省2023年度生态环境分区管控动态更新成果》，本项目位于淮安市涟水县朱码街道高台村国能涟水一期热电联产项目厂区内，位于一般管控单元且位于淮河流域内，淮河流域管控要求为：空间布局约束：1、禁止在淮河流域新建化学制浆造纸企业，禁止在淮河流域新建制革、化工、印染、电镀、酿造等污染严重的小型企业。2、落实《江苏省通榆河水污染防治条例》，在通榆河一级保护区、二级保护区，禁止新建、改建、扩建制浆、造纸、化工、制革、酿造、燃料、印染、电镀、炼油、铅酸蓄电池和排放水污染物的黑色金属冶炼及压延加工项目、有色金属冶炼及压延加工项目，金属制品项目等污染环境的项目。3、在通榆河一级保护区，禁止新建、扩建直接或间接向水体排放污染物的项目，禁止建设工业固体废物集中贮存、利用、处置设施或者场所以及城市生活垃圾填埋场，禁止新建规模化畜禽养殖场。</w:t>
      </w:r>
    </w:p>
    <w:p w14:paraId="493C9C44">
      <w:pPr>
        <w:pStyle w:val="139"/>
        <w:ind w:firstLine="480"/>
        <w:rPr>
          <w:color w:val="auto"/>
        </w:rPr>
      </w:pPr>
      <w:r>
        <w:rPr>
          <w:rFonts w:hint="eastAsia"/>
          <w:color w:val="auto"/>
        </w:rPr>
        <w:t>本项目不在通榆河保护范围内，污染物达标排放，不涉及制浆、造纸、化工、制革、酿造、燃料、印染、电镀、炼油、铅酸蓄电池等行业，因此，符合江苏省“三线一单”生态环境分区管控方案的要求。根据表1.5-5，本项目建设符合《江苏省2023年度生态环境分区管控动态更新成果》要求，项目与《江苏省2023年度生态环境分区管控动态更新成果》中</w:t>
      </w:r>
      <w:r>
        <w:rPr>
          <w:rStyle w:val="140"/>
          <w:rFonts w:hint="eastAsia"/>
          <w:color w:val="auto"/>
        </w:rPr>
        <w:t>江苏省生态环境管控单元图（陆域）（2023年动态更新成果）位置关系见图1.5-3</w:t>
      </w:r>
      <w:r>
        <w:rPr>
          <w:rFonts w:hint="eastAsia"/>
          <w:color w:val="auto"/>
        </w:rPr>
        <w:t>。</w:t>
      </w:r>
    </w:p>
    <w:p w14:paraId="3543C72D">
      <w:pPr>
        <w:pStyle w:val="86"/>
      </w:pPr>
      <w:r>
        <w:rPr>
          <w:rFonts w:hint="eastAsia"/>
        </w:rPr>
        <w:t>本项目与《江苏省2023年度生态环境分区管控动态更新成果》相符性分析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1096"/>
        <w:gridCol w:w="4878"/>
        <w:gridCol w:w="2258"/>
      </w:tblGrid>
      <w:tr w14:paraId="3969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blHeader/>
          <w:jc w:val="center"/>
        </w:trPr>
        <w:tc>
          <w:tcPr>
            <w:tcW w:w="2098" w:type="dxa"/>
            <w:gridSpan w:val="2"/>
            <w:tcBorders>
              <w:top w:val="single" w:color="auto" w:sz="4" w:space="0"/>
              <w:left w:val="single" w:color="auto" w:sz="4" w:space="0"/>
              <w:bottom w:val="single" w:color="auto" w:sz="4" w:space="0"/>
              <w:right w:val="single" w:color="auto" w:sz="4" w:space="0"/>
            </w:tcBorders>
            <w:vAlign w:val="center"/>
          </w:tcPr>
          <w:p w14:paraId="043CE776">
            <w:pPr>
              <w:pStyle w:val="196"/>
              <w:rPr>
                <w:b/>
                <w:bCs/>
                <w:szCs w:val="21"/>
              </w:rPr>
            </w:pPr>
            <w:r>
              <w:rPr>
                <w:rFonts w:hint="eastAsia"/>
                <w:b/>
                <w:bCs/>
              </w:rPr>
              <w:t>类别</w:t>
            </w:r>
          </w:p>
        </w:tc>
        <w:tc>
          <w:tcPr>
            <w:tcW w:w="4759" w:type="dxa"/>
            <w:tcBorders>
              <w:top w:val="single" w:color="auto" w:sz="4" w:space="0"/>
              <w:left w:val="single" w:color="auto" w:sz="4" w:space="0"/>
              <w:bottom w:val="single" w:color="auto" w:sz="4" w:space="0"/>
              <w:right w:val="single" w:color="auto" w:sz="4" w:space="0"/>
            </w:tcBorders>
            <w:vAlign w:val="center"/>
          </w:tcPr>
          <w:p w14:paraId="2F8852BD">
            <w:pPr>
              <w:pStyle w:val="196"/>
              <w:rPr>
                <w:b/>
                <w:bCs/>
              </w:rPr>
            </w:pPr>
            <w:r>
              <w:rPr>
                <w:rFonts w:hint="eastAsia"/>
                <w:b/>
                <w:bCs/>
              </w:rPr>
              <w:t>文件相关内容</w:t>
            </w:r>
          </w:p>
        </w:tc>
        <w:tc>
          <w:tcPr>
            <w:tcW w:w="2203" w:type="dxa"/>
            <w:tcBorders>
              <w:top w:val="single" w:color="auto" w:sz="4" w:space="0"/>
              <w:left w:val="single" w:color="auto" w:sz="4" w:space="0"/>
              <w:bottom w:val="single" w:color="auto" w:sz="4" w:space="0"/>
              <w:right w:val="single" w:color="auto" w:sz="4" w:space="0"/>
            </w:tcBorders>
            <w:vAlign w:val="center"/>
          </w:tcPr>
          <w:p w14:paraId="1BDAF155">
            <w:pPr>
              <w:pStyle w:val="196"/>
              <w:rPr>
                <w:b/>
                <w:bCs/>
              </w:rPr>
            </w:pPr>
            <w:r>
              <w:rPr>
                <w:rFonts w:hint="eastAsia"/>
                <w:b/>
                <w:bCs/>
              </w:rPr>
              <w:t>相符性分析</w:t>
            </w:r>
          </w:p>
        </w:tc>
      </w:tr>
      <w:tr w14:paraId="744B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restart"/>
            <w:tcBorders>
              <w:top w:val="nil"/>
              <w:left w:val="single" w:color="auto" w:sz="4" w:space="0"/>
              <w:bottom w:val="single" w:color="auto" w:sz="4" w:space="0"/>
              <w:right w:val="single" w:color="auto" w:sz="4" w:space="0"/>
            </w:tcBorders>
            <w:vAlign w:val="center"/>
          </w:tcPr>
          <w:p w14:paraId="0D420CEC">
            <w:pPr>
              <w:pStyle w:val="196"/>
            </w:pPr>
            <w:r>
              <w:rPr>
                <w:rFonts w:hint="eastAsia"/>
              </w:rPr>
              <w:t>省域生态环境管控要求</w:t>
            </w:r>
          </w:p>
        </w:tc>
        <w:tc>
          <w:tcPr>
            <w:tcW w:w="1069" w:type="dxa"/>
            <w:vMerge w:val="restart"/>
            <w:tcBorders>
              <w:top w:val="nil"/>
              <w:left w:val="single" w:color="auto" w:sz="4" w:space="0"/>
              <w:bottom w:val="single" w:color="auto" w:sz="4" w:space="0"/>
              <w:right w:val="single" w:color="auto" w:sz="4" w:space="0"/>
            </w:tcBorders>
            <w:vAlign w:val="center"/>
          </w:tcPr>
          <w:p w14:paraId="39F66E1C">
            <w:pPr>
              <w:pStyle w:val="196"/>
            </w:pPr>
            <w:r>
              <w:rPr>
                <w:rFonts w:hint="eastAsia"/>
              </w:rPr>
              <w:t>空间布局约束</w:t>
            </w:r>
          </w:p>
        </w:tc>
        <w:tc>
          <w:tcPr>
            <w:tcW w:w="4759" w:type="dxa"/>
            <w:tcBorders>
              <w:top w:val="single" w:color="auto" w:sz="4" w:space="0"/>
              <w:left w:val="single" w:color="auto" w:sz="4" w:space="0"/>
              <w:bottom w:val="single" w:color="auto" w:sz="4" w:space="0"/>
              <w:right w:val="single" w:color="auto" w:sz="4" w:space="0"/>
            </w:tcBorders>
            <w:vAlign w:val="center"/>
          </w:tcPr>
          <w:p w14:paraId="3DEB00BD">
            <w:pPr>
              <w:pStyle w:val="218"/>
              <w:rPr>
                <w:color w:val="auto"/>
              </w:rPr>
            </w:pPr>
            <w:r>
              <w:rPr>
                <w:rFonts w:hint="eastAsia"/>
                <w:color w:val="auto"/>
              </w:rPr>
              <w:t>l.</w:t>
            </w:r>
            <w:r>
              <w:rPr>
                <w:color w:val="auto"/>
              </w:rPr>
              <w:t>按照《自然资源部 生态环境部 国家林业和草原局关于加强生态保护红线管理的通知（试行）》（自然资发〔2022〕142号）、</w:t>
            </w:r>
            <w:r>
              <w:rPr>
                <w:rFonts w:hint="eastAsia"/>
                <w:color w:val="auto"/>
              </w:rPr>
              <w:t>《省政府关于印发江苏省生态空间管控区域规划的通知》（苏政发〔2020〕1号）、</w:t>
            </w:r>
            <w:r>
              <w:rPr>
                <w:color w:val="auto"/>
              </w:rPr>
              <w:t>《关于进一步加强生态保护红线监督管理的通知》（苏自然函</w:t>
            </w:r>
            <w:r>
              <w:rPr>
                <w:rFonts w:hint="eastAsia"/>
                <w:color w:val="auto"/>
              </w:rPr>
              <w:t>〔</w:t>
            </w:r>
            <w:r>
              <w:rPr>
                <w:color w:val="auto"/>
              </w:rPr>
              <w:t>2023</w:t>
            </w:r>
            <w:r>
              <w:rPr>
                <w:rFonts w:hint="eastAsia"/>
                <w:color w:val="auto"/>
              </w:rPr>
              <w:t>〕</w:t>
            </w:r>
            <w:r>
              <w:rPr>
                <w:color w:val="auto"/>
              </w:rPr>
              <w:t>880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tc>
        <w:tc>
          <w:tcPr>
            <w:tcW w:w="2203" w:type="dxa"/>
            <w:vMerge w:val="restart"/>
            <w:tcBorders>
              <w:top w:val="single" w:color="auto" w:sz="4" w:space="0"/>
              <w:left w:val="single" w:color="auto" w:sz="4" w:space="0"/>
              <w:bottom w:val="single" w:color="auto" w:sz="4" w:space="0"/>
              <w:right w:val="single" w:color="auto" w:sz="4" w:space="0"/>
            </w:tcBorders>
            <w:vAlign w:val="center"/>
          </w:tcPr>
          <w:p w14:paraId="7B8820F5">
            <w:pPr>
              <w:pStyle w:val="196"/>
            </w:pPr>
            <w:r>
              <w:rPr>
                <w:rFonts w:hint="eastAsia"/>
              </w:rPr>
              <w:t>符合</w:t>
            </w:r>
          </w:p>
          <w:p w14:paraId="30655017">
            <w:pPr>
              <w:pStyle w:val="196"/>
            </w:pPr>
            <w:r>
              <w:rPr>
                <w:rFonts w:hint="eastAsia"/>
              </w:rPr>
              <w:t>本项目作业泊位均布置在生态空间管控区域外，工程不占用生态空间管控区域，疏浚污泥余水处理后满足《污水综合排放标准》（GB8978-1996）表4一级标准就近排入盐河，工程产生的水下方干化后弃方全部用于临时用地恢复，运营期无污废水排入盐河，对其主导生态功能无影响。</w:t>
            </w:r>
          </w:p>
          <w:p w14:paraId="39BE4A36">
            <w:pPr>
              <w:pStyle w:val="196"/>
            </w:pPr>
            <w:r>
              <w:rPr>
                <w:rFonts w:hint="eastAsia"/>
              </w:rPr>
              <w:t>本项目不属于排放量大、耗能高、产能过剩的产业。</w:t>
            </w:r>
          </w:p>
          <w:p w14:paraId="5431DAE0">
            <w:pPr>
              <w:pStyle w:val="218"/>
              <w:rPr>
                <w:color w:val="auto"/>
              </w:rPr>
            </w:pPr>
            <w:r>
              <w:rPr>
                <w:rFonts w:hint="eastAsia"/>
                <w:color w:val="auto"/>
              </w:rPr>
              <w:t>本项目不属于化工生产企业，沿江和沿海地区。</w:t>
            </w:r>
          </w:p>
          <w:p w14:paraId="17A69460">
            <w:pPr>
              <w:pStyle w:val="218"/>
              <w:rPr>
                <w:color w:val="auto"/>
              </w:rPr>
            </w:pPr>
            <w:r>
              <w:rPr>
                <w:rFonts w:hint="eastAsia"/>
                <w:color w:val="auto"/>
              </w:rPr>
              <w:t>本项目不属于钢铁企业。</w:t>
            </w:r>
          </w:p>
          <w:p w14:paraId="6C96E7E9">
            <w:pPr>
              <w:pStyle w:val="218"/>
              <w:rPr>
                <w:color w:val="auto"/>
              </w:rPr>
            </w:pPr>
            <w:r>
              <w:rPr>
                <w:rFonts w:hint="eastAsia"/>
                <w:color w:val="auto"/>
              </w:rPr>
              <w:t>本项目位于淮安市涟水县朱码街道高台村国能涟水一期热电联产项目厂区内，所在地不属于生态空间管控区、生态红线保护区。</w:t>
            </w:r>
          </w:p>
        </w:tc>
      </w:tr>
      <w:tr w14:paraId="1052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1A694DD3">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54DB6401">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7F9857B8">
            <w:pPr>
              <w:pStyle w:val="218"/>
              <w:ind w:left="1" w:hanging="1"/>
              <w:rPr>
                <w:color w:val="auto"/>
              </w:rPr>
            </w:pPr>
            <w:r>
              <w:rPr>
                <w:rFonts w:hint="eastAsia"/>
                <w:color w:val="auto"/>
              </w:rPr>
              <w:t>2.</w:t>
            </w:r>
            <w:r>
              <w:rPr>
                <w:rFonts w:eastAsiaTheme="minorEastAsia" w:cstheme="minorBidi"/>
                <w:color w:val="auto"/>
                <w:sz w:val="24"/>
              </w:rPr>
              <w:t xml:space="preserve"> </w:t>
            </w:r>
            <w:r>
              <w:rPr>
                <w:color w:val="auto"/>
              </w:rPr>
              <w:t>牢牢把握推动长江经济带发展“</w:t>
            </w:r>
            <w:r>
              <w:rPr>
                <w:rFonts w:hint="eastAsia"/>
                <w:color w:val="auto"/>
                <w:lang w:eastAsia="zh-CN"/>
              </w:rPr>
              <w:t>共抓大保护、不搞大开发</w:t>
            </w:r>
            <w:r>
              <w:rPr>
                <w:color w:val="auto"/>
              </w:rPr>
              <w:t>”战略导向，对省域范围内需要重点保护的岸线、河段和区域实行严格管控，管住控好排放量大、耗能高、产能过剩的产业，推动长江经济带高质量发展。</w:t>
            </w:r>
          </w:p>
        </w:tc>
        <w:tc>
          <w:tcPr>
            <w:tcW w:w="2203" w:type="dxa"/>
            <w:vMerge w:val="continue"/>
            <w:tcBorders>
              <w:top w:val="single" w:color="auto" w:sz="4" w:space="0"/>
              <w:left w:val="single" w:color="auto" w:sz="4" w:space="0"/>
              <w:bottom w:val="single" w:color="auto" w:sz="4" w:space="0"/>
              <w:right w:val="single" w:color="auto" w:sz="4" w:space="0"/>
            </w:tcBorders>
            <w:vAlign w:val="center"/>
          </w:tcPr>
          <w:p w14:paraId="126A3A7D">
            <w:pPr>
              <w:pStyle w:val="196"/>
              <w:rPr>
                <w:szCs w:val="21"/>
              </w:rPr>
            </w:pPr>
          </w:p>
        </w:tc>
      </w:tr>
      <w:tr w14:paraId="51B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47D11A04">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3BDFED63">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18A2B1F4">
            <w:pPr>
              <w:pStyle w:val="218"/>
              <w:rPr>
                <w:color w:val="auto"/>
              </w:rPr>
            </w:pPr>
            <w:r>
              <w:rPr>
                <w:rFonts w:hint="eastAsia"/>
                <w:color w:val="auto"/>
              </w:rPr>
              <w:t>3.</w:t>
            </w:r>
            <w:r>
              <w:rPr>
                <w:rFonts w:eastAsiaTheme="minorEastAsia" w:cstheme="minorBidi"/>
                <w:color w:val="auto"/>
                <w:sz w:val="24"/>
              </w:rPr>
              <w:t xml:space="preserve"> </w:t>
            </w:r>
            <w:r>
              <w:rPr>
                <w:color w:val="auto"/>
              </w:rPr>
              <w:t>大幅压减沿长江干支流两侧1公里范围内、环境敏感区域、城镇人口密集区、化工园区外和规模以下化工生产企业，着力破解“重化围江”突出问题，高起点同步推进沿江地区战略性转型和沿海地区战略性布局。</w:t>
            </w:r>
          </w:p>
        </w:tc>
        <w:tc>
          <w:tcPr>
            <w:tcW w:w="2203" w:type="dxa"/>
            <w:vMerge w:val="continue"/>
            <w:tcBorders>
              <w:top w:val="single" w:color="auto" w:sz="4" w:space="0"/>
              <w:left w:val="single" w:color="auto" w:sz="4" w:space="0"/>
              <w:bottom w:val="single" w:color="auto" w:sz="4" w:space="0"/>
              <w:right w:val="single" w:color="auto" w:sz="4" w:space="0"/>
            </w:tcBorders>
            <w:vAlign w:val="center"/>
          </w:tcPr>
          <w:p w14:paraId="34919FF4">
            <w:pPr>
              <w:pStyle w:val="196"/>
              <w:rPr>
                <w:szCs w:val="21"/>
              </w:rPr>
            </w:pPr>
          </w:p>
        </w:tc>
      </w:tr>
      <w:tr w14:paraId="12953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3A1A89C8">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27248956">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3FB56D40">
            <w:pPr>
              <w:pStyle w:val="196"/>
            </w:pPr>
            <w:r>
              <w:rPr>
                <w:rFonts w:hint="eastAsia"/>
              </w:rPr>
              <w:t>4.</w:t>
            </w:r>
            <w:r>
              <w:rPr>
                <w:rFonts w:eastAsiaTheme="minorEastAsia" w:cstheme="minorBidi"/>
                <w:sz w:val="24"/>
                <w:szCs w:val="21"/>
                <w:lang w:val="en-US"/>
              </w:rPr>
              <w:t xml:space="preserve"> </w:t>
            </w:r>
            <w:r>
              <w:rPr>
                <w:lang w:val="en-US"/>
              </w:rPr>
              <w:t>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tc>
        <w:tc>
          <w:tcPr>
            <w:tcW w:w="2203" w:type="dxa"/>
            <w:vMerge w:val="continue"/>
            <w:tcBorders>
              <w:top w:val="single" w:color="auto" w:sz="4" w:space="0"/>
              <w:left w:val="single" w:color="auto" w:sz="4" w:space="0"/>
              <w:bottom w:val="single" w:color="auto" w:sz="4" w:space="0"/>
              <w:right w:val="single" w:color="auto" w:sz="4" w:space="0"/>
            </w:tcBorders>
            <w:vAlign w:val="center"/>
          </w:tcPr>
          <w:p w14:paraId="2E2D1541">
            <w:pPr>
              <w:pStyle w:val="196"/>
              <w:rPr>
                <w:szCs w:val="21"/>
              </w:rPr>
            </w:pPr>
          </w:p>
        </w:tc>
      </w:tr>
      <w:tr w14:paraId="7D2A5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00C915A5">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3D501443">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44262675">
            <w:pPr>
              <w:pStyle w:val="196"/>
            </w:pPr>
            <w:r>
              <w:rPr>
                <w:rFonts w:hint="eastAsia"/>
              </w:rPr>
              <w:t>5.</w:t>
            </w:r>
            <w:r>
              <w:rPr>
                <w:rFonts w:eastAsiaTheme="minorEastAsia" w:cstheme="minorBidi"/>
                <w:sz w:val="24"/>
                <w:szCs w:val="21"/>
                <w:lang w:val="en-US"/>
              </w:rPr>
              <w:t xml:space="preserve"> </w:t>
            </w:r>
            <w:r>
              <w:rPr>
                <w:lang w:val="en-US"/>
              </w:rPr>
              <w:t>对列入国家和省规划，涉及生态保护红线和相关法定保护区的</w:t>
            </w:r>
            <w:r>
              <w:rPr>
                <w:rFonts w:hint="eastAsia"/>
                <w:lang w:val="en-US" w:eastAsia="zh-CN"/>
              </w:rPr>
              <w:t>重要民生项目</w:t>
            </w:r>
            <w:r>
              <w:rPr>
                <w:lang w:val="en-US"/>
              </w:rPr>
              <w:t>、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2203" w:type="dxa"/>
            <w:vMerge w:val="continue"/>
            <w:tcBorders>
              <w:top w:val="single" w:color="auto" w:sz="4" w:space="0"/>
              <w:left w:val="single" w:color="auto" w:sz="4" w:space="0"/>
              <w:bottom w:val="single" w:color="auto" w:sz="4" w:space="0"/>
              <w:right w:val="single" w:color="auto" w:sz="4" w:space="0"/>
            </w:tcBorders>
            <w:vAlign w:val="center"/>
          </w:tcPr>
          <w:p w14:paraId="069E2CD3">
            <w:pPr>
              <w:pStyle w:val="196"/>
              <w:rPr>
                <w:szCs w:val="21"/>
              </w:rPr>
            </w:pPr>
          </w:p>
        </w:tc>
      </w:tr>
      <w:tr w14:paraId="3F39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5C74091B">
            <w:pPr>
              <w:pStyle w:val="196"/>
              <w:rPr>
                <w:szCs w:val="21"/>
              </w:rPr>
            </w:pPr>
          </w:p>
        </w:tc>
        <w:tc>
          <w:tcPr>
            <w:tcW w:w="1069" w:type="dxa"/>
            <w:vMerge w:val="restart"/>
            <w:tcBorders>
              <w:top w:val="nil"/>
              <w:left w:val="single" w:color="auto" w:sz="4" w:space="0"/>
              <w:bottom w:val="single" w:color="auto" w:sz="4" w:space="0"/>
              <w:right w:val="single" w:color="auto" w:sz="4" w:space="0"/>
            </w:tcBorders>
            <w:vAlign w:val="center"/>
          </w:tcPr>
          <w:p w14:paraId="6A8E33F0">
            <w:pPr>
              <w:pStyle w:val="196"/>
            </w:pPr>
            <w:r>
              <w:rPr>
                <w:rFonts w:hint="eastAsia"/>
              </w:rPr>
              <w:t>污染物排放管控</w:t>
            </w:r>
          </w:p>
        </w:tc>
        <w:tc>
          <w:tcPr>
            <w:tcW w:w="4759" w:type="dxa"/>
            <w:tcBorders>
              <w:top w:val="single" w:color="auto" w:sz="4" w:space="0"/>
              <w:left w:val="single" w:color="auto" w:sz="4" w:space="0"/>
              <w:bottom w:val="single" w:color="auto" w:sz="4" w:space="0"/>
              <w:right w:val="single" w:color="auto" w:sz="4" w:space="0"/>
            </w:tcBorders>
            <w:vAlign w:val="center"/>
          </w:tcPr>
          <w:p w14:paraId="6C6B63F0">
            <w:pPr>
              <w:pStyle w:val="196"/>
            </w:pPr>
            <w:r>
              <w:rPr>
                <w:lang w:val="en-US"/>
              </w:rPr>
              <w:t>1．坚持生态环境质量只能更好、不能变坏，实施污染物总量控制，以环境容量定产业、定项目、定规模，确保开发建设行为不突破生态环境承载力。</w:t>
            </w:r>
          </w:p>
        </w:tc>
        <w:tc>
          <w:tcPr>
            <w:tcW w:w="2203" w:type="dxa"/>
            <w:vMerge w:val="restart"/>
            <w:tcBorders>
              <w:top w:val="nil"/>
              <w:left w:val="single" w:color="auto" w:sz="4" w:space="0"/>
              <w:bottom w:val="single" w:color="auto" w:sz="4" w:space="0"/>
              <w:right w:val="single" w:color="auto" w:sz="4" w:space="0"/>
            </w:tcBorders>
            <w:vAlign w:val="center"/>
          </w:tcPr>
          <w:p w14:paraId="6EE5E1A6">
            <w:pPr>
              <w:pStyle w:val="196"/>
            </w:pPr>
            <w:r>
              <w:rPr>
                <w:rFonts w:hint="eastAsia"/>
              </w:rPr>
              <w:t>符合</w:t>
            </w:r>
          </w:p>
          <w:p w14:paraId="040E9A10">
            <w:pPr>
              <w:pStyle w:val="196"/>
            </w:pPr>
            <w:r>
              <w:rPr>
                <w:rFonts w:hint="eastAsia"/>
              </w:rPr>
              <w:t>本项目总量指标在区域内平衡。</w:t>
            </w:r>
          </w:p>
        </w:tc>
      </w:tr>
      <w:tr w14:paraId="086F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0CF10AD9">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1639DFB5">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4547D10F">
            <w:pPr>
              <w:pStyle w:val="196"/>
            </w:pPr>
            <w:r>
              <w:rPr>
                <w:lang w:val="en-US"/>
              </w:rPr>
              <w:t>2．2025年，主要污染物排放减排完成国家下达任务，单位工业增加值二氧化碳排放量下降20%，主要高耗能行业单位产品二氧化碳排放达到世界先进水平。实施氮氧化物（NOx）和VOCs协同减排，推进多污染物和关联区域</w:t>
            </w:r>
            <w:r>
              <w:rPr>
                <w:rFonts w:hint="eastAsia"/>
                <w:lang w:val="en-US"/>
              </w:rPr>
              <w:t>联</w:t>
            </w:r>
            <w:r>
              <w:rPr>
                <w:lang w:val="en-US"/>
              </w:rPr>
              <w:t>防联控。</w:t>
            </w:r>
          </w:p>
        </w:tc>
        <w:tc>
          <w:tcPr>
            <w:tcW w:w="2203" w:type="dxa"/>
            <w:vMerge w:val="continue"/>
            <w:tcBorders>
              <w:top w:val="nil"/>
              <w:left w:val="single" w:color="auto" w:sz="4" w:space="0"/>
              <w:bottom w:val="single" w:color="auto" w:sz="4" w:space="0"/>
              <w:right w:val="single" w:color="auto" w:sz="4" w:space="0"/>
            </w:tcBorders>
            <w:vAlign w:val="center"/>
          </w:tcPr>
          <w:p w14:paraId="6F2C1007">
            <w:pPr>
              <w:pStyle w:val="196"/>
              <w:rPr>
                <w:szCs w:val="21"/>
              </w:rPr>
            </w:pPr>
          </w:p>
        </w:tc>
      </w:tr>
      <w:tr w14:paraId="2B735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4301E4C3">
            <w:pPr>
              <w:pStyle w:val="196"/>
              <w:rPr>
                <w:szCs w:val="21"/>
              </w:rPr>
            </w:pPr>
          </w:p>
        </w:tc>
        <w:tc>
          <w:tcPr>
            <w:tcW w:w="1069" w:type="dxa"/>
            <w:vMerge w:val="restart"/>
            <w:tcBorders>
              <w:top w:val="nil"/>
              <w:left w:val="single" w:color="auto" w:sz="4" w:space="0"/>
              <w:bottom w:val="single" w:color="auto" w:sz="4" w:space="0"/>
              <w:right w:val="single" w:color="auto" w:sz="4" w:space="0"/>
            </w:tcBorders>
            <w:vAlign w:val="center"/>
          </w:tcPr>
          <w:p w14:paraId="3AB1E568">
            <w:pPr>
              <w:pStyle w:val="196"/>
            </w:pPr>
            <w:r>
              <w:rPr>
                <w:rFonts w:hint="eastAsia"/>
              </w:rPr>
              <w:t>环境风险防控</w:t>
            </w:r>
          </w:p>
        </w:tc>
        <w:tc>
          <w:tcPr>
            <w:tcW w:w="4759" w:type="dxa"/>
            <w:tcBorders>
              <w:top w:val="single" w:color="auto" w:sz="4" w:space="0"/>
              <w:left w:val="single" w:color="auto" w:sz="4" w:space="0"/>
              <w:bottom w:val="single" w:color="auto" w:sz="4" w:space="0"/>
              <w:right w:val="single" w:color="auto" w:sz="4" w:space="0"/>
            </w:tcBorders>
            <w:vAlign w:val="center"/>
          </w:tcPr>
          <w:p w14:paraId="55BA9515">
            <w:pPr>
              <w:pStyle w:val="196"/>
            </w:pPr>
            <w:r>
              <w:rPr>
                <w:rFonts w:hint="eastAsia"/>
              </w:rPr>
              <w:t>1.强化饮用水水源环境风险管控。县级以上城市全部建成应急水源或双源供水。</w:t>
            </w:r>
          </w:p>
        </w:tc>
        <w:tc>
          <w:tcPr>
            <w:tcW w:w="2203" w:type="dxa"/>
            <w:vMerge w:val="restart"/>
            <w:tcBorders>
              <w:top w:val="nil"/>
              <w:left w:val="single" w:color="auto" w:sz="4" w:space="0"/>
              <w:bottom w:val="single" w:color="auto" w:sz="4" w:space="0"/>
              <w:right w:val="single" w:color="auto" w:sz="4" w:space="0"/>
            </w:tcBorders>
            <w:vAlign w:val="center"/>
          </w:tcPr>
          <w:p w14:paraId="71F61959">
            <w:pPr>
              <w:pStyle w:val="196"/>
            </w:pPr>
            <w:r>
              <w:rPr>
                <w:rFonts w:hint="eastAsia"/>
              </w:rPr>
              <w:t>符合</w:t>
            </w:r>
          </w:p>
          <w:p w14:paraId="0937598E">
            <w:pPr>
              <w:pStyle w:val="196"/>
            </w:pPr>
            <w:r>
              <w:rPr>
                <w:rFonts w:hint="eastAsia"/>
              </w:rPr>
              <w:t>本项目不属于危化品码头，企业将制定环境风险预案，并落实各项环境风险防控措施。</w:t>
            </w:r>
          </w:p>
        </w:tc>
      </w:tr>
      <w:tr w14:paraId="0C2D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02F2BA8E">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34EB9681">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4CF9A031">
            <w:pPr>
              <w:pStyle w:val="196"/>
            </w:pPr>
            <w:r>
              <w:rPr>
                <w:rFonts w:hint="eastAsia"/>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tc>
        <w:tc>
          <w:tcPr>
            <w:tcW w:w="2203" w:type="dxa"/>
            <w:vMerge w:val="continue"/>
            <w:tcBorders>
              <w:top w:val="nil"/>
              <w:left w:val="single" w:color="auto" w:sz="4" w:space="0"/>
              <w:bottom w:val="single" w:color="auto" w:sz="4" w:space="0"/>
              <w:right w:val="single" w:color="auto" w:sz="4" w:space="0"/>
            </w:tcBorders>
            <w:vAlign w:val="center"/>
          </w:tcPr>
          <w:p w14:paraId="1F8353AA">
            <w:pPr>
              <w:pStyle w:val="196"/>
              <w:rPr>
                <w:szCs w:val="21"/>
              </w:rPr>
            </w:pPr>
          </w:p>
        </w:tc>
      </w:tr>
      <w:tr w14:paraId="075F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45FEE5B0">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5EBE6947">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49D9A88D">
            <w:pPr>
              <w:pStyle w:val="196"/>
            </w:pPr>
            <w:r>
              <w:rPr>
                <w:rFonts w:hint="eastAsia"/>
              </w:rPr>
              <w:t>3.强化环境事故应急管理。深化跨部门、跨区域环境应急协调联动，分区域建立环境应急物资储备库。各级工业园区（集聚区）和企业的环境应急装备和储备物资应纳入储备体系。</w:t>
            </w:r>
          </w:p>
        </w:tc>
        <w:tc>
          <w:tcPr>
            <w:tcW w:w="2203" w:type="dxa"/>
            <w:vMerge w:val="continue"/>
            <w:tcBorders>
              <w:top w:val="nil"/>
              <w:left w:val="single" w:color="auto" w:sz="4" w:space="0"/>
              <w:bottom w:val="single" w:color="auto" w:sz="4" w:space="0"/>
              <w:right w:val="single" w:color="auto" w:sz="4" w:space="0"/>
            </w:tcBorders>
            <w:vAlign w:val="center"/>
          </w:tcPr>
          <w:p w14:paraId="3E24084F">
            <w:pPr>
              <w:pStyle w:val="196"/>
              <w:rPr>
                <w:szCs w:val="21"/>
              </w:rPr>
            </w:pPr>
          </w:p>
        </w:tc>
      </w:tr>
      <w:tr w14:paraId="5B5DB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768EB8C8">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5C53B91B">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12F122BE">
            <w:pPr>
              <w:pStyle w:val="196"/>
            </w:pPr>
            <w:r>
              <w:rPr>
                <w:rFonts w:hint="eastAsia"/>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2203" w:type="dxa"/>
            <w:vMerge w:val="continue"/>
            <w:tcBorders>
              <w:top w:val="nil"/>
              <w:left w:val="single" w:color="auto" w:sz="4" w:space="0"/>
              <w:bottom w:val="single" w:color="auto" w:sz="4" w:space="0"/>
              <w:right w:val="single" w:color="auto" w:sz="4" w:space="0"/>
            </w:tcBorders>
            <w:vAlign w:val="center"/>
          </w:tcPr>
          <w:p w14:paraId="47CE9602">
            <w:pPr>
              <w:pStyle w:val="196"/>
              <w:rPr>
                <w:szCs w:val="21"/>
              </w:rPr>
            </w:pPr>
          </w:p>
        </w:tc>
      </w:tr>
      <w:tr w14:paraId="6B0F8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34B846BE">
            <w:pPr>
              <w:pStyle w:val="196"/>
              <w:rPr>
                <w:szCs w:val="21"/>
              </w:rPr>
            </w:pPr>
          </w:p>
        </w:tc>
        <w:tc>
          <w:tcPr>
            <w:tcW w:w="1069" w:type="dxa"/>
            <w:vMerge w:val="restart"/>
            <w:tcBorders>
              <w:top w:val="nil"/>
              <w:left w:val="single" w:color="auto" w:sz="4" w:space="0"/>
              <w:bottom w:val="single" w:color="auto" w:sz="4" w:space="0"/>
              <w:right w:val="single" w:color="auto" w:sz="4" w:space="0"/>
            </w:tcBorders>
            <w:vAlign w:val="center"/>
          </w:tcPr>
          <w:p w14:paraId="1C7EB613">
            <w:pPr>
              <w:pStyle w:val="196"/>
            </w:pPr>
            <w:r>
              <w:rPr>
                <w:rFonts w:hint="eastAsia"/>
              </w:rPr>
              <w:t>资源利用效率要求</w:t>
            </w:r>
          </w:p>
        </w:tc>
        <w:tc>
          <w:tcPr>
            <w:tcW w:w="4759" w:type="dxa"/>
            <w:tcBorders>
              <w:top w:val="single" w:color="auto" w:sz="4" w:space="0"/>
              <w:left w:val="single" w:color="auto" w:sz="4" w:space="0"/>
              <w:bottom w:val="single" w:color="auto" w:sz="4" w:space="0"/>
              <w:right w:val="single" w:color="auto" w:sz="4" w:space="0"/>
            </w:tcBorders>
            <w:vAlign w:val="center"/>
          </w:tcPr>
          <w:p w14:paraId="441BC294">
            <w:pPr>
              <w:pStyle w:val="218"/>
              <w:rPr>
                <w:color w:val="auto"/>
              </w:rPr>
            </w:pPr>
            <w:r>
              <w:rPr>
                <w:color w:val="auto"/>
              </w:rPr>
              <w:t>1．水资源利用总量及效率要求：到2025年，全省用水总量控制在525.9亿立方米以内，万元地区生产总值用水量、万元工业增加值用水量下降完成国家下达目标，农田灌溉水有效利用系数提高到0.625。</w:t>
            </w:r>
          </w:p>
        </w:tc>
        <w:tc>
          <w:tcPr>
            <w:tcW w:w="2203" w:type="dxa"/>
            <w:vMerge w:val="restart"/>
            <w:tcBorders>
              <w:top w:val="nil"/>
              <w:left w:val="single" w:color="auto" w:sz="4" w:space="0"/>
              <w:bottom w:val="single" w:color="auto" w:sz="4" w:space="0"/>
              <w:right w:val="single" w:color="auto" w:sz="4" w:space="0"/>
            </w:tcBorders>
            <w:vAlign w:val="center"/>
          </w:tcPr>
          <w:p w14:paraId="78049323">
            <w:pPr>
              <w:pStyle w:val="196"/>
            </w:pPr>
            <w:r>
              <w:rPr>
                <w:rFonts w:hint="eastAsia"/>
              </w:rPr>
              <w:t>本项目的水气电等资源利用不会突破区域的资源利用上</w:t>
            </w:r>
            <w:r>
              <w:rPr>
                <w:rFonts w:hint="eastAsia"/>
                <w:lang w:eastAsia="zh-CN"/>
              </w:rPr>
              <w:t>限</w:t>
            </w:r>
            <w:r>
              <w:rPr>
                <w:rFonts w:hint="eastAsia"/>
              </w:rPr>
              <w:t>要求。项目用地为国能涟水一期热电项目预留建设用地，不违背当地土地规划要求，亦不会达到项目所在区域土地资源利用上</w:t>
            </w:r>
            <w:r>
              <w:rPr>
                <w:rFonts w:hint="eastAsia"/>
                <w:lang w:eastAsia="zh-CN"/>
              </w:rPr>
              <w:t>限</w:t>
            </w:r>
            <w:r>
              <w:rPr>
                <w:rFonts w:hint="eastAsia"/>
              </w:rPr>
              <w:t>。项目位于允许建设用地。对照《涟水县国土空间规划（2021-2035）》，本项目不在中心城区开发边界内，主要用地为国能涟水一期热电项目预留建设用地，不违背国土空间规划要求。</w:t>
            </w:r>
          </w:p>
          <w:p w14:paraId="628D8AB7">
            <w:pPr>
              <w:pStyle w:val="196"/>
            </w:pPr>
            <w:r>
              <w:rPr>
                <w:rFonts w:hint="eastAsia"/>
              </w:rPr>
              <w:t>项目不使用高污染燃料。</w:t>
            </w:r>
          </w:p>
        </w:tc>
      </w:tr>
      <w:tr w14:paraId="59BA5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4E072B13">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040C57BD">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688EAD59">
            <w:pPr>
              <w:pStyle w:val="218"/>
              <w:rPr>
                <w:color w:val="auto"/>
              </w:rPr>
            </w:pPr>
            <w:r>
              <w:rPr>
                <w:color w:val="auto"/>
              </w:rPr>
              <w:t>2．土地资源总量要求：到2025年，江苏省耕地保有量不低于5977万亩，其中永久基本农田保护面积不低于5344万亩。</w:t>
            </w:r>
          </w:p>
        </w:tc>
        <w:tc>
          <w:tcPr>
            <w:tcW w:w="2203" w:type="dxa"/>
            <w:vMerge w:val="continue"/>
            <w:tcBorders>
              <w:top w:val="nil"/>
              <w:left w:val="single" w:color="auto" w:sz="4" w:space="0"/>
              <w:bottom w:val="single" w:color="auto" w:sz="4" w:space="0"/>
              <w:right w:val="single" w:color="auto" w:sz="4" w:space="0"/>
            </w:tcBorders>
            <w:vAlign w:val="center"/>
          </w:tcPr>
          <w:p w14:paraId="449D184E">
            <w:pPr>
              <w:pStyle w:val="196"/>
              <w:rPr>
                <w:szCs w:val="21"/>
              </w:rPr>
            </w:pPr>
          </w:p>
        </w:tc>
      </w:tr>
      <w:tr w14:paraId="68D8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5C49CA55">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15E4126C">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69A37028">
            <w:pPr>
              <w:pStyle w:val="196"/>
            </w:pPr>
            <w:r>
              <w:rPr>
                <w:rFonts w:hint="eastAsia"/>
              </w:rPr>
              <w:t>3.禁燃区要求：在禁燃区内，禁止销售、燃用高污染燃料；禁止新建、扩建燃用高污染燃料的设施，已建成的，应当在城市人民政府规定的期限内改用天然气、页岩气、液化石油气、</w:t>
            </w:r>
            <w:r>
              <w:rPr>
                <w:rFonts w:hint="eastAsia"/>
                <w:lang w:eastAsia="zh-CN"/>
              </w:rPr>
              <w:t>电力</w:t>
            </w:r>
            <w:r>
              <w:rPr>
                <w:rFonts w:hint="eastAsia"/>
              </w:rPr>
              <w:t>或者其他清洁能源。</w:t>
            </w:r>
          </w:p>
        </w:tc>
        <w:tc>
          <w:tcPr>
            <w:tcW w:w="2203" w:type="dxa"/>
            <w:vMerge w:val="continue"/>
            <w:tcBorders>
              <w:top w:val="nil"/>
              <w:left w:val="single" w:color="auto" w:sz="4" w:space="0"/>
              <w:bottom w:val="single" w:color="auto" w:sz="4" w:space="0"/>
              <w:right w:val="single" w:color="auto" w:sz="4" w:space="0"/>
            </w:tcBorders>
            <w:vAlign w:val="center"/>
          </w:tcPr>
          <w:p w14:paraId="3E128DD7">
            <w:pPr>
              <w:pStyle w:val="196"/>
              <w:rPr>
                <w:szCs w:val="21"/>
              </w:rPr>
            </w:pPr>
          </w:p>
        </w:tc>
      </w:tr>
      <w:tr w14:paraId="77473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restart"/>
            <w:tcBorders>
              <w:top w:val="nil"/>
              <w:left w:val="single" w:color="auto" w:sz="4" w:space="0"/>
              <w:bottom w:val="single" w:color="auto" w:sz="4" w:space="0"/>
              <w:right w:val="single" w:color="auto" w:sz="4" w:space="0"/>
            </w:tcBorders>
            <w:vAlign w:val="center"/>
          </w:tcPr>
          <w:p w14:paraId="4D04F47B">
            <w:pPr>
              <w:pStyle w:val="196"/>
            </w:pPr>
            <w:r>
              <w:rPr>
                <w:rFonts w:hint="eastAsia"/>
              </w:rPr>
              <w:t>淮河流域生态环境分区管控要求</w:t>
            </w:r>
          </w:p>
        </w:tc>
        <w:tc>
          <w:tcPr>
            <w:tcW w:w="1069" w:type="dxa"/>
            <w:vMerge w:val="restart"/>
            <w:tcBorders>
              <w:top w:val="nil"/>
              <w:left w:val="single" w:color="auto" w:sz="4" w:space="0"/>
              <w:bottom w:val="single" w:color="auto" w:sz="4" w:space="0"/>
              <w:right w:val="single" w:color="auto" w:sz="4" w:space="0"/>
            </w:tcBorders>
            <w:vAlign w:val="center"/>
          </w:tcPr>
          <w:p w14:paraId="5223FC42">
            <w:pPr>
              <w:pStyle w:val="196"/>
            </w:pPr>
            <w:r>
              <w:rPr>
                <w:rFonts w:hint="eastAsia"/>
              </w:rPr>
              <w:t>空间布局约束</w:t>
            </w:r>
          </w:p>
        </w:tc>
        <w:tc>
          <w:tcPr>
            <w:tcW w:w="4759" w:type="dxa"/>
            <w:tcBorders>
              <w:top w:val="single" w:color="auto" w:sz="4" w:space="0"/>
              <w:left w:val="single" w:color="auto" w:sz="4" w:space="0"/>
              <w:bottom w:val="single" w:color="auto" w:sz="4" w:space="0"/>
              <w:right w:val="single" w:color="auto" w:sz="4" w:space="0"/>
            </w:tcBorders>
            <w:vAlign w:val="center"/>
          </w:tcPr>
          <w:p w14:paraId="49914731">
            <w:pPr>
              <w:pStyle w:val="196"/>
            </w:pPr>
            <w:r>
              <w:rPr>
                <w:rFonts w:hint="eastAsia"/>
              </w:rPr>
              <w:t>1.禁止在淮河流域新建化学制浆造纸企业，禁止在淮河流域新建制革、化工、印染、电镀、酿造等污染严重的小型企业。</w:t>
            </w:r>
          </w:p>
        </w:tc>
        <w:tc>
          <w:tcPr>
            <w:tcW w:w="2203" w:type="dxa"/>
            <w:vMerge w:val="restart"/>
            <w:tcBorders>
              <w:top w:val="nil"/>
              <w:left w:val="single" w:color="auto" w:sz="4" w:space="0"/>
              <w:bottom w:val="single" w:color="auto" w:sz="4" w:space="0"/>
              <w:right w:val="single" w:color="auto" w:sz="4" w:space="0"/>
            </w:tcBorders>
            <w:vAlign w:val="center"/>
          </w:tcPr>
          <w:p w14:paraId="65650D1F">
            <w:pPr>
              <w:pStyle w:val="196"/>
            </w:pPr>
            <w:r>
              <w:rPr>
                <w:rFonts w:hint="eastAsia"/>
              </w:rPr>
              <w:t>符合</w:t>
            </w:r>
          </w:p>
          <w:p w14:paraId="70B554CC">
            <w:pPr>
              <w:pStyle w:val="196"/>
            </w:pPr>
            <w:r>
              <w:rPr>
                <w:rFonts w:hint="eastAsia"/>
              </w:rPr>
              <w:t>本项目不属于制革、化工、印染、电镀、酿造等污染严重的小型企业。</w:t>
            </w:r>
          </w:p>
          <w:p w14:paraId="7782FD95">
            <w:pPr>
              <w:pStyle w:val="196"/>
            </w:pPr>
            <w:r>
              <w:rPr>
                <w:rFonts w:hint="eastAsia"/>
              </w:rPr>
              <w:t>项目位于淮安市涟水县，紧靠盐河，不在通榆河保护区范围内，运营期无废水排入盐河内，属于码头项目，不属于禁止新建、改建、扩建项目。</w:t>
            </w:r>
          </w:p>
        </w:tc>
      </w:tr>
      <w:tr w14:paraId="5E57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022881B8">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67051215">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4893B035">
            <w:pPr>
              <w:pStyle w:val="196"/>
            </w:pPr>
            <w:r>
              <w:rPr>
                <w:rFonts w:hint="eastAsia"/>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tc>
        <w:tc>
          <w:tcPr>
            <w:tcW w:w="2203" w:type="dxa"/>
            <w:vMerge w:val="continue"/>
            <w:tcBorders>
              <w:top w:val="nil"/>
              <w:left w:val="single" w:color="auto" w:sz="4" w:space="0"/>
              <w:bottom w:val="single" w:color="auto" w:sz="4" w:space="0"/>
              <w:right w:val="single" w:color="auto" w:sz="4" w:space="0"/>
            </w:tcBorders>
            <w:vAlign w:val="center"/>
          </w:tcPr>
          <w:p w14:paraId="64DBC668">
            <w:pPr>
              <w:pStyle w:val="196"/>
              <w:rPr>
                <w:szCs w:val="21"/>
              </w:rPr>
            </w:pPr>
          </w:p>
        </w:tc>
      </w:tr>
      <w:tr w14:paraId="7A012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59EBA035">
            <w:pPr>
              <w:pStyle w:val="196"/>
              <w:rPr>
                <w:szCs w:val="21"/>
              </w:rPr>
            </w:pPr>
          </w:p>
        </w:tc>
        <w:tc>
          <w:tcPr>
            <w:tcW w:w="1069" w:type="dxa"/>
            <w:vMerge w:val="continue"/>
            <w:tcBorders>
              <w:top w:val="nil"/>
              <w:left w:val="single" w:color="auto" w:sz="4" w:space="0"/>
              <w:bottom w:val="single" w:color="auto" w:sz="4" w:space="0"/>
              <w:right w:val="single" w:color="auto" w:sz="4" w:space="0"/>
            </w:tcBorders>
            <w:vAlign w:val="center"/>
          </w:tcPr>
          <w:p w14:paraId="3F6DF1B0">
            <w:pPr>
              <w:pStyle w:val="196"/>
              <w:rPr>
                <w:szCs w:val="21"/>
              </w:rPr>
            </w:pPr>
          </w:p>
        </w:tc>
        <w:tc>
          <w:tcPr>
            <w:tcW w:w="4759" w:type="dxa"/>
            <w:tcBorders>
              <w:top w:val="single" w:color="auto" w:sz="4" w:space="0"/>
              <w:left w:val="single" w:color="auto" w:sz="4" w:space="0"/>
              <w:bottom w:val="single" w:color="auto" w:sz="4" w:space="0"/>
              <w:right w:val="single" w:color="auto" w:sz="4" w:space="0"/>
            </w:tcBorders>
            <w:vAlign w:val="center"/>
          </w:tcPr>
          <w:p w14:paraId="77DDBE02">
            <w:pPr>
              <w:pStyle w:val="196"/>
            </w:pPr>
            <w:r>
              <w:rPr>
                <w:rFonts w:hint="eastAsia"/>
              </w:rPr>
              <w:t>3.在通榆河一级保护区，禁止新建、扩建直接或者间接向水体排放污染物的项目，禁止建设工业固体废物集中贮存、利用、处置设施或者场所以及城市生活垃圾填埋场，禁止新建规模化畜禽养殖场。</w:t>
            </w:r>
          </w:p>
        </w:tc>
        <w:tc>
          <w:tcPr>
            <w:tcW w:w="2203" w:type="dxa"/>
            <w:vMerge w:val="continue"/>
            <w:tcBorders>
              <w:top w:val="nil"/>
              <w:left w:val="single" w:color="auto" w:sz="4" w:space="0"/>
              <w:bottom w:val="single" w:color="auto" w:sz="4" w:space="0"/>
              <w:right w:val="single" w:color="auto" w:sz="4" w:space="0"/>
            </w:tcBorders>
            <w:vAlign w:val="center"/>
          </w:tcPr>
          <w:p w14:paraId="10CF4119">
            <w:pPr>
              <w:pStyle w:val="196"/>
              <w:rPr>
                <w:szCs w:val="21"/>
              </w:rPr>
            </w:pPr>
          </w:p>
        </w:tc>
      </w:tr>
      <w:tr w14:paraId="5C35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18F4CDA3">
            <w:pPr>
              <w:pStyle w:val="196"/>
              <w:rPr>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0281A3E3">
            <w:pPr>
              <w:pStyle w:val="196"/>
            </w:pPr>
            <w:r>
              <w:rPr>
                <w:rFonts w:hint="eastAsia"/>
              </w:rPr>
              <w:t>污染物排放管控</w:t>
            </w:r>
          </w:p>
        </w:tc>
        <w:tc>
          <w:tcPr>
            <w:tcW w:w="4759" w:type="dxa"/>
            <w:tcBorders>
              <w:top w:val="single" w:color="auto" w:sz="4" w:space="0"/>
              <w:left w:val="single" w:color="auto" w:sz="4" w:space="0"/>
              <w:bottom w:val="single" w:color="auto" w:sz="4" w:space="0"/>
              <w:right w:val="single" w:color="auto" w:sz="4" w:space="0"/>
            </w:tcBorders>
            <w:vAlign w:val="center"/>
          </w:tcPr>
          <w:p w14:paraId="4278DB62">
            <w:pPr>
              <w:pStyle w:val="196"/>
            </w:pPr>
            <w:r>
              <w:rPr>
                <w:rFonts w:hint="eastAsia"/>
              </w:rPr>
              <w:t>按照《淮河流域水污染防治暂行条例》实施排污总量控制制度。</w:t>
            </w:r>
          </w:p>
        </w:tc>
        <w:tc>
          <w:tcPr>
            <w:tcW w:w="2203" w:type="dxa"/>
            <w:tcBorders>
              <w:top w:val="single" w:color="auto" w:sz="4" w:space="0"/>
              <w:left w:val="single" w:color="auto" w:sz="4" w:space="0"/>
              <w:bottom w:val="single" w:color="auto" w:sz="4" w:space="0"/>
              <w:right w:val="single" w:color="auto" w:sz="4" w:space="0"/>
            </w:tcBorders>
            <w:vAlign w:val="center"/>
          </w:tcPr>
          <w:p w14:paraId="318526FB">
            <w:pPr>
              <w:pStyle w:val="196"/>
            </w:pPr>
            <w:r>
              <w:rPr>
                <w:rFonts w:hint="eastAsia"/>
              </w:rPr>
              <w:t>本项目总量指标在区域内平衡。</w:t>
            </w:r>
          </w:p>
        </w:tc>
      </w:tr>
      <w:tr w14:paraId="7E79C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007DE1B0">
            <w:pPr>
              <w:pStyle w:val="196"/>
              <w:rPr>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7847C193">
            <w:pPr>
              <w:pStyle w:val="196"/>
            </w:pPr>
            <w:r>
              <w:rPr>
                <w:rFonts w:hint="eastAsia"/>
              </w:rPr>
              <w:t>环境风险防控</w:t>
            </w:r>
          </w:p>
        </w:tc>
        <w:tc>
          <w:tcPr>
            <w:tcW w:w="4759" w:type="dxa"/>
            <w:tcBorders>
              <w:top w:val="single" w:color="auto" w:sz="4" w:space="0"/>
              <w:left w:val="single" w:color="auto" w:sz="4" w:space="0"/>
              <w:bottom w:val="single" w:color="auto" w:sz="4" w:space="0"/>
              <w:right w:val="single" w:color="auto" w:sz="4" w:space="0"/>
            </w:tcBorders>
            <w:vAlign w:val="center"/>
          </w:tcPr>
          <w:p w14:paraId="73DA1DC9">
            <w:pPr>
              <w:pStyle w:val="196"/>
            </w:pPr>
            <w:r>
              <w:rPr>
                <w:rFonts w:hint="eastAsia"/>
              </w:rPr>
              <w:t>禁止运输剧毒化学品以及国家规定禁止通过内河运输的其他危险化学品的船舶进入通榆河及主要供水河道。</w:t>
            </w:r>
          </w:p>
        </w:tc>
        <w:tc>
          <w:tcPr>
            <w:tcW w:w="2203" w:type="dxa"/>
            <w:tcBorders>
              <w:top w:val="single" w:color="auto" w:sz="4" w:space="0"/>
              <w:left w:val="single" w:color="auto" w:sz="4" w:space="0"/>
              <w:bottom w:val="single" w:color="auto" w:sz="4" w:space="0"/>
              <w:right w:val="single" w:color="auto" w:sz="4" w:space="0"/>
            </w:tcBorders>
            <w:vAlign w:val="center"/>
          </w:tcPr>
          <w:p w14:paraId="11B5974B">
            <w:pPr>
              <w:pStyle w:val="196"/>
            </w:pPr>
            <w:r>
              <w:rPr>
                <w:rFonts w:hint="eastAsia"/>
              </w:rPr>
              <w:t>本项目不涉及剧毒化学品及禁止通过内河运输的其他危险化学品。</w:t>
            </w:r>
          </w:p>
        </w:tc>
      </w:tr>
      <w:tr w14:paraId="70F62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29" w:type="dxa"/>
            <w:vMerge w:val="continue"/>
            <w:tcBorders>
              <w:top w:val="nil"/>
              <w:left w:val="single" w:color="auto" w:sz="4" w:space="0"/>
              <w:bottom w:val="single" w:color="auto" w:sz="4" w:space="0"/>
              <w:right w:val="single" w:color="auto" w:sz="4" w:space="0"/>
            </w:tcBorders>
            <w:vAlign w:val="center"/>
          </w:tcPr>
          <w:p w14:paraId="20081B36">
            <w:pPr>
              <w:pStyle w:val="196"/>
              <w:rPr>
                <w:szCs w:val="21"/>
              </w:rPr>
            </w:pPr>
          </w:p>
        </w:tc>
        <w:tc>
          <w:tcPr>
            <w:tcW w:w="1069" w:type="dxa"/>
            <w:tcBorders>
              <w:top w:val="single" w:color="auto" w:sz="4" w:space="0"/>
              <w:left w:val="single" w:color="auto" w:sz="4" w:space="0"/>
              <w:bottom w:val="single" w:color="auto" w:sz="4" w:space="0"/>
              <w:right w:val="single" w:color="auto" w:sz="4" w:space="0"/>
            </w:tcBorders>
            <w:vAlign w:val="center"/>
          </w:tcPr>
          <w:p w14:paraId="7208A8C7">
            <w:pPr>
              <w:pStyle w:val="196"/>
            </w:pPr>
            <w:r>
              <w:rPr>
                <w:rFonts w:hint="eastAsia"/>
              </w:rPr>
              <w:t>资源利用效率要求</w:t>
            </w:r>
          </w:p>
        </w:tc>
        <w:tc>
          <w:tcPr>
            <w:tcW w:w="4759" w:type="dxa"/>
            <w:tcBorders>
              <w:top w:val="single" w:color="auto" w:sz="4" w:space="0"/>
              <w:left w:val="single" w:color="auto" w:sz="4" w:space="0"/>
              <w:bottom w:val="single" w:color="auto" w:sz="4" w:space="0"/>
              <w:right w:val="single" w:color="auto" w:sz="4" w:space="0"/>
            </w:tcBorders>
            <w:vAlign w:val="center"/>
          </w:tcPr>
          <w:p w14:paraId="513FC30B">
            <w:pPr>
              <w:pStyle w:val="196"/>
            </w:pPr>
            <w:r>
              <w:rPr>
                <w:rFonts w:hint="eastAsia"/>
              </w:rPr>
              <w:t>限制缺水地区发展耗水型产业，调整缺水地区的产业结构，严格控制高耗水、高耗能和重污染的建设项目。</w:t>
            </w:r>
          </w:p>
        </w:tc>
        <w:tc>
          <w:tcPr>
            <w:tcW w:w="2203" w:type="dxa"/>
            <w:tcBorders>
              <w:top w:val="single" w:color="auto" w:sz="4" w:space="0"/>
              <w:left w:val="single" w:color="auto" w:sz="4" w:space="0"/>
              <w:bottom w:val="single" w:color="auto" w:sz="4" w:space="0"/>
              <w:right w:val="single" w:color="auto" w:sz="4" w:space="0"/>
            </w:tcBorders>
            <w:vAlign w:val="center"/>
          </w:tcPr>
          <w:p w14:paraId="162A5471">
            <w:pPr>
              <w:pStyle w:val="196"/>
            </w:pPr>
            <w:r>
              <w:rPr>
                <w:rFonts w:hint="eastAsia"/>
              </w:rPr>
              <w:t>项目所在地不属于缺水地区，也不属于高耗水、高耗能和重污染的建设项目。</w:t>
            </w:r>
          </w:p>
        </w:tc>
      </w:tr>
    </w:tbl>
    <w:p w14:paraId="45DB8625">
      <w:pPr>
        <w:pStyle w:val="84"/>
      </w:pPr>
      <w:bookmarkStart w:id="53" w:name="_Hlk181739711"/>
      <w:r>
        <w:rPr>
          <w:rFonts w:hint="eastAsia"/>
        </w:rPr>
        <w:t>与《淮安市生态环境分区管控动态更新成果》（2023版）符合性分析</w:t>
      </w:r>
    </w:p>
    <w:bookmarkEnd w:id="53"/>
    <w:p w14:paraId="7E6DFE1E">
      <w:pPr>
        <w:pStyle w:val="139"/>
        <w:ind w:firstLine="480"/>
        <w:rPr>
          <w:color w:val="auto"/>
        </w:rPr>
      </w:pPr>
      <w:bookmarkStart w:id="54" w:name="_Hlk181739728"/>
      <w:r>
        <w:rPr>
          <w:rFonts w:hint="eastAsia"/>
          <w:color w:val="auto"/>
        </w:rPr>
        <w:t>2024年5月6日，淮安市生态环境局发布了《淮安市2023年度生态环境分区管控动态更新成果公告》。对照该成果，本项目位于淮安市涟水县朱码街道高台村国能涟水一期热电联产项目厂区内，位于重点管控单元，具体对照见下表。</w:t>
      </w:r>
    </w:p>
    <w:p w14:paraId="5CBAAFBF">
      <w:pPr>
        <w:pStyle w:val="139"/>
        <w:ind w:firstLine="480"/>
        <w:rPr>
          <w:color w:val="auto"/>
        </w:rPr>
      </w:pPr>
      <w:r>
        <w:rPr>
          <w:rFonts w:hint="eastAsia"/>
          <w:color w:val="auto"/>
        </w:rPr>
        <w:t>项目与《淮安市2023年度生态环境分区管控动态更新成果》中淮安市生态环境管控单元图（2023年动态更新成果）位置关系见图1.5-4。</w:t>
      </w:r>
    </w:p>
    <w:p w14:paraId="3BC4C4BC">
      <w:pPr>
        <w:pStyle w:val="86"/>
      </w:pPr>
      <w:bookmarkStart w:id="55" w:name="_Hlk181739756"/>
      <w:r>
        <w:t>与淮安市生态环境分区管控动态更新成果相符性分析</w:t>
      </w:r>
    </w:p>
    <w:bookmarkEnd w:id="55"/>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851"/>
        <w:gridCol w:w="3544"/>
        <w:gridCol w:w="3118"/>
        <w:gridCol w:w="985"/>
      </w:tblGrid>
      <w:tr w14:paraId="1B3D7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413" w:type="dxa"/>
            <w:gridSpan w:val="2"/>
            <w:vAlign w:val="center"/>
          </w:tcPr>
          <w:p w14:paraId="64E26944">
            <w:pPr>
              <w:pStyle w:val="218"/>
              <w:rPr>
                <w:b/>
                <w:bCs/>
                <w:color w:val="auto"/>
                <w:lang w:val="zh-CN"/>
              </w:rPr>
            </w:pPr>
            <w:r>
              <w:rPr>
                <w:b/>
                <w:bCs/>
                <w:color w:val="auto"/>
              </w:rPr>
              <w:t>类型</w:t>
            </w:r>
          </w:p>
        </w:tc>
        <w:tc>
          <w:tcPr>
            <w:tcW w:w="3544" w:type="dxa"/>
            <w:vAlign w:val="center"/>
          </w:tcPr>
          <w:p w14:paraId="5CED5228">
            <w:pPr>
              <w:pStyle w:val="218"/>
              <w:rPr>
                <w:b/>
                <w:bCs/>
                <w:color w:val="auto"/>
                <w:lang w:val="zh-CN"/>
              </w:rPr>
            </w:pPr>
            <w:r>
              <w:rPr>
                <w:b/>
                <w:bCs/>
                <w:color w:val="auto"/>
              </w:rPr>
              <w:t>管控要求</w:t>
            </w:r>
          </w:p>
        </w:tc>
        <w:tc>
          <w:tcPr>
            <w:tcW w:w="3118" w:type="dxa"/>
            <w:vAlign w:val="center"/>
          </w:tcPr>
          <w:p w14:paraId="1775BD6C">
            <w:pPr>
              <w:pStyle w:val="218"/>
              <w:rPr>
                <w:b/>
                <w:bCs/>
                <w:color w:val="auto"/>
                <w:lang w:val="zh-CN"/>
              </w:rPr>
            </w:pPr>
            <w:r>
              <w:rPr>
                <w:b/>
                <w:bCs/>
                <w:color w:val="auto"/>
              </w:rPr>
              <w:t>建设项目情况</w:t>
            </w:r>
          </w:p>
        </w:tc>
        <w:tc>
          <w:tcPr>
            <w:tcW w:w="985" w:type="dxa"/>
            <w:vAlign w:val="center"/>
          </w:tcPr>
          <w:p w14:paraId="1AF09980">
            <w:pPr>
              <w:pStyle w:val="218"/>
              <w:rPr>
                <w:b/>
                <w:bCs/>
                <w:color w:val="auto"/>
                <w:lang w:val="zh-CN"/>
              </w:rPr>
            </w:pPr>
            <w:r>
              <w:rPr>
                <w:b/>
                <w:bCs/>
                <w:color w:val="auto"/>
              </w:rPr>
              <w:t>相符性</w:t>
            </w:r>
          </w:p>
        </w:tc>
      </w:tr>
      <w:tr w14:paraId="3F0D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57E1CB76">
            <w:pPr>
              <w:pStyle w:val="218"/>
              <w:rPr>
                <w:color w:val="auto"/>
                <w:lang w:val="zh-CN"/>
              </w:rPr>
            </w:pPr>
            <w:r>
              <w:rPr>
                <w:color w:val="auto"/>
              </w:rPr>
              <w:t>基本原则</w:t>
            </w:r>
          </w:p>
        </w:tc>
        <w:tc>
          <w:tcPr>
            <w:tcW w:w="3544" w:type="dxa"/>
            <w:vAlign w:val="center"/>
          </w:tcPr>
          <w:p w14:paraId="0C47642F">
            <w:pPr>
              <w:pStyle w:val="218"/>
              <w:rPr>
                <w:color w:val="auto"/>
                <w:lang w:val="zh-CN"/>
              </w:rPr>
            </w:pPr>
            <w:r>
              <w:rPr>
                <w:color w:val="auto"/>
              </w:rPr>
              <w:t>1、依法依规，严守底线。2、立足实际，因地制宜。3、严格准入，提升效能。</w:t>
            </w:r>
          </w:p>
        </w:tc>
        <w:tc>
          <w:tcPr>
            <w:tcW w:w="3118" w:type="dxa"/>
            <w:vAlign w:val="center"/>
          </w:tcPr>
          <w:p w14:paraId="29DB0B49">
            <w:pPr>
              <w:pStyle w:val="218"/>
              <w:rPr>
                <w:color w:val="auto"/>
                <w:lang w:val="zh-CN"/>
              </w:rPr>
            </w:pPr>
            <w:r>
              <w:rPr>
                <w:rFonts w:hint="eastAsia"/>
                <w:color w:val="auto"/>
              </w:rPr>
              <w:t>本项目位于淮安市涟水县朱码街道高台村国能涟水一期热电联产项目厂区内，所在地不属于生态空间管控区、生态红线保护区。</w:t>
            </w:r>
          </w:p>
        </w:tc>
        <w:tc>
          <w:tcPr>
            <w:tcW w:w="985" w:type="dxa"/>
            <w:vAlign w:val="center"/>
          </w:tcPr>
          <w:p w14:paraId="534CA970">
            <w:pPr>
              <w:pStyle w:val="218"/>
              <w:rPr>
                <w:color w:val="auto"/>
                <w:lang w:val="zh-CN"/>
              </w:rPr>
            </w:pPr>
            <w:r>
              <w:rPr>
                <w:rFonts w:hint="eastAsia"/>
                <w:color w:val="auto"/>
                <w:lang w:val="zh-CN"/>
              </w:rPr>
              <w:t>相符</w:t>
            </w:r>
          </w:p>
        </w:tc>
      </w:tr>
      <w:tr w14:paraId="69E8B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14:paraId="743F5CAF">
            <w:pPr>
              <w:pStyle w:val="218"/>
              <w:rPr>
                <w:color w:val="auto"/>
                <w:lang w:val="zh-CN"/>
              </w:rPr>
            </w:pPr>
            <w:r>
              <w:rPr>
                <w:color w:val="auto"/>
              </w:rPr>
              <w:t>总体目标</w:t>
            </w:r>
          </w:p>
        </w:tc>
        <w:tc>
          <w:tcPr>
            <w:tcW w:w="851" w:type="dxa"/>
            <w:vAlign w:val="center"/>
          </w:tcPr>
          <w:p w14:paraId="3DD39405">
            <w:pPr>
              <w:pStyle w:val="218"/>
              <w:rPr>
                <w:color w:val="auto"/>
                <w:lang w:val="zh-CN"/>
              </w:rPr>
            </w:pPr>
            <w:r>
              <w:rPr>
                <w:color w:val="auto"/>
              </w:rPr>
              <w:t>生态红线</w:t>
            </w:r>
          </w:p>
        </w:tc>
        <w:tc>
          <w:tcPr>
            <w:tcW w:w="3544" w:type="dxa"/>
            <w:vAlign w:val="center"/>
          </w:tcPr>
          <w:p w14:paraId="78E253C3">
            <w:pPr>
              <w:pStyle w:val="218"/>
              <w:rPr>
                <w:color w:val="auto"/>
                <w:lang w:val="zh-CN"/>
              </w:rPr>
            </w:pPr>
            <w:r>
              <w:rPr>
                <w:color w:val="auto"/>
              </w:rPr>
              <w:t>全市生态空间保护区域总面积2036.8907平方公里，占全市国土面积的20.31%。其中，生态保护红线面积1411.1018平方公里，占全市国土面积的14.07%，生态空间管控区域面积625.7889平方公里，占全市国土面积的6.24%。</w:t>
            </w:r>
          </w:p>
        </w:tc>
        <w:tc>
          <w:tcPr>
            <w:tcW w:w="3118" w:type="dxa"/>
            <w:vAlign w:val="center"/>
          </w:tcPr>
          <w:p w14:paraId="1DB458C7">
            <w:pPr>
              <w:pStyle w:val="218"/>
              <w:rPr>
                <w:color w:val="auto"/>
                <w:lang w:val="zh-CN"/>
              </w:rPr>
            </w:pPr>
            <w:r>
              <w:rPr>
                <w:rFonts w:hint="eastAsia"/>
                <w:color w:val="auto"/>
              </w:rPr>
              <w:t>本项目位于国家级生态保护红线实验区的东北侧约7.5km左右，不在生态空间保护区域范围内</w:t>
            </w:r>
            <w:r>
              <w:rPr>
                <w:color w:val="auto"/>
              </w:rPr>
              <w:t>，不在生态红线范围内</w:t>
            </w:r>
          </w:p>
        </w:tc>
        <w:tc>
          <w:tcPr>
            <w:tcW w:w="985" w:type="dxa"/>
            <w:vAlign w:val="center"/>
          </w:tcPr>
          <w:p w14:paraId="2ABE845D">
            <w:pPr>
              <w:pStyle w:val="218"/>
              <w:rPr>
                <w:color w:val="auto"/>
                <w:lang w:val="zh-CN"/>
              </w:rPr>
            </w:pPr>
            <w:r>
              <w:rPr>
                <w:rFonts w:hint="eastAsia"/>
                <w:color w:val="auto"/>
                <w:lang w:val="zh-CN"/>
              </w:rPr>
              <w:t>相符</w:t>
            </w:r>
          </w:p>
        </w:tc>
      </w:tr>
      <w:tr w14:paraId="6143B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1F6F23EE">
            <w:pPr>
              <w:pStyle w:val="218"/>
              <w:rPr>
                <w:color w:val="auto"/>
                <w:lang w:val="zh-CN"/>
              </w:rPr>
            </w:pPr>
          </w:p>
        </w:tc>
        <w:tc>
          <w:tcPr>
            <w:tcW w:w="851" w:type="dxa"/>
            <w:vAlign w:val="center"/>
          </w:tcPr>
          <w:p w14:paraId="05C22A4C">
            <w:pPr>
              <w:pStyle w:val="218"/>
              <w:rPr>
                <w:color w:val="auto"/>
                <w:lang w:val="zh-CN"/>
              </w:rPr>
            </w:pPr>
            <w:r>
              <w:rPr>
                <w:color w:val="auto"/>
              </w:rPr>
              <w:t>环境质量底线</w:t>
            </w:r>
          </w:p>
        </w:tc>
        <w:tc>
          <w:tcPr>
            <w:tcW w:w="3544" w:type="dxa"/>
            <w:vAlign w:val="center"/>
          </w:tcPr>
          <w:p w14:paraId="04DD4801">
            <w:pPr>
              <w:pStyle w:val="218"/>
              <w:rPr>
                <w:color w:val="auto"/>
                <w:lang w:val="zh-CN"/>
              </w:rPr>
            </w:pPr>
            <w:r>
              <w:rPr>
                <w:color w:val="auto"/>
              </w:rPr>
              <w:t>城市空气质量优良天数比率达81%左右，城市PM</w:t>
            </w:r>
            <w:r>
              <w:rPr>
                <w:color w:val="auto"/>
                <w:vertAlign w:val="subscript"/>
              </w:rPr>
              <w:t>2.5</w:t>
            </w:r>
            <w:r>
              <w:rPr>
                <w:color w:val="auto"/>
              </w:rPr>
              <w:t>年均浓度达32微克/立方米左右，臭氧污染得到有效控制，协同推进减污降碳的工作体系基本建立。57个地表水国省考断面年度水质均值达到或优于川类水质比例稳定达到省定要求。土壤和声环境质量保持稳定，受污染耕地安全利用率达到93%以上。</w:t>
            </w:r>
          </w:p>
        </w:tc>
        <w:tc>
          <w:tcPr>
            <w:tcW w:w="3118" w:type="dxa"/>
            <w:vAlign w:val="center"/>
          </w:tcPr>
          <w:p w14:paraId="38201027">
            <w:pPr>
              <w:pStyle w:val="218"/>
              <w:rPr>
                <w:color w:val="auto"/>
                <w:lang w:val="zh-CN"/>
              </w:rPr>
            </w:pPr>
            <w:r>
              <w:rPr>
                <w:color w:val="auto"/>
              </w:rPr>
              <w:t>项目所在区域环境空气为不达标区。</w:t>
            </w:r>
            <w:r>
              <w:rPr>
                <w:rFonts w:hint="eastAsia"/>
                <w:color w:val="auto"/>
              </w:rPr>
              <w:t>随着淮安市实施方案和涟水县生态环境重点项目的实施，本项目区域空气质量将得到持续改善。</w:t>
            </w:r>
            <w:r>
              <w:rPr>
                <w:color w:val="auto"/>
              </w:rPr>
              <w:t>地表水环境质量总体水质为良好。建设项目所在区域噪声环境质量达标。</w:t>
            </w:r>
          </w:p>
        </w:tc>
        <w:tc>
          <w:tcPr>
            <w:tcW w:w="985" w:type="dxa"/>
            <w:vAlign w:val="center"/>
          </w:tcPr>
          <w:p w14:paraId="41186E14">
            <w:pPr>
              <w:pStyle w:val="218"/>
              <w:rPr>
                <w:color w:val="auto"/>
                <w:lang w:val="zh-CN"/>
              </w:rPr>
            </w:pPr>
            <w:r>
              <w:rPr>
                <w:rFonts w:hint="eastAsia"/>
                <w:color w:val="auto"/>
                <w:lang w:val="zh-CN"/>
              </w:rPr>
              <w:t>相符</w:t>
            </w:r>
          </w:p>
        </w:tc>
      </w:tr>
      <w:tr w14:paraId="1C60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7E621386">
            <w:pPr>
              <w:pStyle w:val="218"/>
              <w:rPr>
                <w:color w:val="auto"/>
                <w:lang w:val="zh-CN"/>
              </w:rPr>
            </w:pPr>
          </w:p>
        </w:tc>
        <w:tc>
          <w:tcPr>
            <w:tcW w:w="851" w:type="dxa"/>
            <w:vAlign w:val="center"/>
          </w:tcPr>
          <w:p w14:paraId="1393FFB5">
            <w:pPr>
              <w:pStyle w:val="218"/>
              <w:rPr>
                <w:color w:val="auto"/>
                <w:lang w:val="zh-CN"/>
              </w:rPr>
            </w:pPr>
            <w:r>
              <w:rPr>
                <w:color w:val="auto"/>
              </w:rPr>
              <w:t>资源利用上线</w:t>
            </w:r>
          </w:p>
        </w:tc>
        <w:tc>
          <w:tcPr>
            <w:tcW w:w="3544" w:type="dxa"/>
            <w:vAlign w:val="center"/>
          </w:tcPr>
          <w:p w14:paraId="2FC57854">
            <w:pPr>
              <w:pStyle w:val="218"/>
              <w:rPr>
                <w:color w:val="auto"/>
                <w:lang w:val="zh-CN"/>
              </w:rPr>
            </w:pPr>
            <w:r>
              <w:rPr>
                <w:color w:val="auto"/>
              </w:rPr>
              <w:t>全市用水总量不超过33亿立方米，耕地保有量不少于697.3500万亩，永久基本农田保护面积不低于596.0050万亩（含易地代保任务3.0000万亩），煤炭消费总量下降5%左右，煤炭占能源消费总量的比重下降至50%左右，非化石能源消费比重达到18%左右。</w:t>
            </w:r>
          </w:p>
        </w:tc>
        <w:tc>
          <w:tcPr>
            <w:tcW w:w="3118" w:type="dxa"/>
            <w:vAlign w:val="center"/>
          </w:tcPr>
          <w:p w14:paraId="45A6037C">
            <w:pPr>
              <w:pStyle w:val="196"/>
            </w:pPr>
            <w:r>
              <w:rPr>
                <w:rFonts w:hint="eastAsia"/>
              </w:rPr>
              <w:t>本项目不在中心城区开发边界内，主要用地为国能涟水一期热电项目预留建设用地，不违背国土空间规划要求。项目不使用高污染燃料。</w:t>
            </w:r>
          </w:p>
        </w:tc>
        <w:tc>
          <w:tcPr>
            <w:tcW w:w="985" w:type="dxa"/>
            <w:vAlign w:val="center"/>
          </w:tcPr>
          <w:p w14:paraId="0CE08524">
            <w:pPr>
              <w:pStyle w:val="218"/>
              <w:rPr>
                <w:color w:val="auto"/>
                <w:lang w:val="zh-CN"/>
              </w:rPr>
            </w:pPr>
            <w:r>
              <w:rPr>
                <w:rFonts w:hint="eastAsia"/>
                <w:color w:val="auto"/>
                <w:lang w:val="zh-CN"/>
              </w:rPr>
              <w:t>相符</w:t>
            </w:r>
          </w:p>
        </w:tc>
      </w:tr>
      <w:tr w14:paraId="0F8F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gridSpan w:val="2"/>
            <w:vAlign w:val="center"/>
          </w:tcPr>
          <w:p w14:paraId="5C470F01">
            <w:pPr>
              <w:pStyle w:val="218"/>
              <w:rPr>
                <w:color w:val="auto"/>
                <w:lang w:val="zh-CN"/>
              </w:rPr>
            </w:pPr>
            <w:r>
              <w:rPr>
                <w:color w:val="auto"/>
              </w:rPr>
              <w:t>环境管控单元</w:t>
            </w:r>
          </w:p>
        </w:tc>
        <w:tc>
          <w:tcPr>
            <w:tcW w:w="3544" w:type="dxa"/>
            <w:vAlign w:val="center"/>
          </w:tcPr>
          <w:p w14:paraId="2D178855">
            <w:pPr>
              <w:pStyle w:val="218"/>
              <w:rPr>
                <w:color w:val="auto"/>
                <w:lang w:val="zh-CN"/>
              </w:rPr>
            </w:pPr>
            <w:r>
              <w:rPr>
                <w:color w:val="auto"/>
              </w:rPr>
              <w:t>优先保护单元：97个，重点管控单元：147个，一般管控单元：91个</w:t>
            </w:r>
          </w:p>
        </w:tc>
        <w:tc>
          <w:tcPr>
            <w:tcW w:w="3118" w:type="dxa"/>
            <w:vAlign w:val="center"/>
          </w:tcPr>
          <w:p w14:paraId="7AD5FF17">
            <w:pPr>
              <w:pStyle w:val="218"/>
              <w:rPr>
                <w:color w:val="auto"/>
                <w:lang w:val="zh-CN"/>
              </w:rPr>
            </w:pPr>
            <w:r>
              <w:rPr>
                <w:color w:val="auto"/>
              </w:rPr>
              <w:t>项目位于重点管控单元。</w:t>
            </w:r>
          </w:p>
        </w:tc>
        <w:tc>
          <w:tcPr>
            <w:tcW w:w="985" w:type="dxa"/>
            <w:vAlign w:val="center"/>
          </w:tcPr>
          <w:p w14:paraId="7EA809DE">
            <w:pPr>
              <w:pStyle w:val="218"/>
              <w:rPr>
                <w:color w:val="auto"/>
                <w:lang w:val="zh-CN"/>
              </w:rPr>
            </w:pPr>
            <w:r>
              <w:rPr>
                <w:rFonts w:hint="eastAsia"/>
                <w:color w:val="auto"/>
                <w:lang w:val="zh-CN"/>
              </w:rPr>
              <w:t>相符</w:t>
            </w:r>
          </w:p>
        </w:tc>
      </w:tr>
      <w:tr w14:paraId="50CE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restart"/>
            <w:vAlign w:val="center"/>
          </w:tcPr>
          <w:p w14:paraId="0D836628">
            <w:pPr>
              <w:pStyle w:val="218"/>
              <w:rPr>
                <w:color w:val="auto"/>
                <w:lang w:val="zh-CN"/>
              </w:rPr>
            </w:pPr>
            <w:r>
              <w:rPr>
                <w:color w:val="auto"/>
              </w:rPr>
              <w:t>更新内容</w:t>
            </w:r>
          </w:p>
        </w:tc>
        <w:tc>
          <w:tcPr>
            <w:tcW w:w="851" w:type="dxa"/>
            <w:vAlign w:val="center"/>
          </w:tcPr>
          <w:p w14:paraId="04F2C987">
            <w:pPr>
              <w:pStyle w:val="218"/>
              <w:rPr>
                <w:color w:val="auto"/>
                <w:lang w:val="zh-CN"/>
              </w:rPr>
            </w:pPr>
            <w:r>
              <w:rPr>
                <w:color w:val="auto"/>
              </w:rPr>
              <w:t>淮安市生态环境管控总体要求</w:t>
            </w:r>
          </w:p>
        </w:tc>
        <w:tc>
          <w:tcPr>
            <w:tcW w:w="3544" w:type="dxa"/>
            <w:vAlign w:val="center"/>
          </w:tcPr>
          <w:p w14:paraId="7129EDF9">
            <w:pPr>
              <w:pStyle w:val="218"/>
              <w:rPr>
                <w:color w:val="auto"/>
                <w:lang w:val="zh-CN"/>
              </w:rPr>
            </w:pPr>
            <w:r>
              <w:rPr>
                <w:color w:val="auto"/>
              </w:rPr>
              <w:t>删除《中共淮安市委淮安市人民政府关于全面加强生态环境保护坚决打好污染防治攻坚战的实施意见》（淮发</w:t>
            </w:r>
            <w:r>
              <w:rPr>
                <w:rFonts w:hint="eastAsia"/>
                <w:color w:val="auto"/>
                <w:lang w:eastAsia="zh-CN"/>
              </w:rPr>
              <w:t>〔2018〕33号</w:t>
            </w:r>
            <w:r>
              <w:rPr>
                <w:color w:val="auto"/>
              </w:rPr>
              <w:t>）等过期文件及相关要求。新增中共江苏省委江苏省人民政府关于《深入打好污染防治攻坚战的实施意见》（2022年1月24日）等最新文件及相关要求。</w:t>
            </w:r>
          </w:p>
        </w:tc>
        <w:tc>
          <w:tcPr>
            <w:tcW w:w="3118" w:type="dxa"/>
            <w:vAlign w:val="center"/>
          </w:tcPr>
          <w:p w14:paraId="709B508E">
            <w:pPr>
              <w:pStyle w:val="218"/>
              <w:rPr>
                <w:color w:val="auto"/>
                <w:lang w:val="zh-CN"/>
              </w:rPr>
            </w:pPr>
            <w:r>
              <w:rPr>
                <w:color w:val="auto"/>
              </w:rPr>
              <w:t>对照《关于深入打好污染防治攻坚战的实施意见》（2022年</w:t>
            </w:r>
            <w:r>
              <w:rPr>
                <w:rFonts w:hint="eastAsia"/>
                <w:color w:val="auto"/>
                <w:lang w:eastAsia="zh-CN"/>
              </w:rPr>
              <w:t>1月24日</w:t>
            </w:r>
            <w:r>
              <w:rPr>
                <w:color w:val="auto"/>
              </w:rPr>
              <w:t>），根据前文分析，本项目不属于高耗水、高耗能项目</w:t>
            </w:r>
            <w:r>
              <w:rPr>
                <w:rFonts w:hint="eastAsia"/>
                <w:color w:val="auto"/>
              </w:rPr>
              <w:t>，</w:t>
            </w:r>
            <w:r>
              <w:rPr>
                <w:color w:val="auto"/>
              </w:rPr>
              <w:t>符合</w:t>
            </w:r>
            <w:r>
              <w:rPr>
                <w:rFonts w:hint="eastAsia"/>
                <w:color w:val="auto"/>
              </w:rPr>
              <w:t>“</w:t>
            </w:r>
            <w:r>
              <w:rPr>
                <w:color w:val="auto"/>
              </w:rPr>
              <w:t>三线一单</w:t>
            </w:r>
            <w:r>
              <w:rPr>
                <w:rFonts w:hint="eastAsia"/>
                <w:color w:val="auto"/>
              </w:rPr>
              <w:t>”</w:t>
            </w:r>
            <w:r>
              <w:rPr>
                <w:color w:val="auto"/>
              </w:rPr>
              <w:t>要求</w:t>
            </w:r>
          </w:p>
        </w:tc>
        <w:tc>
          <w:tcPr>
            <w:tcW w:w="985" w:type="dxa"/>
            <w:vAlign w:val="center"/>
          </w:tcPr>
          <w:p w14:paraId="116E5565">
            <w:pPr>
              <w:pStyle w:val="218"/>
              <w:rPr>
                <w:color w:val="auto"/>
                <w:lang w:val="zh-CN"/>
              </w:rPr>
            </w:pPr>
            <w:r>
              <w:rPr>
                <w:rFonts w:hint="eastAsia"/>
                <w:color w:val="auto"/>
                <w:lang w:val="zh-CN"/>
              </w:rPr>
              <w:t>相符</w:t>
            </w:r>
          </w:p>
        </w:tc>
      </w:tr>
      <w:tr w14:paraId="2D33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25333FD9">
            <w:pPr>
              <w:pStyle w:val="218"/>
              <w:rPr>
                <w:color w:val="auto"/>
                <w:lang w:val="zh-CN"/>
              </w:rPr>
            </w:pPr>
          </w:p>
        </w:tc>
        <w:tc>
          <w:tcPr>
            <w:tcW w:w="851" w:type="dxa"/>
            <w:vAlign w:val="center"/>
          </w:tcPr>
          <w:p w14:paraId="3A2525F3">
            <w:pPr>
              <w:pStyle w:val="218"/>
              <w:rPr>
                <w:color w:val="auto"/>
                <w:lang w:val="zh-CN"/>
              </w:rPr>
            </w:pPr>
            <w:r>
              <w:rPr>
                <w:color w:val="auto"/>
              </w:rPr>
              <w:t>空间布局约束</w:t>
            </w:r>
          </w:p>
        </w:tc>
        <w:tc>
          <w:tcPr>
            <w:tcW w:w="3544" w:type="dxa"/>
            <w:vAlign w:val="center"/>
          </w:tcPr>
          <w:p w14:paraId="3E2DA502">
            <w:pPr>
              <w:pStyle w:val="218"/>
              <w:rPr>
                <w:color w:val="auto"/>
                <w:lang w:val="zh-CN"/>
              </w:rPr>
            </w:pPr>
            <w:r>
              <w:rPr>
                <w:color w:val="auto"/>
              </w:rPr>
              <w:t>根据中共江苏省委江苏省人民政府关于《深入打好污染防治攻坚战的实施意见》（2022年1月24日）、《淮安市深入打好净土保卫战实施方案》（淮污防攻坚指办</w:t>
            </w:r>
            <w:r>
              <w:rPr>
                <w:rFonts w:hint="eastAsia"/>
                <w:color w:val="auto"/>
                <w:lang w:eastAsia="zh-CN"/>
              </w:rPr>
              <w:t>〔2023〕17号</w:t>
            </w:r>
            <w:r>
              <w:rPr>
                <w:color w:val="auto"/>
              </w:rPr>
              <w:t>）、淮政《淮安市生态碧水三年行动方案》发</w:t>
            </w:r>
            <w:r>
              <w:rPr>
                <w:rFonts w:hint="eastAsia"/>
                <w:color w:val="auto"/>
                <w:lang w:eastAsia="zh-CN"/>
              </w:rPr>
              <w:t>〔2022〕12号</w:t>
            </w:r>
            <w:r>
              <w:rPr>
                <w:color w:val="auto"/>
              </w:rPr>
              <w:t>）、《淮安市国土空间总体规划（2021</w:t>
            </w:r>
            <w:r>
              <w:rPr>
                <w:rFonts w:hint="eastAsia"/>
                <w:color w:val="auto"/>
                <w:lang w:eastAsia="zh-CN"/>
              </w:rPr>
              <w:t>—</w:t>
            </w:r>
            <w:r>
              <w:rPr>
                <w:color w:val="auto"/>
              </w:rPr>
              <w:t>2035年）</w:t>
            </w:r>
            <w:r>
              <w:rPr>
                <w:rFonts w:hint="eastAsia"/>
                <w:color w:val="auto"/>
                <w:lang w:eastAsia="zh-CN"/>
              </w:rPr>
              <w:t>》《</w:t>
            </w:r>
            <w:r>
              <w:rPr>
                <w:color w:val="auto"/>
              </w:rPr>
              <w:t>大运河淮安段核心监控区国土空间管控细则》（淮政规</w:t>
            </w:r>
            <w:r>
              <w:rPr>
                <w:rFonts w:hint="eastAsia"/>
                <w:color w:val="auto"/>
                <w:lang w:eastAsia="zh-CN"/>
              </w:rPr>
              <w:t>〔2022〕8号</w:t>
            </w:r>
            <w:r>
              <w:rPr>
                <w:color w:val="auto"/>
              </w:rPr>
              <w:t>）等文件进行调整。</w:t>
            </w:r>
          </w:p>
        </w:tc>
        <w:tc>
          <w:tcPr>
            <w:tcW w:w="3118" w:type="dxa"/>
            <w:vAlign w:val="center"/>
          </w:tcPr>
          <w:p w14:paraId="78200D5F">
            <w:pPr>
              <w:pStyle w:val="218"/>
              <w:rPr>
                <w:color w:val="auto"/>
                <w:lang w:val="zh-CN"/>
              </w:rPr>
            </w:pPr>
            <w:r>
              <w:rPr>
                <w:color w:val="auto"/>
              </w:rPr>
              <w:t>对照《淮安市深入打好净土保卫战实施方案》（淮污防攻坚指办</w:t>
            </w:r>
            <w:r>
              <w:rPr>
                <w:rFonts w:hint="eastAsia"/>
                <w:color w:val="auto"/>
                <w:lang w:eastAsia="zh-CN"/>
              </w:rPr>
              <w:t>〔2023〕17号</w:t>
            </w:r>
            <w:r>
              <w:rPr>
                <w:color w:val="auto"/>
              </w:rPr>
              <w:t>），</w:t>
            </w:r>
            <w:r>
              <w:rPr>
                <w:rFonts w:hint="eastAsia"/>
                <w:color w:val="auto"/>
              </w:rPr>
              <w:t>本项目不在中心城区开发边界内，主要用地为国能涟水一期热电项目预留建设用地，不违背国土空间规划要求</w:t>
            </w:r>
            <w:r>
              <w:rPr>
                <w:color w:val="auto"/>
              </w:rPr>
              <w:t>，项目未使用国家明令淘汰或者禁止使用的回收利用技术、工艺，符合相关产业政策。</w:t>
            </w:r>
          </w:p>
        </w:tc>
        <w:tc>
          <w:tcPr>
            <w:tcW w:w="985" w:type="dxa"/>
            <w:vAlign w:val="center"/>
          </w:tcPr>
          <w:p w14:paraId="00ADF8F1">
            <w:pPr>
              <w:pStyle w:val="218"/>
              <w:rPr>
                <w:color w:val="auto"/>
                <w:lang w:val="zh-CN"/>
              </w:rPr>
            </w:pPr>
            <w:r>
              <w:rPr>
                <w:rFonts w:hint="eastAsia"/>
                <w:color w:val="auto"/>
                <w:lang w:val="zh-CN"/>
              </w:rPr>
              <w:t>相符</w:t>
            </w:r>
          </w:p>
        </w:tc>
      </w:tr>
      <w:tr w14:paraId="3A17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554EF143">
            <w:pPr>
              <w:pStyle w:val="218"/>
              <w:rPr>
                <w:color w:val="auto"/>
                <w:lang w:val="zh-CN"/>
              </w:rPr>
            </w:pPr>
          </w:p>
        </w:tc>
        <w:tc>
          <w:tcPr>
            <w:tcW w:w="851" w:type="dxa"/>
            <w:vAlign w:val="center"/>
          </w:tcPr>
          <w:p w14:paraId="508A72E7">
            <w:pPr>
              <w:pStyle w:val="218"/>
              <w:rPr>
                <w:color w:val="auto"/>
                <w:lang w:val="zh-CN"/>
              </w:rPr>
            </w:pPr>
            <w:r>
              <w:rPr>
                <w:color w:val="auto"/>
              </w:rPr>
              <w:t>污染物排放管控</w:t>
            </w:r>
          </w:p>
        </w:tc>
        <w:tc>
          <w:tcPr>
            <w:tcW w:w="3544" w:type="dxa"/>
            <w:vAlign w:val="center"/>
          </w:tcPr>
          <w:p w14:paraId="6A66E068">
            <w:pPr>
              <w:pStyle w:val="218"/>
              <w:rPr>
                <w:color w:val="auto"/>
                <w:lang w:val="zh-CN"/>
              </w:rPr>
            </w:pPr>
            <w:r>
              <w:rPr>
                <w:color w:val="auto"/>
              </w:rPr>
              <w:t>物排放管控根据《江苏省</w:t>
            </w:r>
            <w:r>
              <w:rPr>
                <w:rFonts w:hint="eastAsia"/>
                <w:color w:val="auto"/>
              </w:rPr>
              <w:t>“</w:t>
            </w:r>
            <w:r>
              <w:rPr>
                <w:color w:val="auto"/>
              </w:rPr>
              <w:t>十四五</w:t>
            </w:r>
            <w:r>
              <w:rPr>
                <w:rFonts w:hint="eastAsia"/>
                <w:color w:val="auto"/>
              </w:rPr>
              <w:t>”</w:t>
            </w:r>
            <w:r>
              <w:rPr>
                <w:color w:val="auto"/>
              </w:rPr>
              <w:t>节能减排综合实施方案</w:t>
            </w:r>
            <w:r>
              <w:rPr>
                <w:rFonts w:hint="eastAsia"/>
                <w:color w:val="auto"/>
              </w:rPr>
              <w:t>（</w:t>
            </w:r>
            <w:r>
              <w:rPr>
                <w:color w:val="auto"/>
              </w:rPr>
              <w:t>苏政传发</w:t>
            </w:r>
            <w:r>
              <w:rPr>
                <w:rFonts w:hint="eastAsia"/>
                <w:color w:val="auto"/>
                <w:lang w:eastAsia="zh-CN"/>
              </w:rPr>
              <w:t>〔2022〕224号</w:t>
            </w:r>
            <w:r>
              <w:rPr>
                <w:color w:val="auto"/>
              </w:rPr>
              <w:t>）文件进行调整。</w:t>
            </w:r>
          </w:p>
        </w:tc>
        <w:tc>
          <w:tcPr>
            <w:tcW w:w="3118" w:type="dxa"/>
            <w:vAlign w:val="center"/>
          </w:tcPr>
          <w:p w14:paraId="07BBE37B">
            <w:pPr>
              <w:pStyle w:val="218"/>
              <w:rPr>
                <w:color w:val="auto"/>
                <w:lang w:val="zh-CN"/>
              </w:rPr>
            </w:pPr>
            <w:r>
              <w:rPr>
                <w:rFonts w:hint="eastAsia"/>
                <w:color w:val="auto"/>
              </w:rPr>
              <w:t>本项目严格落实各项污染治理措施和节能措施</w:t>
            </w:r>
          </w:p>
        </w:tc>
        <w:tc>
          <w:tcPr>
            <w:tcW w:w="985" w:type="dxa"/>
            <w:vAlign w:val="center"/>
          </w:tcPr>
          <w:p w14:paraId="4E129629">
            <w:pPr>
              <w:pStyle w:val="218"/>
              <w:rPr>
                <w:color w:val="auto"/>
                <w:lang w:val="zh-CN"/>
              </w:rPr>
            </w:pPr>
            <w:r>
              <w:rPr>
                <w:rFonts w:hint="eastAsia"/>
                <w:color w:val="auto"/>
                <w:lang w:val="zh-CN"/>
              </w:rPr>
              <w:t>相符</w:t>
            </w:r>
          </w:p>
        </w:tc>
      </w:tr>
      <w:tr w14:paraId="782B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69C75FEB">
            <w:pPr>
              <w:pStyle w:val="218"/>
              <w:rPr>
                <w:color w:val="auto"/>
                <w:lang w:val="zh-CN"/>
              </w:rPr>
            </w:pPr>
          </w:p>
        </w:tc>
        <w:tc>
          <w:tcPr>
            <w:tcW w:w="851" w:type="dxa"/>
            <w:vAlign w:val="center"/>
          </w:tcPr>
          <w:p w14:paraId="20B7A73E">
            <w:pPr>
              <w:pStyle w:val="218"/>
              <w:rPr>
                <w:color w:val="auto"/>
                <w:lang w:val="zh-CN"/>
              </w:rPr>
            </w:pPr>
            <w:r>
              <w:rPr>
                <w:color w:val="auto"/>
              </w:rPr>
              <w:t>环境风险防控</w:t>
            </w:r>
          </w:p>
        </w:tc>
        <w:tc>
          <w:tcPr>
            <w:tcW w:w="3544" w:type="dxa"/>
            <w:vAlign w:val="center"/>
          </w:tcPr>
          <w:p w14:paraId="4097CC71">
            <w:pPr>
              <w:pStyle w:val="218"/>
              <w:rPr>
                <w:color w:val="auto"/>
                <w:lang w:val="zh-CN"/>
              </w:rPr>
            </w:pPr>
            <w:r>
              <w:rPr>
                <w:color w:val="auto"/>
              </w:rPr>
              <w:t>根据《淮安市突发环境事件应急预案》（淮政复</w:t>
            </w:r>
            <w:r>
              <w:rPr>
                <w:rFonts w:hint="eastAsia"/>
                <w:color w:val="auto"/>
                <w:lang w:eastAsia="zh-CN"/>
              </w:rPr>
              <w:t>〔2020〕67号</w:t>
            </w:r>
            <w:r>
              <w:rPr>
                <w:color w:val="auto"/>
              </w:rPr>
              <w:t>）、《淮安市集中式饮用水源突发污染事件应急预案》（淮污防攻坚指办</w:t>
            </w:r>
            <w:r>
              <w:rPr>
                <w:rFonts w:hint="eastAsia"/>
                <w:color w:val="auto"/>
                <w:lang w:eastAsia="zh-CN"/>
              </w:rPr>
              <w:t>〔2020〕58号</w:t>
            </w:r>
            <w:r>
              <w:rPr>
                <w:color w:val="auto"/>
              </w:rPr>
              <w:t>）、《淮安市辐射事故应急预案》《淮安市重污染天气应急预案》（淮政复</w:t>
            </w:r>
            <w:r>
              <w:rPr>
                <w:rFonts w:hint="eastAsia"/>
                <w:color w:val="auto"/>
                <w:lang w:eastAsia="zh-CN"/>
              </w:rPr>
              <w:t>〔2021〕24号</w:t>
            </w:r>
            <w:r>
              <w:rPr>
                <w:color w:val="auto"/>
              </w:rPr>
              <w:t>）、《中共江苏省委江苏省人民政府关于深入打好污染防治攻坚战的实施意见》（2022年1月24日）等文件进行调整。</w:t>
            </w:r>
          </w:p>
        </w:tc>
        <w:tc>
          <w:tcPr>
            <w:tcW w:w="3118" w:type="dxa"/>
            <w:vMerge w:val="restart"/>
            <w:vAlign w:val="center"/>
          </w:tcPr>
          <w:p w14:paraId="1A8AD981">
            <w:pPr>
              <w:pStyle w:val="218"/>
              <w:rPr>
                <w:color w:val="auto"/>
                <w:lang w:val="zh-CN"/>
              </w:rPr>
            </w:pPr>
            <w:r>
              <w:rPr>
                <w:color w:val="auto"/>
              </w:rPr>
              <w:t>企业需根据规定编制环境应急预案并备案，定时安排预案演练，熟练应急物资的使用。对照《淮安市深入打好净土保卫战实施方案》（淮污防攻坚指办</w:t>
            </w:r>
            <w:r>
              <w:rPr>
                <w:rFonts w:hint="eastAsia"/>
                <w:color w:val="auto"/>
                <w:lang w:eastAsia="zh-CN"/>
              </w:rPr>
              <w:t>〔2023〕17号</w:t>
            </w:r>
            <w:r>
              <w:rPr>
                <w:color w:val="auto"/>
              </w:rPr>
              <w:t>），</w:t>
            </w:r>
            <w:r>
              <w:rPr>
                <w:rFonts w:hint="eastAsia"/>
                <w:color w:val="auto"/>
              </w:rPr>
              <w:t>项目</w:t>
            </w:r>
            <w:r>
              <w:rPr>
                <w:color w:val="auto"/>
              </w:rPr>
              <w:t>周边为企业，项目未使用国家明令淘汰或者禁止使用的回收利用技术、工艺，符合相关产业政策。本项目不属于高耗水、高耗能项目。</w:t>
            </w:r>
          </w:p>
        </w:tc>
        <w:tc>
          <w:tcPr>
            <w:tcW w:w="985" w:type="dxa"/>
            <w:vAlign w:val="center"/>
          </w:tcPr>
          <w:p w14:paraId="5BC6E428">
            <w:pPr>
              <w:pStyle w:val="218"/>
              <w:rPr>
                <w:color w:val="auto"/>
                <w:lang w:val="zh-CN"/>
              </w:rPr>
            </w:pPr>
            <w:r>
              <w:rPr>
                <w:rFonts w:hint="eastAsia"/>
                <w:color w:val="auto"/>
                <w:lang w:val="zh-CN"/>
              </w:rPr>
              <w:t>相符</w:t>
            </w:r>
          </w:p>
        </w:tc>
      </w:tr>
      <w:tr w14:paraId="5913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Merge w:val="continue"/>
            <w:vAlign w:val="center"/>
          </w:tcPr>
          <w:p w14:paraId="08A0A68C">
            <w:pPr>
              <w:pStyle w:val="218"/>
              <w:rPr>
                <w:color w:val="auto"/>
                <w:lang w:val="zh-CN"/>
              </w:rPr>
            </w:pPr>
          </w:p>
        </w:tc>
        <w:tc>
          <w:tcPr>
            <w:tcW w:w="851" w:type="dxa"/>
            <w:vAlign w:val="center"/>
          </w:tcPr>
          <w:p w14:paraId="16220FBF">
            <w:pPr>
              <w:pStyle w:val="218"/>
              <w:rPr>
                <w:color w:val="auto"/>
                <w:lang w:val="zh-CN"/>
              </w:rPr>
            </w:pPr>
            <w:r>
              <w:rPr>
                <w:color w:val="auto"/>
              </w:rPr>
              <w:t>资源利用效率要求</w:t>
            </w:r>
          </w:p>
        </w:tc>
        <w:tc>
          <w:tcPr>
            <w:tcW w:w="3544" w:type="dxa"/>
            <w:vAlign w:val="center"/>
          </w:tcPr>
          <w:p w14:paraId="33C2BF6B">
            <w:pPr>
              <w:pStyle w:val="218"/>
              <w:rPr>
                <w:color w:val="auto"/>
                <w:lang w:val="zh-CN"/>
              </w:rPr>
            </w:pPr>
            <w:r>
              <w:rPr>
                <w:color w:val="auto"/>
              </w:rPr>
              <w:t>根据《江苏省水利厅江苏省发改委关于印发十四五用水总量和强度控制目标的通知》（苏水节</w:t>
            </w:r>
            <w:r>
              <w:rPr>
                <w:rFonts w:hint="eastAsia"/>
                <w:color w:val="auto"/>
                <w:lang w:eastAsia="zh-CN"/>
              </w:rPr>
              <w:t>〔2022〕6号</w:t>
            </w:r>
            <w:r>
              <w:rPr>
                <w:color w:val="auto"/>
              </w:rPr>
              <w:t>）、《市水利局市发展和改革委员会关于下达“一四五”用水总量和强度控制目标的通知》（淮水资</w:t>
            </w:r>
            <w:r>
              <w:rPr>
                <w:rFonts w:hint="eastAsia"/>
                <w:color w:val="auto"/>
                <w:lang w:eastAsia="zh-CN"/>
              </w:rPr>
              <w:t>〔2022〕4号</w:t>
            </w:r>
            <w:r>
              <w:rPr>
                <w:color w:val="auto"/>
              </w:rPr>
              <w:t>）、《淮安市国土空间总体规划（2021</w:t>
            </w:r>
            <w:r>
              <w:rPr>
                <w:rFonts w:hint="eastAsia"/>
                <w:color w:val="auto"/>
                <w:lang w:eastAsia="zh-CN"/>
              </w:rPr>
              <w:t>—</w:t>
            </w:r>
            <w:r>
              <w:rPr>
                <w:color w:val="auto"/>
              </w:rPr>
              <w:t>2035年）</w:t>
            </w:r>
            <w:r>
              <w:rPr>
                <w:rFonts w:hint="eastAsia"/>
                <w:color w:val="auto"/>
                <w:lang w:eastAsia="zh-CN"/>
              </w:rPr>
              <w:t>》《</w:t>
            </w:r>
            <w:r>
              <w:rPr>
                <w:color w:val="auto"/>
              </w:rPr>
              <w:t>中共江苏省委江苏省人民政府关于深入打好污染（2022年1月24日）等防治攻坚战的实施意见》文件进行调整。</w:t>
            </w:r>
          </w:p>
        </w:tc>
        <w:tc>
          <w:tcPr>
            <w:tcW w:w="3118" w:type="dxa"/>
            <w:vMerge w:val="continue"/>
            <w:vAlign w:val="center"/>
          </w:tcPr>
          <w:p w14:paraId="51364C14">
            <w:pPr>
              <w:pStyle w:val="218"/>
              <w:rPr>
                <w:color w:val="auto"/>
                <w:lang w:val="zh-CN"/>
              </w:rPr>
            </w:pPr>
          </w:p>
        </w:tc>
        <w:tc>
          <w:tcPr>
            <w:tcW w:w="985" w:type="dxa"/>
            <w:vAlign w:val="center"/>
          </w:tcPr>
          <w:p w14:paraId="2B117DCC">
            <w:pPr>
              <w:pStyle w:val="218"/>
              <w:rPr>
                <w:color w:val="auto"/>
                <w:lang w:val="zh-CN"/>
              </w:rPr>
            </w:pPr>
            <w:r>
              <w:rPr>
                <w:rFonts w:hint="eastAsia"/>
                <w:color w:val="auto"/>
                <w:lang w:val="zh-CN"/>
              </w:rPr>
              <w:t>相符</w:t>
            </w:r>
          </w:p>
        </w:tc>
      </w:tr>
      <w:bookmarkEnd w:id="54"/>
    </w:tbl>
    <w:p w14:paraId="01205B4F">
      <w:pPr>
        <w:pStyle w:val="218"/>
        <w:rPr>
          <w:color w:val="auto"/>
          <w:lang w:val="zh-CN"/>
        </w:rPr>
      </w:pPr>
    </w:p>
    <w:p w14:paraId="2E0B7C66">
      <w:pPr>
        <w:pStyle w:val="84"/>
      </w:pPr>
      <w:r>
        <w:rPr>
          <w:rFonts w:hint="eastAsia"/>
        </w:rPr>
        <w:t>与《淮安市“三线一单”生态环境分区管控方案》（淮政发〔2020〕16号）符合性分析</w:t>
      </w:r>
    </w:p>
    <w:p w14:paraId="09B0175F">
      <w:pPr>
        <w:pStyle w:val="93"/>
      </w:pPr>
      <w:r>
        <w:rPr>
          <w:rFonts w:hint="eastAsia"/>
        </w:rPr>
        <w:t>对照《淮安市“三线一单”生态环境分区管控方案》，本项目位于淮安市涟水县朱码街道高台村国能涟水一期热电联产项目厂区内，位于一般管控单元内。根据表1.5-7，本项目建设符合《淮安市“三线一单”生态环境分区管控方案》（淮政发〔2020〕16号）要求。</w:t>
      </w:r>
    </w:p>
    <w:p w14:paraId="437D4179">
      <w:pPr>
        <w:pStyle w:val="86"/>
      </w:pPr>
      <w:r>
        <w:rPr>
          <w:rFonts w:hint="eastAsia"/>
        </w:rPr>
        <w:t>本项目与淮政发〔2020〕16号相符性分析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6794"/>
        <w:gridCol w:w="1781"/>
      </w:tblGrid>
      <w:tr w14:paraId="6F1F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3" w:type="pct"/>
            <w:tcBorders>
              <w:top w:val="single" w:color="auto" w:sz="4" w:space="0"/>
              <w:left w:val="single" w:color="auto" w:sz="4" w:space="0"/>
              <w:bottom w:val="single" w:color="auto" w:sz="4" w:space="0"/>
              <w:right w:val="single" w:color="auto" w:sz="4" w:space="0"/>
            </w:tcBorders>
            <w:vAlign w:val="center"/>
          </w:tcPr>
          <w:p w14:paraId="37458E02">
            <w:pPr>
              <w:pStyle w:val="196"/>
              <w:rPr>
                <w:b/>
                <w:bCs/>
                <w:szCs w:val="21"/>
              </w:rPr>
            </w:pPr>
            <w:r>
              <w:rPr>
                <w:rFonts w:hint="eastAsia"/>
                <w:b/>
                <w:bCs/>
              </w:rPr>
              <w:t>类别</w:t>
            </w:r>
          </w:p>
        </w:tc>
        <w:tc>
          <w:tcPr>
            <w:tcW w:w="3658" w:type="pct"/>
            <w:tcBorders>
              <w:top w:val="single" w:color="auto" w:sz="4" w:space="0"/>
              <w:left w:val="single" w:color="auto" w:sz="4" w:space="0"/>
              <w:bottom w:val="single" w:color="auto" w:sz="4" w:space="0"/>
              <w:right w:val="single" w:color="auto" w:sz="4" w:space="0"/>
            </w:tcBorders>
            <w:vAlign w:val="center"/>
          </w:tcPr>
          <w:p w14:paraId="0265AE69">
            <w:pPr>
              <w:pStyle w:val="196"/>
              <w:rPr>
                <w:b/>
                <w:bCs/>
              </w:rPr>
            </w:pPr>
            <w:r>
              <w:rPr>
                <w:rFonts w:hint="eastAsia"/>
                <w:b/>
                <w:bCs/>
              </w:rPr>
              <w:t>文件相关内容</w:t>
            </w:r>
          </w:p>
        </w:tc>
        <w:tc>
          <w:tcPr>
            <w:tcW w:w="959" w:type="pct"/>
            <w:tcBorders>
              <w:top w:val="single" w:color="auto" w:sz="4" w:space="0"/>
              <w:left w:val="single" w:color="auto" w:sz="4" w:space="0"/>
              <w:bottom w:val="single" w:color="auto" w:sz="4" w:space="0"/>
              <w:right w:val="single" w:color="auto" w:sz="4" w:space="0"/>
            </w:tcBorders>
            <w:vAlign w:val="center"/>
          </w:tcPr>
          <w:p w14:paraId="11E090CB">
            <w:pPr>
              <w:pStyle w:val="196"/>
              <w:rPr>
                <w:b/>
                <w:bCs/>
              </w:rPr>
            </w:pPr>
            <w:r>
              <w:rPr>
                <w:rFonts w:hint="eastAsia"/>
                <w:b/>
                <w:bCs/>
              </w:rPr>
              <w:t>相符性分析</w:t>
            </w:r>
          </w:p>
        </w:tc>
      </w:tr>
      <w:tr w14:paraId="5096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vAlign w:val="center"/>
          </w:tcPr>
          <w:p w14:paraId="25A7131D">
            <w:pPr>
              <w:pStyle w:val="196"/>
            </w:pPr>
            <w:r>
              <w:rPr>
                <w:rFonts w:hint="eastAsia"/>
              </w:rPr>
              <w:t>空间布局约束</w:t>
            </w:r>
          </w:p>
        </w:tc>
        <w:tc>
          <w:tcPr>
            <w:tcW w:w="3658" w:type="pct"/>
            <w:tcBorders>
              <w:top w:val="single" w:color="auto" w:sz="4" w:space="0"/>
              <w:left w:val="single" w:color="auto" w:sz="4" w:space="0"/>
              <w:bottom w:val="single" w:color="auto" w:sz="4" w:space="0"/>
              <w:right w:val="single" w:color="auto" w:sz="4" w:space="0"/>
            </w:tcBorders>
            <w:vAlign w:val="center"/>
          </w:tcPr>
          <w:p w14:paraId="15950FC9">
            <w:pPr>
              <w:pStyle w:val="196"/>
            </w:pPr>
            <w:r>
              <w:rPr>
                <w:rFonts w:hint="eastAsia"/>
              </w:rPr>
              <w:t>1.严格执行《中共淮安市委 淮安市人民政府关于全面加强生态环境保护坚决打好污染防治攻坚战的实施意见》（淮发〔2018〕33号）、《淮安市打赢蓝天保卫战三年行动计划实施方案》（淮政发〔2018〕113号）、《淮安市“两减六治三提升”专项行动方案》（淮发〔2017〕26号）、《淮安市土壤污染防治工作方案》（淮政发〔2017〕86号）、《淮安市水污染防治工作方案》（淮政发〔2016〕95号）等文件要求。</w:t>
            </w:r>
          </w:p>
          <w:p w14:paraId="128B5A1B">
            <w:pPr>
              <w:pStyle w:val="196"/>
            </w:pPr>
            <w:r>
              <w:rPr>
                <w:rFonts w:hint="eastAsia"/>
              </w:rPr>
              <w:t>2.严格执行《中共淮安市委 淮安市人民政府关于优化全市空间功能定位和产业布局的意见》（淮发〔2016〕37号）、《淮安市产业结构调整指导目录（2018</w:t>
            </w:r>
            <w:r>
              <w:rPr>
                <w:rFonts w:hint="eastAsia"/>
                <w:lang w:eastAsia="zh-CN"/>
              </w:rPr>
              <w:t>—</w:t>
            </w:r>
            <w:r>
              <w:rPr>
                <w:rFonts w:hint="eastAsia"/>
              </w:rPr>
              <w:t>2020年版）》（淮政办发〔2018〕6号）等文件要求，重点鼓励休闲农业、电子信息、高端装备制造、新能源汽车及零部件、金融、旅游、健康养生等资源节约型、环境友好型产业。对钢铁、电解铝、水泥、平板玻璃、船舶等产能严重过剩行业，以及酒精、造纸、皮革、农药、橡胶、水泥、金属冶炼等高耗能、高污染、技术落后的产业进行限制和禁止。同时，对属于限制类的现有生产能力，允许企业开展技术改造，推动产业转型升级。</w:t>
            </w:r>
          </w:p>
          <w:p w14:paraId="070C673F">
            <w:pPr>
              <w:pStyle w:val="196"/>
            </w:pPr>
            <w:r>
              <w:rPr>
                <w:rFonts w:hint="eastAsia"/>
              </w:rPr>
              <w:t>3.根据《淮安市“两减六治三提升”专项行动方案》（淮发〔2017〕26号），推动化工企业入园进区，禁止园区外（除重点监测点化工企业外）一切新建、扩建化工项目。一律不批化工园区内环境基础设施不完善或长期不能稳定运行企业的新改扩建化工项目。新建（含搬迁）化工项目必须进入已经依法完成规划环评审查的化工园区。园区外化工企业（除重点监测点化工企业外）只允许在原有生产产品种类不变、产能规模不变、排放总量不增加的前提下，进行安全隐患改造和节能环保设施改造。禁止限制类项目产能（搬迁改造升级项目除外）入园进区。</w:t>
            </w:r>
          </w:p>
          <w:p w14:paraId="01E1A086">
            <w:pPr>
              <w:pStyle w:val="196"/>
            </w:pPr>
            <w:r>
              <w:rPr>
                <w:rFonts w:hint="eastAsia"/>
              </w:rPr>
              <w:t>4.根据《中共淮安市委 淮安市人民政府关于全面加强生态环境保护坚决打好污染防治攻坚战的实施意见》（淮发〔2018〕33号），从严控制京杭大运河（南水北调东线）沿岸两侧危化品码头新建项目的审批。严禁在京杭运河沿线1公里范围内新建布局化工园区和化工企业。</w:t>
            </w:r>
          </w:p>
          <w:p w14:paraId="47D7F6D7">
            <w:pPr>
              <w:pStyle w:val="196"/>
            </w:pPr>
            <w:r>
              <w:rPr>
                <w:rFonts w:hint="eastAsia"/>
              </w:rPr>
              <w:t>5.根据《省政府关于加强全省化工园区化工集中区规范化管理的通知》（苏政发〔2020〕94号），淮安市具备化工定位的化工集中区为江苏淮安工业园区，化工集中区内已建成的企业要通过改进工艺、更新装备、加大信息化智能化改造等措施提升本质安全水平。取消化工定位的园区（集中区）要大幅压减化工生产企业数量，不得新增化工生产企业、新建扩建化工生产项目，现有化工生产企业符合条件的可以定位为化工重点监测点，重点监测点在不新增</w:t>
            </w:r>
            <w:r>
              <w:rPr>
                <w:rFonts w:hint="eastAsia"/>
                <w:lang w:eastAsia="zh-CN"/>
              </w:rPr>
              <w:t>工地</w:t>
            </w:r>
            <w:r>
              <w:rPr>
                <w:rFonts w:hint="eastAsia"/>
              </w:rPr>
              <w:t>和污染物排放总量的情况下可以实施产业政策鼓励类、允许类的技术改造项目。</w:t>
            </w:r>
          </w:p>
        </w:tc>
        <w:tc>
          <w:tcPr>
            <w:tcW w:w="959" w:type="pct"/>
            <w:tcBorders>
              <w:top w:val="single" w:color="auto" w:sz="4" w:space="0"/>
              <w:left w:val="single" w:color="auto" w:sz="4" w:space="0"/>
              <w:bottom w:val="single" w:color="auto" w:sz="4" w:space="0"/>
              <w:right w:val="single" w:color="auto" w:sz="4" w:space="0"/>
            </w:tcBorders>
            <w:vAlign w:val="center"/>
          </w:tcPr>
          <w:p w14:paraId="43257EDC">
            <w:pPr>
              <w:pStyle w:val="196"/>
            </w:pPr>
            <w:r>
              <w:rPr>
                <w:rFonts w:hint="eastAsia"/>
              </w:rPr>
              <w:t>符合</w:t>
            </w:r>
          </w:p>
          <w:p w14:paraId="108085DB">
            <w:pPr>
              <w:pStyle w:val="196"/>
            </w:pPr>
            <w:r>
              <w:rPr>
                <w:rFonts w:hint="eastAsia"/>
              </w:rPr>
              <w:t>项目严格执行《中共淮安市委 淮安市人民政府关于全面加强生态环境保护坚决打好污染防治攻坚战的实施意见》（淮发〔2018〕33号）等文件要求。</w:t>
            </w:r>
          </w:p>
          <w:p w14:paraId="2D9BE46C">
            <w:pPr>
              <w:pStyle w:val="196"/>
            </w:pPr>
            <w:r>
              <w:rPr>
                <w:rFonts w:hint="eastAsia"/>
              </w:rPr>
              <w:t>本项目不属于化工项目，不属于限制类项目；项目不属于不允许实施的项目。本项目不属于危化品码头。</w:t>
            </w:r>
          </w:p>
        </w:tc>
      </w:tr>
      <w:tr w14:paraId="7007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vAlign w:val="center"/>
          </w:tcPr>
          <w:p w14:paraId="44BAA9F3">
            <w:pPr>
              <w:pStyle w:val="196"/>
              <w:rPr>
                <w:bCs/>
                <w:kern w:val="0"/>
              </w:rPr>
            </w:pPr>
            <w:r>
              <w:rPr>
                <w:rFonts w:hint="eastAsia" w:ascii="宋体" w:hAnsi="宋体"/>
                <w:bCs/>
                <w:kern w:val="0"/>
              </w:rPr>
              <w:t>污染物排放管控</w:t>
            </w:r>
          </w:p>
        </w:tc>
        <w:tc>
          <w:tcPr>
            <w:tcW w:w="3658" w:type="pct"/>
            <w:tcBorders>
              <w:top w:val="single" w:color="auto" w:sz="4" w:space="0"/>
              <w:left w:val="single" w:color="auto" w:sz="4" w:space="0"/>
              <w:bottom w:val="single" w:color="auto" w:sz="4" w:space="0"/>
              <w:right w:val="single" w:color="auto" w:sz="4" w:space="0"/>
            </w:tcBorders>
            <w:vAlign w:val="center"/>
          </w:tcPr>
          <w:p w14:paraId="481698B5">
            <w:pPr>
              <w:pStyle w:val="196"/>
              <w:rPr>
                <w:bCs/>
                <w:kern w:val="0"/>
              </w:rPr>
            </w:pPr>
            <w:r>
              <w:rPr>
                <w:rFonts w:hint="eastAsia"/>
                <w:bCs/>
                <w:kern w:val="0"/>
              </w:rPr>
              <w:t>1.</w:t>
            </w:r>
            <w:r>
              <w:rPr>
                <w:rFonts w:hint="eastAsia" w:ascii="宋体" w:hAnsi="宋体"/>
                <w:bCs/>
                <w:kern w:val="0"/>
              </w:rPr>
              <w:t>允许排放量要求：根据《淮安市</w:t>
            </w:r>
            <w:r>
              <w:rPr>
                <w:rFonts w:hint="eastAsia"/>
                <w:bCs/>
                <w:kern w:val="0"/>
              </w:rPr>
              <w:t>“</w:t>
            </w:r>
            <w:r>
              <w:rPr>
                <w:rFonts w:hint="eastAsia" w:ascii="宋体" w:hAnsi="宋体"/>
                <w:bCs/>
                <w:kern w:val="0"/>
              </w:rPr>
              <w:t>十三五</w:t>
            </w:r>
            <w:r>
              <w:rPr>
                <w:rFonts w:hint="eastAsia"/>
                <w:bCs/>
                <w:kern w:val="0"/>
              </w:rPr>
              <w:t>”</w:t>
            </w:r>
            <w:r>
              <w:rPr>
                <w:rFonts w:hint="eastAsia" w:ascii="宋体" w:hAnsi="宋体"/>
                <w:bCs/>
                <w:kern w:val="0"/>
              </w:rPr>
              <w:t>节能减排综合实施方案》（淮政发〔</w:t>
            </w:r>
            <w:r>
              <w:rPr>
                <w:rFonts w:hint="eastAsia"/>
                <w:bCs/>
                <w:kern w:val="0"/>
              </w:rPr>
              <w:t>2017</w:t>
            </w:r>
            <w:r>
              <w:rPr>
                <w:rFonts w:hint="eastAsia" w:ascii="宋体" w:hAnsi="宋体"/>
                <w:bCs/>
                <w:kern w:val="0"/>
              </w:rPr>
              <w:t>〕</w:t>
            </w:r>
            <w:r>
              <w:rPr>
                <w:rFonts w:hint="eastAsia"/>
                <w:bCs/>
                <w:kern w:val="0"/>
              </w:rPr>
              <w:t>119</w:t>
            </w:r>
            <w:r>
              <w:rPr>
                <w:rFonts w:hint="eastAsia" w:ascii="宋体" w:hAnsi="宋体"/>
                <w:bCs/>
                <w:kern w:val="0"/>
              </w:rPr>
              <w:t>号），到</w:t>
            </w:r>
            <w:r>
              <w:rPr>
                <w:rFonts w:hint="eastAsia"/>
                <w:bCs/>
                <w:kern w:val="0"/>
              </w:rPr>
              <w:t>2020</w:t>
            </w:r>
            <w:r>
              <w:rPr>
                <w:rFonts w:hint="eastAsia" w:ascii="宋体" w:hAnsi="宋体"/>
                <w:bCs/>
                <w:kern w:val="0"/>
              </w:rPr>
              <w:t>年，淮安市化学需氧量、氨氮、总氮、总磷、二氧化硫、氮氧化物、</w:t>
            </w:r>
            <w:r>
              <w:rPr>
                <w:rFonts w:hint="eastAsia"/>
                <w:bCs/>
                <w:kern w:val="0"/>
              </w:rPr>
              <w:t>VOCs</w:t>
            </w:r>
            <w:r>
              <w:rPr>
                <w:rFonts w:hint="eastAsia" w:ascii="宋体" w:hAnsi="宋体"/>
                <w:bCs/>
                <w:kern w:val="0"/>
              </w:rPr>
              <w:t>排放量不得超过</w:t>
            </w:r>
            <w:r>
              <w:rPr>
                <w:rFonts w:hint="eastAsia"/>
                <w:bCs/>
                <w:kern w:val="0"/>
              </w:rPr>
              <w:t>5.91</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0.77</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1.50</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0.155</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3.57</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4.72</w:t>
            </w:r>
            <w:r>
              <w:rPr>
                <w:rFonts w:hint="eastAsia" w:ascii="宋体" w:hAnsi="宋体"/>
                <w:bCs/>
                <w:kern w:val="0"/>
              </w:rPr>
              <w:t>万吨</w:t>
            </w:r>
            <w:r>
              <w:rPr>
                <w:rFonts w:hint="eastAsia"/>
                <w:bCs/>
                <w:kern w:val="0"/>
              </w:rPr>
              <w:t>/</w:t>
            </w:r>
            <w:r>
              <w:rPr>
                <w:rFonts w:hint="eastAsia" w:ascii="宋体" w:hAnsi="宋体"/>
                <w:bCs/>
                <w:kern w:val="0"/>
              </w:rPr>
              <w:t>年、</w:t>
            </w:r>
            <w:r>
              <w:rPr>
                <w:rFonts w:hint="eastAsia"/>
                <w:bCs/>
                <w:kern w:val="0"/>
              </w:rPr>
              <w:t>7.92</w:t>
            </w:r>
            <w:r>
              <w:rPr>
                <w:rFonts w:hint="eastAsia" w:ascii="宋体" w:hAnsi="宋体"/>
                <w:bCs/>
                <w:kern w:val="0"/>
              </w:rPr>
              <w:t>万吨</w:t>
            </w:r>
            <w:r>
              <w:rPr>
                <w:rFonts w:hint="eastAsia"/>
                <w:bCs/>
                <w:kern w:val="0"/>
              </w:rPr>
              <w:t>/</w:t>
            </w:r>
            <w:r>
              <w:rPr>
                <w:rFonts w:hint="eastAsia" w:ascii="宋体" w:hAnsi="宋体"/>
                <w:bCs/>
                <w:kern w:val="0"/>
              </w:rPr>
              <w:t>年。</w:t>
            </w:r>
          </w:p>
          <w:p w14:paraId="25ED31E5">
            <w:pPr>
              <w:pStyle w:val="196"/>
              <w:rPr>
                <w:bCs/>
                <w:kern w:val="0"/>
              </w:rPr>
            </w:pPr>
            <w:r>
              <w:rPr>
                <w:rFonts w:hint="eastAsia"/>
                <w:bCs/>
                <w:kern w:val="0"/>
              </w:rPr>
              <w:t>2.</w:t>
            </w:r>
            <w:r>
              <w:rPr>
                <w:rFonts w:hint="eastAsia" w:ascii="宋体" w:hAnsi="宋体"/>
                <w:bCs/>
                <w:kern w:val="0"/>
              </w:rPr>
              <w:t>新增源排放标准限制：根据《淮安市打赢蓝天保卫战三年行动计划实施方案》（淮政发〔</w:t>
            </w:r>
            <w:r>
              <w:rPr>
                <w:rFonts w:hint="eastAsia"/>
                <w:bCs/>
                <w:kern w:val="0"/>
              </w:rPr>
              <w:t>2018</w:t>
            </w:r>
            <w:r>
              <w:rPr>
                <w:rFonts w:hint="eastAsia" w:ascii="宋体" w:hAnsi="宋体"/>
                <w:bCs/>
                <w:kern w:val="0"/>
              </w:rPr>
              <w:t>〕</w:t>
            </w:r>
            <w:r>
              <w:rPr>
                <w:rFonts w:hint="eastAsia"/>
                <w:bCs/>
                <w:kern w:val="0"/>
              </w:rPr>
              <w:t>113</w:t>
            </w:r>
            <w:r>
              <w:rPr>
                <w:rFonts w:hint="eastAsia" w:ascii="宋体" w:hAnsi="宋体"/>
                <w:bCs/>
                <w:kern w:val="0"/>
              </w:rPr>
              <w:t>号），全市范围内二氧化硫、氮氧化物、颗粒物、</w:t>
            </w:r>
            <w:r>
              <w:rPr>
                <w:rFonts w:hint="eastAsia"/>
                <w:bCs/>
                <w:kern w:val="0"/>
              </w:rPr>
              <w:t>VOCs</w:t>
            </w:r>
            <w:r>
              <w:rPr>
                <w:rFonts w:hint="eastAsia" w:ascii="宋体" w:hAnsi="宋体"/>
                <w:bCs/>
                <w:kern w:val="0"/>
              </w:rPr>
              <w:t>全面执行大气污染物特别排放限值。</w:t>
            </w:r>
          </w:p>
        </w:tc>
        <w:tc>
          <w:tcPr>
            <w:tcW w:w="959" w:type="pct"/>
            <w:tcBorders>
              <w:top w:val="single" w:color="auto" w:sz="4" w:space="0"/>
              <w:left w:val="single" w:color="auto" w:sz="4" w:space="0"/>
              <w:bottom w:val="single" w:color="auto" w:sz="4" w:space="0"/>
              <w:right w:val="single" w:color="auto" w:sz="4" w:space="0"/>
            </w:tcBorders>
            <w:vAlign w:val="center"/>
          </w:tcPr>
          <w:p w14:paraId="179FE560">
            <w:pPr>
              <w:pStyle w:val="196"/>
              <w:rPr>
                <w:bCs/>
                <w:kern w:val="0"/>
              </w:rPr>
            </w:pPr>
            <w:r>
              <w:rPr>
                <w:rFonts w:hint="eastAsia" w:ascii="宋体" w:hAnsi="宋体"/>
                <w:bCs/>
                <w:kern w:val="0"/>
              </w:rPr>
              <w:t>符合</w:t>
            </w:r>
          </w:p>
          <w:p w14:paraId="6C2F5CC7">
            <w:pPr>
              <w:pStyle w:val="196"/>
              <w:rPr>
                <w:bCs/>
                <w:kern w:val="0"/>
              </w:rPr>
            </w:pPr>
            <w:r>
              <w:rPr>
                <w:rFonts w:hint="eastAsia" w:ascii="宋体" w:hAnsi="宋体"/>
                <w:bCs/>
                <w:kern w:val="0"/>
              </w:rPr>
              <w:t>本项目总量指标在区域内平衡。</w:t>
            </w:r>
          </w:p>
        </w:tc>
      </w:tr>
      <w:tr w14:paraId="1073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vAlign w:val="center"/>
          </w:tcPr>
          <w:p w14:paraId="5F715144">
            <w:pPr>
              <w:pStyle w:val="196"/>
              <w:rPr>
                <w:bCs/>
                <w:kern w:val="0"/>
              </w:rPr>
            </w:pPr>
            <w:r>
              <w:rPr>
                <w:rFonts w:hint="eastAsia" w:ascii="宋体" w:hAnsi="宋体"/>
                <w:bCs/>
                <w:kern w:val="0"/>
              </w:rPr>
              <w:t>环境风险防控</w:t>
            </w:r>
          </w:p>
        </w:tc>
        <w:tc>
          <w:tcPr>
            <w:tcW w:w="3658" w:type="pct"/>
            <w:tcBorders>
              <w:top w:val="single" w:color="auto" w:sz="4" w:space="0"/>
              <w:left w:val="single" w:color="auto" w:sz="4" w:space="0"/>
              <w:bottom w:val="single" w:color="auto" w:sz="4" w:space="0"/>
              <w:right w:val="single" w:color="auto" w:sz="4" w:space="0"/>
            </w:tcBorders>
            <w:vAlign w:val="center"/>
          </w:tcPr>
          <w:p w14:paraId="19478A6D">
            <w:pPr>
              <w:pStyle w:val="196"/>
              <w:rPr>
                <w:bCs/>
                <w:kern w:val="0"/>
              </w:rPr>
            </w:pPr>
            <w:r>
              <w:rPr>
                <w:rFonts w:hint="eastAsia"/>
                <w:bCs/>
                <w:kern w:val="0"/>
              </w:rPr>
              <w:t>1.</w:t>
            </w:r>
            <w:r>
              <w:rPr>
                <w:rFonts w:hint="eastAsia" w:ascii="宋体" w:hAnsi="宋体"/>
                <w:bCs/>
                <w:kern w:val="0"/>
              </w:rPr>
              <w:t>严格执行《淮安市突发环境事件应急预案》（淮政办发〔</w:t>
            </w:r>
            <w:r>
              <w:rPr>
                <w:rFonts w:hint="eastAsia"/>
                <w:bCs/>
                <w:kern w:val="0"/>
              </w:rPr>
              <w:t>2017</w:t>
            </w:r>
            <w:r>
              <w:rPr>
                <w:rFonts w:hint="eastAsia" w:ascii="宋体" w:hAnsi="宋体"/>
                <w:bCs/>
                <w:kern w:val="0"/>
              </w:rPr>
              <w:t>〕</w:t>
            </w:r>
            <w:r>
              <w:rPr>
                <w:rFonts w:hint="eastAsia"/>
                <w:bCs/>
                <w:kern w:val="0"/>
              </w:rPr>
              <w:t>93</w:t>
            </w:r>
            <w:r>
              <w:rPr>
                <w:rFonts w:hint="eastAsia" w:ascii="宋体" w:hAnsi="宋体"/>
                <w:bCs/>
                <w:kern w:val="0"/>
              </w:rPr>
              <w:t>号）、《淮安市集中式饮用水源突发污染事件应急预案》（淮政办发〔</w:t>
            </w:r>
            <w:r>
              <w:rPr>
                <w:rFonts w:hint="eastAsia"/>
                <w:bCs/>
                <w:kern w:val="0"/>
              </w:rPr>
              <w:t>2010</w:t>
            </w:r>
            <w:r>
              <w:rPr>
                <w:rFonts w:hint="eastAsia" w:ascii="宋体" w:hAnsi="宋体"/>
                <w:bCs/>
                <w:kern w:val="0"/>
              </w:rPr>
              <w:t>〕</w:t>
            </w:r>
            <w:r>
              <w:rPr>
                <w:rFonts w:hint="eastAsia"/>
                <w:bCs/>
                <w:kern w:val="0"/>
              </w:rPr>
              <w:t>173</w:t>
            </w:r>
            <w:r>
              <w:rPr>
                <w:rFonts w:hint="eastAsia" w:ascii="宋体" w:hAnsi="宋体"/>
                <w:bCs/>
                <w:kern w:val="0"/>
              </w:rPr>
              <w:t>号）、《淮安市核与辐射突发环境事件应急预案》《淮安市重污染天气应急预案》（淮政办发〔</w:t>
            </w:r>
            <w:r>
              <w:rPr>
                <w:rFonts w:hint="eastAsia"/>
                <w:bCs/>
                <w:kern w:val="0"/>
              </w:rPr>
              <w:t>2016</w:t>
            </w:r>
            <w:r>
              <w:rPr>
                <w:rFonts w:hint="eastAsia" w:ascii="宋体" w:hAnsi="宋体"/>
                <w:bCs/>
                <w:kern w:val="0"/>
              </w:rPr>
              <w:t>〕</w:t>
            </w:r>
            <w:r>
              <w:rPr>
                <w:rFonts w:hint="eastAsia"/>
                <w:bCs/>
                <w:kern w:val="0"/>
              </w:rPr>
              <w:t>159</w:t>
            </w:r>
            <w:r>
              <w:rPr>
                <w:rFonts w:hint="eastAsia" w:ascii="宋体" w:hAnsi="宋体"/>
                <w:bCs/>
                <w:kern w:val="0"/>
              </w:rPr>
              <w:t>号）等文件要求，建立区域监测预警系统，建立省市县上下联动、区域之间左右联动等联动应急响应体系，实行联防联控。</w:t>
            </w:r>
          </w:p>
          <w:p w14:paraId="68964093">
            <w:pPr>
              <w:pStyle w:val="196"/>
              <w:rPr>
                <w:bCs/>
                <w:kern w:val="0"/>
              </w:rPr>
            </w:pPr>
            <w:r>
              <w:rPr>
                <w:rFonts w:hint="eastAsia"/>
                <w:bCs/>
                <w:kern w:val="0"/>
              </w:rPr>
              <w:t>2.</w:t>
            </w:r>
            <w:r>
              <w:rPr>
                <w:rFonts w:hint="eastAsia" w:ascii="宋体" w:hAnsi="宋体"/>
                <w:bCs/>
                <w:kern w:val="0"/>
              </w:rPr>
              <w:t>根据《淮安市</w:t>
            </w:r>
            <w:r>
              <w:rPr>
                <w:rFonts w:hint="eastAsia"/>
                <w:bCs/>
                <w:kern w:val="0"/>
              </w:rPr>
              <w:t>“</w:t>
            </w:r>
            <w:r>
              <w:rPr>
                <w:rFonts w:hint="eastAsia" w:ascii="宋体" w:hAnsi="宋体"/>
                <w:bCs/>
                <w:kern w:val="0"/>
              </w:rPr>
              <w:t>两减六治三提升</w:t>
            </w:r>
            <w:r>
              <w:rPr>
                <w:rFonts w:hint="eastAsia"/>
                <w:bCs/>
                <w:kern w:val="0"/>
              </w:rPr>
              <w:t>”</w:t>
            </w:r>
            <w:r>
              <w:rPr>
                <w:rFonts w:hint="eastAsia" w:ascii="宋体" w:hAnsi="宋体"/>
                <w:bCs/>
                <w:kern w:val="0"/>
              </w:rPr>
              <w:t>专项行动方案》（淮发〔</w:t>
            </w:r>
            <w:r>
              <w:rPr>
                <w:rFonts w:hint="eastAsia"/>
                <w:bCs/>
                <w:kern w:val="0"/>
              </w:rPr>
              <w:t>2017</w:t>
            </w:r>
            <w:r>
              <w:rPr>
                <w:rFonts w:hint="eastAsia" w:ascii="宋体" w:hAnsi="宋体"/>
                <w:bCs/>
                <w:kern w:val="0"/>
              </w:rPr>
              <w:t>〕</w:t>
            </w:r>
            <w:r>
              <w:rPr>
                <w:rFonts w:hint="eastAsia"/>
                <w:bCs/>
                <w:kern w:val="0"/>
              </w:rPr>
              <w:t>26</w:t>
            </w:r>
            <w:r>
              <w:rPr>
                <w:rFonts w:hint="eastAsia" w:ascii="宋体" w:hAnsi="宋体"/>
                <w:bCs/>
                <w:kern w:val="0"/>
              </w:rPr>
              <w:t>号），加强</w:t>
            </w:r>
            <w:r>
              <w:rPr>
                <w:rFonts w:hint="eastAsia" w:ascii="宋体" w:hAnsi="宋体"/>
                <w:bCs/>
                <w:kern w:val="0"/>
                <w:lang w:eastAsia="zh-CN"/>
              </w:rPr>
              <w:t>县级</w:t>
            </w:r>
            <w:r>
              <w:rPr>
                <w:rFonts w:hint="eastAsia" w:ascii="宋体" w:hAnsi="宋体"/>
                <w:bCs/>
                <w:kern w:val="0"/>
              </w:rPr>
              <w:t>以上城市应急备用水源建设和管理，强化应急体系建设，建立饮用水源地实时监测监控系统，落实水源地日常巡查制度。</w:t>
            </w:r>
          </w:p>
          <w:p w14:paraId="67384475">
            <w:pPr>
              <w:pStyle w:val="196"/>
              <w:rPr>
                <w:bCs/>
                <w:kern w:val="0"/>
              </w:rPr>
            </w:pPr>
            <w:r>
              <w:rPr>
                <w:rFonts w:hint="eastAsia"/>
                <w:bCs/>
                <w:kern w:val="0"/>
              </w:rPr>
              <w:t>3.</w:t>
            </w:r>
            <w:r>
              <w:rPr>
                <w:rFonts w:hint="eastAsia" w:ascii="宋体" w:hAnsi="宋体"/>
                <w:bCs/>
                <w:kern w:val="0"/>
              </w:rPr>
              <w:t>根据《中共淮安市委 淮安市人民政府关于全面加强生态环境保护坚决打好污染防治攻坚战的实施意见》（淮发〔</w:t>
            </w:r>
            <w:r>
              <w:rPr>
                <w:rFonts w:hint="eastAsia"/>
                <w:bCs/>
                <w:kern w:val="0"/>
              </w:rPr>
              <w:t>2018</w:t>
            </w:r>
            <w:r>
              <w:rPr>
                <w:rFonts w:hint="eastAsia" w:ascii="宋体" w:hAnsi="宋体"/>
                <w:bCs/>
                <w:kern w:val="0"/>
              </w:rPr>
              <w:t>〕</w:t>
            </w:r>
            <w:r>
              <w:rPr>
                <w:rFonts w:hint="eastAsia"/>
                <w:bCs/>
                <w:kern w:val="0"/>
              </w:rPr>
              <w:t>33</w:t>
            </w:r>
            <w:r>
              <w:rPr>
                <w:rFonts w:hint="eastAsia" w:ascii="宋体" w:hAnsi="宋体"/>
                <w:bCs/>
                <w:kern w:val="0"/>
              </w:rPr>
              <w:t>号），严格控制环境风险项目，整合和提升现有工业集聚区，加快城市建成区内石化、化工、水泥、钢铁等重污染企业和危险化学品企业搬迁改造。深化跨部门、跨县区环境应急协调联动，建立环境应急预案电子备案系统。分区域建立环境应急物资储备库，市、县（区）两级政府建立应急物资储备库，各级工业园区和企业环境应急装备和储备物资应纳入储备体系。完善市、县、乡三级突发环境事件应急响应体系，定期组织演练，提高应急处置能力。</w:t>
            </w:r>
          </w:p>
        </w:tc>
        <w:tc>
          <w:tcPr>
            <w:tcW w:w="959" w:type="pct"/>
            <w:tcBorders>
              <w:top w:val="single" w:color="auto" w:sz="4" w:space="0"/>
              <w:left w:val="single" w:color="auto" w:sz="4" w:space="0"/>
              <w:bottom w:val="single" w:color="auto" w:sz="4" w:space="0"/>
              <w:right w:val="single" w:color="auto" w:sz="4" w:space="0"/>
            </w:tcBorders>
            <w:vAlign w:val="center"/>
          </w:tcPr>
          <w:p w14:paraId="74A71C69">
            <w:pPr>
              <w:pStyle w:val="196"/>
              <w:rPr>
                <w:bCs/>
                <w:kern w:val="0"/>
              </w:rPr>
            </w:pPr>
            <w:r>
              <w:rPr>
                <w:rFonts w:hint="eastAsia" w:ascii="宋体" w:hAnsi="宋体"/>
                <w:bCs/>
                <w:kern w:val="0"/>
              </w:rPr>
              <w:t>符合</w:t>
            </w:r>
          </w:p>
          <w:p w14:paraId="49F9D52A">
            <w:pPr>
              <w:pStyle w:val="196"/>
              <w:rPr>
                <w:bCs/>
              </w:rPr>
            </w:pPr>
            <w:r>
              <w:rPr>
                <w:rFonts w:hint="eastAsia" w:ascii="宋体" w:hAnsi="宋体"/>
                <w:bCs/>
              </w:rPr>
              <w:t>企业将制定环境风险预案，并落实各项环境风险防控措施。</w:t>
            </w:r>
          </w:p>
        </w:tc>
      </w:tr>
      <w:tr w14:paraId="700A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tcBorders>
              <w:top w:val="single" w:color="auto" w:sz="4" w:space="0"/>
              <w:left w:val="single" w:color="auto" w:sz="4" w:space="0"/>
              <w:bottom w:val="single" w:color="auto" w:sz="4" w:space="0"/>
              <w:right w:val="single" w:color="auto" w:sz="4" w:space="0"/>
            </w:tcBorders>
            <w:vAlign w:val="center"/>
          </w:tcPr>
          <w:p w14:paraId="3C95AB9D">
            <w:pPr>
              <w:pStyle w:val="196"/>
              <w:rPr>
                <w:bCs/>
                <w:kern w:val="0"/>
              </w:rPr>
            </w:pPr>
            <w:r>
              <w:rPr>
                <w:rFonts w:hint="eastAsia" w:ascii="宋体" w:hAnsi="宋体"/>
                <w:bCs/>
                <w:kern w:val="0"/>
              </w:rPr>
              <w:t>资源利用效率要求</w:t>
            </w:r>
          </w:p>
        </w:tc>
        <w:tc>
          <w:tcPr>
            <w:tcW w:w="3658" w:type="pct"/>
            <w:tcBorders>
              <w:top w:val="single" w:color="auto" w:sz="4" w:space="0"/>
              <w:left w:val="single" w:color="auto" w:sz="4" w:space="0"/>
              <w:bottom w:val="single" w:color="auto" w:sz="4" w:space="0"/>
              <w:right w:val="single" w:color="auto" w:sz="4" w:space="0"/>
            </w:tcBorders>
            <w:vAlign w:val="center"/>
          </w:tcPr>
          <w:p w14:paraId="54E58352">
            <w:pPr>
              <w:pStyle w:val="196"/>
              <w:rPr>
                <w:bCs/>
                <w:kern w:val="0"/>
              </w:rPr>
            </w:pPr>
            <w:r>
              <w:rPr>
                <w:rFonts w:hint="eastAsia"/>
                <w:bCs/>
                <w:kern w:val="0"/>
              </w:rPr>
              <w:t>1.</w:t>
            </w:r>
            <w:r>
              <w:rPr>
                <w:rFonts w:hint="eastAsia" w:ascii="宋体" w:hAnsi="宋体"/>
                <w:bCs/>
                <w:kern w:val="0"/>
              </w:rPr>
              <w:t>水资源利用总量及效率要求：根据《省最严格水资源管理考核联席会议关于下达</w:t>
            </w:r>
            <w:r>
              <w:rPr>
                <w:rFonts w:hint="eastAsia"/>
                <w:bCs/>
                <w:kern w:val="0"/>
              </w:rPr>
              <w:t>2020</w:t>
            </w:r>
            <w:r>
              <w:rPr>
                <w:rFonts w:hint="eastAsia" w:ascii="宋体" w:hAnsi="宋体"/>
                <w:bCs/>
                <w:kern w:val="0"/>
              </w:rPr>
              <w:t>年和</w:t>
            </w:r>
            <w:r>
              <w:rPr>
                <w:rFonts w:hint="eastAsia"/>
                <w:bCs/>
                <w:kern w:val="0"/>
              </w:rPr>
              <w:t>2030</w:t>
            </w:r>
            <w:r>
              <w:rPr>
                <w:rFonts w:hint="eastAsia" w:ascii="宋体" w:hAnsi="宋体"/>
                <w:bCs/>
                <w:kern w:val="0"/>
              </w:rPr>
              <w:t>年全省实行最严格水资源管理制度控制指标的通知》（苏水资联〔</w:t>
            </w:r>
            <w:r>
              <w:rPr>
                <w:rFonts w:hint="eastAsia"/>
                <w:bCs/>
                <w:kern w:val="0"/>
              </w:rPr>
              <w:t>2016</w:t>
            </w:r>
            <w:r>
              <w:rPr>
                <w:rFonts w:hint="eastAsia" w:ascii="宋体" w:hAnsi="宋体"/>
                <w:bCs/>
                <w:kern w:val="0"/>
              </w:rPr>
              <w:t>〕</w:t>
            </w:r>
            <w:r>
              <w:rPr>
                <w:rFonts w:hint="eastAsia"/>
                <w:bCs/>
                <w:kern w:val="0"/>
              </w:rPr>
              <w:t>5</w:t>
            </w:r>
            <w:r>
              <w:rPr>
                <w:rFonts w:hint="eastAsia" w:ascii="宋体" w:hAnsi="宋体"/>
                <w:bCs/>
                <w:kern w:val="0"/>
              </w:rPr>
              <w:t>号），到</w:t>
            </w:r>
            <w:r>
              <w:rPr>
                <w:rFonts w:hint="eastAsia"/>
                <w:bCs/>
                <w:kern w:val="0"/>
              </w:rPr>
              <w:t>2020</w:t>
            </w:r>
            <w:r>
              <w:rPr>
                <w:rFonts w:hint="eastAsia" w:ascii="宋体" w:hAnsi="宋体"/>
                <w:bCs/>
                <w:kern w:val="0"/>
              </w:rPr>
              <w:t>年，淮安市用水总量不得超过</w:t>
            </w:r>
            <w:r>
              <w:rPr>
                <w:rFonts w:hint="eastAsia"/>
                <w:bCs/>
                <w:kern w:val="0"/>
              </w:rPr>
              <w:t>33.33</w:t>
            </w:r>
            <w:r>
              <w:rPr>
                <w:rFonts w:hint="eastAsia" w:ascii="宋体" w:hAnsi="宋体"/>
                <w:bCs/>
                <w:kern w:val="0"/>
              </w:rPr>
              <w:t>亿立方米，万元地区生产总值用水量降至</w:t>
            </w:r>
            <w:r>
              <w:rPr>
                <w:rFonts w:hint="eastAsia"/>
                <w:bCs/>
                <w:kern w:val="0"/>
              </w:rPr>
              <w:t>79</w:t>
            </w:r>
            <w:r>
              <w:rPr>
                <w:rFonts w:hint="eastAsia" w:ascii="宋体" w:hAnsi="宋体"/>
                <w:bCs/>
                <w:kern w:val="0"/>
              </w:rPr>
              <w:t>立方米以下，万元工业增加值用水量降至</w:t>
            </w:r>
            <w:r>
              <w:rPr>
                <w:rFonts w:hint="eastAsia"/>
                <w:bCs/>
                <w:kern w:val="0"/>
              </w:rPr>
              <w:t>10.3</w:t>
            </w:r>
            <w:r>
              <w:rPr>
                <w:rFonts w:hint="eastAsia" w:ascii="宋体" w:hAnsi="宋体"/>
                <w:bCs/>
                <w:kern w:val="0"/>
              </w:rPr>
              <w:t>立方米以下，农田灌溉水有效利用系数达到</w:t>
            </w:r>
            <w:r>
              <w:rPr>
                <w:rFonts w:hint="eastAsia"/>
                <w:bCs/>
                <w:kern w:val="0"/>
              </w:rPr>
              <w:t>0.610</w:t>
            </w:r>
            <w:r>
              <w:rPr>
                <w:rFonts w:hint="eastAsia" w:ascii="宋体" w:hAnsi="宋体"/>
                <w:bCs/>
                <w:kern w:val="0"/>
              </w:rPr>
              <w:t>以上。</w:t>
            </w:r>
          </w:p>
          <w:p w14:paraId="03EBC01A">
            <w:pPr>
              <w:pStyle w:val="196"/>
              <w:rPr>
                <w:bCs/>
                <w:kern w:val="0"/>
              </w:rPr>
            </w:pPr>
            <w:r>
              <w:rPr>
                <w:rFonts w:hint="eastAsia"/>
                <w:bCs/>
                <w:kern w:val="0"/>
              </w:rPr>
              <w:t>2.</w:t>
            </w:r>
            <w:r>
              <w:rPr>
                <w:rFonts w:hint="eastAsia" w:ascii="宋体" w:hAnsi="宋体"/>
                <w:bCs/>
                <w:kern w:val="0"/>
              </w:rPr>
              <w:t>地下水开采要求：根据《淮安市</w:t>
            </w:r>
            <w:r>
              <w:rPr>
                <w:rFonts w:hint="eastAsia"/>
                <w:bCs/>
                <w:kern w:val="0"/>
              </w:rPr>
              <w:t>“</w:t>
            </w:r>
            <w:r>
              <w:rPr>
                <w:rFonts w:hint="eastAsia" w:ascii="宋体" w:hAnsi="宋体"/>
                <w:bCs/>
                <w:kern w:val="0"/>
              </w:rPr>
              <w:t>两减六治三提升</w:t>
            </w:r>
            <w:r>
              <w:rPr>
                <w:rFonts w:hint="eastAsia"/>
                <w:bCs/>
                <w:kern w:val="0"/>
              </w:rPr>
              <w:t>”</w:t>
            </w:r>
            <w:r>
              <w:rPr>
                <w:rFonts w:hint="eastAsia" w:ascii="宋体" w:hAnsi="宋体"/>
                <w:bCs/>
                <w:kern w:val="0"/>
              </w:rPr>
              <w:t>专项行动方案》（淮发〔</w:t>
            </w:r>
            <w:r>
              <w:rPr>
                <w:rFonts w:hint="eastAsia"/>
                <w:bCs/>
                <w:kern w:val="0"/>
              </w:rPr>
              <w:t>2017</w:t>
            </w:r>
            <w:r>
              <w:rPr>
                <w:rFonts w:hint="eastAsia" w:ascii="宋体" w:hAnsi="宋体"/>
                <w:bCs/>
                <w:kern w:val="0"/>
              </w:rPr>
              <w:t>〕</w:t>
            </w:r>
            <w:r>
              <w:rPr>
                <w:rFonts w:hint="eastAsia"/>
                <w:bCs/>
                <w:kern w:val="0"/>
              </w:rPr>
              <w:t>26</w:t>
            </w:r>
            <w:r>
              <w:rPr>
                <w:rFonts w:hint="eastAsia" w:ascii="宋体" w:hAnsi="宋体"/>
                <w:bCs/>
                <w:kern w:val="0"/>
              </w:rPr>
              <w:t>号），到</w:t>
            </w:r>
            <w:r>
              <w:rPr>
                <w:rFonts w:hint="eastAsia"/>
                <w:bCs/>
                <w:kern w:val="0"/>
              </w:rPr>
              <w:t>2020</w:t>
            </w:r>
            <w:r>
              <w:rPr>
                <w:rFonts w:hint="eastAsia" w:ascii="宋体" w:hAnsi="宋体"/>
                <w:bCs/>
                <w:kern w:val="0"/>
              </w:rPr>
              <w:t>年，淮安市地下水超采区全面达到用水总量控制和水位红线控制要求，累计压缩地下水开采量</w:t>
            </w:r>
            <w:r>
              <w:rPr>
                <w:rFonts w:hint="eastAsia"/>
                <w:bCs/>
                <w:kern w:val="0"/>
              </w:rPr>
              <w:t>3952.3</w:t>
            </w:r>
            <w:r>
              <w:rPr>
                <w:rFonts w:hint="eastAsia" w:ascii="宋体" w:hAnsi="宋体"/>
                <w:bCs/>
                <w:kern w:val="0"/>
              </w:rPr>
              <w:t>万立方米。</w:t>
            </w:r>
          </w:p>
          <w:p w14:paraId="06355AB9">
            <w:pPr>
              <w:pStyle w:val="196"/>
              <w:rPr>
                <w:bCs/>
                <w:kern w:val="0"/>
              </w:rPr>
            </w:pPr>
            <w:r>
              <w:rPr>
                <w:rFonts w:hint="eastAsia"/>
                <w:bCs/>
                <w:kern w:val="0"/>
              </w:rPr>
              <w:t>3.</w:t>
            </w:r>
            <w:r>
              <w:rPr>
                <w:rFonts w:hint="eastAsia" w:ascii="宋体" w:hAnsi="宋体"/>
                <w:bCs/>
                <w:kern w:val="0"/>
              </w:rPr>
              <w:t>土地资源利用总量及效率要求：根据《淮安市土地利用总体规划（</w:t>
            </w:r>
            <w:r>
              <w:rPr>
                <w:rFonts w:hint="eastAsia"/>
                <w:bCs/>
                <w:kern w:val="0"/>
              </w:rPr>
              <w:t>2006</w:t>
            </w:r>
            <w:r>
              <w:rPr>
                <w:rFonts w:hint="eastAsia"/>
                <w:bCs/>
                <w:kern w:val="0"/>
                <w:lang w:eastAsia="zh-CN"/>
              </w:rPr>
              <w:t>—</w:t>
            </w:r>
            <w:r>
              <w:rPr>
                <w:rFonts w:hint="eastAsia"/>
                <w:bCs/>
                <w:kern w:val="0"/>
              </w:rPr>
              <w:t>2020</w:t>
            </w:r>
            <w:r>
              <w:rPr>
                <w:rFonts w:hint="eastAsia" w:ascii="宋体" w:hAnsi="宋体"/>
                <w:bCs/>
                <w:kern w:val="0"/>
              </w:rPr>
              <w:t>年）调整方案》，到</w:t>
            </w:r>
            <w:r>
              <w:rPr>
                <w:rFonts w:hint="eastAsia"/>
                <w:bCs/>
                <w:kern w:val="0"/>
              </w:rPr>
              <w:t>2020</w:t>
            </w:r>
            <w:r>
              <w:rPr>
                <w:rFonts w:hint="eastAsia" w:ascii="宋体" w:hAnsi="宋体"/>
                <w:bCs/>
                <w:kern w:val="0"/>
              </w:rPr>
              <w:t>年，淮安市耕地保有量不得低于</w:t>
            </w:r>
            <w:r>
              <w:rPr>
                <w:rFonts w:hint="eastAsia"/>
                <w:bCs/>
                <w:kern w:val="0"/>
              </w:rPr>
              <w:t>47.6027</w:t>
            </w:r>
            <w:r>
              <w:rPr>
                <w:rFonts w:hint="eastAsia" w:ascii="宋体" w:hAnsi="宋体"/>
                <w:bCs/>
                <w:kern w:val="0"/>
              </w:rPr>
              <w:t>万公顷，永久基本农田保护面积不低于</w:t>
            </w:r>
            <w:r>
              <w:rPr>
                <w:rFonts w:hint="eastAsia"/>
                <w:bCs/>
                <w:kern w:val="0"/>
              </w:rPr>
              <w:t>39.4699</w:t>
            </w:r>
            <w:r>
              <w:rPr>
                <w:rFonts w:hint="eastAsia" w:ascii="宋体" w:hAnsi="宋体"/>
                <w:bCs/>
                <w:kern w:val="0"/>
              </w:rPr>
              <w:t>万公顷，开发强度不得高于</w:t>
            </w:r>
            <w:r>
              <w:rPr>
                <w:rFonts w:hint="eastAsia"/>
                <w:bCs/>
                <w:kern w:val="0"/>
              </w:rPr>
              <w:t>18%</w:t>
            </w:r>
            <w:r>
              <w:rPr>
                <w:rFonts w:hint="eastAsia" w:ascii="宋体" w:hAnsi="宋体"/>
                <w:bCs/>
                <w:kern w:val="0"/>
              </w:rPr>
              <w:t>。</w:t>
            </w:r>
          </w:p>
          <w:p w14:paraId="47E6244D">
            <w:pPr>
              <w:pStyle w:val="196"/>
              <w:rPr>
                <w:bCs/>
                <w:kern w:val="0"/>
              </w:rPr>
            </w:pPr>
            <w:r>
              <w:rPr>
                <w:rFonts w:hint="eastAsia"/>
                <w:bCs/>
                <w:kern w:val="0"/>
              </w:rPr>
              <w:t>4.</w:t>
            </w:r>
            <w:r>
              <w:rPr>
                <w:rFonts w:hint="eastAsia" w:ascii="宋体" w:hAnsi="宋体"/>
                <w:bCs/>
                <w:kern w:val="0"/>
              </w:rPr>
              <w:t>能源利用总量及效率要求：根据《淮安市</w:t>
            </w:r>
            <w:r>
              <w:rPr>
                <w:rFonts w:hint="eastAsia"/>
                <w:bCs/>
                <w:kern w:val="0"/>
              </w:rPr>
              <w:t>“</w:t>
            </w:r>
            <w:r>
              <w:rPr>
                <w:rFonts w:hint="eastAsia" w:ascii="宋体" w:hAnsi="宋体"/>
                <w:bCs/>
                <w:kern w:val="0"/>
              </w:rPr>
              <w:t>两减六治三提升</w:t>
            </w:r>
            <w:r>
              <w:rPr>
                <w:rFonts w:hint="eastAsia"/>
                <w:bCs/>
                <w:kern w:val="0"/>
              </w:rPr>
              <w:t>”</w:t>
            </w:r>
            <w:r>
              <w:rPr>
                <w:rFonts w:hint="eastAsia" w:ascii="宋体" w:hAnsi="宋体"/>
                <w:bCs/>
                <w:kern w:val="0"/>
              </w:rPr>
              <w:t>专项行动方案》（淮发〔</w:t>
            </w:r>
            <w:r>
              <w:rPr>
                <w:rFonts w:hint="eastAsia"/>
                <w:bCs/>
                <w:kern w:val="0"/>
              </w:rPr>
              <w:t>2017</w:t>
            </w:r>
            <w:r>
              <w:rPr>
                <w:rFonts w:hint="eastAsia" w:ascii="宋体" w:hAnsi="宋体"/>
                <w:bCs/>
                <w:kern w:val="0"/>
              </w:rPr>
              <w:t>〕</w:t>
            </w:r>
            <w:r>
              <w:rPr>
                <w:rFonts w:hint="eastAsia"/>
                <w:bCs/>
                <w:kern w:val="0"/>
              </w:rPr>
              <w:t>26</w:t>
            </w:r>
            <w:r>
              <w:rPr>
                <w:rFonts w:hint="eastAsia" w:ascii="宋体" w:hAnsi="宋体"/>
                <w:bCs/>
                <w:kern w:val="0"/>
              </w:rPr>
              <w:t>号），到</w:t>
            </w:r>
            <w:r>
              <w:rPr>
                <w:rFonts w:hint="eastAsia"/>
                <w:bCs/>
                <w:kern w:val="0"/>
              </w:rPr>
              <w:t>2020</w:t>
            </w:r>
            <w:r>
              <w:rPr>
                <w:rFonts w:hint="eastAsia" w:ascii="宋体" w:hAnsi="宋体"/>
                <w:bCs/>
                <w:kern w:val="0"/>
              </w:rPr>
              <w:t>年，淮安市煤炭消费总量比</w:t>
            </w:r>
            <w:r>
              <w:rPr>
                <w:rFonts w:hint="eastAsia"/>
                <w:bCs/>
                <w:kern w:val="0"/>
              </w:rPr>
              <w:t>2016</w:t>
            </w:r>
            <w:r>
              <w:rPr>
                <w:rFonts w:hint="eastAsia" w:ascii="宋体" w:hAnsi="宋体"/>
                <w:bCs/>
                <w:kern w:val="0"/>
              </w:rPr>
              <w:t>年减少</w:t>
            </w:r>
            <w:r>
              <w:rPr>
                <w:rFonts w:hint="eastAsia"/>
                <w:bCs/>
                <w:kern w:val="0"/>
              </w:rPr>
              <w:t>55</w:t>
            </w:r>
            <w:r>
              <w:rPr>
                <w:rFonts w:hint="eastAsia" w:ascii="宋体" w:hAnsi="宋体"/>
                <w:bCs/>
                <w:kern w:val="0"/>
              </w:rPr>
              <w:t>万吨，电子行业煤炭消费占煤炭消费总量的比重提高到</w:t>
            </w:r>
            <w:r>
              <w:rPr>
                <w:rFonts w:hint="eastAsia"/>
                <w:bCs/>
                <w:kern w:val="0"/>
              </w:rPr>
              <w:t>65%</w:t>
            </w:r>
            <w:r>
              <w:rPr>
                <w:rFonts w:hint="eastAsia" w:ascii="宋体" w:hAnsi="宋体"/>
                <w:bCs/>
                <w:kern w:val="0"/>
              </w:rPr>
              <w:t>以上，非化石能源占一次能源比重达到</w:t>
            </w:r>
            <w:r>
              <w:rPr>
                <w:rFonts w:hint="eastAsia"/>
                <w:bCs/>
                <w:kern w:val="0"/>
              </w:rPr>
              <w:t>10%</w:t>
            </w:r>
            <w:r>
              <w:rPr>
                <w:rFonts w:hint="eastAsia" w:ascii="宋体" w:hAnsi="宋体"/>
                <w:bCs/>
                <w:kern w:val="0"/>
              </w:rPr>
              <w:t>。</w:t>
            </w:r>
          </w:p>
          <w:p w14:paraId="630B878B">
            <w:pPr>
              <w:pStyle w:val="196"/>
              <w:rPr>
                <w:bCs/>
                <w:kern w:val="0"/>
              </w:rPr>
            </w:pPr>
            <w:r>
              <w:rPr>
                <w:rFonts w:hint="eastAsia"/>
                <w:bCs/>
                <w:kern w:val="0"/>
              </w:rPr>
              <w:t>5.</w:t>
            </w:r>
            <w:r>
              <w:rPr>
                <w:rFonts w:hint="eastAsia" w:ascii="宋体" w:hAnsi="宋体"/>
                <w:bCs/>
                <w:kern w:val="0"/>
              </w:rPr>
              <w:t>禁燃区要求：根据《江苏省大气污染防治条例》，禁燃区禁止新建、扩建燃用高污染燃料的项目和设施，已建成的应逐步或依法限期改用天然气、</w:t>
            </w:r>
            <w:r>
              <w:rPr>
                <w:rFonts w:hint="eastAsia" w:ascii="宋体" w:hAnsi="宋体"/>
                <w:bCs/>
                <w:kern w:val="0"/>
                <w:lang w:eastAsia="zh-CN"/>
              </w:rPr>
              <w:t>电力</w:t>
            </w:r>
            <w:r>
              <w:rPr>
                <w:rFonts w:hint="eastAsia" w:ascii="宋体" w:hAnsi="宋体"/>
                <w:bCs/>
                <w:kern w:val="0"/>
              </w:rPr>
              <w:t>或者其他清洁能源。</w:t>
            </w:r>
          </w:p>
          <w:p w14:paraId="4C5BDD13">
            <w:pPr>
              <w:pStyle w:val="196"/>
              <w:rPr>
                <w:bCs/>
                <w:kern w:val="0"/>
              </w:rPr>
            </w:pPr>
            <w:r>
              <w:rPr>
                <w:rFonts w:hint="eastAsia"/>
                <w:bCs/>
                <w:kern w:val="0"/>
              </w:rPr>
              <w:t>6.</w:t>
            </w:r>
            <w:r>
              <w:rPr>
                <w:rFonts w:hint="eastAsia" w:ascii="宋体" w:hAnsi="宋体"/>
                <w:bCs/>
                <w:kern w:val="0"/>
              </w:rPr>
              <w:t>能耗要求：根据《淮安市打赢蓝天保卫战三年行动计划实施方案》（淮政发〔</w:t>
            </w:r>
            <w:r>
              <w:rPr>
                <w:rFonts w:hint="eastAsia"/>
                <w:bCs/>
                <w:kern w:val="0"/>
              </w:rPr>
              <w:t>2018</w:t>
            </w:r>
            <w:r>
              <w:rPr>
                <w:rFonts w:hint="eastAsia" w:ascii="宋体" w:hAnsi="宋体"/>
                <w:bCs/>
                <w:kern w:val="0"/>
              </w:rPr>
              <w:t>〕</w:t>
            </w:r>
            <w:r>
              <w:rPr>
                <w:rFonts w:hint="eastAsia"/>
                <w:bCs/>
                <w:kern w:val="0"/>
              </w:rPr>
              <w:t>113</w:t>
            </w:r>
            <w:r>
              <w:rPr>
                <w:rFonts w:hint="eastAsia" w:ascii="宋体" w:hAnsi="宋体"/>
                <w:bCs/>
                <w:kern w:val="0"/>
              </w:rPr>
              <w:t>号），新建高耗能项目单位产品（产值）能耗要达到国际先进水平。</w:t>
            </w:r>
          </w:p>
        </w:tc>
        <w:tc>
          <w:tcPr>
            <w:tcW w:w="959" w:type="pct"/>
            <w:tcBorders>
              <w:top w:val="single" w:color="auto" w:sz="4" w:space="0"/>
              <w:left w:val="single" w:color="auto" w:sz="4" w:space="0"/>
              <w:bottom w:val="single" w:color="auto" w:sz="4" w:space="0"/>
              <w:right w:val="single" w:color="auto" w:sz="4" w:space="0"/>
            </w:tcBorders>
            <w:vAlign w:val="center"/>
          </w:tcPr>
          <w:p w14:paraId="7B3D0C39">
            <w:pPr>
              <w:pStyle w:val="196"/>
            </w:pPr>
            <w:r>
              <w:rPr>
                <w:rFonts w:hint="eastAsia" w:ascii="宋体" w:hAnsi="宋体"/>
                <w:bCs/>
                <w:kern w:val="0"/>
              </w:rPr>
              <w:t>本项目的水气电等资源利用不会突破区域的资源利用上</w:t>
            </w:r>
            <w:r>
              <w:rPr>
                <w:rFonts w:hint="eastAsia" w:ascii="宋体" w:hAnsi="宋体"/>
                <w:bCs/>
                <w:kern w:val="0"/>
                <w:lang w:eastAsia="zh-CN"/>
              </w:rPr>
              <w:t>限</w:t>
            </w:r>
            <w:r>
              <w:rPr>
                <w:rFonts w:hint="eastAsia" w:ascii="宋体" w:hAnsi="宋体"/>
                <w:bCs/>
                <w:kern w:val="0"/>
              </w:rPr>
              <w:t>要求。项目用地为</w:t>
            </w:r>
            <w:r>
              <w:rPr>
                <w:rFonts w:hint="eastAsia"/>
              </w:rPr>
              <w:t>国能涟水一期热电项目预留建设用地</w:t>
            </w:r>
            <w:r>
              <w:rPr>
                <w:rFonts w:hint="eastAsia" w:ascii="宋体" w:hAnsi="宋体"/>
                <w:bCs/>
                <w:kern w:val="0"/>
              </w:rPr>
              <w:t>，不违背当地土地规划要求，亦不会达到项目所在区域土地资源利用上</w:t>
            </w:r>
            <w:r>
              <w:rPr>
                <w:rFonts w:hint="eastAsia" w:ascii="宋体" w:hAnsi="宋体"/>
                <w:bCs/>
                <w:kern w:val="0"/>
                <w:lang w:eastAsia="zh-CN"/>
              </w:rPr>
              <w:t>限</w:t>
            </w:r>
            <w:r>
              <w:rPr>
                <w:rFonts w:hint="eastAsia" w:ascii="宋体" w:hAnsi="宋体"/>
                <w:bCs/>
                <w:kern w:val="0"/>
              </w:rPr>
              <w:t>。对照《涟水县国土空间规划（</w:t>
            </w:r>
            <w:r>
              <w:rPr>
                <w:rFonts w:hint="eastAsia"/>
                <w:bCs/>
                <w:kern w:val="0"/>
              </w:rPr>
              <w:t>2021-2035</w:t>
            </w:r>
            <w:r>
              <w:rPr>
                <w:rFonts w:hint="eastAsia" w:ascii="宋体" w:hAnsi="宋体"/>
                <w:bCs/>
                <w:kern w:val="0"/>
              </w:rPr>
              <w:t>）》，本项目不在中心城区开发边界内，主要用地为</w:t>
            </w:r>
            <w:r>
              <w:rPr>
                <w:rFonts w:hint="eastAsia"/>
              </w:rPr>
              <w:t>国能涟水一期热电项目预留建设用地</w:t>
            </w:r>
            <w:r>
              <w:rPr>
                <w:rFonts w:hint="eastAsia" w:ascii="宋体" w:hAnsi="宋体"/>
                <w:bCs/>
                <w:kern w:val="0"/>
              </w:rPr>
              <w:t>。</w:t>
            </w:r>
            <w:r>
              <w:rPr>
                <w:rFonts w:hint="eastAsia" w:ascii="宋体" w:hAnsi="宋体"/>
              </w:rPr>
              <w:t>项目不使用高污染燃料。</w:t>
            </w:r>
          </w:p>
        </w:tc>
      </w:tr>
    </w:tbl>
    <w:p w14:paraId="6BD67B26">
      <w:pPr>
        <w:pStyle w:val="93"/>
        <w:rPr>
          <w:lang w:val="en-US"/>
        </w:rPr>
      </w:pPr>
      <w:r>
        <w:rPr>
          <w:rFonts w:hint="eastAsia"/>
          <w:lang w:val="en-US"/>
        </w:rPr>
        <w:t>综上，本项目符合《省政府关于印发江苏省“三线一单”生态环境分区管控方案的通知》（苏政发〔2020〕49号）、《市政府关于印发淮安市“三线一单”生态环境分区管控方案的通知》（淮政发〔2020〕16号）的要求。</w:t>
      </w:r>
    </w:p>
    <w:p w14:paraId="1E3F42BD">
      <w:pPr>
        <w:pStyle w:val="82"/>
      </w:pPr>
      <w:r>
        <w:rPr>
          <w:rFonts w:hint="eastAsia"/>
        </w:rPr>
        <w:t>与相关规划相符性</w:t>
      </w:r>
    </w:p>
    <w:p w14:paraId="7BF00FB8">
      <w:pPr>
        <w:pStyle w:val="84"/>
      </w:pPr>
      <w:bookmarkStart w:id="56" w:name="OLE_LINK4"/>
      <w:r>
        <w:rPr>
          <w:rFonts w:hint="eastAsia"/>
        </w:rPr>
        <w:t>与土地利用规划的相符性</w:t>
      </w:r>
    </w:p>
    <w:bookmarkEnd w:id="56"/>
    <w:p w14:paraId="4397F57D">
      <w:pPr>
        <w:pStyle w:val="93"/>
      </w:pPr>
      <w:r>
        <w:rPr>
          <w:rFonts w:hint="eastAsia"/>
        </w:rPr>
        <w:t>对照《</w:t>
      </w:r>
      <w:r>
        <w:rPr>
          <w:rFonts w:hint="eastAsia"/>
          <w:lang w:eastAsia="zh-CN"/>
        </w:rPr>
        <w:t>自然资源部</w:t>
      </w:r>
      <w:r>
        <w:rPr>
          <w:rFonts w:hint="eastAsia"/>
        </w:rPr>
        <w:t>、国家发展和改革委员会关于发布实施〈限制用地项目目录（2012年本）〉和〈禁止用地项目目录（2012年本）〉的通知》（国土资发〔2012〕98号）和《关于发布实施〈江苏省限制用地项目目录（2013年本）〉和〈江苏省禁止用地项目目录（2013年本）〉的通知》（苏国土资发〔2013〕323号），本项目用地不属于限制和禁止用地项目。</w:t>
      </w:r>
    </w:p>
    <w:p w14:paraId="37B188C3">
      <w:pPr>
        <w:pStyle w:val="93"/>
        <w:rPr>
          <w:rStyle w:val="140"/>
          <w:color w:val="auto"/>
        </w:rPr>
      </w:pPr>
      <w:r>
        <w:rPr>
          <w:rFonts w:hint="eastAsia"/>
        </w:rPr>
        <w:t>对照《涟水县国土空间规划（2021-2035）》，本项目不在中心城区开发边界内，主要用地为国能涟水一期热电项目预留建设用地。本项目与涟水县国土空间总体规划（2021-2035）中心城区土地使用规划图相对位置见图1.5-</w:t>
      </w:r>
      <w:r>
        <w:t>5</w:t>
      </w:r>
      <w:r>
        <w:rPr>
          <w:rFonts w:hint="eastAsia"/>
        </w:rPr>
        <w:t>。目前本项目已取得建设用地许可证，本项目与当地土地利用总体规划无冲突。</w:t>
      </w:r>
      <w:r>
        <w:rPr>
          <w:rStyle w:val="140"/>
          <w:rFonts w:hint="eastAsia"/>
          <w:color w:val="auto"/>
        </w:rPr>
        <w:t>本项目用地范围与用地预审范围关系情况见图1.5-6</w:t>
      </w:r>
      <w:r>
        <w:rPr>
          <w:rFonts w:hint="eastAsia"/>
        </w:rPr>
        <w:t>。</w:t>
      </w:r>
      <w:r>
        <w:rPr>
          <w:rStyle w:val="140"/>
          <w:rFonts w:hint="eastAsia"/>
          <w:color w:val="auto"/>
        </w:rPr>
        <w:t>对照涟水县（朱码街道）三区三线成果图（见图1.5-7</w:t>
      </w:r>
      <w:r>
        <w:rPr>
          <w:rStyle w:val="140"/>
          <w:color w:val="auto"/>
        </w:rPr>
        <w:t>）</w:t>
      </w:r>
      <w:r>
        <w:rPr>
          <w:rStyle w:val="140"/>
          <w:rFonts w:hint="eastAsia"/>
          <w:color w:val="auto"/>
        </w:rPr>
        <w:t>，本项目不占用永久基本农田保护区和生态保护红线，用地预审置换的用地在城镇开发边界范围内。</w:t>
      </w:r>
    </w:p>
    <w:p w14:paraId="30D87E34">
      <w:pPr>
        <w:pStyle w:val="139"/>
        <w:ind w:firstLine="480"/>
        <w:rPr>
          <w:color w:val="auto"/>
        </w:rPr>
      </w:pPr>
      <w:r>
        <w:rPr>
          <w:rFonts w:hint="eastAsia"/>
          <w:color w:val="auto"/>
        </w:rPr>
        <w:t>根据自然资源部《关于明确用地预审工作要点规范报部初审报告格式的通知》（自然资用途管制函〔2022〕45号），二、重新预审 2.项目农用地转用和土地征收申请总面积超预审总面积达到10%、范围重合度低于80%的（范围对比适用分期分段情形）。国能用地置换面积为0.84公顷，国能项目总用地为12.81公顷，占总用地面积的6.66%＜10%，重合度93.34%＞80%，不符合重新办理用地预审的要求，不需要重新办理用地预审文件，项目用地范围，将在最终取得的土地手续中确认。涟水县人民政府出具了《关于明确国能涟水热电联产项目规划用地范围的函》，承诺保障本项目用地（附件5）。</w:t>
      </w:r>
    </w:p>
    <w:p w14:paraId="7C6E50CD">
      <w:pPr>
        <w:pStyle w:val="84"/>
      </w:pPr>
      <w:r>
        <w:rPr>
          <w:rFonts w:hint="eastAsia"/>
        </w:rPr>
        <w:t>与《淮安港总体规划（2020</w:t>
      </w:r>
      <w:r>
        <w:rPr>
          <w:rFonts w:hint="eastAsia"/>
          <w:lang w:eastAsia="zh-CN"/>
        </w:rPr>
        <w:t>—</w:t>
      </w:r>
      <w:r>
        <w:rPr>
          <w:rFonts w:hint="eastAsia"/>
        </w:rPr>
        <w:t>2035年）》（苏政复〔2020〕108号）及环境影响报告书（苏环审〔2020〕16号）相符性分析</w:t>
      </w:r>
    </w:p>
    <w:p w14:paraId="68719806">
      <w:pPr>
        <w:adjustRightInd w:val="0"/>
        <w:snapToGrid w:val="0"/>
        <w:ind w:firstLine="482"/>
        <w:rPr>
          <w:b/>
          <w:bCs/>
          <w:szCs w:val="24"/>
        </w:rPr>
      </w:pPr>
      <w:r>
        <w:rPr>
          <w:rFonts w:hint="eastAsia" w:ascii="宋体" w:hAnsi="宋体"/>
          <w:b/>
          <w:bCs/>
          <w:szCs w:val="24"/>
        </w:rPr>
        <w:t>一、港口港区划分和涟水港区作业区规划</w:t>
      </w:r>
    </w:p>
    <w:p w14:paraId="68E1FA0A">
      <w:pPr>
        <w:autoSpaceDE w:val="0"/>
        <w:autoSpaceDN w:val="0"/>
        <w:adjustRightInd w:val="0"/>
        <w:snapToGrid w:val="0"/>
        <w:ind w:firstLine="480"/>
        <w:rPr>
          <w:kern w:val="0"/>
          <w:szCs w:val="24"/>
        </w:rPr>
      </w:pPr>
      <w:r>
        <w:rPr>
          <w:rFonts w:hint="eastAsia" w:ascii="宋体" w:hAnsi="宋体"/>
          <w:kern w:val="0"/>
          <w:szCs w:val="24"/>
        </w:rPr>
        <w:t>规划将淮安港划分为七个港区，分别为市区港区、淮阴港区、淮安港区、</w:t>
      </w:r>
      <w:r>
        <w:rPr>
          <w:rFonts w:hint="eastAsia" w:ascii="宋体" w:hAnsi="宋体"/>
          <w:b/>
          <w:bCs/>
          <w:kern w:val="0"/>
          <w:szCs w:val="24"/>
        </w:rPr>
        <w:t>涟水港区</w:t>
      </w:r>
      <w:r>
        <w:rPr>
          <w:rFonts w:hint="eastAsia" w:ascii="宋体" w:hAnsi="宋体"/>
          <w:kern w:val="0"/>
          <w:szCs w:val="24"/>
        </w:rPr>
        <w:t>、盱眙港区、洪泽港区和金湖港区。本项目位于涟水港区的一般作业区的薛行作业区。</w:t>
      </w:r>
    </w:p>
    <w:p w14:paraId="404245FF">
      <w:pPr>
        <w:autoSpaceDE w:val="0"/>
        <w:autoSpaceDN w:val="0"/>
        <w:adjustRightInd w:val="0"/>
        <w:snapToGrid w:val="0"/>
        <w:ind w:firstLine="480"/>
        <w:rPr>
          <w:kern w:val="0"/>
          <w:szCs w:val="24"/>
        </w:rPr>
      </w:pPr>
      <w:r>
        <w:rPr>
          <w:rFonts w:hint="eastAsia" w:ascii="宋体" w:hAnsi="宋体"/>
          <w:kern w:val="0"/>
          <w:szCs w:val="24"/>
        </w:rPr>
        <w:t>涟水港区：涟水港区服务于涟水地区大宗</w:t>
      </w:r>
      <w:r>
        <w:rPr>
          <w:rFonts w:hint="eastAsia" w:ascii="宋体" w:hAnsi="宋体"/>
          <w:kern w:val="0"/>
          <w:szCs w:val="24"/>
          <w:lang w:eastAsia="zh-CN"/>
        </w:rPr>
        <w:t>货物</w:t>
      </w:r>
      <w:r>
        <w:rPr>
          <w:rFonts w:hint="eastAsia" w:ascii="宋体" w:hAnsi="宋体"/>
          <w:kern w:val="0"/>
          <w:szCs w:val="24"/>
        </w:rPr>
        <w:t>运输，以及为规划的开发区及相关企业的原材料、产成品的运输提供装卸、仓储、中转运输服务。该港区规划主要作业区为涟水新港作业区，另外在涟水县城以及朱码、高沟、赵码等乡镇规划作业区。</w:t>
      </w:r>
    </w:p>
    <w:p w14:paraId="498424D9">
      <w:pPr>
        <w:autoSpaceDE w:val="0"/>
        <w:autoSpaceDN w:val="0"/>
        <w:adjustRightInd w:val="0"/>
        <w:snapToGrid w:val="0"/>
        <w:ind w:firstLine="480"/>
        <w:rPr>
          <w:rStyle w:val="140"/>
          <w:color w:val="auto"/>
        </w:rPr>
      </w:pPr>
      <w:r>
        <w:rPr>
          <w:rFonts w:hint="eastAsia" w:ascii="宋体" w:hAnsi="宋体"/>
          <w:kern w:val="0"/>
          <w:szCs w:val="24"/>
        </w:rPr>
        <w:t>薛行作业区：位于盐河航道薛行工业园境内，主要服务于薛行工业园区内的企业。作业区定位以装卸、仓储和物流服务功能为主，促进临港工业发展，主要承担矿建材料、企业原材料和产成品等物资运输。</w:t>
      </w:r>
      <w:r>
        <w:rPr>
          <w:rStyle w:val="140"/>
          <w:rFonts w:hint="eastAsia"/>
          <w:color w:val="auto"/>
        </w:rPr>
        <w:t>具体薛行作业区岸线利用规划情况见图1.5-10。</w:t>
      </w:r>
    </w:p>
    <w:p w14:paraId="6D86712C">
      <w:pPr>
        <w:adjustRightInd w:val="0"/>
        <w:snapToGrid w:val="0"/>
        <w:ind w:firstLine="482"/>
        <w:rPr>
          <w:b/>
          <w:szCs w:val="24"/>
        </w:rPr>
      </w:pPr>
      <w:r>
        <w:rPr>
          <w:rFonts w:hint="eastAsia" w:ascii="宋体" w:hAnsi="宋体"/>
          <w:b/>
          <w:szCs w:val="24"/>
        </w:rPr>
        <w:t>二、岸线利用规划情况</w:t>
      </w:r>
    </w:p>
    <w:p w14:paraId="59B084BE">
      <w:pPr>
        <w:autoSpaceDE w:val="0"/>
        <w:autoSpaceDN w:val="0"/>
        <w:adjustRightInd w:val="0"/>
        <w:snapToGrid w:val="0"/>
        <w:ind w:firstLine="480"/>
        <w:rPr>
          <w:sz w:val="21"/>
        </w:rPr>
      </w:pPr>
      <w:r>
        <w:rPr>
          <w:rFonts w:hint="eastAsia" w:ascii="宋体" w:hAnsi="宋体"/>
          <w:kern w:val="0"/>
          <w:szCs w:val="24"/>
        </w:rPr>
        <w:t>项目位于盐河岸线左岸，朱码船闸下游</w:t>
      </w:r>
      <w:r>
        <w:rPr>
          <w:rFonts w:hint="eastAsia"/>
          <w:kern w:val="0"/>
          <w:szCs w:val="24"/>
        </w:rPr>
        <w:t>4300</w:t>
      </w:r>
      <w:r>
        <w:rPr>
          <w:rFonts w:hint="eastAsia" w:ascii="宋体" w:hAnsi="宋体"/>
          <w:kern w:val="0"/>
          <w:szCs w:val="24"/>
        </w:rPr>
        <w:t>m～</w:t>
      </w:r>
      <w:r>
        <w:rPr>
          <w:rFonts w:hint="eastAsia"/>
          <w:kern w:val="0"/>
          <w:szCs w:val="24"/>
        </w:rPr>
        <w:t>5300</w:t>
      </w:r>
      <w:r>
        <w:rPr>
          <w:rFonts w:hint="eastAsia" w:ascii="宋体" w:hAnsi="宋体"/>
          <w:kern w:val="0"/>
          <w:szCs w:val="24"/>
        </w:rPr>
        <w:t>m岸线（本工程拟利用</w:t>
      </w:r>
      <w:r>
        <w:rPr>
          <w:rFonts w:hint="eastAsia" w:ascii="宋体" w:hAnsi="宋体"/>
          <w:kern w:val="0"/>
        </w:rPr>
        <w:t>盐河左岸</w:t>
      </w:r>
      <w:r>
        <w:rPr>
          <w:rFonts w:hint="eastAsia" w:ascii="宋体" w:hAnsi="宋体"/>
          <w:kern w:val="0"/>
          <w:szCs w:val="24"/>
        </w:rPr>
        <w:t>朱码船闸下游</w:t>
      </w:r>
      <w:r>
        <w:rPr>
          <w:rFonts w:hint="eastAsia"/>
          <w:kern w:val="0"/>
          <w:szCs w:val="24"/>
        </w:rPr>
        <w:t>4300</w:t>
      </w:r>
      <w:r>
        <w:rPr>
          <w:rFonts w:hint="eastAsia" w:ascii="宋体" w:hAnsi="宋体"/>
          <w:kern w:val="0"/>
          <w:szCs w:val="24"/>
        </w:rPr>
        <w:t>m至朱码船闸下游</w:t>
      </w:r>
      <w:r>
        <w:rPr>
          <w:rFonts w:hint="eastAsia"/>
          <w:kern w:val="0"/>
          <w:szCs w:val="24"/>
        </w:rPr>
        <w:t>4482</w:t>
      </w:r>
      <w:r>
        <w:rPr>
          <w:rFonts w:hint="eastAsia" w:ascii="宋体" w:hAnsi="宋体"/>
          <w:kern w:val="0"/>
          <w:szCs w:val="24"/>
        </w:rPr>
        <w:t>m之间的岸线，约</w:t>
      </w:r>
      <w:r>
        <w:rPr>
          <w:rFonts w:hint="eastAsia"/>
          <w:kern w:val="0"/>
          <w:szCs w:val="24"/>
        </w:rPr>
        <w:t>182m</w:t>
      </w:r>
      <w:r>
        <w:rPr>
          <w:rFonts w:hint="eastAsia" w:ascii="宋体" w:hAnsi="宋体"/>
          <w:kern w:val="0"/>
          <w:szCs w:val="24"/>
        </w:rPr>
        <w:t>）。根据苏环审</w:t>
      </w:r>
      <w:r>
        <w:rPr>
          <w:rFonts w:hint="eastAsia"/>
          <w:kern w:val="0"/>
          <w:szCs w:val="24"/>
        </w:rPr>
        <w:t>〔2020〕16</w:t>
      </w:r>
      <w:r>
        <w:rPr>
          <w:rFonts w:hint="eastAsia" w:ascii="宋体" w:hAnsi="宋体"/>
          <w:kern w:val="0"/>
          <w:szCs w:val="24"/>
        </w:rPr>
        <w:t>号，盐河为三级航道。按照新的《江苏省干线航道网规划（2023—2035年）》，盐河航道等级规划调整为二级（</w:t>
      </w:r>
      <w:r>
        <w:rPr>
          <w:rStyle w:val="140"/>
          <w:rFonts w:hint="eastAsia"/>
          <w:color w:val="auto"/>
        </w:rPr>
        <w:t>2031—2035年）</w:t>
      </w:r>
      <w:r>
        <w:rPr>
          <w:rFonts w:hint="eastAsia" w:ascii="宋体" w:hAnsi="宋体"/>
          <w:kern w:val="0"/>
          <w:szCs w:val="24"/>
        </w:rPr>
        <w:t>。</w:t>
      </w:r>
    </w:p>
    <w:p w14:paraId="3E6E6540">
      <w:pPr>
        <w:ind w:firstLine="480"/>
        <w:sectPr>
          <w:pgSz w:w="11906" w:h="16838"/>
          <w:pgMar w:top="1418" w:right="1418" w:bottom="1418" w:left="1418" w:header="851" w:footer="992" w:gutter="0"/>
          <w:pgNumType w:start="1"/>
          <w:cols w:space="720" w:num="1"/>
          <w:docGrid w:type="lines" w:linePitch="312" w:charSpace="0"/>
        </w:sectPr>
      </w:pPr>
    </w:p>
    <w:p w14:paraId="553754A5">
      <w:pPr>
        <w:pStyle w:val="86"/>
      </w:pPr>
      <w:r>
        <w:rPr>
          <w:rFonts w:hint="eastAsia"/>
        </w:rPr>
        <w:t>本项目相关淮安港港口岸线规划表</w:t>
      </w:r>
    </w:p>
    <w:tbl>
      <w:tblPr>
        <w:tblStyle w:val="38"/>
        <w:tblW w:w="499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64"/>
        <w:gridCol w:w="820"/>
        <w:gridCol w:w="1123"/>
        <w:gridCol w:w="641"/>
        <w:gridCol w:w="638"/>
        <w:gridCol w:w="554"/>
        <w:gridCol w:w="311"/>
        <w:gridCol w:w="636"/>
        <w:gridCol w:w="958"/>
        <w:gridCol w:w="636"/>
        <w:gridCol w:w="728"/>
        <w:gridCol w:w="960"/>
        <w:gridCol w:w="876"/>
        <w:gridCol w:w="1120"/>
        <w:gridCol w:w="1526"/>
        <w:gridCol w:w="2110"/>
      </w:tblGrid>
      <w:tr w14:paraId="7620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130" w:type="pct"/>
            <w:vMerge w:val="restart"/>
            <w:tcBorders>
              <w:top w:val="single" w:color="auto" w:sz="4" w:space="0"/>
              <w:left w:val="single" w:color="auto" w:sz="4" w:space="0"/>
              <w:bottom w:val="single" w:color="auto" w:sz="4" w:space="0"/>
              <w:right w:val="single" w:color="auto" w:sz="4" w:space="0"/>
            </w:tcBorders>
            <w:vAlign w:val="center"/>
          </w:tcPr>
          <w:p w14:paraId="46B72185">
            <w:pPr>
              <w:pStyle w:val="196"/>
            </w:pPr>
            <w:r>
              <w:rPr>
                <w:rFonts w:hint="eastAsia"/>
              </w:rPr>
              <w:t>序号</w:t>
            </w:r>
          </w:p>
        </w:tc>
        <w:tc>
          <w:tcPr>
            <w:tcW w:w="293" w:type="pct"/>
            <w:vMerge w:val="restart"/>
            <w:tcBorders>
              <w:top w:val="single" w:color="auto" w:sz="4" w:space="0"/>
              <w:left w:val="single" w:color="auto" w:sz="4" w:space="0"/>
              <w:bottom w:val="single" w:color="auto" w:sz="4" w:space="0"/>
              <w:right w:val="single" w:color="auto" w:sz="4" w:space="0"/>
            </w:tcBorders>
            <w:vAlign w:val="center"/>
          </w:tcPr>
          <w:p w14:paraId="7A8DD483">
            <w:pPr>
              <w:pStyle w:val="196"/>
            </w:pPr>
            <w:r>
              <w:rPr>
                <w:rFonts w:hint="eastAsia"/>
              </w:rPr>
              <w:t>岸线名称</w:t>
            </w: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2E1EA6B1">
            <w:pPr>
              <w:pStyle w:val="196"/>
            </w:pPr>
            <w:r>
              <w:rPr>
                <w:rFonts w:hint="eastAsia"/>
              </w:rPr>
              <w:t>起讫点</w:t>
            </w:r>
          </w:p>
        </w:tc>
        <w:tc>
          <w:tcPr>
            <w:tcW w:w="229" w:type="pct"/>
            <w:vMerge w:val="restart"/>
            <w:tcBorders>
              <w:top w:val="single" w:color="auto" w:sz="4" w:space="0"/>
              <w:left w:val="single" w:color="auto" w:sz="4" w:space="0"/>
              <w:bottom w:val="single" w:color="auto" w:sz="4" w:space="0"/>
              <w:right w:val="single" w:color="auto" w:sz="4" w:space="0"/>
            </w:tcBorders>
            <w:vAlign w:val="center"/>
          </w:tcPr>
          <w:p w14:paraId="68EDACF0">
            <w:pPr>
              <w:pStyle w:val="196"/>
            </w:pPr>
            <w:r>
              <w:rPr>
                <w:rFonts w:hint="eastAsia"/>
              </w:rPr>
              <w:t>规划岸线长度（米）</w:t>
            </w:r>
          </w:p>
        </w:tc>
        <w:tc>
          <w:tcPr>
            <w:tcW w:w="228" w:type="pct"/>
            <w:vMerge w:val="restart"/>
            <w:tcBorders>
              <w:top w:val="single" w:color="auto" w:sz="4" w:space="0"/>
              <w:left w:val="single" w:color="auto" w:sz="4" w:space="0"/>
              <w:bottom w:val="single" w:color="auto" w:sz="4" w:space="0"/>
              <w:right w:val="single" w:color="auto" w:sz="4" w:space="0"/>
            </w:tcBorders>
            <w:vAlign w:val="center"/>
          </w:tcPr>
          <w:p w14:paraId="01106ED3">
            <w:pPr>
              <w:pStyle w:val="196"/>
            </w:pPr>
            <w:r>
              <w:rPr>
                <w:rFonts w:hint="eastAsia"/>
              </w:rPr>
              <w:t>航道名称</w:t>
            </w:r>
          </w:p>
        </w:tc>
        <w:tc>
          <w:tcPr>
            <w:tcW w:w="198" w:type="pct"/>
            <w:vMerge w:val="restart"/>
            <w:tcBorders>
              <w:top w:val="single" w:color="auto" w:sz="4" w:space="0"/>
              <w:left w:val="single" w:color="auto" w:sz="4" w:space="0"/>
              <w:bottom w:val="single" w:color="auto" w:sz="4" w:space="0"/>
              <w:right w:val="single" w:color="auto" w:sz="4" w:space="0"/>
            </w:tcBorders>
            <w:vAlign w:val="center"/>
          </w:tcPr>
          <w:p w14:paraId="6E783CE3">
            <w:pPr>
              <w:pStyle w:val="196"/>
            </w:pPr>
            <w:r>
              <w:rPr>
                <w:rFonts w:hint="eastAsia"/>
              </w:rPr>
              <w:t>规划航道等级</w:t>
            </w:r>
          </w:p>
        </w:tc>
        <w:tc>
          <w:tcPr>
            <w:tcW w:w="111" w:type="pct"/>
            <w:vMerge w:val="restart"/>
            <w:tcBorders>
              <w:top w:val="single" w:color="auto" w:sz="4" w:space="0"/>
              <w:left w:val="single" w:color="auto" w:sz="4" w:space="0"/>
              <w:bottom w:val="single" w:color="auto" w:sz="4" w:space="0"/>
              <w:right w:val="single" w:color="auto" w:sz="4" w:space="0"/>
            </w:tcBorders>
            <w:vAlign w:val="center"/>
          </w:tcPr>
          <w:p w14:paraId="15C4BF10">
            <w:pPr>
              <w:pStyle w:val="196"/>
            </w:pPr>
            <w:r>
              <w:rPr>
                <w:rFonts w:hint="eastAsia"/>
              </w:rPr>
              <w:t>岸别</w:t>
            </w:r>
          </w:p>
        </w:tc>
        <w:tc>
          <w:tcPr>
            <w:tcW w:w="227" w:type="pct"/>
            <w:vMerge w:val="restart"/>
            <w:tcBorders>
              <w:top w:val="single" w:color="auto" w:sz="4" w:space="0"/>
              <w:left w:val="single" w:color="auto" w:sz="4" w:space="0"/>
              <w:bottom w:val="single" w:color="auto" w:sz="4" w:space="0"/>
              <w:right w:val="single" w:color="auto" w:sz="4" w:space="0"/>
            </w:tcBorders>
            <w:vAlign w:val="center"/>
          </w:tcPr>
          <w:p w14:paraId="37E28BB9">
            <w:pPr>
              <w:pStyle w:val="196"/>
            </w:pPr>
            <w:r>
              <w:rPr>
                <w:rFonts w:hint="eastAsia"/>
              </w:rPr>
              <w:t>规划作业区</w:t>
            </w:r>
          </w:p>
        </w:tc>
        <w:tc>
          <w:tcPr>
            <w:tcW w:w="342" w:type="pct"/>
            <w:vMerge w:val="restart"/>
            <w:tcBorders>
              <w:top w:val="single" w:color="auto" w:sz="4" w:space="0"/>
              <w:left w:val="single" w:color="auto" w:sz="4" w:space="0"/>
              <w:bottom w:val="single" w:color="auto" w:sz="4" w:space="0"/>
              <w:right w:val="single" w:color="auto" w:sz="4" w:space="0"/>
            </w:tcBorders>
            <w:vAlign w:val="center"/>
          </w:tcPr>
          <w:p w14:paraId="091719EB">
            <w:pPr>
              <w:pStyle w:val="196"/>
            </w:pPr>
            <w:r>
              <w:rPr>
                <w:rFonts w:hint="eastAsia"/>
              </w:rPr>
              <w:t>规划货种</w:t>
            </w:r>
          </w:p>
        </w:tc>
        <w:tc>
          <w:tcPr>
            <w:tcW w:w="227" w:type="pct"/>
            <w:vMerge w:val="restart"/>
            <w:tcBorders>
              <w:top w:val="single" w:color="auto" w:sz="4" w:space="0"/>
              <w:left w:val="single" w:color="auto" w:sz="4" w:space="0"/>
              <w:bottom w:val="single" w:color="auto" w:sz="4" w:space="0"/>
              <w:right w:val="single" w:color="auto" w:sz="4" w:space="0"/>
            </w:tcBorders>
            <w:vAlign w:val="center"/>
          </w:tcPr>
          <w:p w14:paraId="5649FA73">
            <w:pPr>
              <w:pStyle w:val="196"/>
            </w:pPr>
            <w:r>
              <w:rPr>
                <w:rFonts w:hint="eastAsia"/>
              </w:rPr>
              <w:t>已建/未建</w:t>
            </w:r>
          </w:p>
        </w:tc>
        <w:tc>
          <w:tcPr>
            <w:tcW w:w="260" w:type="pct"/>
            <w:vMerge w:val="restart"/>
            <w:tcBorders>
              <w:top w:val="single" w:color="auto" w:sz="4" w:space="0"/>
              <w:left w:val="single" w:color="auto" w:sz="4" w:space="0"/>
              <w:bottom w:val="single" w:color="auto" w:sz="4" w:space="0"/>
              <w:right w:val="single" w:color="auto" w:sz="4" w:space="0"/>
            </w:tcBorders>
            <w:vAlign w:val="center"/>
          </w:tcPr>
          <w:p w14:paraId="6F1A02D0">
            <w:pPr>
              <w:pStyle w:val="196"/>
            </w:pPr>
            <w:r>
              <w:rPr>
                <w:rFonts w:hint="eastAsia"/>
              </w:rPr>
              <w:t>公用/专用码头岸线</w:t>
            </w:r>
          </w:p>
        </w:tc>
        <w:tc>
          <w:tcPr>
            <w:tcW w:w="343" w:type="pct"/>
            <w:vMerge w:val="restart"/>
            <w:tcBorders>
              <w:top w:val="single" w:color="auto" w:sz="4" w:space="0"/>
              <w:left w:val="single" w:color="auto" w:sz="4" w:space="0"/>
              <w:bottom w:val="single" w:color="auto" w:sz="4" w:space="0"/>
              <w:right w:val="single" w:color="auto" w:sz="4" w:space="0"/>
            </w:tcBorders>
            <w:vAlign w:val="center"/>
          </w:tcPr>
          <w:p w14:paraId="53EADB20">
            <w:pPr>
              <w:pStyle w:val="196"/>
            </w:pPr>
            <w:r>
              <w:rPr>
                <w:rFonts w:hint="eastAsia"/>
              </w:rPr>
              <w:t>岸线与国家生态保护红线的关系</w:t>
            </w:r>
          </w:p>
        </w:tc>
        <w:tc>
          <w:tcPr>
            <w:tcW w:w="313" w:type="pct"/>
            <w:vMerge w:val="restart"/>
            <w:tcBorders>
              <w:top w:val="single" w:color="auto" w:sz="4" w:space="0"/>
              <w:left w:val="single" w:color="auto" w:sz="4" w:space="0"/>
              <w:bottom w:val="single" w:color="auto" w:sz="4" w:space="0"/>
              <w:right w:val="single" w:color="auto" w:sz="4" w:space="0"/>
            </w:tcBorders>
            <w:vAlign w:val="center"/>
          </w:tcPr>
          <w:p w14:paraId="73E53450">
            <w:pPr>
              <w:pStyle w:val="196"/>
            </w:pPr>
            <w:r>
              <w:rPr>
                <w:rFonts w:hint="eastAsia"/>
              </w:rPr>
              <w:t>岸线与江苏省生态空间管控区域的关系</w:t>
            </w:r>
          </w:p>
        </w:tc>
        <w:tc>
          <w:tcPr>
            <w:tcW w:w="400" w:type="pct"/>
            <w:vMerge w:val="restart"/>
            <w:tcBorders>
              <w:top w:val="single" w:color="auto" w:sz="4" w:space="0"/>
              <w:left w:val="single" w:color="auto" w:sz="4" w:space="0"/>
              <w:bottom w:val="single" w:color="auto" w:sz="4" w:space="0"/>
              <w:right w:val="single" w:color="auto" w:sz="4" w:space="0"/>
            </w:tcBorders>
            <w:vAlign w:val="center"/>
          </w:tcPr>
          <w:p w14:paraId="3B14CB29">
            <w:pPr>
              <w:pStyle w:val="196"/>
            </w:pPr>
            <w:r>
              <w:rPr>
                <w:rFonts w:hint="eastAsia"/>
              </w:rPr>
              <w:t>岸线与水源保护区的关系</w:t>
            </w:r>
          </w:p>
        </w:tc>
        <w:tc>
          <w:tcPr>
            <w:tcW w:w="1298" w:type="pct"/>
            <w:gridSpan w:val="2"/>
            <w:tcBorders>
              <w:top w:val="single" w:color="auto" w:sz="4" w:space="0"/>
              <w:left w:val="single" w:color="auto" w:sz="4" w:space="0"/>
              <w:bottom w:val="single" w:color="auto" w:sz="4" w:space="0"/>
              <w:right w:val="single" w:color="auto" w:sz="4" w:space="0"/>
            </w:tcBorders>
            <w:vAlign w:val="center"/>
          </w:tcPr>
          <w:p w14:paraId="27C2C587">
            <w:pPr>
              <w:pStyle w:val="196"/>
            </w:pPr>
            <w:r>
              <w:rPr>
                <w:rFonts w:hint="eastAsia"/>
              </w:rPr>
              <w:t>与上轮规划及专项调整规划的比较</w:t>
            </w:r>
          </w:p>
        </w:tc>
      </w:tr>
      <w:tr w14:paraId="6F32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AE561C">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A2A656F">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782376D">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9954436">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66AFDF">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475D933">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81A558B">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5506B13">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286682">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F16251">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559625">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E6DBF51">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35150E8">
            <w:pPr>
              <w:pStyle w:val="196"/>
              <w:rPr>
                <w:kern w:val="0"/>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1999CE4">
            <w:pPr>
              <w:pStyle w:val="196"/>
              <w:rPr>
                <w:kern w:val="0"/>
              </w:rPr>
            </w:pPr>
          </w:p>
        </w:tc>
        <w:tc>
          <w:tcPr>
            <w:tcW w:w="545" w:type="pct"/>
            <w:tcBorders>
              <w:top w:val="single" w:color="auto" w:sz="4" w:space="0"/>
              <w:left w:val="single" w:color="auto" w:sz="4" w:space="0"/>
              <w:bottom w:val="single" w:color="auto" w:sz="4" w:space="0"/>
              <w:right w:val="single" w:color="auto" w:sz="4" w:space="0"/>
            </w:tcBorders>
            <w:vAlign w:val="center"/>
          </w:tcPr>
          <w:p w14:paraId="7D248AAD">
            <w:pPr>
              <w:pStyle w:val="196"/>
            </w:pPr>
            <w:r>
              <w:rPr>
                <w:rFonts w:hint="eastAsia"/>
              </w:rPr>
              <w:t>原岸线起讫</w:t>
            </w:r>
          </w:p>
        </w:tc>
        <w:tc>
          <w:tcPr>
            <w:tcW w:w="752" w:type="pct"/>
            <w:tcBorders>
              <w:top w:val="single" w:color="auto" w:sz="4" w:space="0"/>
              <w:left w:val="single" w:color="auto" w:sz="4" w:space="0"/>
              <w:bottom w:val="single" w:color="auto" w:sz="4" w:space="0"/>
              <w:right w:val="single" w:color="auto" w:sz="4" w:space="0"/>
            </w:tcBorders>
            <w:vAlign w:val="center"/>
          </w:tcPr>
          <w:p w14:paraId="7DE9035C">
            <w:pPr>
              <w:pStyle w:val="196"/>
            </w:pPr>
            <w:r>
              <w:rPr>
                <w:rFonts w:hint="eastAsia"/>
              </w:rPr>
              <w:t>岸线变化情况</w:t>
            </w:r>
          </w:p>
        </w:tc>
      </w:tr>
      <w:tr w14:paraId="5EA3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rPr>
        <w:tc>
          <w:tcPr>
            <w:tcW w:w="130" w:type="pct"/>
            <w:tcBorders>
              <w:top w:val="single" w:color="auto" w:sz="4" w:space="0"/>
              <w:left w:val="single" w:color="auto" w:sz="4" w:space="0"/>
              <w:bottom w:val="single" w:color="auto" w:sz="4" w:space="0"/>
              <w:right w:val="single" w:color="auto" w:sz="4" w:space="0"/>
            </w:tcBorders>
            <w:vAlign w:val="center"/>
          </w:tcPr>
          <w:p w14:paraId="0C75FC2C">
            <w:pPr>
              <w:pStyle w:val="196"/>
            </w:pPr>
            <w:r>
              <w:rPr>
                <w:rFonts w:hint="eastAsia"/>
              </w:rPr>
              <w:t>1</w:t>
            </w:r>
          </w:p>
        </w:tc>
        <w:tc>
          <w:tcPr>
            <w:tcW w:w="293" w:type="pct"/>
            <w:tcBorders>
              <w:top w:val="single" w:color="auto" w:sz="4" w:space="0"/>
              <w:left w:val="single" w:color="auto" w:sz="4" w:space="0"/>
              <w:bottom w:val="single" w:color="auto" w:sz="4" w:space="0"/>
              <w:right w:val="single" w:color="auto" w:sz="4" w:space="0"/>
            </w:tcBorders>
            <w:vAlign w:val="center"/>
          </w:tcPr>
          <w:p w14:paraId="2557CC39">
            <w:pPr>
              <w:pStyle w:val="196"/>
            </w:pPr>
            <w:r>
              <w:rPr>
                <w:rFonts w:hint="eastAsia"/>
              </w:rPr>
              <w:t>朱码船闸下游段</w:t>
            </w:r>
          </w:p>
        </w:tc>
        <w:tc>
          <w:tcPr>
            <w:tcW w:w="401" w:type="pct"/>
            <w:tcBorders>
              <w:top w:val="single" w:color="auto" w:sz="4" w:space="0"/>
              <w:left w:val="single" w:color="auto" w:sz="4" w:space="0"/>
              <w:bottom w:val="single" w:color="auto" w:sz="4" w:space="0"/>
              <w:right w:val="single" w:color="auto" w:sz="4" w:space="0"/>
            </w:tcBorders>
            <w:shd w:val="clear" w:color="auto" w:fill="A0D997"/>
            <w:vAlign w:val="center"/>
          </w:tcPr>
          <w:p w14:paraId="34426EF0">
            <w:pPr>
              <w:pStyle w:val="196"/>
            </w:pPr>
            <w:r>
              <w:rPr>
                <w:rFonts w:hint="eastAsia"/>
              </w:rPr>
              <w:t>朱码船闸下游4300米～5300米</w:t>
            </w:r>
          </w:p>
        </w:tc>
        <w:tc>
          <w:tcPr>
            <w:tcW w:w="229" w:type="pct"/>
            <w:tcBorders>
              <w:top w:val="single" w:color="auto" w:sz="4" w:space="0"/>
              <w:left w:val="single" w:color="auto" w:sz="4" w:space="0"/>
              <w:bottom w:val="single" w:color="auto" w:sz="4" w:space="0"/>
              <w:right w:val="single" w:color="auto" w:sz="4" w:space="0"/>
            </w:tcBorders>
            <w:vAlign w:val="center"/>
          </w:tcPr>
          <w:p w14:paraId="73A6CAEC">
            <w:pPr>
              <w:pStyle w:val="196"/>
            </w:pPr>
            <w:r>
              <w:rPr>
                <w:rFonts w:hint="eastAsia"/>
              </w:rPr>
              <w:t>1000</w:t>
            </w:r>
          </w:p>
        </w:tc>
        <w:tc>
          <w:tcPr>
            <w:tcW w:w="228" w:type="pct"/>
            <w:tcBorders>
              <w:top w:val="single" w:color="auto" w:sz="4" w:space="0"/>
              <w:left w:val="single" w:color="auto" w:sz="4" w:space="0"/>
              <w:bottom w:val="single" w:color="auto" w:sz="4" w:space="0"/>
              <w:right w:val="single" w:color="auto" w:sz="4" w:space="0"/>
            </w:tcBorders>
            <w:vAlign w:val="center"/>
          </w:tcPr>
          <w:p w14:paraId="60C3A27D">
            <w:pPr>
              <w:pStyle w:val="196"/>
            </w:pPr>
            <w:r>
              <w:rPr>
                <w:rFonts w:hint="eastAsia"/>
              </w:rPr>
              <w:t>盐河</w:t>
            </w:r>
          </w:p>
        </w:tc>
        <w:tc>
          <w:tcPr>
            <w:tcW w:w="198" w:type="pct"/>
            <w:tcBorders>
              <w:top w:val="single" w:color="auto" w:sz="4" w:space="0"/>
              <w:left w:val="single" w:color="auto" w:sz="4" w:space="0"/>
              <w:bottom w:val="single" w:color="auto" w:sz="4" w:space="0"/>
              <w:right w:val="single" w:color="auto" w:sz="4" w:space="0"/>
            </w:tcBorders>
            <w:vAlign w:val="center"/>
          </w:tcPr>
          <w:p w14:paraId="4C3D7ED5">
            <w:pPr>
              <w:pStyle w:val="196"/>
            </w:pPr>
            <w:r>
              <w:rPr>
                <w:rFonts w:hint="eastAsia"/>
              </w:rPr>
              <w:t>三级</w:t>
            </w:r>
          </w:p>
        </w:tc>
        <w:tc>
          <w:tcPr>
            <w:tcW w:w="111" w:type="pct"/>
            <w:tcBorders>
              <w:top w:val="single" w:color="auto" w:sz="4" w:space="0"/>
              <w:left w:val="single" w:color="auto" w:sz="4" w:space="0"/>
              <w:bottom w:val="single" w:color="auto" w:sz="4" w:space="0"/>
              <w:right w:val="single" w:color="auto" w:sz="4" w:space="0"/>
            </w:tcBorders>
            <w:vAlign w:val="center"/>
          </w:tcPr>
          <w:p w14:paraId="6E37A105">
            <w:pPr>
              <w:pStyle w:val="196"/>
            </w:pPr>
            <w:r>
              <w:rPr>
                <w:rFonts w:hint="eastAsia"/>
              </w:rPr>
              <w:t>左</w:t>
            </w:r>
          </w:p>
        </w:tc>
        <w:tc>
          <w:tcPr>
            <w:tcW w:w="227" w:type="pct"/>
            <w:vMerge w:val="restart"/>
            <w:tcBorders>
              <w:top w:val="nil"/>
              <w:left w:val="single" w:color="auto" w:sz="4" w:space="0"/>
              <w:bottom w:val="single" w:color="auto" w:sz="4" w:space="0"/>
              <w:right w:val="single" w:color="auto" w:sz="4" w:space="0"/>
            </w:tcBorders>
            <w:vAlign w:val="center"/>
          </w:tcPr>
          <w:p w14:paraId="67292F61">
            <w:pPr>
              <w:pStyle w:val="196"/>
            </w:pPr>
            <w:r>
              <w:rPr>
                <w:rFonts w:hint="eastAsia"/>
              </w:rPr>
              <w:t>薛行作业区</w:t>
            </w:r>
          </w:p>
        </w:tc>
        <w:tc>
          <w:tcPr>
            <w:tcW w:w="342" w:type="pct"/>
            <w:vMerge w:val="restart"/>
            <w:tcBorders>
              <w:top w:val="nil"/>
              <w:left w:val="single" w:color="auto" w:sz="4" w:space="0"/>
              <w:bottom w:val="single" w:color="auto" w:sz="4" w:space="0"/>
              <w:right w:val="single" w:color="auto" w:sz="4" w:space="0"/>
            </w:tcBorders>
            <w:vAlign w:val="center"/>
          </w:tcPr>
          <w:p w14:paraId="320B921A">
            <w:pPr>
              <w:pStyle w:val="196"/>
            </w:pPr>
            <w:r>
              <w:rPr>
                <w:rFonts w:hint="eastAsia"/>
              </w:rPr>
              <w:t>矿建材料、企业原材料和产成品等</w:t>
            </w:r>
          </w:p>
        </w:tc>
        <w:tc>
          <w:tcPr>
            <w:tcW w:w="227" w:type="pct"/>
            <w:tcBorders>
              <w:top w:val="single" w:color="auto" w:sz="4" w:space="0"/>
              <w:left w:val="single" w:color="auto" w:sz="4" w:space="0"/>
              <w:bottom w:val="single" w:color="auto" w:sz="4" w:space="0"/>
              <w:right w:val="single" w:color="auto" w:sz="4" w:space="0"/>
            </w:tcBorders>
            <w:vAlign w:val="center"/>
          </w:tcPr>
          <w:p w14:paraId="00F0BE93">
            <w:pPr>
              <w:pStyle w:val="196"/>
            </w:pPr>
            <w:r>
              <w:rPr>
                <w:rFonts w:hint="eastAsia"/>
              </w:rPr>
              <w:t>未建</w:t>
            </w:r>
          </w:p>
        </w:tc>
        <w:tc>
          <w:tcPr>
            <w:tcW w:w="260" w:type="pct"/>
            <w:tcBorders>
              <w:top w:val="single" w:color="auto" w:sz="4" w:space="0"/>
              <w:left w:val="single" w:color="auto" w:sz="4" w:space="0"/>
              <w:bottom w:val="single" w:color="auto" w:sz="4" w:space="0"/>
              <w:right w:val="single" w:color="auto" w:sz="4" w:space="0"/>
            </w:tcBorders>
            <w:vAlign w:val="center"/>
          </w:tcPr>
          <w:p w14:paraId="2ECBB9B0">
            <w:pPr>
              <w:pStyle w:val="196"/>
            </w:pPr>
            <w:r>
              <w:rPr>
                <w:rFonts w:hint="eastAsia"/>
              </w:rPr>
              <w:t>公用</w:t>
            </w:r>
          </w:p>
        </w:tc>
        <w:tc>
          <w:tcPr>
            <w:tcW w:w="343" w:type="pct"/>
            <w:tcBorders>
              <w:top w:val="single" w:color="auto" w:sz="4" w:space="0"/>
              <w:left w:val="single" w:color="auto" w:sz="4" w:space="0"/>
              <w:bottom w:val="single" w:color="auto" w:sz="4" w:space="0"/>
              <w:right w:val="single" w:color="auto" w:sz="4" w:space="0"/>
            </w:tcBorders>
            <w:vAlign w:val="center"/>
          </w:tcPr>
          <w:p w14:paraId="589F55D3">
            <w:pPr>
              <w:pStyle w:val="196"/>
            </w:pPr>
            <w:r>
              <w:rPr>
                <w:rFonts w:hint="eastAsia"/>
              </w:rPr>
              <w:t>/</w:t>
            </w:r>
          </w:p>
        </w:tc>
        <w:tc>
          <w:tcPr>
            <w:tcW w:w="313" w:type="pct"/>
            <w:tcBorders>
              <w:top w:val="single" w:color="auto" w:sz="4" w:space="0"/>
              <w:left w:val="single" w:color="auto" w:sz="4" w:space="0"/>
              <w:bottom w:val="single" w:color="auto" w:sz="4" w:space="0"/>
              <w:right w:val="single" w:color="auto" w:sz="4" w:space="0"/>
            </w:tcBorders>
            <w:vAlign w:val="center"/>
          </w:tcPr>
          <w:p w14:paraId="73AC7087">
            <w:pPr>
              <w:pStyle w:val="196"/>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14:paraId="3965F0B7">
            <w:pPr>
              <w:pStyle w:val="196"/>
            </w:pPr>
            <w:r>
              <w:rPr>
                <w:rFonts w:hint="eastAsia"/>
              </w:rPr>
              <w:t>/</w:t>
            </w:r>
          </w:p>
        </w:tc>
        <w:tc>
          <w:tcPr>
            <w:tcW w:w="545" w:type="pct"/>
            <w:tcBorders>
              <w:top w:val="single" w:color="auto" w:sz="4" w:space="0"/>
              <w:left w:val="single" w:color="auto" w:sz="4" w:space="0"/>
              <w:bottom w:val="single" w:color="auto" w:sz="4" w:space="0"/>
              <w:right w:val="single" w:color="auto" w:sz="4" w:space="0"/>
            </w:tcBorders>
            <w:vAlign w:val="center"/>
          </w:tcPr>
          <w:p w14:paraId="16D0781F">
            <w:pPr>
              <w:pStyle w:val="196"/>
            </w:pPr>
            <w:r>
              <w:rPr>
                <w:rFonts w:hint="eastAsia"/>
              </w:rPr>
              <w:t>/</w:t>
            </w:r>
          </w:p>
        </w:tc>
        <w:tc>
          <w:tcPr>
            <w:tcW w:w="752" w:type="pct"/>
            <w:tcBorders>
              <w:top w:val="single" w:color="auto" w:sz="4" w:space="0"/>
              <w:left w:val="single" w:color="auto" w:sz="4" w:space="0"/>
              <w:bottom w:val="single" w:color="auto" w:sz="4" w:space="0"/>
              <w:right w:val="single" w:color="auto" w:sz="4" w:space="0"/>
            </w:tcBorders>
            <w:vAlign w:val="center"/>
          </w:tcPr>
          <w:p w14:paraId="569CF65B">
            <w:pPr>
              <w:pStyle w:val="196"/>
            </w:pPr>
            <w:r>
              <w:rPr>
                <w:rFonts w:hint="eastAsia"/>
              </w:rPr>
              <w:t>新增段，新增1000m</w:t>
            </w:r>
          </w:p>
        </w:tc>
      </w:tr>
      <w:tr w14:paraId="0A0F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rPr>
        <w:tc>
          <w:tcPr>
            <w:tcW w:w="130" w:type="pct"/>
            <w:tcBorders>
              <w:top w:val="single" w:color="auto" w:sz="4" w:space="0"/>
              <w:left w:val="single" w:color="auto" w:sz="4" w:space="0"/>
              <w:bottom w:val="single" w:color="auto" w:sz="4" w:space="0"/>
              <w:right w:val="single" w:color="auto" w:sz="4" w:space="0"/>
            </w:tcBorders>
            <w:vAlign w:val="center"/>
          </w:tcPr>
          <w:p w14:paraId="516D2011">
            <w:pPr>
              <w:pStyle w:val="196"/>
            </w:pPr>
            <w:r>
              <w:rPr>
                <w:rFonts w:hint="eastAsia"/>
              </w:rPr>
              <w:t>2</w:t>
            </w:r>
          </w:p>
        </w:tc>
        <w:tc>
          <w:tcPr>
            <w:tcW w:w="293" w:type="pct"/>
            <w:tcBorders>
              <w:top w:val="single" w:color="auto" w:sz="4" w:space="0"/>
              <w:left w:val="single" w:color="auto" w:sz="4" w:space="0"/>
              <w:bottom w:val="single" w:color="auto" w:sz="4" w:space="0"/>
              <w:right w:val="single" w:color="auto" w:sz="4" w:space="0"/>
            </w:tcBorders>
            <w:vAlign w:val="center"/>
          </w:tcPr>
          <w:p w14:paraId="6274167F">
            <w:pPr>
              <w:pStyle w:val="196"/>
            </w:pPr>
            <w:r>
              <w:rPr>
                <w:rFonts w:hint="eastAsia"/>
              </w:rPr>
              <w:t>朱码闸桥下游段</w:t>
            </w:r>
          </w:p>
        </w:tc>
        <w:tc>
          <w:tcPr>
            <w:tcW w:w="401" w:type="pct"/>
            <w:tcBorders>
              <w:top w:val="single" w:color="auto" w:sz="4" w:space="0"/>
              <w:left w:val="single" w:color="auto" w:sz="4" w:space="0"/>
              <w:bottom w:val="single" w:color="auto" w:sz="4" w:space="0"/>
              <w:right w:val="single" w:color="auto" w:sz="4" w:space="0"/>
            </w:tcBorders>
            <w:vAlign w:val="center"/>
          </w:tcPr>
          <w:p w14:paraId="1A8FFCAD">
            <w:pPr>
              <w:pStyle w:val="196"/>
            </w:pPr>
            <w:r>
              <w:rPr>
                <w:rFonts w:hint="eastAsia"/>
              </w:rPr>
              <w:t>朱码船闸下游5800米～6400米</w:t>
            </w:r>
          </w:p>
        </w:tc>
        <w:tc>
          <w:tcPr>
            <w:tcW w:w="229" w:type="pct"/>
            <w:tcBorders>
              <w:top w:val="single" w:color="auto" w:sz="4" w:space="0"/>
              <w:left w:val="single" w:color="auto" w:sz="4" w:space="0"/>
              <w:bottom w:val="single" w:color="auto" w:sz="4" w:space="0"/>
              <w:right w:val="single" w:color="auto" w:sz="4" w:space="0"/>
            </w:tcBorders>
            <w:vAlign w:val="center"/>
          </w:tcPr>
          <w:p w14:paraId="20DD39F6">
            <w:pPr>
              <w:pStyle w:val="196"/>
            </w:pPr>
            <w:r>
              <w:rPr>
                <w:rFonts w:hint="eastAsia"/>
              </w:rPr>
              <w:t>600</w:t>
            </w:r>
          </w:p>
        </w:tc>
        <w:tc>
          <w:tcPr>
            <w:tcW w:w="228" w:type="pct"/>
            <w:tcBorders>
              <w:top w:val="single" w:color="auto" w:sz="4" w:space="0"/>
              <w:left w:val="single" w:color="auto" w:sz="4" w:space="0"/>
              <w:bottom w:val="single" w:color="auto" w:sz="4" w:space="0"/>
              <w:right w:val="single" w:color="auto" w:sz="4" w:space="0"/>
            </w:tcBorders>
            <w:vAlign w:val="center"/>
          </w:tcPr>
          <w:p w14:paraId="62056649">
            <w:pPr>
              <w:pStyle w:val="196"/>
            </w:pPr>
            <w:r>
              <w:rPr>
                <w:rFonts w:hint="eastAsia"/>
              </w:rPr>
              <w:t>盐河</w:t>
            </w:r>
          </w:p>
        </w:tc>
        <w:tc>
          <w:tcPr>
            <w:tcW w:w="198" w:type="pct"/>
            <w:tcBorders>
              <w:top w:val="single" w:color="auto" w:sz="4" w:space="0"/>
              <w:left w:val="single" w:color="auto" w:sz="4" w:space="0"/>
              <w:bottom w:val="single" w:color="auto" w:sz="4" w:space="0"/>
              <w:right w:val="single" w:color="auto" w:sz="4" w:space="0"/>
            </w:tcBorders>
            <w:vAlign w:val="center"/>
          </w:tcPr>
          <w:p w14:paraId="0431E925">
            <w:pPr>
              <w:pStyle w:val="196"/>
            </w:pPr>
            <w:r>
              <w:rPr>
                <w:rFonts w:hint="eastAsia"/>
              </w:rPr>
              <w:t>三级</w:t>
            </w:r>
          </w:p>
        </w:tc>
        <w:tc>
          <w:tcPr>
            <w:tcW w:w="111" w:type="pct"/>
            <w:tcBorders>
              <w:top w:val="single" w:color="auto" w:sz="4" w:space="0"/>
              <w:left w:val="single" w:color="auto" w:sz="4" w:space="0"/>
              <w:bottom w:val="single" w:color="auto" w:sz="4" w:space="0"/>
              <w:right w:val="single" w:color="auto" w:sz="4" w:space="0"/>
            </w:tcBorders>
            <w:vAlign w:val="center"/>
          </w:tcPr>
          <w:p w14:paraId="09C9F621">
            <w:pPr>
              <w:pStyle w:val="196"/>
            </w:pPr>
            <w:r>
              <w:rPr>
                <w:rFonts w:hint="eastAsia"/>
              </w:rPr>
              <w:t>右</w:t>
            </w:r>
          </w:p>
        </w:tc>
        <w:tc>
          <w:tcPr>
            <w:tcW w:w="0" w:type="auto"/>
            <w:vMerge w:val="continue"/>
            <w:tcBorders>
              <w:top w:val="nil"/>
              <w:left w:val="single" w:color="auto" w:sz="4" w:space="0"/>
              <w:bottom w:val="single" w:color="auto" w:sz="4" w:space="0"/>
              <w:right w:val="single" w:color="auto" w:sz="4" w:space="0"/>
            </w:tcBorders>
            <w:vAlign w:val="center"/>
          </w:tcPr>
          <w:p w14:paraId="23F4009E">
            <w:pPr>
              <w:pStyle w:val="196"/>
              <w:rPr>
                <w:kern w:val="0"/>
              </w:rPr>
            </w:pPr>
          </w:p>
        </w:tc>
        <w:tc>
          <w:tcPr>
            <w:tcW w:w="0" w:type="auto"/>
            <w:vMerge w:val="continue"/>
            <w:tcBorders>
              <w:top w:val="nil"/>
              <w:left w:val="single" w:color="auto" w:sz="4" w:space="0"/>
              <w:bottom w:val="single" w:color="auto" w:sz="4" w:space="0"/>
              <w:right w:val="single" w:color="auto" w:sz="4" w:space="0"/>
            </w:tcBorders>
            <w:vAlign w:val="center"/>
          </w:tcPr>
          <w:p w14:paraId="62C882D1">
            <w:pPr>
              <w:pStyle w:val="196"/>
              <w:rPr>
                <w:kern w:val="0"/>
              </w:rPr>
            </w:pPr>
          </w:p>
        </w:tc>
        <w:tc>
          <w:tcPr>
            <w:tcW w:w="227" w:type="pct"/>
            <w:tcBorders>
              <w:top w:val="single" w:color="auto" w:sz="4" w:space="0"/>
              <w:left w:val="single" w:color="auto" w:sz="4" w:space="0"/>
              <w:bottom w:val="single" w:color="auto" w:sz="4" w:space="0"/>
              <w:right w:val="single" w:color="auto" w:sz="4" w:space="0"/>
            </w:tcBorders>
            <w:vAlign w:val="center"/>
          </w:tcPr>
          <w:p w14:paraId="414F6876">
            <w:pPr>
              <w:pStyle w:val="196"/>
            </w:pPr>
            <w:r>
              <w:rPr>
                <w:rFonts w:hint="eastAsia"/>
              </w:rPr>
              <w:t>已建</w:t>
            </w:r>
          </w:p>
        </w:tc>
        <w:tc>
          <w:tcPr>
            <w:tcW w:w="260" w:type="pct"/>
            <w:tcBorders>
              <w:top w:val="single" w:color="auto" w:sz="4" w:space="0"/>
              <w:left w:val="single" w:color="auto" w:sz="4" w:space="0"/>
              <w:bottom w:val="single" w:color="auto" w:sz="4" w:space="0"/>
              <w:right w:val="single" w:color="auto" w:sz="4" w:space="0"/>
            </w:tcBorders>
            <w:vAlign w:val="center"/>
          </w:tcPr>
          <w:p w14:paraId="1E675D39">
            <w:pPr>
              <w:pStyle w:val="196"/>
            </w:pPr>
            <w:r>
              <w:rPr>
                <w:rFonts w:hint="eastAsia"/>
              </w:rPr>
              <w:t>企业用</w:t>
            </w:r>
          </w:p>
        </w:tc>
        <w:tc>
          <w:tcPr>
            <w:tcW w:w="343" w:type="pct"/>
            <w:tcBorders>
              <w:top w:val="single" w:color="auto" w:sz="4" w:space="0"/>
              <w:left w:val="single" w:color="auto" w:sz="4" w:space="0"/>
              <w:bottom w:val="single" w:color="auto" w:sz="4" w:space="0"/>
              <w:right w:val="single" w:color="auto" w:sz="4" w:space="0"/>
            </w:tcBorders>
            <w:vAlign w:val="center"/>
          </w:tcPr>
          <w:p w14:paraId="7E700BD3">
            <w:pPr>
              <w:pStyle w:val="196"/>
            </w:pPr>
            <w:r>
              <w:rPr>
                <w:rFonts w:hint="eastAsia"/>
              </w:rPr>
              <w:t>/</w:t>
            </w:r>
          </w:p>
        </w:tc>
        <w:tc>
          <w:tcPr>
            <w:tcW w:w="313" w:type="pct"/>
            <w:tcBorders>
              <w:top w:val="single" w:color="auto" w:sz="4" w:space="0"/>
              <w:left w:val="single" w:color="auto" w:sz="4" w:space="0"/>
              <w:bottom w:val="single" w:color="auto" w:sz="4" w:space="0"/>
              <w:right w:val="single" w:color="auto" w:sz="4" w:space="0"/>
            </w:tcBorders>
            <w:vAlign w:val="center"/>
          </w:tcPr>
          <w:p w14:paraId="2B829FBB">
            <w:pPr>
              <w:pStyle w:val="196"/>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14:paraId="4D3688FF">
            <w:pPr>
              <w:pStyle w:val="196"/>
            </w:pPr>
            <w:r>
              <w:rPr>
                <w:rFonts w:hint="eastAsia"/>
              </w:rPr>
              <w:t>/</w:t>
            </w:r>
          </w:p>
        </w:tc>
        <w:tc>
          <w:tcPr>
            <w:tcW w:w="545" w:type="pct"/>
            <w:tcBorders>
              <w:top w:val="single" w:color="auto" w:sz="4" w:space="0"/>
              <w:left w:val="single" w:color="auto" w:sz="4" w:space="0"/>
              <w:bottom w:val="single" w:color="auto" w:sz="4" w:space="0"/>
              <w:right w:val="single" w:color="auto" w:sz="4" w:space="0"/>
            </w:tcBorders>
            <w:vAlign w:val="center"/>
          </w:tcPr>
          <w:p w14:paraId="40328417">
            <w:pPr>
              <w:pStyle w:val="196"/>
            </w:pPr>
            <w:r>
              <w:rPr>
                <w:rFonts w:hint="eastAsia"/>
              </w:rPr>
              <w:t>朱码船闸下游5800m～6800m</w:t>
            </w:r>
          </w:p>
        </w:tc>
        <w:tc>
          <w:tcPr>
            <w:tcW w:w="752" w:type="pct"/>
            <w:tcBorders>
              <w:top w:val="single" w:color="auto" w:sz="4" w:space="0"/>
              <w:left w:val="single" w:color="auto" w:sz="4" w:space="0"/>
              <w:bottom w:val="single" w:color="auto" w:sz="4" w:space="0"/>
              <w:right w:val="single" w:color="auto" w:sz="4" w:space="0"/>
            </w:tcBorders>
            <w:vAlign w:val="center"/>
          </w:tcPr>
          <w:p w14:paraId="6D023DF2">
            <w:pPr>
              <w:pStyle w:val="196"/>
            </w:pPr>
            <w:r>
              <w:rPr>
                <w:rFonts w:hint="eastAsia"/>
              </w:rPr>
              <w:t>直接在原来岸线基础上调减400m，未有新增段</w:t>
            </w:r>
          </w:p>
        </w:tc>
      </w:tr>
      <w:tr w14:paraId="4A7C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rPr>
        <w:tc>
          <w:tcPr>
            <w:tcW w:w="130" w:type="pct"/>
            <w:tcBorders>
              <w:top w:val="single" w:color="auto" w:sz="4" w:space="0"/>
              <w:left w:val="single" w:color="auto" w:sz="4" w:space="0"/>
              <w:bottom w:val="single" w:color="auto" w:sz="4" w:space="0"/>
              <w:right w:val="single" w:color="auto" w:sz="4" w:space="0"/>
            </w:tcBorders>
            <w:vAlign w:val="center"/>
          </w:tcPr>
          <w:p w14:paraId="090B756A">
            <w:pPr>
              <w:pStyle w:val="196"/>
            </w:pPr>
            <w:r>
              <w:rPr>
                <w:rFonts w:hint="eastAsia"/>
              </w:rPr>
              <w:t>3</w:t>
            </w:r>
          </w:p>
        </w:tc>
        <w:tc>
          <w:tcPr>
            <w:tcW w:w="293" w:type="pct"/>
            <w:tcBorders>
              <w:top w:val="single" w:color="auto" w:sz="4" w:space="0"/>
              <w:left w:val="single" w:color="auto" w:sz="4" w:space="0"/>
              <w:bottom w:val="single" w:color="auto" w:sz="4" w:space="0"/>
              <w:right w:val="single" w:color="auto" w:sz="4" w:space="0"/>
            </w:tcBorders>
            <w:vAlign w:val="center"/>
          </w:tcPr>
          <w:p w14:paraId="17A4267F">
            <w:pPr>
              <w:pStyle w:val="196"/>
            </w:pPr>
            <w:r>
              <w:rPr>
                <w:rFonts w:hint="eastAsia"/>
              </w:rPr>
              <w:t>朱码闸桥下游段</w:t>
            </w:r>
          </w:p>
        </w:tc>
        <w:tc>
          <w:tcPr>
            <w:tcW w:w="401" w:type="pct"/>
            <w:tcBorders>
              <w:top w:val="single" w:color="auto" w:sz="4" w:space="0"/>
              <w:left w:val="single" w:color="auto" w:sz="4" w:space="0"/>
              <w:bottom w:val="single" w:color="auto" w:sz="4" w:space="0"/>
              <w:right w:val="single" w:color="auto" w:sz="4" w:space="0"/>
            </w:tcBorders>
            <w:vAlign w:val="center"/>
          </w:tcPr>
          <w:p w14:paraId="0F659874">
            <w:pPr>
              <w:pStyle w:val="196"/>
            </w:pPr>
            <w:r>
              <w:rPr>
                <w:rFonts w:hint="eastAsia"/>
              </w:rPr>
              <w:t>朱码船闸下游4000～4500米</w:t>
            </w:r>
          </w:p>
        </w:tc>
        <w:tc>
          <w:tcPr>
            <w:tcW w:w="229" w:type="pct"/>
            <w:tcBorders>
              <w:top w:val="single" w:color="auto" w:sz="4" w:space="0"/>
              <w:left w:val="single" w:color="auto" w:sz="4" w:space="0"/>
              <w:bottom w:val="single" w:color="auto" w:sz="4" w:space="0"/>
              <w:right w:val="single" w:color="auto" w:sz="4" w:space="0"/>
            </w:tcBorders>
            <w:vAlign w:val="center"/>
          </w:tcPr>
          <w:p w14:paraId="4796441A">
            <w:pPr>
              <w:pStyle w:val="196"/>
            </w:pPr>
            <w:r>
              <w:rPr>
                <w:rFonts w:hint="eastAsia"/>
              </w:rPr>
              <w:t>500</w:t>
            </w:r>
          </w:p>
        </w:tc>
        <w:tc>
          <w:tcPr>
            <w:tcW w:w="228" w:type="pct"/>
            <w:tcBorders>
              <w:top w:val="single" w:color="auto" w:sz="4" w:space="0"/>
              <w:left w:val="single" w:color="auto" w:sz="4" w:space="0"/>
              <w:bottom w:val="single" w:color="auto" w:sz="4" w:space="0"/>
              <w:right w:val="single" w:color="auto" w:sz="4" w:space="0"/>
            </w:tcBorders>
            <w:vAlign w:val="center"/>
          </w:tcPr>
          <w:p w14:paraId="6ABF687E">
            <w:pPr>
              <w:pStyle w:val="196"/>
            </w:pPr>
            <w:r>
              <w:rPr>
                <w:rFonts w:hint="eastAsia"/>
              </w:rPr>
              <w:t>盐河</w:t>
            </w:r>
          </w:p>
        </w:tc>
        <w:tc>
          <w:tcPr>
            <w:tcW w:w="198" w:type="pct"/>
            <w:tcBorders>
              <w:top w:val="single" w:color="auto" w:sz="4" w:space="0"/>
              <w:left w:val="single" w:color="auto" w:sz="4" w:space="0"/>
              <w:bottom w:val="single" w:color="auto" w:sz="4" w:space="0"/>
              <w:right w:val="single" w:color="auto" w:sz="4" w:space="0"/>
            </w:tcBorders>
            <w:vAlign w:val="center"/>
          </w:tcPr>
          <w:p w14:paraId="4C189BD0">
            <w:pPr>
              <w:pStyle w:val="196"/>
            </w:pPr>
            <w:r>
              <w:rPr>
                <w:rFonts w:hint="eastAsia"/>
              </w:rPr>
              <w:t>三级</w:t>
            </w:r>
          </w:p>
        </w:tc>
        <w:tc>
          <w:tcPr>
            <w:tcW w:w="111" w:type="pct"/>
            <w:tcBorders>
              <w:top w:val="single" w:color="auto" w:sz="4" w:space="0"/>
              <w:left w:val="single" w:color="auto" w:sz="4" w:space="0"/>
              <w:bottom w:val="single" w:color="auto" w:sz="4" w:space="0"/>
              <w:right w:val="single" w:color="auto" w:sz="4" w:space="0"/>
            </w:tcBorders>
            <w:vAlign w:val="center"/>
          </w:tcPr>
          <w:p w14:paraId="671E65EF">
            <w:pPr>
              <w:pStyle w:val="196"/>
            </w:pPr>
            <w:r>
              <w:rPr>
                <w:rFonts w:hint="eastAsia"/>
              </w:rPr>
              <w:t>右</w:t>
            </w:r>
          </w:p>
        </w:tc>
        <w:tc>
          <w:tcPr>
            <w:tcW w:w="0" w:type="auto"/>
            <w:vMerge w:val="continue"/>
            <w:tcBorders>
              <w:top w:val="nil"/>
              <w:left w:val="single" w:color="auto" w:sz="4" w:space="0"/>
              <w:bottom w:val="single" w:color="auto" w:sz="4" w:space="0"/>
              <w:right w:val="single" w:color="auto" w:sz="4" w:space="0"/>
            </w:tcBorders>
            <w:vAlign w:val="center"/>
          </w:tcPr>
          <w:p w14:paraId="143966D5">
            <w:pPr>
              <w:pStyle w:val="196"/>
              <w:rPr>
                <w:kern w:val="0"/>
              </w:rPr>
            </w:pPr>
          </w:p>
        </w:tc>
        <w:tc>
          <w:tcPr>
            <w:tcW w:w="0" w:type="auto"/>
            <w:vMerge w:val="continue"/>
            <w:tcBorders>
              <w:top w:val="nil"/>
              <w:left w:val="single" w:color="auto" w:sz="4" w:space="0"/>
              <w:bottom w:val="single" w:color="auto" w:sz="4" w:space="0"/>
              <w:right w:val="single" w:color="auto" w:sz="4" w:space="0"/>
            </w:tcBorders>
            <w:vAlign w:val="center"/>
          </w:tcPr>
          <w:p w14:paraId="792AA728">
            <w:pPr>
              <w:pStyle w:val="196"/>
              <w:rPr>
                <w:kern w:val="0"/>
              </w:rPr>
            </w:pPr>
          </w:p>
        </w:tc>
        <w:tc>
          <w:tcPr>
            <w:tcW w:w="227" w:type="pct"/>
            <w:tcBorders>
              <w:top w:val="single" w:color="auto" w:sz="4" w:space="0"/>
              <w:left w:val="single" w:color="auto" w:sz="4" w:space="0"/>
              <w:bottom w:val="single" w:color="auto" w:sz="4" w:space="0"/>
              <w:right w:val="single" w:color="auto" w:sz="4" w:space="0"/>
            </w:tcBorders>
            <w:vAlign w:val="center"/>
          </w:tcPr>
          <w:p w14:paraId="745BA90E">
            <w:pPr>
              <w:pStyle w:val="196"/>
            </w:pPr>
            <w:r>
              <w:rPr>
                <w:rFonts w:hint="eastAsia"/>
              </w:rPr>
              <w:t>未建</w:t>
            </w:r>
          </w:p>
        </w:tc>
        <w:tc>
          <w:tcPr>
            <w:tcW w:w="260" w:type="pct"/>
            <w:tcBorders>
              <w:top w:val="single" w:color="auto" w:sz="4" w:space="0"/>
              <w:left w:val="single" w:color="auto" w:sz="4" w:space="0"/>
              <w:bottom w:val="single" w:color="auto" w:sz="4" w:space="0"/>
              <w:right w:val="single" w:color="auto" w:sz="4" w:space="0"/>
            </w:tcBorders>
            <w:vAlign w:val="center"/>
          </w:tcPr>
          <w:p w14:paraId="7B718447">
            <w:pPr>
              <w:pStyle w:val="196"/>
            </w:pPr>
            <w:r>
              <w:rPr>
                <w:rFonts w:hint="eastAsia"/>
              </w:rPr>
              <w:t>公用</w:t>
            </w:r>
          </w:p>
        </w:tc>
        <w:tc>
          <w:tcPr>
            <w:tcW w:w="343" w:type="pct"/>
            <w:tcBorders>
              <w:top w:val="single" w:color="auto" w:sz="4" w:space="0"/>
              <w:left w:val="single" w:color="auto" w:sz="4" w:space="0"/>
              <w:bottom w:val="single" w:color="auto" w:sz="4" w:space="0"/>
              <w:right w:val="single" w:color="auto" w:sz="4" w:space="0"/>
            </w:tcBorders>
            <w:vAlign w:val="center"/>
          </w:tcPr>
          <w:p w14:paraId="4CECA448">
            <w:pPr>
              <w:pStyle w:val="196"/>
            </w:pPr>
            <w:r>
              <w:rPr>
                <w:rFonts w:hint="eastAsia"/>
              </w:rPr>
              <w:t>/</w:t>
            </w:r>
          </w:p>
        </w:tc>
        <w:tc>
          <w:tcPr>
            <w:tcW w:w="313" w:type="pct"/>
            <w:tcBorders>
              <w:top w:val="single" w:color="auto" w:sz="4" w:space="0"/>
              <w:left w:val="single" w:color="auto" w:sz="4" w:space="0"/>
              <w:bottom w:val="single" w:color="auto" w:sz="4" w:space="0"/>
              <w:right w:val="single" w:color="auto" w:sz="4" w:space="0"/>
            </w:tcBorders>
            <w:vAlign w:val="center"/>
          </w:tcPr>
          <w:p w14:paraId="2D674E2D">
            <w:pPr>
              <w:pStyle w:val="196"/>
            </w:pPr>
            <w:r>
              <w:rPr>
                <w:rFonts w:hint="eastAsia"/>
              </w:rPr>
              <w:t>/</w:t>
            </w:r>
          </w:p>
        </w:tc>
        <w:tc>
          <w:tcPr>
            <w:tcW w:w="400" w:type="pct"/>
            <w:tcBorders>
              <w:top w:val="single" w:color="auto" w:sz="4" w:space="0"/>
              <w:left w:val="single" w:color="auto" w:sz="4" w:space="0"/>
              <w:bottom w:val="single" w:color="auto" w:sz="4" w:space="0"/>
              <w:right w:val="single" w:color="auto" w:sz="4" w:space="0"/>
            </w:tcBorders>
            <w:vAlign w:val="center"/>
          </w:tcPr>
          <w:p w14:paraId="6F2EDD07">
            <w:pPr>
              <w:pStyle w:val="196"/>
            </w:pPr>
            <w:r>
              <w:rPr>
                <w:rFonts w:hint="eastAsia"/>
              </w:rPr>
              <w:t>/</w:t>
            </w:r>
          </w:p>
        </w:tc>
        <w:tc>
          <w:tcPr>
            <w:tcW w:w="545" w:type="pct"/>
            <w:tcBorders>
              <w:top w:val="single" w:color="auto" w:sz="4" w:space="0"/>
              <w:left w:val="single" w:color="auto" w:sz="4" w:space="0"/>
              <w:bottom w:val="single" w:color="auto" w:sz="4" w:space="0"/>
              <w:right w:val="single" w:color="auto" w:sz="4" w:space="0"/>
            </w:tcBorders>
            <w:vAlign w:val="center"/>
          </w:tcPr>
          <w:p w14:paraId="73E236B9">
            <w:pPr>
              <w:pStyle w:val="196"/>
            </w:pPr>
            <w:r>
              <w:rPr>
                <w:rFonts w:hint="eastAsia"/>
              </w:rPr>
              <w:t>/</w:t>
            </w:r>
          </w:p>
        </w:tc>
        <w:tc>
          <w:tcPr>
            <w:tcW w:w="752" w:type="pct"/>
            <w:tcBorders>
              <w:top w:val="single" w:color="auto" w:sz="4" w:space="0"/>
              <w:left w:val="single" w:color="auto" w:sz="4" w:space="0"/>
              <w:bottom w:val="single" w:color="auto" w:sz="4" w:space="0"/>
              <w:right w:val="single" w:color="auto" w:sz="4" w:space="0"/>
            </w:tcBorders>
            <w:vAlign w:val="center"/>
          </w:tcPr>
          <w:p w14:paraId="485A47AD">
            <w:pPr>
              <w:pStyle w:val="196"/>
            </w:pPr>
            <w:r>
              <w:rPr>
                <w:rFonts w:hint="eastAsia"/>
              </w:rPr>
              <w:t>新增段，新增500m</w:t>
            </w:r>
          </w:p>
        </w:tc>
      </w:tr>
    </w:tbl>
    <w:p w14:paraId="6FFA38AD">
      <w:pPr>
        <w:ind w:firstLine="482"/>
        <w:rPr>
          <w:b/>
          <w:szCs w:val="24"/>
        </w:rPr>
        <w:sectPr>
          <w:pgSz w:w="16838" w:h="11906" w:orient="landscape"/>
          <w:pgMar w:top="1418" w:right="1418" w:bottom="1418" w:left="1418" w:header="851" w:footer="992" w:gutter="0"/>
          <w:cols w:space="720" w:num="1"/>
          <w:docGrid w:type="lines" w:linePitch="312" w:charSpace="0"/>
        </w:sectPr>
      </w:pPr>
    </w:p>
    <w:p w14:paraId="057297F7">
      <w:pPr>
        <w:autoSpaceDE w:val="0"/>
        <w:autoSpaceDN w:val="0"/>
        <w:adjustRightInd w:val="0"/>
        <w:snapToGrid w:val="0"/>
        <w:ind w:firstLine="482"/>
        <w:rPr>
          <w:rFonts w:cs="Times New Roman"/>
          <w:b/>
          <w:szCs w:val="24"/>
        </w:rPr>
      </w:pPr>
      <w:r>
        <w:rPr>
          <w:rFonts w:hint="eastAsia" w:ascii="宋体" w:hAnsi="宋体"/>
          <w:b/>
          <w:szCs w:val="24"/>
        </w:rPr>
        <w:t>三、盐河岸线</w:t>
      </w:r>
    </w:p>
    <w:p w14:paraId="183C8F23">
      <w:pPr>
        <w:autoSpaceDE w:val="0"/>
        <w:autoSpaceDN w:val="0"/>
        <w:adjustRightInd w:val="0"/>
        <w:snapToGrid w:val="0"/>
        <w:ind w:firstLine="480"/>
        <w:rPr>
          <w:bCs/>
          <w:szCs w:val="24"/>
        </w:rPr>
      </w:pPr>
      <w:r>
        <w:rPr>
          <w:rFonts w:hint="eastAsia"/>
          <w:bCs/>
          <w:szCs w:val="24"/>
        </w:rPr>
        <w:t>1</w:t>
      </w:r>
      <w:r>
        <w:rPr>
          <w:rFonts w:hint="eastAsia" w:ascii="宋体" w:hAnsi="宋体"/>
          <w:bCs/>
          <w:szCs w:val="24"/>
        </w:rPr>
        <w:t>、左岸</w:t>
      </w:r>
    </w:p>
    <w:p w14:paraId="664BF23A">
      <w:pPr>
        <w:autoSpaceDE w:val="0"/>
        <w:autoSpaceDN w:val="0"/>
        <w:adjustRightInd w:val="0"/>
        <w:snapToGrid w:val="0"/>
        <w:ind w:firstLine="480"/>
        <w:rPr>
          <w:bCs/>
          <w:szCs w:val="24"/>
        </w:rPr>
      </w:pPr>
      <w:r>
        <w:rPr>
          <w:rFonts w:hint="eastAsia" w:ascii="宋体" w:hAnsi="宋体"/>
          <w:bCs/>
          <w:szCs w:val="24"/>
        </w:rPr>
        <w:t>（</w:t>
      </w:r>
      <w:r>
        <w:rPr>
          <w:rFonts w:hint="eastAsia"/>
          <w:bCs/>
          <w:szCs w:val="24"/>
        </w:rPr>
        <w:t>1</w:t>
      </w:r>
      <w:r>
        <w:rPr>
          <w:rFonts w:hint="eastAsia" w:ascii="宋体" w:hAnsi="宋体"/>
          <w:bCs/>
          <w:szCs w:val="24"/>
        </w:rPr>
        <w:t>）从西互通连接线大桥下游</w:t>
      </w:r>
      <w:r>
        <w:rPr>
          <w:rFonts w:hint="eastAsia"/>
          <w:bCs/>
          <w:szCs w:val="24"/>
        </w:rPr>
        <w:t>180</w:t>
      </w:r>
      <w:r>
        <w:rPr>
          <w:rFonts w:hint="eastAsia" w:ascii="宋体" w:hAnsi="宋体"/>
          <w:bCs/>
          <w:szCs w:val="24"/>
        </w:rPr>
        <w:t>米至西互通连接线大桥下游</w:t>
      </w:r>
      <w:r>
        <w:rPr>
          <w:rFonts w:hint="eastAsia"/>
          <w:bCs/>
          <w:szCs w:val="24"/>
        </w:rPr>
        <w:t>1520</w:t>
      </w:r>
      <w:r>
        <w:rPr>
          <w:rFonts w:hint="eastAsia" w:ascii="宋体" w:hAnsi="宋体"/>
          <w:bCs/>
          <w:szCs w:val="24"/>
        </w:rPr>
        <w:t>米，全长</w:t>
      </w:r>
      <w:r>
        <w:rPr>
          <w:rFonts w:hint="eastAsia"/>
          <w:bCs/>
          <w:szCs w:val="24"/>
        </w:rPr>
        <w:t>1340</w:t>
      </w:r>
      <w:r>
        <w:rPr>
          <w:rFonts w:hint="eastAsia" w:ascii="宋体" w:hAnsi="宋体"/>
          <w:bCs/>
          <w:szCs w:val="24"/>
        </w:rPr>
        <w:t>米。规划为港口岸线，其中已开发利用</w:t>
      </w:r>
      <w:r>
        <w:rPr>
          <w:rFonts w:hint="eastAsia"/>
          <w:bCs/>
          <w:szCs w:val="24"/>
        </w:rPr>
        <w:t>1140</w:t>
      </w:r>
      <w:r>
        <w:rPr>
          <w:rFonts w:hint="eastAsia" w:ascii="宋体" w:hAnsi="宋体"/>
          <w:bCs/>
          <w:szCs w:val="24"/>
        </w:rPr>
        <w:t>米，规划利用</w:t>
      </w:r>
      <w:r>
        <w:rPr>
          <w:rFonts w:hint="eastAsia"/>
          <w:bCs/>
          <w:szCs w:val="24"/>
        </w:rPr>
        <w:t>200</w:t>
      </w:r>
      <w:r>
        <w:rPr>
          <w:rFonts w:hint="eastAsia" w:ascii="宋体" w:hAnsi="宋体"/>
          <w:bCs/>
          <w:szCs w:val="24"/>
        </w:rPr>
        <w:t>米。（</w:t>
      </w:r>
      <w:r>
        <w:rPr>
          <w:rFonts w:hint="eastAsia"/>
          <w:bCs/>
          <w:szCs w:val="24"/>
        </w:rPr>
        <w:t>2</w:t>
      </w:r>
      <w:r>
        <w:rPr>
          <w:rFonts w:hint="eastAsia" w:ascii="宋体" w:hAnsi="宋体"/>
          <w:bCs/>
          <w:szCs w:val="24"/>
        </w:rPr>
        <w:t>）从</w:t>
      </w:r>
      <w:r>
        <w:rPr>
          <w:rFonts w:hint="eastAsia"/>
          <w:bCs/>
          <w:szCs w:val="24"/>
        </w:rPr>
        <w:t>G205</w:t>
      </w:r>
      <w:r>
        <w:rPr>
          <w:rFonts w:hint="eastAsia" w:ascii="宋体" w:hAnsi="宋体"/>
          <w:bCs/>
          <w:szCs w:val="24"/>
        </w:rPr>
        <w:t>大桥下游</w:t>
      </w:r>
      <w:r>
        <w:rPr>
          <w:rFonts w:hint="eastAsia"/>
          <w:bCs/>
          <w:szCs w:val="24"/>
        </w:rPr>
        <w:t>150</w:t>
      </w:r>
      <w:r>
        <w:rPr>
          <w:rFonts w:hint="eastAsia" w:ascii="宋体" w:hAnsi="宋体"/>
          <w:bCs/>
          <w:szCs w:val="24"/>
        </w:rPr>
        <w:t>米至下游</w:t>
      </w:r>
      <w:r>
        <w:rPr>
          <w:rFonts w:hint="eastAsia"/>
          <w:bCs/>
          <w:szCs w:val="24"/>
        </w:rPr>
        <w:t>1600</w:t>
      </w:r>
      <w:r>
        <w:rPr>
          <w:rFonts w:hint="eastAsia" w:ascii="宋体" w:hAnsi="宋体"/>
          <w:bCs/>
          <w:szCs w:val="24"/>
        </w:rPr>
        <w:t>米，全长</w:t>
      </w:r>
      <w:r>
        <w:rPr>
          <w:rFonts w:hint="eastAsia"/>
          <w:bCs/>
          <w:szCs w:val="24"/>
        </w:rPr>
        <w:t>1260</w:t>
      </w:r>
      <w:r>
        <w:rPr>
          <w:rFonts w:hint="eastAsia" w:ascii="宋体" w:hAnsi="宋体"/>
          <w:bCs/>
          <w:szCs w:val="24"/>
        </w:rPr>
        <w:t>米（不含桥区保护范围）。规划为港口岸线，其中已开发利用</w:t>
      </w:r>
      <w:r>
        <w:rPr>
          <w:rFonts w:hint="eastAsia"/>
          <w:bCs/>
          <w:szCs w:val="24"/>
        </w:rPr>
        <w:t>1260</w:t>
      </w:r>
      <w:r>
        <w:rPr>
          <w:rFonts w:hint="eastAsia" w:ascii="宋体" w:hAnsi="宋体"/>
          <w:bCs/>
          <w:szCs w:val="24"/>
        </w:rPr>
        <w:t>米。（</w:t>
      </w:r>
      <w:r>
        <w:rPr>
          <w:rFonts w:hint="eastAsia"/>
          <w:bCs/>
          <w:szCs w:val="24"/>
        </w:rPr>
        <w:t>3</w:t>
      </w:r>
      <w:r>
        <w:rPr>
          <w:rFonts w:hint="eastAsia" w:ascii="宋体" w:hAnsi="宋体"/>
          <w:bCs/>
          <w:szCs w:val="24"/>
        </w:rPr>
        <w:t>）从南昌北路至宁连路大桥上游</w:t>
      </w:r>
      <w:r>
        <w:rPr>
          <w:rFonts w:hint="eastAsia"/>
          <w:bCs/>
          <w:szCs w:val="24"/>
        </w:rPr>
        <w:t>750</w:t>
      </w:r>
      <w:r>
        <w:rPr>
          <w:rFonts w:hint="eastAsia" w:ascii="宋体" w:hAnsi="宋体"/>
          <w:bCs/>
          <w:szCs w:val="24"/>
        </w:rPr>
        <w:t>米，全长</w:t>
      </w:r>
      <w:r>
        <w:rPr>
          <w:rFonts w:hint="eastAsia"/>
          <w:bCs/>
          <w:szCs w:val="24"/>
        </w:rPr>
        <w:t>1050</w:t>
      </w:r>
      <w:r>
        <w:rPr>
          <w:rFonts w:hint="eastAsia" w:ascii="宋体" w:hAnsi="宋体"/>
          <w:bCs/>
          <w:szCs w:val="24"/>
        </w:rPr>
        <w:t>米。规划为港口岸线，可用作临港工业开发。其中已开发利用</w:t>
      </w:r>
      <w:r>
        <w:rPr>
          <w:rFonts w:hint="eastAsia"/>
          <w:bCs/>
          <w:szCs w:val="24"/>
        </w:rPr>
        <w:t>520</w:t>
      </w:r>
      <w:r>
        <w:rPr>
          <w:rFonts w:hint="eastAsia" w:ascii="宋体" w:hAnsi="宋体"/>
          <w:bCs/>
          <w:szCs w:val="24"/>
        </w:rPr>
        <w:t>米，规划利用岸线</w:t>
      </w:r>
      <w:r>
        <w:rPr>
          <w:rFonts w:hint="eastAsia"/>
          <w:bCs/>
          <w:szCs w:val="24"/>
        </w:rPr>
        <w:t>530</w:t>
      </w:r>
      <w:r>
        <w:rPr>
          <w:rFonts w:hint="eastAsia" w:ascii="宋体" w:hAnsi="宋体"/>
          <w:bCs/>
          <w:szCs w:val="24"/>
        </w:rPr>
        <w:t>米。（</w:t>
      </w:r>
      <w:r>
        <w:rPr>
          <w:rFonts w:hint="eastAsia"/>
          <w:bCs/>
          <w:szCs w:val="24"/>
        </w:rPr>
        <w:t>4</w:t>
      </w:r>
      <w:r>
        <w:rPr>
          <w:rFonts w:hint="eastAsia" w:ascii="宋体" w:hAnsi="宋体"/>
          <w:bCs/>
          <w:szCs w:val="24"/>
        </w:rPr>
        <w:t>）从宁连路大桥下游</w:t>
      </w:r>
      <w:r>
        <w:rPr>
          <w:rFonts w:hint="eastAsia"/>
          <w:bCs/>
          <w:szCs w:val="24"/>
        </w:rPr>
        <w:t>1200</w:t>
      </w:r>
      <w:r>
        <w:rPr>
          <w:rFonts w:hint="eastAsia" w:ascii="宋体" w:hAnsi="宋体"/>
          <w:bCs/>
          <w:szCs w:val="24"/>
        </w:rPr>
        <w:t>至</w:t>
      </w:r>
      <w:r>
        <w:rPr>
          <w:rFonts w:hint="eastAsia"/>
          <w:bCs/>
          <w:szCs w:val="24"/>
        </w:rPr>
        <w:t>1400</w:t>
      </w:r>
      <w:r>
        <w:rPr>
          <w:rFonts w:hint="eastAsia" w:ascii="宋体" w:hAnsi="宋体"/>
          <w:bCs/>
          <w:szCs w:val="24"/>
        </w:rPr>
        <w:t>米，全长</w:t>
      </w:r>
      <w:r>
        <w:rPr>
          <w:rFonts w:hint="eastAsia"/>
          <w:bCs/>
          <w:szCs w:val="24"/>
        </w:rPr>
        <w:t>200</w:t>
      </w:r>
      <w:r>
        <w:rPr>
          <w:rFonts w:hint="eastAsia" w:ascii="宋体" w:hAnsi="宋体"/>
          <w:bCs/>
          <w:szCs w:val="24"/>
        </w:rPr>
        <w:t>米。规划为港口岸线，可用作临港工业开发。其中已开发利用</w:t>
      </w:r>
      <w:r>
        <w:rPr>
          <w:rFonts w:hint="eastAsia"/>
          <w:bCs/>
          <w:szCs w:val="24"/>
        </w:rPr>
        <w:t>200</w:t>
      </w:r>
      <w:r>
        <w:rPr>
          <w:rFonts w:hint="eastAsia" w:ascii="宋体" w:hAnsi="宋体"/>
          <w:bCs/>
          <w:szCs w:val="24"/>
        </w:rPr>
        <w:t>米。（</w:t>
      </w:r>
      <w:r>
        <w:rPr>
          <w:rFonts w:hint="eastAsia"/>
          <w:bCs/>
          <w:szCs w:val="24"/>
        </w:rPr>
        <w:t>5</w:t>
      </w:r>
      <w:r>
        <w:rPr>
          <w:rFonts w:hint="eastAsia" w:ascii="宋体" w:hAnsi="宋体"/>
          <w:bCs/>
          <w:szCs w:val="24"/>
        </w:rPr>
        <w:t>）从康马路大桥上游</w:t>
      </w:r>
      <w:r>
        <w:rPr>
          <w:rFonts w:hint="eastAsia"/>
          <w:bCs/>
          <w:szCs w:val="24"/>
        </w:rPr>
        <w:t>1500</w:t>
      </w:r>
      <w:r>
        <w:rPr>
          <w:rFonts w:hint="eastAsia" w:ascii="宋体" w:hAnsi="宋体"/>
          <w:bCs/>
          <w:szCs w:val="24"/>
        </w:rPr>
        <w:t>米至康马路大桥，全长</w:t>
      </w:r>
      <w:r>
        <w:rPr>
          <w:rFonts w:hint="eastAsia"/>
          <w:bCs/>
          <w:szCs w:val="24"/>
        </w:rPr>
        <w:t>1500</w:t>
      </w:r>
      <w:r>
        <w:rPr>
          <w:rFonts w:hint="eastAsia" w:ascii="宋体" w:hAnsi="宋体"/>
          <w:bCs/>
          <w:szCs w:val="24"/>
        </w:rPr>
        <w:t>米。规划为港口岸线，可用作公用港口开发。其中已开发利用</w:t>
      </w:r>
      <w:r>
        <w:rPr>
          <w:rFonts w:hint="eastAsia"/>
          <w:bCs/>
          <w:szCs w:val="24"/>
        </w:rPr>
        <w:t>1300</w:t>
      </w:r>
      <w:r>
        <w:rPr>
          <w:rFonts w:hint="eastAsia" w:ascii="宋体" w:hAnsi="宋体"/>
          <w:bCs/>
          <w:szCs w:val="24"/>
        </w:rPr>
        <w:t>米，规划利用</w:t>
      </w:r>
      <w:r>
        <w:rPr>
          <w:rFonts w:hint="eastAsia"/>
          <w:bCs/>
          <w:szCs w:val="24"/>
        </w:rPr>
        <w:t>200</w:t>
      </w:r>
      <w:r>
        <w:rPr>
          <w:rFonts w:hint="eastAsia" w:ascii="宋体" w:hAnsi="宋体"/>
          <w:bCs/>
          <w:szCs w:val="24"/>
        </w:rPr>
        <w:t>米。（</w:t>
      </w:r>
      <w:r>
        <w:rPr>
          <w:rFonts w:hint="eastAsia"/>
          <w:bCs/>
          <w:szCs w:val="24"/>
        </w:rPr>
        <w:t>6</w:t>
      </w:r>
      <w:r>
        <w:rPr>
          <w:rFonts w:hint="eastAsia" w:ascii="宋体" w:hAnsi="宋体"/>
          <w:bCs/>
          <w:szCs w:val="24"/>
        </w:rPr>
        <w:t>）从大关大桥上游</w:t>
      </w:r>
      <w:r>
        <w:rPr>
          <w:rFonts w:hint="eastAsia"/>
          <w:bCs/>
          <w:szCs w:val="24"/>
        </w:rPr>
        <w:t>3950</w:t>
      </w:r>
      <w:r>
        <w:rPr>
          <w:rFonts w:hint="eastAsia" w:ascii="宋体" w:hAnsi="宋体"/>
          <w:bCs/>
          <w:szCs w:val="24"/>
        </w:rPr>
        <w:t>米至大关大桥上游</w:t>
      </w:r>
      <w:r>
        <w:rPr>
          <w:rFonts w:hint="eastAsia"/>
          <w:bCs/>
          <w:szCs w:val="24"/>
        </w:rPr>
        <w:t>3450</w:t>
      </w:r>
      <w:r>
        <w:rPr>
          <w:rFonts w:hint="eastAsia" w:ascii="宋体" w:hAnsi="宋体"/>
          <w:bCs/>
          <w:szCs w:val="24"/>
        </w:rPr>
        <w:t>米，全长</w:t>
      </w:r>
      <w:r>
        <w:rPr>
          <w:rFonts w:hint="eastAsia"/>
          <w:bCs/>
          <w:szCs w:val="24"/>
        </w:rPr>
        <w:t>500</w:t>
      </w:r>
      <w:r>
        <w:rPr>
          <w:rFonts w:hint="eastAsia" w:ascii="宋体" w:hAnsi="宋体"/>
          <w:bCs/>
          <w:szCs w:val="24"/>
        </w:rPr>
        <w:t>米，规划为港口岸线。（</w:t>
      </w:r>
      <w:r>
        <w:rPr>
          <w:rFonts w:hint="eastAsia"/>
          <w:bCs/>
          <w:szCs w:val="24"/>
        </w:rPr>
        <w:t>7</w:t>
      </w:r>
      <w:r>
        <w:rPr>
          <w:rFonts w:hint="eastAsia" w:ascii="宋体" w:hAnsi="宋体"/>
          <w:bCs/>
          <w:szCs w:val="24"/>
        </w:rPr>
        <w:t>）从陶码大桥下游</w:t>
      </w:r>
      <w:r>
        <w:rPr>
          <w:rFonts w:hint="eastAsia"/>
          <w:bCs/>
          <w:szCs w:val="24"/>
        </w:rPr>
        <w:t>200</w:t>
      </w:r>
      <w:r>
        <w:rPr>
          <w:rFonts w:hint="eastAsia" w:ascii="宋体" w:hAnsi="宋体"/>
          <w:bCs/>
          <w:szCs w:val="24"/>
        </w:rPr>
        <w:t>米至陶码大桥下游</w:t>
      </w:r>
      <w:r>
        <w:rPr>
          <w:rFonts w:hint="eastAsia"/>
          <w:bCs/>
          <w:szCs w:val="24"/>
        </w:rPr>
        <w:t>1200</w:t>
      </w:r>
      <w:r>
        <w:rPr>
          <w:rFonts w:hint="eastAsia" w:ascii="宋体" w:hAnsi="宋体"/>
          <w:bCs/>
          <w:szCs w:val="24"/>
        </w:rPr>
        <w:t>米，全长</w:t>
      </w:r>
      <w:r>
        <w:rPr>
          <w:rFonts w:hint="eastAsia"/>
          <w:bCs/>
          <w:szCs w:val="24"/>
        </w:rPr>
        <w:t>1000</w:t>
      </w:r>
      <w:r>
        <w:rPr>
          <w:rFonts w:hint="eastAsia" w:ascii="宋体" w:hAnsi="宋体"/>
          <w:bCs/>
          <w:szCs w:val="24"/>
        </w:rPr>
        <w:t>米。规划为港口岸线，可用作公用港口开发。其中已开发利用</w:t>
      </w:r>
      <w:r>
        <w:rPr>
          <w:rFonts w:hint="eastAsia"/>
          <w:bCs/>
          <w:szCs w:val="24"/>
        </w:rPr>
        <w:t>740</w:t>
      </w:r>
      <w:r>
        <w:rPr>
          <w:rFonts w:hint="eastAsia" w:ascii="宋体" w:hAnsi="宋体"/>
          <w:bCs/>
          <w:szCs w:val="24"/>
        </w:rPr>
        <w:t>米，规划利用</w:t>
      </w:r>
      <w:r>
        <w:rPr>
          <w:rFonts w:hint="eastAsia"/>
          <w:bCs/>
          <w:szCs w:val="24"/>
        </w:rPr>
        <w:t>260</w:t>
      </w:r>
      <w:r>
        <w:rPr>
          <w:rFonts w:hint="eastAsia" w:ascii="宋体" w:hAnsi="宋体"/>
          <w:bCs/>
          <w:szCs w:val="24"/>
        </w:rPr>
        <w:t>米。（</w:t>
      </w:r>
      <w:r>
        <w:rPr>
          <w:rFonts w:hint="eastAsia"/>
          <w:bCs/>
          <w:szCs w:val="24"/>
        </w:rPr>
        <w:t>8</w:t>
      </w:r>
      <w:r>
        <w:rPr>
          <w:rFonts w:hint="eastAsia" w:ascii="宋体" w:hAnsi="宋体"/>
          <w:bCs/>
          <w:szCs w:val="24"/>
        </w:rPr>
        <w:t>）从朱码闸桥上游</w:t>
      </w:r>
      <w:r>
        <w:rPr>
          <w:rFonts w:hint="eastAsia"/>
          <w:bCs/>
          <w:szCs w:val="24"/>
        </w:rPr>
        <w:t>2450</w:t>
      </w:r>
      <w:r>
        <w:rPr>
          <w:rFonts w:hint="eastAsia" w:ascii="宋体" w:hAnsi="宋体"/>
          <w:bCs/>
          <w:szCs w:val="24"/>
        </w:rPr>
        <w:t>米至朱码闸桥上游</w:t>
      </w:r>
      <w:r>
        <w:rPr>
          <w:rFonts w:hint="eastAsia"/>
          <w:bCs/>
          <w:szCs w:val="24"/>
        </w:rPr>
        <w:t>950</w:t>
      </w:r>
      <w:r>
        <w:rPr>
          <w:rFonts w:hint="eastAsia" w:ascii="宋体" w:hAnsi="宋体"/>
          <w:bCs/>
          <w:szCs w:val="24"/>
        </w:rPr>
        <w:t>米，全长</w:t>
      </w:r>
      <w:r>
        <w:rPr>
          <w:rFonts w:hint="eastAsia"/>
          <w:bCs/>
          <w:szCs w:val="24"/>
        </w:rPr>
        <w:t>1500</w:t>
      </w:r>
      <w:r>
        <w:rPr>
          <w:rFonts w:hint="eastAsia" w:ascii="宋体" w:hAnsi="宋体"/>
          <w:bCs/>
          <w:szCs w:val="24"/>
        </w:rPr>
        <w:t>米。规划为港口岸线，可用作公用港口开发。其中已开发利用</w:t>
      </w:r>
      <w:r>
        <w:rPr>
          <w:rFonts w:hint="eastAsia"/>
          <w:bCs/>
          <w:szCs w:val="24"/>
        </w:rPr>
        <w:t>550</w:t>
      </w:r>
      <w:r>
        <w:rPr>
          <w:rFonts w:hint="eastAsia" w:ascii="宋体" w:hAnsi="宋体"/>
          <w:bCs/>
          <w:szCs w:val="24"/>
        </w:rPr>
        <w:t>米，规划利用</w:t>
      </w:r>
      <w:r>
        <w:rPr>
          <w:rFonts w:hint="eastAsia"/>
          <w:bCs/>
          <w:szCs w:val="24"/>
        </w:rPr>
        <w:t>950</w:t>
      </w:r>
      <w:r>
        <w:rPr>
          <w:rFonts w:hint="eastAsia" w:ascii="宋体" w:hAnsi="宋体"/>
          <w:bCs/>
          <w:szCs w:val="24"/>
        </w:rPr>
        <w:t>米。（</w:t>
      </w:r>
      <w:r>
        <w:rPr>
          <w:rFonts w:hint="eastAsia"/>
          <w:bCs/>
          <w:szCs w:val="24"/>
        </w:rPr>
        <w:t>9</w:t>
      </w:r>
      <w:r>
        <w:rPr>
          <w:rFonts w:hint="eastAsia" w:ascii="宋体" w:hAnsi="宋体"/>
          <w:bCs/>
          <w:szCs w:val="24"/>
        </w:rPr>
        <w:t>）</w:t>
      </w:r>
      <w:r>
        <w:rPr>
          <w:rFonts w:hint="eastAsia" w:ascii="宋体" w:hAnsi="宋体"/>
          <w:b/>
          <w:szCs w:val="24"/>
        </w:rPr>
        <w:t>从朱码船闸下游</w:t>
      </w:r>
      <w:r>
        <w:rPr>
          <w:rFonts w:hint="eastAsia"/>
          <w:b/>
          <w:szCs w:val="24"/>
        </w:rPr>
        <w:t>4300</w:t>
      </w:r>
      <w:r>
        <w:rPr>
          <w:rFonts w:hint="eastAsia" w:ascii="宋体" w:hAnsi="宋体"/>
          <w:b/>
          <w:szCs w:val="24"/>
        </w:rPr>
        <w:t>米至朱码船闸下游</w:t>
      </w:r>
      <w:r>
        <w:rPr>
          <w:rFonts w:hint="eastAsia"/>
          <w:b/>
          <w:szCs w:val="24"/>
        </w:rPr>
        <w:t>5300</w:t>
      </w:r>
      <w:r>
        <w:rPr>
          <w:rFonts w:hint="eastAsia" w:ascii="宋体" w:hAnsi="宋体"/>
          <w:b/>
          <w:szCs w:val="24"/>
        </w:rPr>
        <w:t>米，全长</w:t>
      </w:r>
      <w:r>
        <w:rPr>
          <w:rFonts w:hint="eastAsia"/>
          <w:b/>
          <w:szCs w:val="24"/>
        </w:rPr>
        <w:t>1000</w:t>
      </w:r>
      <w:r>
        <w:rPr>
          <w:rFonts w:hint="eastAsia" w:ascii="宋体" w:hAnsi="宋体"/>
          <w:b/>
          <w:szCs w:val="24"/>
        </w:rPr>
        <w:t>米，规划为港口岸线。</w:t>
      </w:r>
      <w:r>
        <w:rPr>
          <w:rFonts w:hint="eastAsia" w:ascii="宋体" w:hAnsi="宋体"/>
          <w:bCs/>
          <w:szCs w:val="24"/>
        </w:rPr>
        <w:t>（</w:t>
      </w:r>
      <w:r>
        <w:rPr>
          <w:rFonts w:hint="eastAsia"/>
          <w:bCs/>
          <w:szCs w:val="24"/>
        </w:rPr>
        <w:t>10</w:t>
      </w:r>
      <w:r>
        <w:rPr>
          <w:rFonts w:hint="eastAsia" w:ascii="宋体" w:hAnsi="宋体"/>
          <w:bCs/>
          <w:szCs w:val="24"/>
        </w:rPr>
        <w:t>）从赵码大桥上游</w:t>
      </w:r>
      <w:r>
        <w:rPr>
          <w:rFonts w:hint="eastAsia"/>
          <w:bCs/>
          <w:szCs w:val="24"/>
        </w:rPr>
        <w:t>300</w:t>
      </w:r>
      <w:r>
        <w:rPr>
          <w:rFonts w:hint="eastAsia" w:ascii="宋体" w:hAnsi="宋体"/>
          <w:bCs/>
          <w:szCs w:val="24"/>
        </w:rPr>
        <w:t>米至赵码大桥上游</w:t>
      </w:r>
      <w:r>
        <w:rPr>
          <w:rFonts w:hint="eastAsia"/>
          <w:bCs/>
          <w:szCs w:val="24"/>
        </w:rPr>
        <w:t>1300</w:t>
      </w:r>
      <w:r>
        <w:rPr>
          <w:rFonts w:hint="eastAsia" w:ascii="宋体" w:hAnsi="宋体"/>
          <w:bCs/>
          <w:szCs w:val="24"/>
        </w:rPr>
        <w:t>米，全长</w:t>
      </w:r>
      <w:r>
        <w:rPr>
          <w:rFonts w:hint="eastAsia"/>
          <w:bCs/>
          <w:szCs w:val="24"/>
        </w:rPr>
        <w:t>1000</w:t>
      </w:r>
      <w:r>
        <w:rPr>
          <w:rFonts w:hint="eastAsia" w:ascii="宋体" w:hAnsi="宋体"/>
          <w:bCs/>
          <w:szCs w:val="24"/>
        </w:rPr>
        <w:t>米，规划为港口岸线。（</w:t>
      </w:r>
      <w:r>
        <w:rPr>
          <w:rFonts w:hint="eastAsia"/>
          <w:bCs/>
          <w:szCs w:val="24"/>
        </w:rPr>
        <w:t>11</w:t>
      </w:r>
      <w:r>
        <w:rPr>
          <w:rFonts w:hint="eastAsia" w:ascii="宋体" w:hAnsi="宋体"/>
          <w:bCs/>
          <w:szCs w:val="24"/>
        </w:rPr>
        <w:t>）从赵码大桥下游</w:t>
      </w:r>
      <w:r>
        <w:rPr>
          <w:rFonts w:hint="eastAsia"/>
          <w:bCs/>
          <w:szCs w:val="24"/>
        </w:rPr>
        <w:t>300</w:t>
      </w:r>
      <w:r>
        <w:rPr>
          <w:rFonts w:hint="eastAsia" w:ascii="宋体" w:hAnsi="宋体"/>
          <w:bCs/>
          <w:szCs w:val="24"/>
        </w:rPr>
        <w:t>米至赵码大桥下游</w:t>
      </w:r>
      <w:r>
        <w:rPr>
          <w:rFonts w:hint="eastAsia"/>
          <w:bCs/>
          <w:szCs w:val="24"/>
        </w:rPr>
        <w:t>700</w:t>
      </w:r>
      <w:r>
        <w:rPr>
          <w:rFonts w:hint="eastAsia" w:ascii="宋体" w:hAnsi="宋体"/>
          <w:bCs/>
          <w:szCs w:val="24"/>
        </w:rPr>
        <w:t>米，全长</w:t>
      </w:r>
      <w:r>
        <w:rPr>
          <w:rFonts w:hint="eastAsia"/>
          <w:bCs/>
          <w:szCs w:val="24"/>
        </w:rPr>
        <w:t>400</w:t>
      </w:r>
      <w:r>
        <w:rPr>
          <w:rFonts w:hint="eastAsia" w:ascii="宋体" w:hAnsi="宋体"/>
          <w:bCs/>
          <w:szCs w:val="24"/>
        </w:rPr>
        <w:t>米，规划为港口岸线。</w:t>
      </w:r>
    </w:p>
    <w:p w14:paraId="0A9883F9">
      <w:pPr>
        <w:pStyle w:val="86"/>
      </w:pPr>
      <w:r>
        <w:rPr>
          <w:rFonts w:hint="eastAsia"/>
        </w:rPr>
        <w:t>淮安市港口岸线利用规划表（单位：米）</w:t>
      </w:r>
    </w:p>
    <w:tbl>
      <w:tblPr>
        <w:tblStyle w:val="38"/>
        <w:tblW w:w="50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0"/>
        <w:gridCol w:w="1801"/>
        <w:gridCol w:w="2975"/>
        <w:gridCol w:w="622"/>
        <w:gridCol w:w="649"/>
        <w:gridCol w:w="912"/>
        <w:gridCol w:w="1669"/>
      </w:tblGrid>
      <w:tr w14:paraId="3782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279" w:type="pct"/>
            <w:tcBorders>
              <w:top w:val="single" w:color="auto" w:sz="4" w:space="0"/>
              <w:left w:val="single" w:color="auto" w:sz="4" w:space="0"/>
              <w:bottom w:val="single" w:color="auto" w:sz="4" w:space="0"/>
              <w:right w:val="single" w:color="auto" w:sz="4" w:space="0"/>
            </w:tcBorders>
            <w:vAlign w:val="center"/>
          </w:tcPr>
          <w:p w14:paraId="180BA653">
            <w:pPr>
              <w:pStyle w:val="196"/>
              <w:rPr>
                <w:b/>
                <w:bCs/>
                <w:szCs w:val="21"/>
              </w:rPr>
            </w:pPr>
            <w:r>
              <w:rPr>
                <w:rFonts w:hint="eastAsia"/>
                <w:b/>
                <w:bCs/>
              </w:rPr>
              <w:t>航道</w:t>
            </w:r>
          </w:p>
        </w:tc>
        <w:tc>
          <w:tcPr>
            <w:tcW w:w="985" w:type="pct"/>
            <w:tcBorders>
              <w:top w:val="single" w:color="auto" w:sz="4" w:space="0"/>
              <w:left w:val="single" w:color="auto" w:sz="4" w:space="0"/>
              <w:bottom w:val="single" w:color="auto" w:sz="4" w:space="0"/>
              <w:right w:val="single" w:color="auto" w:sz="4" w:space="0"/>
            </w:tcBorders>
            <w:vAlign w:val="center"/>
          </w:tcPr>
          <w:p w14:paraId="11F880D7">
            <w:pPr>
              <w:pStyle w:val="196"/>
              <w:rPr>
                <w:b/>
                <w:bCs/>
              </w:rPr>
            </w:pPr>
            <w:r>
              <w:rPr>
                <w:rFonts w:hint="eastAsia"/>
                <w:b/>
                <w:bCs/>
              </w:rPr>
              <w:t>岸线名称</w:t>
            </w:r>
          </w:p>
        </w:tc>
        <w:tc>
          <w:tcPr>
            <w:tcW w:w="1627" w:type="pct"/>
            <w:tcBorders>
              <w:top w:val="single" w:color="auto" w:sz="4" w:space="0"/>
              <w:left w:val="single" w:color="auto" w:sz="4" w:space="0"/>
              <w:bottom w:val="single" w:color="auto" w:sz="4" w:space="0"/>
              <w:right w:val="single" w:color="auto" w:sz="4" w:space="0"/>
            </w:tcBorders>
            <w:vAlign w:val="center"/>
          </w:tcPr>
          <w:p w14:paraId="057384E9">
            <w:pPr>
              <w:pStyle w:val="196"/>
              <w:rPr>
                <w:b/>
                <w:bCs/>
              </w:rPr>
            </w:pPr>
            <w:r>
              <w:rPr>
                <w:rFonts w:hint="eastAsia"/>
                <w:b/>
                <w:bCs/>
              </w:rPr>
              <w:t>岸线起讫点</w:t>
            </w:r>
          </w:p>
        </w:tc>
        <w:tc>
          <w:tcPr>
            <w:tcW w:w="340" w:type="pct"/>
            <w:tcBorders>
              <w:top w:val="single" w:color="auto" w:sz="4" w:space="0"/>
              <w:left w:val="single" w:color="auto" w:sz="4" w:space="0"/>
              <w:bottom w:val="single" w:color="auto" w:sz="4" w:space="0"/>
              <w:right w:val="single" w:color="auto" w:sz="4" w:space="0"/>
            </w:tcBorders>
            <w:vAlign w:val="center"/>
          </w:tcPr>
          <w:p w14:paraId="3BBE9917">
            <w:pPr>
              <w:pStyle w:val="196"/>
              <w:rPr>
                <w:b/>
                <w:bCs/>
              </w:rPr>
            </w:pPr>
            <w:r>
              <w:rPr>
                <w:rFonts w:hint="eastAsia"/>
                <w:b/>
                <w:bCs/>
              </w:rPr>
              <w:t>岸别</w:t>
            </w:r>
          </w:p>
        </w:tc>
        <w:tc>
          <w:tcPr>
            <w:tcW w:w="355" w:type="pct"/>
            <w:tcBorders>
              <w:top w:val="single" w:color="auto" w:sz="4" w:space="0"/>
              <w:left w:val="single" w:color="auto" w:sz="4" w:space="0"/>
              <w:bottom w:val="single" w:color="auto" w:sz="4" w:space="0"/>
              <w:right w:val="single" w:color="auto" w:sz="4" w:space="0"/>
            </w:tcBorders>
            <w:vAlign w:val="center"/>
          </w:tcPr>
          <w:p w14:paraId="1A03D4E9">
            <w:pPr>
              <w:pStyle w:val="196"/>
              <w:rPr>
                <w:b/>
                <w:bCs/>
              </w:rPr>
            </w:pPr>
            <w:r>
              <w:rPr>
                <w:rFonts w:hint="eastAsia"/>
                <w:b/>
                <w:bCs/>
              </w:rPr>
              <w:t>岸线长度（m）</w:t>
            </w:r>
          </w:p>
        </w:tc>
        <w:tc>
          <w:tcPr>
            <w:tcW w:w="499" w:type="pct"/>
            <w:tcBorders>
              <w:top w:val="single" w:color="auto" w:sz="4" w:space="0"/>
              <w:left w:val="single" w:color="auto" w:sz="4" w:space="0"/>
              <w:bottom w:val="single" w:color="auto" w:sz="4" w:space="0"/>
              <w:right w:val="single" w:color="auto" w:sz="4" w:space="0"/>
            </w:tcBorders>
            <w:vAlign w:val="center"/>
          </w:tcPr>
          <w:p w14:paraId="200BA20C">
            <w:pPr>
              <w:pStyle w:val="196"/>
              <w:rPr>
                <w:b/>
                <w:bCs/>
              </w:rPr>
            </w:pPr>
            <w:r>
              <w:rPr>
                <w:rFonts w:hint="eastAsia"/>
                <w:b/>
                <w:bCs/>
              </w:rPr>
              <w:t>开发情况</w:t>
            </w:r>
          </w:p>
        </w:tc>
        <w:tc>
          <w:tcPr>
            <w:tcW w:w="912" w:type="pct"/>
            <w:tcBorders>
              <w:top w:val="single" w:color="auto" w:sz="4" w:space="0"/>
              <w:left w:val="single" w:color="auto" w:sz="4" w:space="0"/>
              <w:bottom w:val="single" w:color="auto" w:sz="4" w:space="0"/>
              <w:right w:val="single" w:color="auto" w:sz="4" w:space="0"/>
            </w:tcBorders>
            <w:vAlign w:val="center"/>
          </w:tcPr>
          <w:p w14:paraId="7954710F">
            <w:pPr>
              <w:pStyle w:val="196"/>
              <w:rPr>
                <w:b/>
                <w:bCs/>
              </w:rPr>
            </w:pPr>
            <w:r>
              <w:rPr>
                <w:rFonts w:hint="eastAsia"/>
                <w:b/>
                <w:bCs/>
              </w:rPr>
              <w:t>岸线用途</w:t>
            </w:r>
          </w:p>
        </w:tc>
      </w:tr>
      <w:tr w14:paraId="5080D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9" w:type="pct"/>
            <w:vMerge w:val="restart"/>
            <w:tcBorders>
              <w:top w:val="nil"/>
              <w:left w:val="single" w:color="auto" w:sz="4" w:space="0"/>
              <w:bottom w:val="single" w:color="auto" w:sz="4" w:space="0"/>
              <w:right w:val="single" w:color="auto" w:sz="4" w:space="0"/>
            </w:tcBorders>
            <w:vAlign w:val="center"/>
          </w:tcPr>
          <w:p w14:paraId="1D504E01">
            <w:pPr>
              <w:pStyle w:val="196"/>
              <w:rPr>
                <w:bCs/>
              </w:rPr>
            </w:pPr>
            <w:r>
              <w:rPr>
                <w:rFonts w:hint="eastAsia"/>
                <w:bCs/>
              </w:rPr>
              <w:t>盐河</w:t>
            </w:r>
          </w:p>
        </w:tc>
        <w:tc>
          <w:tcPr>
            <w:tcW w:w="985" w:type="pct"/>
            <w:tcBorders>
              <w:top w:val="single" w:color="auto" w:sz="4" w:space="0"/>
              <w:left w:val="single" w:color="auto" w:sz="4" w:space="0"/>
              <w:bottom w:val="single" w:color="auto" w:sz="4" w:space="0"/>
              <w:right w:val="single" w:color="auto" w:sz="4" w:space="0"/>
            </w:tcBorders>
            <w:vAlign w:val="center"/>
          </w:tcPr>
          <w:p w14:paraId="2CCD4BA4">
            <w:pPr>
              <w:pStyle w:val="196"/>
              <w:rPr>
                <w:bCs/>
              </w:rPr>
            </w:pPr>
            <w:r>
              <w:rPr>
                <w:rFonts w:hint="eastAsia"/>
                <w:bCs/>
              </w:rPr>
              <w:t>西互通连接线大桥下游段</w:t>
            </w:r>
          </w:p>
        </w:tc>
        <w:tc>
          <w:tcPr>
            <w:tcW w:w="1627" w:type="pct"/>
            <w:tcBorders>
              <w:top w:val="single" w:color="auto" w:sz="4" w:space="0"/>
              <w:left w:val="single" w:color="auto" w:sz="4" w:space="0"/>
              <w:bottom w:val="single" w:color="auto" w:sz="4" w:space="0"/>
              <w:right w:val="single" w:color="auto" w:sz="4" w:space="0"/>
            </w:tcBorders>
            <w:vAlign w:val="center"/>
          </w:tcPr>
          <w:p w14:paraId="5ADB8CCC">
            <w:pPr>
              <w:pStyle w:val="196"/>
              <w:rPr>
                <w:bCs/>
              </w:rPr>
            </w:pPr>
            <w:r>
              <w:rPr>
                <w:rFonts w:hint="eastAsia"/>
                <w:bCs/>
              </w:rPr>
              <w:t>西互通连接线大桥下游180米～1520米</w:t>
            </w:r>
          </w:p>
        </w:tc>
        <w:tc>
          <w:tcPr>
            <w:tcW w:w="340" w:type="pct"/>
            <w:tcBorders>
              <w:top w:val="single" w:color="auto" w:sz="4" w:space="0"/>
              <w:left w:val="single" w:color="auto" w:sz="4" w:space="0"/>
              <w:bottom w:val="single" w:color="auto" w:sz="4" w:space="0"/>
              <w:right w:val="single" w:color="auto" w:sz="4" w:space="0"/>
            </w:tcBorders>
            <w:vAlign w:val="center"/>
          </w:tcPr>
          <w:p w14:paraId="33B54D1F">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4D5C5E06">
            <w:pPr>
              <w:pStyle w:val="196"/>
              <w:rPr>
                <w:bCs/>
              </w:rPr>
            </w:pPr>
            <w:r>
              <w:rPr>
                <w:rFonts w:hint="eastAsia"/>
                <w:bCs/>
              </w:rPr>
              <w:t>1340</w:t>
            </w:r>
          </w:p>
        </w:tc>
        <w:tc>
          <w:tcPr>
            <w:tcW w:w="499" w:type="pct"/>
            <w:tcBorders>
              <w:top w:val="single" w:color="auto" w:sz="4" w:space="0"/>
              <w:left w:val="single" w:color="auto" w:sz="4" w:space="0"/>
              <w:bottom w:val="single" w:color="auto" w:sz="4" w:space="0"/>
              <w:right w:val="single" w:color="auto" w:sz="4" w:space="0"/>
            </w:tcBorders>
            <w:vAlign w:val="center"/>
          </w:tcPr>
          <w:p w14:paraId="6B8FFC1F">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0DC81957">
            <w:pPr>
              <w:pStyle w:val="196"/>
              <w:rPr>
                <w:bCs/>
              </w:rPr>
            </w:pPr>
            <w:r>
              <w:rPr>
                <w:rFonts w:hint="eastAsia"/>
                <w:bCs/>
              </w:rPr>
              <w:t>油品、钢材等散杂货</w:t>
            </w:r>
          </w:p>
        </w:tc>
      </w:tr>
      <w:tr w14:paraId="332C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7AC2ED62">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2319B387">
            <w:pPr>
              <w:pStyle w:val="196"/>
              <w:rPr>
                <w:bCs/>
              </w:rPr>
            </w:pPr>
            <w:r>
              <w:rPr>
                <w:rFonts w:hint="eastAsia"/>
                <w:bCs/>
              </w:rPr>
              <w:t>华能铁路桥下游段</w:t>
            </w:r>
          </w:p>
        </w:tc>
        <w:tc>
          <w:tcPr>
            <w:tcW w:w="1627" w:type="pct"/>
            <w:tcBorders>
              <w:top w:val="single" w:color="auto" w:sz="4" w:space="0"/>
              <w:left w:val="single" w:color="auto" w:sz="4" w:space="0"/>
              <w:bottom w:val="single" w:color="auto" w:sz="4" w:space="0"/>
              <w:right w:val="single" w:color="auto" w:sz="4" w:space="0"/>
            </w:tcBorders>
            <w:vAlign w:val="center"/>
          </w:tcPr>
          <w:p w14:paraId="2C08FD50">
            <w:pPr>
              <w:pStyle w:val="196"/>
              <w:rPr>
                <w:bCs/>
              </w:rPr>
            </w:pPr>
            <w:r>
              <w:rPr>
                <w:rFonts w:hint="eastAsia"/>
                <w:bCs/>
              </w:rPr>
              <w:t>G205大桥下游150米～1600米</w:t>
            </w:r>
          </w:p>
        </w:tc>
        <w:tc>
          <w:tcPr>
            <w:tcW w:w="340" w:type="pct"/>
            <w:tcBorders>
              <w:top w:val="single" w:color="auto" w:sz="4" w:space="0"/>
              <w:left w:val="single" w:color="auto" w:sz="4" w:space="0"/>
              <w:bottom w:val="single" w:color="auto" w:sz="4" w:space="0"/>
              <w:right w:val="single" w:color="auto" w:sz="4" w:space="0"/>
            </w:tcBorders>
            <w:vAlign w:val="center"/>
          </w:tcPr>
          <w:p w14:paraId="6FEAB389">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19F687EE">
            <w:pPr>
              <w:pStyle w:val="196"/>
              <w:rPr>
                <w:bCs/>
              </w:rPr>
            </w:pPr>
            <w:r>
              <w:rPr>
                <w:rFonts w:hint="eastAsia"/>
                <w:bCs/>
              </w:rPr>
              <w:t>1260</w:t>
            </w:r>
          </w:p>
        </w:tc>
        <w:tc>
          <w:tcPr>
            <w:tcW w:w="499" w:type="pct"/>
            <w:tcBorders>
              <w:top w:val="single" w:color="auto" w:sz="4" w:space="0"/>
              <w:left w:val="single" w:color="auto" w:sz="4" w:space="0"/>
              <w:bottom w:val="single" w:color="auto" w:sz="4" w:space="0"/>
              <w:right w:val="single" w:color="auto" w:sz="4" w:space="0"/>
            </w:tcBorders>
            <w:vAlign w:val="center"/>
          </w:tcPr>
          <w:p w14:paraId="21C9845D">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4AE7A187">
            <w:pPr>
              <w:pStyle w:val="196"/>
              <w:rPr>
                <w:bCs/>
              </w:rPr>
            </w:pPr>
            <w:r>
              <w:rPr>
                <w:rFonts w:hint="eastAsia"/>
                <w:bCs/>
              </w:rPr>
              <w:t>矿建材等散杂货</w:t>
            </w:r>
          </w:p>
        </w:tc>
      </w:tr>
      <w:tr w14:paraId="50C7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E027280">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4EEF73B0">
            <w:pPr>
              <w:pStyle w:val="196"/>
              <w:rPr>
                <w:bCs/>
              </w:rPr>
            </w:pPr>
            <w:r>
              <w:rPr>
                <w:rFonts w:hint="eastAsia"/>
                <w:bCs/>
              </w:rPr>
              <w:t>宁连路大桥上游段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533602F3">
            <w:pPr>
              <w:pStyle w:val="196"/>
              <w:rPr>
                <w:bCs/>
              </w:rPr>
            </w:pPr>
            <w:r>
              <w:rPr>
                <w:rFonts w:hint="eastAsia"/>
                <w:bCs/>
              </w:rPr>
              <w:t>南昌北路～宁连路大桥上游750米</w:t>
            </w:r>
          </w:p>
        </w:tc>
        <w:tc>
          <w:tcPr>
            <w:tcW w:w="340" w:type="pct"/>
            <w:tcBorders>
              <w:top w:val="single" w:color="auto" w:sz="4" w:space="0"/>
              <w:left w:val="single" w:color="auto" w:sz="4" w:space="0"/>
              <w:bottom w:val="single" w:color="auto" w:sz="4" w:space="0"/>
              <w:right w:val="single" w:color="auto" w:sz="4" w:space="0"/>
            </w:tcBorders>
            <w:vAlign w:val="center"/>
          </w:tcPr>
          <w:p w14:paraId="5A1C0037">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7F4112F2">
            <w:pPr>
              <w:pStyle w:val="196"/>
              <w:rPr>
                <w:bCs/>
              </w:rPr>
            </w:pPr>
            <w:r>
              <w:rPr>
                <w:rFonts w:hint="eastAsia"/>
                <w:bCs/>
              </w:rPr>
              <w:t>1050</w:t>
            </w:r>
          </w:p>
        </w:tc>
        <w:tc>
          <w:tcPr>
            <w:tcW w:w="499" w:type="pct"/>
            <w:tcBorders>
              <w:top w:val="single" w:color="auto" w:sz="4" w:space="0"/>
              <w:left w:val="single" w:color="auto" w:sz="4" w:space="0"/>
              <w:bottom w:val="single" w:color="auto" w:sz="4" w:space="0"/>
              <w:right w:val="single" w:color="auto" w:sz="4" w:space="0"/>
            </w:tcBorders>
            <w:vAlign w:val="center"/>
          </w:tcPr>
          <w:p w14:paraId="7E80CD5D">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2E5367F1">
            <w:pPr>
              <w:pStyle w:val="196"/>
              <w:rPr>
                <w:bCs/>
              </w:rPr>
            </w:pPr>
            <w:r>
              <w:rPr>
                <w:rFonts w:hint="eastAsia"/>
                <w:bCs/>
              </w:rPr>
              <w:t>矿建材等散杂货</w:t>
            </w:r>
          </w:p>
        </w:tc>
      </w:tr>
      <w:tr w14:paraId="0E71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7C0D9EC">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0C74F799">
            <w:pPr>
              <w:pStyle w:val="196"/>
              <w:rPr>
                <w:bCs/>
              </w:rPr>
            </w:pPr>
            <w:r>
              <w:rPr>
                <w:rFonts w:hint="eastAsia"/>
                <w:bCs/>
              </w:rPr>
              <w:t>宁连路大桥段</w:t>
            </w:r>
          </w:p>
        </w:tc>
        <w:tc>
          <w:tcPr>
            <w:tcW w:w="1627" w:type="pct"/>
            <w:tcBorders>
              <w:top w:val="single" w:color="auto" w:sz="4" w:space="0"/>
              <w:left w:val="single" w:color="auto" w:sz="4" w:space="0"/>
              <w:bottom w:val="single" w:color="auto" w:sz="4" w:space="0"/>
              <w:right w:val="single" w:color="auto" w:sz="4" w:space="0"/>
            </w:tcBorders>
            <w:vAlign w:val="center"/>
          </w:tcPr>
          <w:p w14:paraId="7E4B5948">
            <w:pPr>
              <w:pStyle w:val="196"/>
              <w:rPr>
                <w:bCs/>
              </w:rPr>
            </w:pPr>
            <w:r>
              <w:rPr>
                <w:rFonts w:hint="eastAsia"/>
                <w:bCs/>
              </w:rPr>
              <w:t>宁连路大桥下游1200米～下游1400米</w:t>
            </w:r>
          </w:p>
        </w:tc>
        <w:tc>
          <w:tcPr>
            <w:tcW w:w="340" w:type="pct"/>
            <w:tcBorders>
              <w:top w:val="single" w:color="auto" w:sz="4" w:space="0"/>
              <w:left w:val="single" w:color="auto" w:sz="4" w:space="0"/>
              <w:bottom w:val="single" w:color="auto" w:sz="4" w:space="0"/>
              <w:right w:val="single" w:color="auto" w:sz="4" w:space="0"/>
            </w:tcBorders>
            <w:vAlign w:val="center"/>
          </w:tcPr>
          <w:p w14:paraId="2BAD21E8">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2BFA99C6">
            <w:pPr>
              <w:pStyle w:val="196"/>
              <w:rPr>
                <w:bCs/>
              </w:rPr>
            </w:pPr>
            <w:r>
              <w:rPr>
                <w:rFonts w:hint="eastAsia"/>
                <w:bCs/>
              </w:rPr>
              <w:t>200</w:t>
            </w:r>
          </w:p>
        </w:tc>
        <w:tc>
          <w:tcPr>
            <w:tcW w:w="499" w:type="pct"/>
            <w:tcBorders>
              <w:top w:val="single" w:color="auto" w:sz="4" w:space="0"/>
              <w:left w:val="single" w:color="auto" w:sz="4" w:space="0"/>
              <w:bottom w:val="single" w:color="auto" w:sz="4" w:space="0"/>
              <w:right w:val="single" w:color="auto" w:sz="4" w:space="0"/>
            </w:tcBorders>
            <w:vAlign w:val="center"/>
          </w:tcPr>
          <w:p w14:paraId="47EA0843">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784BC92E">
            <w:pPr>
              <w:pStyle w:val="196"/>
              <w:rPr>
                <w:bCs/>
              </w:rPr>
            </w:pPr>
            <w:r>
              <w:rPr>
                <w:rFonts w:hint="eastAsia"/>
                <w:bCs/>
              </w:rPr>
              <w:t>矿建材等散杂货</w:t>
            </w:r>
          </w:p>
        </w:tc>
      </w:tr>
      <w:tr w14:paraId="0E9D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0674784">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552F6021">
            <w:pPr>
              <w:pStyle w:val="196"/>
              <w:rPr>
                <w:bCs/>
              </w:rPr>
            </w:pPr>
            <w:r>
              <w:rPr>
                <w:rFonts w:hint="eastAsia"/>
                <w:bCs/>
              </w:rPr>
              <w:t>康马路大桥上游段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1587AF47">
            <w:pPr>
              <w:pStyle w:val="196"/>
              <w:rPr>
                <w:bCs/>
              </w:rPr>
            </w:pPr>
            <w:r>
              <w:rPr>
                <w:rFonts w:hint="eastAsia"/>
                <w:bCs/>
              </w:rPr>
              <w:t>康马路大桥上游1500米～康马路大桥</w:t>
            </w:r>
          </w:p>
        </w:tc>
        <w:tc>
          <w:tcPr>
            <w:tcW w:w="340" w:type="pct"/>
            <w:tcBorders>
              <w:top w:val="single" w:color="auto" w:sz="4" w:space="0"/>
              <w:left w:val="single" w:color="auto" w:sz="4" w:space="0"/>
              <w:bottom w:val="single" w:color="auto" w:sz="4" w:space="0"/>
              <w:right w:val="single" w:color="auto" w:sz="4" w:space="0"/>
            </w:tcBorders>
            <w:vAlign w:val="center"/>
          </w:tcPr>
          <w:p w14:paraId="115BEFBE">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0F09014D">
            <w:pPr>
              <w:pStyle w:val="196"/>
              <w:rPr>
                <w:bCs/>
              </w:rPr>
            </w:pPr>
            <w:r>
              <w:rPr>
                <w:rFonts w:hint="eastAsia"/>
                <w:bCs/>
              </w:rPr>
              <w:t>1500</w:t>
            </w:r>
          </w:p>
        </w:tc>
        <w:tc>
          <w:tcPr>
            <w:tcW w:w="499" w:type="pct"/>
            <w:tcBorders>
              <w:top w:val="single" w:color="auto" w:sz="4" w:space="0"/>
              <w:left w:val="single" w:color="auto" w:sz="4" w:space="0"/>
              <w:bottom w:val="single" w:color="auto" w:sz="4" w:space="0"/>
              <w:right w:val="single" w:color="auto" w:sz="4" w:space="0"/>
            </w:tcBorders>
            <w:vAlign w:val="center"/>
          </w:tcPr>
          <w:p w14:paraId="6783A011">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3FA095C0">
            <w:pPr>
              <w:pStyle w:val="196"/>
              <w:rPr>
                <w:bCs/>
              </w:rPr>
            </w:pPr>
            <w:r>
              <w:rPr>
                <w:rFonts w:hint="eastAsia"/>
                <w:bCs/>
              </w:rPr>
              <w:t>集装箱、件杂货等</w:t>
            </w:r>
          </w:p>
        </w:tc>
      </w:tr>
      <w:tr w14:paraId="228B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548D970E">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56E8C442">
            <w:pPr>
              <w:pStyle w:val="196"/>
              <w:rPr>
                <w:bCs/>
              </w:rPr>
            </w:pPr>
            <w:r>
              <w:rPr>
                <w:rFonts w:hint="eastAsia"/>
                <w:bCs/>
              </w:rPr>
              <w:t>大关大桥上游段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3ABDFF74">
            <w:pPr>
              <w:pStyle w:val="196"/>
              <w:rPr>
                <w:bCs/>
              </w:rPr>
            </w:pPr>
            <w:r>
              <w:rPr>
                <w:rFonts w:hint="eastAsia"/>
                <w:bCs/>
              </w:rPr>
              <w:t>大关大桥上游3950米～3450米</w:t>
            </w:r>
          </w:p>
        </w:tc>
        <w:tc>
          <w:tcPr>
            <w:tcW w:w="340" w:type="pct"/>
            <w:tcBorders>
              <w:top w:val="single" w:color="auto" w:sz="4" w:space="0"/>
              <w:left w:val="single" w:color="auto" w:sz="4" w:space="0"/>
              <w:bottom w:val="single" w:color="auto" w:sz="4" w:space="0"/>
              <w:right w:val="single" w:color="auto" w:sz="4" w:space="0"/>
            </w:tcBorders>
            <w:vAlign w:val="center"/>
          </w:tcPr>
          <w:p w14:paraId="25FDD910">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167CFF13">
            <w:pPr>
              <w:pStyle w:val="196"/>
              <w:rPr>
                <w:bCs/>
              </w:rPr>
            </w:pPr>
            <w:r>
              <w:rPr>
                <w:rFonts w:hint="eastAsia"/>
                <w:bCs/>
              </w:rPr>
              <w:t>500</w:t>
            </w:r>
          </w:p>
        </w:tc>
        <w:tc>
          <w:tcPr>
            <w:tcW w:w="499" w:type="pct"/>
            <w:tcBorders>
              <w:top w:val="single" w:color="auto" w:sz="4" w:space="0"/>
              <w:left w:val="single" w:color="auto" w:sz="4" w:space="0"/>
              <w:bottom w:val="single" w:color="auto" w:sz="4" w:space="0"/>
              <w:right w:val="single" w:color="auto" w:sz="4" w:space="0"/>
            </w:tcBorders>
            <w:vAlign w:val="center"/>
          </w:tcPr>
          <w:p w14:paraId="54524196">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vAlign w:val="center"/>
          </w:tcPr>
          <w:p w14:paraId="72AAEE7B">
            <w:pPr>
              <w:pStyle w:val="196"/>
              <w:rPr>
                <w:bCs/>
              </w:rPr>
            </w:pPr>
            <w:r>
              <w:rPr>
                <w:rFonts w:hint="eastAsia"/>
                <w:bCs/>
              </w:rPr>
              <w:t>矿建材等散杂货</w:t>
            </w:r>
          </w:p>
        </w:tc>
      </w:tr>
      <w:tr w14:paraId="22BD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B2F11C4">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07C9728F">
            <w:pPr>
              <w:pStyle w:val="196"/>
              <w:rPr>
                <w:bCs/>
              </w:rPr>
            </w:pPr>
            <w:r>
              <w:rPr>
                <w:rFonts w:hint="eastAsia"/>
                <w:bCs/>
              </w:rPr>
              <w:t>陶码大桥下游段</w:t>
            </w:r>
          </w:p>
        </w:tc>
        <w:tc>
          <w:tcPr>
            <w:tcW w:w="1627" w:type="pct"/>
            <w:tcBorders>
              <w:top w:val="single" w:color="auto" w:sz="4" w:space="0"/>
              <w:left w:val="single" w:color="auto" w:sz="4" w:space="0"/>
              <w:bottom w:val="single" w:color="auto" w:sz="4" w:space="0"/>
              <w:right w:val="single" w:color="auto" w:sz="4" w:space="0"/>
            </w:tcBorders>
            <w:vAlign w:val="center"/>
          </w:tcPr>
          <w:p w14:paraId="563C9038">
            <w:pPr>
              <w:pStyle w:val="196"/>
              <w:rPr>
                <w:bCs/>
              </w:rPr>
            </w:pPr>
            <w:r>
              <w:rPr>
                <w:rFonts w:hint="eastAsia"/>
                <w:bCs/>
              </w:rPr>
              <w:t>陶码大桥下游200米～1200米</w:t>
            </w:r>
          </w:p>
        </w:tc>
        <w:tc>
          <w:tcPr>
            <w:tcW w:w="340" w:type="pct"/>
            <w:tcBorders>
              <w:top w:val="single" w:color="auto" w:sz="4" w:space="0"/>
              <w:left w:val="single" w:color="auto" w:sz="4" w:space="0"/>
              <w:bottom w:val="single" w:color="auto" w:sz="4" w:space="0"/>
              <w:right w:val="single" w:color="auto" w:sz="4" w:space="0"/>
            </w:tcBorders>
            <w:vAlign w:val="center"/>
          </w:tcPr>
          <w:p w14:paraId="6C759DFE">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773AF775">
            <w:pPr>
              <w:pStyle w:val="196"/>
              <w:rPr>
                <w:bCs/>
              </w:rPr>
            </w:pPr>
            <w:r>
              <w:rPr>
                <w:rFonts w:hint="eastAsia"/>
                <w:bCs/>
              </w:rPr>
              <w:t>1000</w:t>
            </w:r>
          </w:p>
        </w:tc>
        <w:tc>
          <w:tcPr>
            <w:tcW w:w="499" w:type="pct"/>
            <w:tcBorders>
              <w:top w:val="single" w:color="auto" w:sz="4" w:space="0"/>
              <w:left w:val="single" w:color="auto" w:sz="4" w:space="0"/>
              <w:bottom w:val="single" w:color="auto" w:sz="4" w:space="0"/>
              <w:right w:val="single" w:color="auto" w:sz="4" w:space="0"/>
            </w:tcBorders>
            <w:vAlign w:val="center"/>
          </w:tcPr>
          <w:p w14:paraId="2C3429C8">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6833B53F">
            <w:pPr>
              <w:pStyle w:val="196"/>
              <w:rPr>
                <w:bCs/>
              </w:rPr>
            </w:pPr>
            <w:r>
              <w:rPr>
                <w:rFonts w:hint="eastAsia"/>
                <w:bCs/>
              </w:rPr>
              <w:t>矿建材、钢材等</w:t>
            </w:r>
          </w:p>
        </w:tc>
      </w:tr>
      <w:tr w14:paraId="594B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4B68F9DE">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1546A300">
            <w:pPr>
              <w:pStyle w:val="196"/>
              <w:rPr>
                <w:bCs/>
              </w:rPr>
            </w:pPr>
            <w:r>
              <w:rPr>
                <w:rFonts w:hint="eastAsia"/>
                <w:bCs/>
              </w:rPr>
              <w:t>朱码船闸上游段</w:t>
            </w:r>
          </w:p>
        </w:tc>
        <w:tc>
          <w:tcPr>
            <w:tcW w:w="1627" w:type="pct"/>
            <w:tcBorders>
              <w:top w:val="single" w:color="auto" w:sz="4" w:space="0"/>
              <w:left w:val="single" w:color="auto" w:sz="4" w:space="0"/>
              <w:bottom w:val="single" w:color="auto" w:sz="4" w:space="0"/>
              <w:right w:val="single" w:color="auto" w:sz="4" w:space="0"/>
            </w:tcBorders>
            <w:vAlign w:val="center"/>
          </w:tcPr>
          <w:p w14:paraId="51E7F950">
            <w:pPr>
              <w:pStyle w:val="196"/>
              <w:rPr>
                <w:bCs/>
              </w:rPr>
            </w:pPr>
            <w:r>
              <w:rPr>
                <w:rFonts w:hint="eastAsia"/>
                <w:bCs/>
              </w:rPr>
              <w:t>朱码闸桥上游2450米～950米</w:t>
            </w:r>
          </w:p>
        </w:tc>
        <w:tc>
          <w:tcPr>
            <w:tcW w:w="340" w:type="pct"/>
            <w:tcBorders>
              <w:top w:val="single" w:color="auto" w:sz="4" w:space="0"/>
              <w:left w:val="single" w:color="auto" w:sz="4" w:space="0"/>
              <w:bottom w:val="single" w:color="auto" w:sz="4" w:space="0"/>
              <w:right w:val="single" w:color="auto" w:sz="4" w:space="0"/>
            </w:tcBorders>
            <w:vAlign w:val="center"/>
          </w:tcPr>
          <w:p w14:paraId="4B544263">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7A839F03">
            <w:pPr>
              <w:pStyle w:val="196"/>
              <w:rPr>
                <w:bCs/>
              </w:rPr>
            </w:pPr>
            <w:r>
              <w:rPr>
                <w:rFonts w:hint="eastAsia"/>
                <w:bCs/>
              </w:rPr>
              <w:t>1500</w:t>
            </w:r>
          </w:p>
        </w:tc>
        <w:tc>
          <w:tcPr>
            <w:tcW w:w="499" w:type="pct"/>
            <w:tcBorders>
              <w:top w:val="single" w:color="auto" w:sz="4" w:space="0"/>
              <w:left w:val="single" w:color="auto" w:sz="4" w:space="0"/>
              <w:bottom w:val="single" w:color="auto" w:sz="4" w:space="0"/>
              <w:right w:val="single" w:color="auto" w:sz="4" w:space="0"/>
            </w:tcBorders>
            <w:vAlign w:val="center"/>
          </w:tcPr>
          <w:p w14:paraId="26782822">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6AA86582">
            <w:pPr>
              <w:pStyle w:val="196"/>
              <w:rPr>
                <w:bCs/>
              </w:rPr>
            </w:pPr>
            <w:r>
              <w:rPr>
                <w:rFonts w:hint="eastAsia"/>
                <w:bCs/>
              </w:rPr>
              <w:t>矿建材、钢材等</w:t>
            </w:r>
          </w:p>
        </w:tc>
      </w:tr>
      <w:tr w14:paraId="76727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1F78086">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shd w:val="clear" w:color="auto" w:fill="D7D7D7"/>
            <w:vAlign w:val="center"/>
          </w:tcPr>
          <w:p w14:paraId="7F0A6E97">
            <w:pPr>
              <w:pStyle w:val="196"/>
              <w:rPr>
                <w:bCs/>
              </w:rPr>
            </w:pPr>
            <w:r>
              <w:rPr>
                <w:rFonts w:hint="eastAsia"/>
                <w:bCs/>
              </w:rPr>
              <w:t>朱码船闸下游段</w:t>
            </w:r>
          </w:p>
        </w:tc>
        <w:tc>
          <w:tcPr>
            <w:tcW w:w="1627" w:type="pct"/>
            <w:tcBorders>
              <w:top w:val="single" w:color="auto" w:sz="4" w:space="0"/>
              <w:left w:val="single" w:color="auto" w:sz="4" w:space="0"/>
              <w:bottom w:val="single" w:color="auto" w:sz="4" w:space="0"/>
              <w:right w:val="single" w:color="auto" w:sz="4" w:space="0"/>
            </w:tcBorders>
            <w:shd w:val="clear" w:color="auto" w:fill="D7D7D7"/>
            <w:vAlign w:val="center"/>
          </w:tcPr>
          <w:p w14:paraId="4E4195DC">
            <w:pPr>
              <w:pStyle w:val="196"/>
              <w:rPr>
                <w:bCs/>
              </w:rPr>
            </w:pPr>
            <w:r>
              <w:rPr>
                <w:rFonts w:hint="eastAsia"/>
                <w:bCs/>
              </w:rPr>
              <w:t>朱码船闸下游4300米～5300米</w:t>
            </w:r>
          </w:p>
        </w:tc>
        <w:tc>
          <w:tcPr>
            <w:tcW w:w="340" w:type="pct"/>
            <w:tcBorders>
              <w:top w:val="single" w:color="auto" w:sz="4" w:space="0"/>
              <w:left w:val="single" w:color="auto" w:sz="4" w:space="0"/>
              <w:bottom w:val="single" w:color="auto" w:sz="4" w:space="0"/>
              <w:right w:val="single" w:color="auto" w:sz="4" w:space="0"/>
            </w:tcBorders>
            <w:shd w:val="clear" w:color="auto" w:fill="D7D7D7"/>
            <w:vAlign w:val="center"/>
          </w:tcPr>
          <w:p w14:paraId="451EEE44">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shd w:val="clear" w:color="auto" w:fill="D7D7D7"/>
            <w:vAlign w:val="center"/>
          </w:tcPr>
          <w:p w14:paraId="4EA77C45">
            <w:pPr>
              <w:pStyle w:val="196"/>
              <w:rPr>
                <w:bCs/>
              </w:rPr>
            </w:pPr>
            <w:r>
              <w:rPr>
                <w:rFonts w:hint="eastAsia"/>
                <w:bCs/>
              </w:rPr>
              <w:t>1000</w:t>
            </w:r>
          </w:p>
        </w:tc>
        <w:tc>
          <w:tcPr>
            <w:tcW w:w="499" w:type="pct"/>
            <w:tcBorders>
              <w:top w:val="single" w:color="auto" w:sz="4" w:space="0"/>
              <w:left w:val="single" w:color="auto" w:sz="4" w:space="0"/>
              <w:bottom w:val="single" w:color="auto" w:sz="4" w:space="0"/>
              <w:right w:val="single" w:color="auto" w:sz="4" w:space="0"/>
            </w:tcBorders>
            <w:shd w:val="clear" w:color="auto" w:fill="D7D7D7"/>
            <w:vAlign w:val="center"/>
          </w:tcPr>
          <w:p w14:paraId="0A574D8B">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shd w:val="clear" w:color="auto" w:fill="D7D7D7"/>
            <w:vAlign w:val="center"/>
          </w:tcPr>
          <w:p w14:paraId="5246853E">
            <w:pPr>
              <w:pStyle w:val="196"/>
              <w:rPr>
                <w:bCs/>
              </w:rPr>
            </w:pPr>
            <w:r>
              <w:rPr>
                <w:rFonts w:hint="eastAsia"/>
                <w:bCs/>
              </w:rPr>
              <w:t>矿建材等散杂货</w:t>
            </w:r>
          </w:p>
        </w:tc>
      </w:tr>
      <w:tr w14:paraId="5FA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0DC3926">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3B89242C">
            <w:pPr>
              <w:pStyle w:val="196"/>
              <w:rPr>
                <w:bCs/>
              </w:rPr>
            </w:pPr>
            <w:r>
              <w:rPr>
                <w:rFonts w:hint="eastAsia"/>
                <w:bCs/>
              </w:rPr>
              <w:t>赵码大桥上游段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173D7CC3">
            <w:pPr>
              <w:pStyle w:val="196"/>
              <w:rPr>
                <w:bCs/>
              </w:rPr>
            </w:pPr>
            <w:r>
              <w:rPr>
                <w:rFonts w:hint="eastAsia"/>
                <w:bCs/>
              </w:rPr>
              <w:t>赵码大桥上游300米～1300米</w:t>
            </w:r>
          </w:p>
        </w:tc>
        <w:tc>
          <w:tcPr>
            <w:tcW w:w="340" w:type="pct"/>
            <w:tcBorders>
              <w:top w:val="single" w:color="auto" w:sz="4" w:space="0"/>
              <w:left w:val="single" w:color="auto" w:sz="4" w:space="0"/>
              <w:bottom w:val="single" w:color="auto" w:sz="4" w:space="0"/>
              <w:right w:val="single" w:color="auto" w:sz="4" w:space="0"/>
            </w:tcBorders>
            <w:vAlign w:val="center"/>
          </w:tcPr>
          <w:p w14:paraId="2CE7F0F9">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591459C5">
            <w:pPr>
              <w:pStyle w:val="196"/>
              <w:rPr>
                <w:bCs/>
              </w:rPr>
            </w:pPr>
            <w:r>
              <w:rPr>
                <w:rFonts w:hint="eastAsia"/>
                <w:bCs/>
              </w:rPr>
              <w:t>1000</w:t>
            </w:r>
          </w:p>
        </w:tc>
        <w:tc>
          <w:tcPr>
            <w:tcW w:w="499" w:type="pct"/>
            <w:tcBorders>
              <w:top w:val="single" w:color="auto" w:sz="4" w:space="0"/>
              <w:left w:val="single" w:color="auto" w:sz="4" w:space="0"/>
              <w:bottom w:val="single" w:color="auto" w:sz="4" w:space="0"/>
              <w:right w:val="single" w:color="auto" w:sz="4" w:space="0"/>
            </w:tcBorders>
            <w:vAlign w:val="center"/>
          </w:tcPr>
          <w:p w14:paraId="7CC4C82F">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vAlign w:val="center"/>
          </w:tcPr>
          <w:p w14:paraId="2440A950">
            <w:pPr>
              <w:pStyle w:val="196"/>
              <w:rPr>
                <w:bCs/>
              </w:rPr>
            </w:pPr>
            <w:r>
              <w:rPr>
                <w:rFonts w:hint="eastAsia"/>
                <w:bCs/>
              </w:rPr>
              <w:t>矿建材等散杂货</w:t>
            </w:r>
          </w:p>
        </w:tc>
      </w:tr>
      <w:tr w14:paraId="1C63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6B6676E7">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54EC5CCD">
            <w:pPr>
              <w:pStyle w:val="196"/>
              <w:rPr>
                <w:bCs/>
              </w:rPr>
            </w:pPr>
            <w:r>
              <w:rPr>
                <w:rFonts w:hint="eastAsia"/>
                <w:bCs/>
              </w:rPr>
              <w:t>赵码大桥下游段</w:t>
            </w:r>
          </w:p>
        </w:tc>
        <w:tc>
          <w:tcPr>
            <w:tcW w:w="1627" w:type="pct"/>
            <w:tcBorders>
              <w:top w:val="single" w:color="auto" w:sz="4" w:space="0"/>
              <w:left w:val="single" w:color="auto" w:sz="4" w:space="0"/>
              <w:bottom w:val="single" w:color="auto" w:sz="4" w:space="0"/>
              <w:right w:val="single" w:color="auto" w:sz="4" w:space="0"/>
            </w:tcBorders>
            <w:vAlign w:val="center"/>
          </w:tcPr>
          <w:p w14:paraId="0AB0F912">
            <w:pPr>
              <w:pStyle w:val="196"/>
              <w:rPr>
                <w:bCs/>
              </w:rPr>
            </w:pPr>
            <w:r>
              <w:rPr>
                <w:rFonts w:hint="eastAsia"/>
                <w:bCs/>
              </w:rPr>
              <w:t>赵码大桥下游300米～700米</w:t>
            </w:r>
          </w:p>
        </w:tc>
        <w:tc>
          <w:tcPr>
            <w:tcW w:w="340" w:type="pct"/>
            <w:tcBorders>
              <w:top w:val="single" w:color="auto" w:sz="4" w:space="0"/>
              <w:left w:val="single" w:color="auto" w:sz="4" w:space="0"/>
              <w:bottom w:val="single" w:color="auto" w:sz="4" w:space="0"/>
              <w:right w:val="single" w:color="auto" w:sz="4" w:space="0"/>
            </w:tcBorders>
            <w:vAlign w:val="center"/>
          </w:tcPr>
          <w:p w14:paraId="424FDDCA">
            <w:pPr>
              <w:pStyle w:val="196"/>
              <w:rPr>
                <w:bCs/>
              </w:rPr>
            </w:pPr>
            <w:r>
              <w:rPr>
                <w:rFonts w:hint="eastAsia"/>
                <w:bCs/>
              </w:rPr>
              <w:t>左</w:t>
            </w:r>
          </w:p>
        </w:tc>
        <w:tc>
          <w:tcPr>
            <w:tcW w:w="355" w:type="pct"/>
            <w:tcBorders>
              <w:top w:val="single" w:color="auto" w:sz="4" w:space="0"/>
              <w:left w:val="single" w:color="auto" w:sz="4" w:space="0"/>
              <w:bottom w:val="single" w:color="auto" w:sz="4" w:space="0"/>
              <w:right w:val="single" w:color="auto" w:sz="4" w:space="0"/>
            </w:tcBorders>
            <w:vAlign w:val="center"/>
          </w:tcPr>
          <w:p w14:paraId="0CFC5558">
            <w:pPr>
              <w:pStyle w:val="196"/>
              <w:rPr>
                <w:bCs/>
              </w:rPr>
            </w:pPr>
            <w:r>
              <w:rPr>
                <w:rFonts w:hint="eastAsia"/>
                <w:bCs/>
              </w:rPr>
              <w:t>400</w:t>
            </w:r>
          </w:p>
        </w:tc>
        <w:tc>
          <w:tcPr>
            <w:tcW w:w="499" w:type="pct"/>
            <w:tcBorders>
              <w:top w:val="single" w:color="auto" w:sz="4" w:space="0"/>
              <w:left w:val="single" w:color="auto" w:sz="4" w:space="0"/>
              <w:bottom w:val="single" w:color="auto" w:sz="4" w:space="0"/>
              <w:right w:val="single" w:color="auto" w:sz="4" w:space="0"/>
            </w:tcBorders>
            <w:vAlign w:val="center"/>
          </w:tcPr>
          <w:p w14:paraId="4762C4F8">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332B3A2F">
            <w:pPr>
              <w:pStyle w:val="196"/>
              <w:rPr>
                <w:bCs/>
              </w:rPr>
            </w:pPr>
            <w:r>
              <w:rPr>
                <w:rFonts w:hint="eastAsia"/>
                <w:bCs/>
              </w:rPr>
              <w:t>粮食等</w:t>
            </w:r>
          </w:p>
        </w:tc>
      </w:tr>
      <w:tr w14:paraId="18B5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DA0533F">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4AA6715A">
            <w:pPr>
              <w:pStyle w:val="196"/>
              <w:rPr>
                <w:bCs/>
              </w:rPr>
            </w:pPr>
            <w:r>
              <w:rPr>
                <w:rFonts w:hint="eastAsia"/>
                <w:bCs/>
              </w:rPr>
              <w:t>西互通连接线大桥上游段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6E575EE3">
            <w:pPr>
              <w:pStyle w:val="196"/>
              <w:rPr>
                <w:bCs/>
              </w:rPr>
            </w:pPr>
            <w:r>
              <w:rPr>
                <w:rFonts w:hint="eastAsia"/>
                <w:bCs/>
              </w:rPr>
              <w:t>西互通连接线大桥上游90米～1000米</w:t>
            </w:r>
          </w:p>
        </w:tc>
        <w:tc>
          <w:tcPr>
            <w:tcW w:w="340" w:type="pct"/>
            <w:tcBorders>
              <w:top w:val="single" w:color="auto" w:sz="4" w:space="0"/>
              <w:left w:val="single" w:color="auto" w:sz="4" w:space="0"/>
              <w:bottom w:val="single" w:color="auto" w:sz="4" w:space="0"/>
              <w:right w:val="single" w:color="auto" w:sz="4" w:space="0"/>
            </w:tcBorders>
            <w:vAlign w:val="center"/>
          </w:tcPr>
          <w:p w14:paraId="28E01876">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38173338">
            <w:pPr>
              <w:pStyle w:val="196"/>
              <w:rPr>
                <w:bCs/>
              </w:rPr>
            </w:pPr>
            <w:r>
              <w:rPr>
                <w:rFonts w:hint="eastAsia"/>
                <w:bCs/>
              </w:rPr>
              <w:t>910</w:t>
            </w:r>
          </w:p>
        </w:tc>
        <w:tc>
          <w:tcPr>
            <w:tcW w:w="499" w:type="pct"/>
            <w:tcBorders>
              <w:top w:val="single" w:color="auto" w:sz="4" w:space="0"/>
              <w:left w:val="single" w:color="auto" w:sz="4" w:space="0"/>
              <w:bottom w:val="single" w:color="auto" w:sz="4" w:space="0"/>
              <w:right w:val="single" w:color="auto" w:sz="4" w:space="0"/>
            </w:tcBorders>
            <w:vAlign w:val="center"/>
          </w:tcPr>
          <w:p w14:paraId="6D14C8B4">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516487AB">
            <w:pPr>
              <w:pStyle w:val="196"/>
              <w:rPr>
                <w:bCs/>
              </w:rPr>
            </w:pPr>
            <w:r>
              <w:rPr>
                <w:rFonts w:hint="eastAsia"/>
                <w:bCs/>
              </w:rPr>
              <w:t>矿建材等散杂货</w:t>
            </w:r>
          </w:p>
        </w:tc>
      </w:tr>
      <w:tr w14:paraId="4906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66466EC">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54CD274D">
            <w:pPr>
              <w:pStyle w:val="196"/>
              <w:rPr>
                <w:bCs/>
              </w:rPr>
            </w:pPr>
            <w:r>
              <w:rPr>
                <w:rFonts w:hint="eastAsia"/>
                <w:bCs/>
              </w:rPr>
              <w:t>京沪高速桥上游段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5D699E52">
            <w:pPr>
              <w:pStyle w:val="196"/>
              <w:rPr>
                <w:bCs/>
              </w:rPr>
            </w:pPr>
            <w:r>
              <w:rPr>
                <w:rFonts w:hint="eastAsia"/>
                <w:bCs/>
              </w:rPr>
              <w:t>京沪高速大桥上游150米～650米</w:t>
            </w:r>
          </w:p>
        </w:tc>
        <w:tc>
          <w:tcPr>
            <w:tcW w:w="340" w:type="pct"/>
            <w:tcBorders>
              <w:top w:val="single" w:color="auto" w:sz="4" w:space="0"/>
              <w:left w:val="single" w:color="auto" w:sz="4" w:space="0"/>
              <w:bottom w:val="single" w:color="auto" w:sz="4" w:space="0"/>
              <w:right w:val="single" w:color="auto" w:sz="4" w:space="0"/>
            </w:tcBorders>
            <w:vAlign w:val="center"/>
          </w:tcPr>
          <w:p w14:paraId="37EB9877">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6444DD8D">
            <w:pPr>
              <w:pStyle w:val="196"/>
              <w:rPr>
                <w:bCs/>
              </w:rPr>
            </w:pPr>
            <w:r>
              <w:rPr>
                <w:rFonts w:hint="eastAsia"/>
                <w:bCs/>
              </w:rPr>
              <w:t>500</w:t>
            </w:r>
          </w:p>
        </w:tc>
        <w:tc>
          <w:tcPr>
            <w:tcW w:w="499" w:type="pct"/>
            <w:tcBorders>
              <w:top w:val="single" w:color="auto" w:sz="4" w:space="0"/>
              <w:left w:val="single" w:color="auto" w:sz="4" w:space="0"/>
              <w:bottom w:val="single" w:color="auto" w:sz="4" w:space="0"/>
              <w:right w:val="single" w:color="auto" w:sz="4" w:space="0"/>
            </w:tcBorders>
            <w:vAlign w:val="center"/>
          </w:tcPr>
          <w:p w14:paraId="40F45FA3">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7A05BBE4">
            <w:pPr>
              <w:pStyle w:val="196"/>
              <w:rPr>
                <w:bCs/>
              </w:rPr>
            </w:pPr>
            <w:r>
              <w:rPr>
                <w:rFonts w:hint="eastAsia"/>
                <w:bCs/>
              </w:rPr>
              <w:t>钢材、</w:t>
            </w:r>
            <w:r>
              <w:rPr>
                <w:rFonts w:hint="eastAsia"/>
                <w:bCs/>
                <w:lang w:eastAsia="zh-CN"/>
              </w:rPr>
              <w:t>矿用</w:t>
            </w:r>
            <w:r>
              <w:rPr>
                <w:rFonts w:hint="eastAsia"/>
                <w:bCs/>
              </w:rPr>
              <w:t>建材等</w:t>
            </w:r>
          </w:p>
        </w:tc>
      </w:tr>
      <w:tr w14:paraId="550A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7025A9C">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005AC76D">
            <w:pPr>
              <w:pStyle w:val="196"/>
              <w:rPr>
                <w:bCs/>
              </w:rPr>
            </w:pPr>
            <w:r>
              <w:rPr>
                <w:rFonts w:hint="eastAsia"/>
                <w:bCs/>
              </w:rPr>
              <w:t>京沪高速桥下游段</w:t>
            </w:r>
          </w:p>
        </w:tc>
        <w:tc>
          <w:tcPr>
            <w:tcW w:w="1627" w:type="pct"/>
            <w:tcBorders>
              <w:top w:val="single" w:color="auto" w:sz="4" w:space="0"/>
              <w:left w:val="single" w:color="auto" w:sz="4" w:space="0"/>
              <w:bottom w:val="single" w:color="auto" w:sz="4" w:space="0"/>
              <w:right w:val="single" w:color="auto" w:sz="4" w:space="0"/>
            </w:tcBorders>
            <w:vAlign w:val="center"/>
          </w:tcPr>
          <w:p w14:paraId="35A14F47">
            <w:pPr>
              <w:pStyle w:val="196"/>
              <w:rPr>
                <w:bCs/>
              </w:rPr>
            </w:pPr>
            <w:r>
              <w:rPr>
                <w:rFonts w:hint="eastAsia"/>
                <w:bCs/>
              </w:rPr>
              <w:t>京沪高速桥～京沪高速桥下游1500米</w:t>
            </w:r>
          </w:p>
        </w:tc>
        <w:tc>
          <w:tcPr>
            <w:tcW w:w="340" w:type="pct"/>
            <w:tcBorders>
              <w:top w:val="single" w:color="auto" w:sz="4" w:space="0"/>
              <w:left w:val="single" w:color="auto" w:sz="4" w:space="0"/>
              <w:bottom w:val="single" w:color="auto" w:sz="4" w:space="0"/>
              <w:right w:val="single" w:color="auto" w:sz="4" w:space="0"/>
            </w:tcBorders>
            <w:vAlign w:val="center"/>
          </w:tcPr>
          <w:p w14:paraId="086B36DB">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14242C2E">
            <w:pPr>
              <w:pStyle w:val="196"/>
              <w:rPr>
                <w:bCs/>
              </w:rPr>
            </w:pPr>
            <w:r>
              <w:rPr>
                <w:rFonts w:hint="eastAsia"/>
                <w:bCs/>
              </w:rPr>
              <w:t>1500</w:t>
            </w:r>
          </w:p>
        </w:tc>
        <w:tc>
          <w:tcPr>
            <w:tcW w:w="499" w:type="pct"/>
            <w:tcBorders>
              <w:top w:val="single" w:color="auto" w:sz="4" w:space="0"/>
              <w:left w:val="single" w:color="auto" w:sz="4" w:space="0"/>
              <w:bottom w:val="single" w:color="auto" w:sz="4" w:space="0"/>
              <w:right w:val="single" w:color="auto" w:sz="4" w:space="0"/>
            </w:tcBorders>
            <w:vAlign w:val="center"/>
          </w:tcPr>
          <w:p w14:paraId="4ABF922A">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32572A9A">
            <w:pPr>
              <w:pStyle w:val="196"/>
              <w:rPr>
                <w:bCs/>
              </w:rPr>
            </w:pPr>
            <w:r>
              <w:rPr>
                <w:rFonts w:hint="eastAsia"/>
                <w:bCs/>
              </w:rPr>
              <w:t>钢材、</w:t>
            </w:r>
            <w:r>
              <w:rPr>
                <w:rFonts w:hint="eastAsia"/>
                <w:bCs/>
                <w:lang w:eastAsia="zh-CN"/>
              </w:rPr>
              <w:t>矿用</w:t>
            </w:r>
            <w:r>
              <w:rPr>
                <w:rFonts w:hint="eastAsia"/>
                <w:bCs/>
              </w:rPr>
              <w:t>建材等</w:t>
            </w:r>
          </w:p>
        </w:tc>
      </w:tr>
      <w:tr w14:paraId="7BDB6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02342B11">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2664E2ED">
            <w:pPr>
              <w:pStyle w:val="196"/>
              <w:rPr>
                <w:bCs/>
              </w:rPr>
            </w:pPr>
            <w:r>
              <w:rPr>
                <w:rFonts w:hint="eastAsia"/>
                <w:bCs/>
              </w:rPr>
              <w:t>大关大桥上游段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076256F9">
            <w:pPr>
              <w:pStyle w:val="196"/>
              <w:rPr>
                <w:bCs/>
              </w:rPr>
            </w:pPr>
            <w:r>
              <w:rPr>
                <w:rFonts w:hint="eastAsia"/>
                <w:bCs/>
              </w:rPr>
              <w:t>大关大桥上游6300米～5000米</w:t>
            </w:r>
          </w:p>
        </w:tc>
        <w:tc>
          <w:tcPr>
            <w:tcW w:w="340" w:type="pct"/>
            <w:tcBorders>
              <w:top w:val="single" w:color="auto" w:sz="4" w:space="0"/>
              <w:left w:val="single" w:color="auto" w:sz="4" w:space="0"/>
              <w:bottom w:val="single" w:color="auto" w:sz="4" w:space="0"/>
              <w:right w:val="single" w:color="auto" w:sz="4" w:space="0"/>
            </w:tcBorders>
            <w:vAlign w:val="center"/>
          </w:tcPr>
          <w:p w14:paraId="62AF53C4">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7B2D60B7">
            <w:pPr>
              <w:pStyle w:val="196"/>
              <w:rPr>
                <w:bCs/>
              </w:rPr>
            </w:pPr>
            <w:r>
              <w:rPr>
                <w:rFonts w:hint="eastAsia"/>
                <w:bCs/>
              </w:rPr>
              <w:t>1300</w:t>
            </w:r>
          </w:p>
        </w:tc>
        <w:tc>
          <w:tcPr>
            <w:tcW w:w="499" w:type="pct"/>
            <w:tcBorders>
              <w:top w:val="single" w:color="auto" w:sz="4" w:space="0"/>
              <w:left w:val="single" w:color="auto" w:sz="4" w:space="0"/>
              <w:bottom w:val="single" w:color="auto" w:sz="4" w:space="0"/>
              <w:right w:val="single" w:color="auto" w:sz="4" w:space="0"/>
            </w:tcBorders>
            <w:vAlign w:val="center"/>
          </w:tcPr>
          <w:p w14:paraId="16E43682">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vAlign w:val="center"/>
          </w:tcPr>
          <w:p w14:paraId="4C0BCD9A">
            <w:pPr>
              <w:pStyle w:val="196"/>
              <w:rPr>
                <w:bCs/>
              </w:rPr>
            </w:pPr>
            <w:r>
              <w:rPr>
                <w:rFonts w:hint="eastAsia"/>
                <w:bCs/>
              </w:rPr>
              <w:t>矿建材等散杂货</w:t>
            </w:r>
          </w:p>
        </w:tc>
      </w:tr>
      <w:tr w14:paraId="618A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2AD220E4">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5A449D9F">
            <w:pPr>
              <w:pStyle w:val="196"/>
              <w:rPr>
                <w:bCs/>
              </w:rPr>
            </w:pPr>
            <w:r>
              <w:rPr>
                <w:rFonts w:hint="eastAsia"/>
                <w:bCs/>
              </w:rPr>
              <w:t>朱码船闸下游段</w:t>
            </w:r>
          </w:p>
        </w:tc>
        <w:tc>
          <w:tcPr>
            <w:tcW w:w="1627" w:type="pct"/>
            <w:tcBorders>
              <w:top w:val="single" w:color="auto" w:sz="4" w:space="0"/>
              <w:left w:val="single" w:color="auto" w:sz="4" w:space="0"/>
              <w:bottom w:val="single" w:color="auto" w:sz="4" w:space="0"/>
              <w:right w:val="single" w:color="auto" w:sz="4" w:space="0"/>
            </w:tcBorders>
            <w:vAlign w:val="center"/>
          </w:tcPr>
          <w:p w14:paraId="155FD1F4">
            <w:pPr>
              <w:pStyle w:val="196"/>
              <w:rPr>
                <w:bCs/>
              </w:rPr>
            </w:pPr>
            <w:r>
              <w:rPr>
                <w:rFonts w:hint="eastAsia"/>
                <w:bCs/>
              </w:rPr>
              <w:t>朱码船闸下游4000米～4500米</w:t>
            </w:r>
          </w:p>
        </w:tc>
        <w:tc>
          <w:tcPr>
            <w:tcW w:w="340" w:type="pct"/>
            <w:tcBorders>
              <w:top w:val="single" w:color="auto" w:sz="4" w:space="0"/>
              <w:left w:val="single" w:color="auto" w:sz="4" w:space="0"/>
              <w:bottom w:val="single" w:color="auto" w:sz="4" w:space="0"/>
              <w:right w:val="single" w:color="auto" w:sz="4" w:space="0"/>
            </w:tcBorders>
            <w:vAlign w:val="center"/>
          </w:tcPr>
          <w:p w14:paraId="1806346A">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411597E1">
            <w:pPr>
              <w:pStyle w:val="196"/>
              <w:rPr>
                <w:bCs/>
              </w:rPr>
            </w:pPr>
            <w:r>
              <w:rPr>
                <w:rFonts w:hint="eastAsia"/>
                <w:bCs/>
              </w:rPr>
              <w:t>500</w:t>
            </w:r>
          </w:p>
        </w:tc>
        <w:tc>
          <w:tcPr>
            <w:tcW w:w="499" w:type="pct"/>
            <w:tcBorders>
              <w:top w:val="single" w:color="auto" w:sz="4" w:space="0"/>
              <w:left w:val="single" w:color="auto" w:sz="4" w:space="0"/>
              <w:bottom w:val="single" w:color="auto" w:sz="4" w:space="0"/>
              <w:right w:val="single" w:color="auto" w:sz="4" w:space="0"/>
            </w:tcBorders>
            <w:vAlign w:val="center"/>
          </w:tcPr>
          <w:p w14:paraId="7470769D">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vAlign w:val="center"/>
          </w:tcPr>
          <w:p w14:paraId="19836A1C">
            <w:pPr>
              <w:pStyle w:val="196"/>
              <w:rPr>
                <w:bCs/>
              </w:rPr>
            </w:pPr>
            <w:r>
              <w:rPr>
                <w:rFonts w:hint="eastAsia"/>
                <w:bCs/>
              </w:rPr>
              <w:t>矿建材等散杂货</w:t>
            </w:r>
          </w:p>
        </w:tc>
      </w:tr>
      <w:tr w14:paraId="21DD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920F5AA">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207D3AF9">
            <w:pPr>
              <w:pStyle w:val="196"/>
              <w:rPr>
                <w:bCs/>
              </w:rPr>
            </w:pPr>
            <w:r>
              <w:rPr>
                <w:rFonts w:hint="eastAsia"/>
                <w:bCs/>
              </w:rPr>
              <w:t>朱码船闸下游段</w:t>
            </w:r>
          </w:p>
        </w:tc>
        <w:tc>
          <w:tcPr>
            <w:tcW w:w="1627" w:type="pct"/>
            <w:tcBorders>
              <w:top w:val="single" w:color="auto" w:sz="4" w:space="0"/>
              <w:left w:val="single" w:color="auto" w:sz="4" w:space="0"/>
              <w:bottom w:val="single" w:color="auto" w:sz="4" w:space="0"/>
              <w:right w:val="single" w:color="auto" w:sz="4" w:space="0"/>
            </w:tcBorders>
            <w:vAlign w:val="center"/>
          </w:tcPr>
          <w:p w14:paraId="7F4C2F7B">
            <w:pPr>
              <w:pStyle w:val="196"/>
              <w:rPr>
                <w:bCs/>
              </w:rPr>
            </w:pPr>
            <w:r>
              <w:rPr>
                <w:rFonts w:hint="eastAsia"/>
                <w:bCs/>
              </w:rPr>
              <w:t>朱码船闸下游5800米～6400米</w:t>
            </w:r>
          </w:p>
        </w:tc>
        <w:tc>
          <w:tcPr>
            <w:tcW w:w="340" w:type="pct"/>
            <w:tcBorders>
              <w:top w:val="single" w:color="auto" w:sz="4" w:space="0"/>
              <w:left w:val="single" w:color="auto" w:sz="4" w:space="0"/>
              <w:bottom w:val="single" w:color="auto" w:sz="4" w:space="0"/>
              <w:right w:val="single" w:color="auto" w:sz="4" w:space="0"/>
            </w:tcBorders>
            <w:vAlign w:val="center"/>
          </w:tcPr>
          <w:p w14:paraId="28C67766">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60DF4551">
            <w:pPr>
              <w:pStyle w:val="196"/>
              <w:rPr>
                <w:bCs/>
              </w:rPr>
            </w:pPr>
            <w:r>
              <w:rPr>
                <w:rFonts w:hint="eastAsia"/>
                <w:bCs/>
              </w:rPr>
              <w:t>600</w:t>
            </w:r>
          </w:p>
        </w:tc>
        <w:tc>
          <w:tcPr>
            <w:tcW w:w="499" w:type="pct"/>
            <w:tcBorders>
              <w:top w:val="single" w:color="auto" w:sz="4" w:space="0"/>
              <w:left w:val="single" w:color="auto" w:sz="4" w:space="0"/>
              <w:bottom w:val="single" w:color="auto" w:sz="4" w:space="0"/>
              <w:right w:val="single" w:color="auto" w:sz="4" w:space="0"/>
            </w:tcBorders>
            <w:vAlign w:val="center"/>
          </w:tcPr>
          <w:p w14:paraId="70731648">
            <w:pPr>
              <w:pStyle w:val="196"/>
              <w:rPr>
                <w:bCs/>
              </w:rPr>
            </w:pPr>
            <w:r>
              <w:rPr>
                <w:rFonts w:hint="eastAsia"/>
                <w:bCs/>
              </w:rPr>
              <w:t>已开发</w:t>
            </w:r>
          </w:p>
        </w:tc>
        <w:tc>
          <w:tcPr>
            <w:tcW w:w="912" w:type="pct"/>
            <w:tcBorders>
              <w:top w:val="single" w:color="auto" w:sz="4" w:space="0"/>
              <w:left w:val="single" w:color="auto" w:sz="4" w:space="0"/>
              <w:bottom w:val="single" w:color="auto" w:sz="4" w:space="0"/>
              <w:right w:val="single" w:color="auto" w:sz="4" w:space="0"/>
            </w:tcBorders>
            <w:vAlign w:val="center"/>
          </w:tcPr>
          <w:p w14:paraId="0A2AAA8A">
            <w:pPr>
              <w:pStyle w:val="196"/>
              <w:rPr>
                <w:bCs/>
              </w:rPr>
            </w:pPr>
            <w:r>
              <w:rPr>
                <w:rFonts w:hint="eastAsia"/>
                <w:bCs/>
              </w:rPr>
              <w:t>钢材、</w:t>
            </w:r>
            <w:r>
              <w:rPr>
                <w:rFonts w:hint="eastAsia"/>
                <w:bCs/>
                <w:lang w:eastAsia="zh-CN"/>
              </w:rPr>
              <w:t>矿用</w:t>
            </w:r>
            <w:r>
              <w:rPr>
                <w:rFonts w:hint="eastAsia"/>
                <w:bCs/>
              </w:rPr>
              <w:t>建材等</w:t>
            </w:r>
          </w:p>
        </w:tc>
      </w:tr>
      <w:tr w14:paraId="4191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3E86087F">
            <w:pPr>
              <w:pStyle w:val="196"/>
              <w:rPr>
                <w:bCs/>
                <w:szCs w:val="21"/>
              </w:rPr>
            </w:pPr>
          </w:p>
        </w:tc>
        <w:tc>
          <w:tcPr>
            <w:tcW w:w="985" w:type="pct"/>
            <w:tcBorders>
              <w:top w:val="single" w:color="auto" w:sz="4" w:space="0"/>
              <w:left w:val="single" w:color="auto" w:sz="4" w:space="0"/>
              <w:bottom w:val="single" w:color="auto" w:sz="4" w:space="0"/>
              <w:right w:val="single" w:color="auto" w:sz="4" w:space="0"/>
            </w:tcBorders>
            <w:vAlign w:val="center"/>
          </w:tcPr>
          <w:p w14:paraId="3700BE96">
            <w:pPr>
              <w:pStyle w:val="196"/>
              <w:rPr>
                <w:bCs/>
              </w:rPr>
            </w:pPr>
            <w:r>
              <w:rPr>
                <w:rFonts w:hint="eastAsia"/>
                <w:bCs/>
              </w:rPr>
              <w:t>殷渡桥上游段</w:t>
            </w:r>
          </w:p>
        </w:tc>
        <w:tc>
          <w:tcPr>
            <w:tcW w:w="1627" w:type="pct"/>
            <w:tcBorders>
              <w:top w:val="single" w:color="auto" w:sz="4" w:space="0"/>
              <w:left w:val="single" w:color="auto" w:sz="4" w:space="0"/>
              <w:bottom w:val="single" w:color="auto" w:sz="4" w:space="0"/>
              <w:right w:val="single" w:color="auto" w:sz="4" w:space="0"/>
            </w:tcBorders>
            <w:vAlign w:val="center"/>
          </w:tcPr>
          <w:p w14:paraId="329C6127">
            <w:pPr>
              <w:pStyle w:val="196"/>
              <w:rPr>
                <w:bCs/>
              </w:rPr>
            </w:pPr>
            <w:r>
              <w:rPr>
                <w:rFonts w:hint="eastAsia"/>
                <w:bCs/>
              </w:rPr>
              <w:t>殷渡桥上游4560米～3760米</w:t>
            </w:r>
          </w:p>
        </w:tc>
        <w:tc>
          <w:tcPr>
            <w:tcW w:w="340" w:type="pct"/>
            <w:tcBorders>
              <w:top w:val="single" w:color="auto" w:sz="4" w:space="0"/>
              <w:left w:val="single" w:color="auto" w:sz="4" w:space="0"/>
              <w:bottom w:val="single" w:color="auto" w:sz="4" w:space="0"/>
              <w:right w:val="single" w:color="auto" w:sz="4" w:space="0"/>
            </w:tcBorders>
            <w:vAlign w:val="center"/>
          </w:tcPr>
          <w:p w14:paraId="3447D4C8">
            <w:pPr>
              <w:pStyle w:val="196"/>
              <w:rPr>
                <w:bCs/>
              </w:rPr>
            </w:pPr>
            <w:r>
              <w:rPr>
                <w:rFonts w:hint="eastAsia"/>
                <w:bCs/>
              </w:rPr>
              <w:t>右</w:t>
            </w:r>
          </w:p>
        </w:tc>
        <w:tc>
          <w:tcPr>
            <w:tcW w:w="355" w:type="pct"/>
            <w:tcBorders>
              <w:top w:val="single" w:color="auto" w:sz="4" w:space="0"/>
              <w:left w:val="single" w:color="auto" w:sz="4" w:space="0"/>
              <w:bottom w:val="single" w:color="auto" w:sz="4" w:space="0"/>
              <w:right w:val="single" w:color="auto" w:sz="4" w:space="0"/>
            </w:tcBorders>
            <w:vAlign w:val="center"/>
          </w:tcPr>
          <w:p w14:paraId="42BADEAA">
            <w:pPr>
              <w:pStyle w:val="196"/>
              <w:rPr>
                <w:bCs/>
              </w:rPr>
            </w:pPr>
            <w:r>
              <w:rPr>
                <w:rFonts w:hint="eastAsia"/>
                <w:bCs/>
              </w:rPr>
              <w:t>800</w:t>
            </w:r>
          </w:p>
        </w:tc>
        <w:tc>
          <w:tcPr>
            <w:tcW w:w="499" w:type="pct"/>
            <w:tcBorders>
              <w:top w:val="single" w:color="auto" w:sz="4" w:space="0"/>
              <w:left w:val="single" w:color="auto" w:sz="4" w:space="0"/>
              <w:bottom w:val="single" w:color="auto" w:sz="4" w:space="0"/>
              <w:right w:val="single" w:color="auto" w:sz="4" w:space="0"/>
            </w:tcBorders>
            <w:vAlign w:val="center"/>
          </w:tcPr>
          <w:p w14:paraId="15FCE9B7">
            <w:pPr>
              <w:pStyle w:val="196"/>
              <w:rPr>
                <w:bCs/>
              </w:rPr>
            </w:pPr>
            <w:r>
              <w:rPr>
                <w:rFonts w:hint="eastAsia"/>
                <w:bCs/>
              </w:rPr>
              <w:t>未开发</w:t>
            </w:r>
          </w:p>
        </w:tc>
        <w:tc>
          <w:tcPr>
            <w:tcW w:w="912" w:type="pct"/>
            <w:tcBorders>
              <w:top w:val="single" w:color="auto" w:sz="4" w:space="0"/>
              <w:left w:val="single" w:color="auto" w:sz="4" w:space="0"/>
              <w:bottom w:val="single" w:color="auto" w:sz="4" w:space="0"/>
              <w:right w:val="single" w:color="auto" w:sz="4" w:space="0"/>
            </w:tcBorders>
            <w:vAlign w:val="center"/>
          </w:tcPr>
          <w:p w14:paraId="229ECFAC">
            <w:pPr>
              <w:pStyle w:val="196"/>
              <w:rPr>
                <w:bCs/>
              </w:rPr>
            </w:pPr>
            <w:r>
              <w:rPr>
                <w:rFonts w:hint="eastAsia"/>
                <w:bCs/>
              </w:rPr>
              <w:t>钢材、</w:t>
            </w:r>
            <w:r>
              <w:rPr>
                <w:rFonts w:hint="eastAsia"/>
                <w:bCs/>
                <w:lang w:eastAsia="zh-CN"/>
              </w:rPr>
              <w:t>矿用</w:t>
            </w:r>
            <w:r>
              <w:rPr>
                <w:rFonts w:hint="eastAsia"/>
                <w:bCs/>
              </w:rPr>
              <w:t>建材等</w:t>
            </w:r>
          </w:p>
        </w:tc>
      </w:tr>
      <w:tr w14:paraId="6A24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0" w:type="auto"/>
            <w:vMerge w:val="continue"/>
            <w:tcBorders>
              <w:top w:val="nil"/>
              <w:left w:val="single" w:color="auto" w:sz="4" w:space="0"/>
              <w:bottom w:val="single" w:color="auto" w:sz="4" w:space="0"/>
              <w:right w:val="single" w:color="auto" w:sz="4" w:space="0"/>
            </w:tcBorders>
            <w:vAlign w:val="center"/>
          </w:tcPr>
          <w:p w14:paraId="1106389B">
            <w:pPr>
              <w:pStyle w:val="196"/>
              <w:rPr>
                <w:bCs/>
                <w:szCs w:val="21"/>
              </w:rPr>
            </w:pPr>
          </w:p>
        </w:tc>
        <w:tc>
          <w:tcPr>
            <w:tcW w:w="2612" w:type="pct"/>
            <w:gridSpan w:val="2"/>
            <w:tcBorders>
              <w:top w:val="single" w:color="auto" w:sz="4" w:space="0"/>
              <w:left w:val="single" w:color="auto" w:sz="4" w:space="0"/>
              <w:bottom w:val="single" w:color="auto" w:sz="4" w:space="0"/>
              <w:right w:val="single" w:color="auto" w:sz="4" w:space="0"/>
            </w:tcBorders>
            <w:vAlign w:val="center"/>
          </w:tcPr>
          <w:p w14:paraId="36B64962">
            <w:pPr>
              <w:pStyle w:val="196"/>
              <w:rPr>
                <w:bCs/>
              </w:rPr>
            </w:pPr>
            <w:r>
              <w:rPr>
                <w:rFonts w:hint="eastAsia"/>
                <w:bCs/>
              </w:rPr>
              <w:t>小计</w:t>
            </w:r>
          </w:p>
        </w:tc>
        <w:tc>
          <w:tcPr>
            <w:tcW w:w="340" w:type="pct"/>
            <w:tcBorders>
              <w:top w:val="single" w:color="auto" w:sz="4" w:space="0"/>
              <w:left w:val="single" w:color="auto" w:sz="4" w:space="0"/>
              <w:bottom w:val="single" w:color="auto" w:sz="4" w:space="0"/>
              <w:right w:val="single" w:color="auto" w:sz="4" w:space="0"/>
            </w:tcBorders>
            <w:vAlign w:val="center"/>
          </w:tcPr>
          <w:p w14:paraId="0A29FB7D">
            <w:pPr>
              <w:pStyle w:val="196"/>
              <w:rPr>
                <w:bCs/>
              </w:rPr>
            </w:pPr>
          </w:p>
        </w:tc>
        <w:tc>
          <w:tcPr>
            <w:tcW w:w="355" w:type="pct"/>
            <w:tcBorders>
              <w:top w:val="single" w:color="auto" w:sz="4" w:space="0"/>
              <w:left w:val="single" w:color="auto" w:sz="4" w:space="0"/>
              <w:bottom w:val="single" w:color="auto" w:sz="4" w:space="0"/>
              <w:right w:val="single" w:color="auto" w:sz="4" w:space="0"/>
            </w:tcBorders>
            <w:vAlign w:val="center"/>
          </w:tcPr>
          <w:p w14:paraId="07A19772">
            <w:pPr>
              <w:pStyle w:val="196"/>
              <w:rPr>
                <w:bCs/>
              </w:rPr>
            </w:pPr>
            <w:r>
              <w:rPr>
                <w:rFonts w:hint="eastAsia"/>
                <w:bCs/>
              </w:rPr>
              <w:t>16860</w:t>
            </w:r>
          </w:p>
        </w:tc>
        <w:tc>
          <w:tcPr>
            <w:tcW w:w="499" w:type="pct"/>
            <w:tcBorders>
              <w:top w:val="single" w:color="auto" w:sz="4" w:space="0"/>
              <w:left w:val="single" w:color="auto" w:sz="4" w:space="0"/>
              <w:bottom w:val="single" w:color="auto" w:sz="4" w:space="0"/>
              <w:right w:val="single" w:color="auto" w:sz="4" w:space="0"/>
            </w:tcBorders>
            <w:vAlign w:val="center"/>
          </w:tcPr>
          <w:p w14:paraId="5D3BAA42">
            <w:pPr>
              <w:pStyle w:val="196"/>
              <w:rPr>
                <w:bCs/>
              </w:rPr>
            </w:pPr>
          </w:p>
        </w:tc>
        <w:tc>
          <w:tcPr>
            <w:tcW w:w="912" w:type="pct"/>
            <w:tcBorders>
              <w:top w:val="single" w:color="auto" w:sz="4" w:space="0"/>
              <w:left w:val="single" w:color="auto" w:sz="4" w:space="0"/>
              <w:bottom w:val="single" w:color="auto" w:sz="4" w:space="0"/>
              <w:right w:val="single" w:color="auto" w:sz="4" w:space="0"/>
            </w:tcBorders>
            <w:vAlign w:val="center"/>
          </w:tcPr>
          <w:p w14:paraId="54FF8882">
            <w:pPr>
              <w:pStyle w:val="196"/>
              <w:rPr>
                <w:bCs/>
              </w:rPr>
            </w:pPr>
          </w:p>
        </w:tc>
      </w:tr>
    </w:tbl>
    <w:p w14:paraId="1DA4304A">
      <w:pPr>
        <w:autoSpaceDE w:val="0"/>
        <w:autoSpaceDN w:val="0"/>
        <w:adjustRightInd w:val="0"/>
        <w:snapToGrid w:val="0"/>
        <w:ind w:firstLine="482"/>
        <w:rPr>
          <w:rFonts w:hint="eastAsia" w:ascii="宋体" w:hAnsi="宋体"/>
          <w:b/>
          <w:szCs w:val="24"/>
        </w:rPr>
      </w:pPr>
      <w:r>
        <w:rPr>
          <w:rFonts w:hint="eastAsia" w:ascii="宋体" w:hAnsi="宋体"/>
          <w:b/>
          <w:szCs w:val="24"/>
        </w:rPr>
        <w:t>四、港区吞吐量预测</w:t>
      </w:r>
    </w:p>
    <w:p w14:paraId="3EDD5A34">
      <w:pPr>
        <w:pStyle w:val="139"/>
        <w:ind w:firstLine="480"/>
        <w:rPr>
          <w:color w:val="auto"/>
        </w:rPr>
      </w:pPr>
      <w:bookmarkStart w:id="57" w:name="OLE_LINK1"/>
      <w:r>
        <w:rPr>
          <w:rFonts w:hint="eastAsia"/>
          <w:color w:val="auto"/>
        </w:rPr>
        <w:t>根据《淮安港总体规划（</w:t>
      </w:r>
      <w:r>
        <w:rPr>
          <w:rFonts w:hint="eastAsia"/>
          <w:color w:val="auto"/>
          <w:lang w:eastAsia="zh-CN"/>
        </w:rPr>
        <w:t>2020—2035</w:t>
      </w:r>
      <w:r>
        <w:rPr>
          <w:rFonts w:hint="eastAsia"/>
          <w:color w:val="auto"/>
        </w:rPr>
        <w:t>年），预测2025年和2035年淮安港吞吐量分别1.4亿吨和1.65亿吨，2020</w:t>
      </w:r>
      <w:r>
        <w:rPr>
          <w:rFonts w:hint="eastAsia"/>
          <w:color w:val="auto"/>
          <w:lang w:eastAsia="zh-CN"/>
        </w:rPr>
        <w:t>—</w:t>
      </w:r>
      <w:r>
        <w:rPr>
          <w:rFonts w:hint="eastAsia"/>
          <w:color w:val="auto"/>
        </w:rPr>
        <w:t>2025年年均增速10%，2025</w:t>
      </w:r>
      <w:r>
        <w:rPr>
          <w:rFonts w:hint="eastAsia"/>
          <w:color w:val="auto"/>
          <w:lang w:eastAsia="zh-CN"/>
        </w:rPr>
        <w:t>—</w:t>
      </w:r>
      <w:r>
        <w:rPr>
          <w:rFonts w:hint="eastAsia"/>
          <w:color w:val="auto"/>
        </w:rPr>
        <w:t>2035年年均增速1.5%。涟水港区2025年和2035年吞吐量预测值分别为1640万吨和1865万吨。根据总规预测结果，涟水港区2025</w:t>
      </w:r>
      <w:r>
        <w:rPr>
          <w:rFonts w:hint="eastAsia"/>
          <w:color w:val="auto"/>
          <w:lang w:eastAsia="zh-CN"/>
        </w:rPr>
        <w:t>—</w:t>
      </w:r>
      <w:r>
        <w:rPr>
          <w:rFonts w:hint="eastAsia"/>
          <w:color w:val="auto"/>
        </w:rPr>
        <w:t>2035年年均增速为1.37%，因此预测其2030年的吞吐量为1756万吨。</w:t>
      </w:r>
    </w:p>
    <w:bookmarkEnd w:id="57"/>
    <w:p w14:paraId="4CDA5621">
      <w:pPr>
        <w:pStyle w:val="86"/>
      </w:pPr>
      <w:r>
        <w:rPr>
          <w:rFonts w:hint="eastAsia"/>
        </w:rPr>
        <w:t xml:space="preserve">涟水港区货物吞吐量增长情况 </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6"/>
        <w:gridCol w:w="2325"/>
        <w:gridCol w:w="2034"/>
        <w:gridCol w:w="1881"/>
      </w:tblGrid>
      <w:tr w14:paraId="745D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pct"/>
          </w:tcPr>
          <w:p w14:paraId="6F2716A3">
            <w:pPr>
              <w:pStyle w:val="218"/>
              <w:rPr>
                <w:color w:val="auto"/>
              </w:rPr>
            </w:pPr>
            <w:r>
              <w:rPr>
                <w:rFonts w:hint="eastAsia"/>
                <w:color w:val="auto"/>
              </w:rPr>
              <w:t>预测水平年</w:t>
            </w:r>
          </w:p>
        </w:tc>
        <w:tc>
          <w:tcPr>
            <w:tcW w:w="1252" w:type="pct"/>
          </w:tcPr>
          <w:p w14:paraId="499C6593">
            <w:pPr>
              <w:pStyle w:val="218"/>
              <w:rPr>
                <w:color w:val="auto"/>
              </w:rPr>
            </w:pPr>
            <w:r>
              <w:rPr>
                <w:rFonts w:hint="eastAsia"/>
                <w:color w:val="auto"/>
              </w:rPr>
              <w:t>2025年</w:t>
            </w:r>
          </w:p>
        </w:tc>
        <w:tc>
          <w:tcPr>
            <w:tcW w:w="1095" w:type="pct"/>
          </w:tcPr>
          <w:p w14:paraId="0FF183B5">
            <w:pPr>
              <w:pStyle w:val="218"/>
              <w:rPr>
                <w:color w:val="auto"/>
              </w:rPr>
            </w:pPr>
            <w:r>
              <w:rPr>
                <w:rFonts w:hint="eastAsia"/>
                <w:color w:val="auto"/>
              </w:rPr>
              <w:t>2030年</w:t>
            </w:r>
          </w:p>
        </w:tc>
        <w:tc>
          <w:tcPr>
            <w:tcW w:w="1013" w:type="pct"/>
          </w:tcPr>
          <w:p w14:paraId="3F567F49">
            <w:pPr>
              <w:pStyle w:val="218"/>
              <w:rPr>
                <w:color w:val="auto"/>
              </w:rPr>
            </w:pPr>
            <w:r>
              <w:rPr>
                <w:rFonts w:hint="eastAsia"/>
                <w:color w:val="auto"/>
              </w:rPr>
              <w:t>2035年</w:t>
            </w:r>
          </w:p>
        </w:tc>
      </w:tr>
      <w:tr w14:paraId="6699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pct"/>
          </w:tcPr>
          <w:p w14:paraId="516ABF79">
            <w:pPr>
              <w:pStyle w:val="218"/>
              <w:rPr>
                <w:color w:val="auto"/>
              </w:rPr>
            </w:pPr>
            <w:r>
              <w:rPr>
                <w:rFonts w:hint="eastAsia"/>
                <w:color w:val="auto"/>
              </w:rPr>
              <w:t>吞吐量预测（万吨）</w:t>
            </w:r>
          </w:p>
        </w:tc>
        <w:tc>
          <w:tcPr>
            <w:tcW w:w="1252" w:type="pct"/>
          </w:tcPr>
          <w:p w14:paraId="07406FE2">
            <w:pPr>
              <w:pStyle w:val="218"/>
              <w:rPr>
                <w:color w:val="auto"/>
              </w:rPr>
            </w:pPr>
            <w:r>
              <w:rPr>
                <w:rFonts w:hint="eastAsia"/>
                <w:color w:val="auto"/>
              </w:rPr>
              <w:t>1640</w:t>
            </w:r>
          </w:p>
        </w:tc>
        <w:tc>
          <w:tcPr>
            <w:tcW w:w="1095" w:type="pct"/>
          </w:tcPr>
          <w:p w14:paraId="4E10EC4B">
            <w:pPr>
              <w:pStyle w:val="218"/>
              <w:rPr>
                <w:color w:val="auto"/>
              </w:rPr>
            </w:pPr>
            <w:r>
              <w:rPr>
                <w:rFonts w:hint="eastAsia"/>
                <w:color w:val="auto"/>
              </w:rPr>
              <w:t>1756</w:t>
            </w:r>
          </w:p>
        </w:tc>
        <w:tc>
          <w:tcPr>
            <w:tcW w:w="1013" w:type="pct"/>
          </w:tcPr>
          <w:p w14:paraId="7A45E61D">
            <w:pPr>
              <w:pStyle w:val="218"/>
              <w:rPr>
                <w:color w:val="auto"/>
              </w:rPr>
            </w:pPr>
            <w:r>
              <w:rPr>
                <w:rFonts w:hint="eastAsia"/>
                <w:color w:val="auto"/>
              </w:rPr>
              <w:t>1865</w:t>
            </w:r>
          </w:p>
        </w:tc>
      </w:tr>
      <w:tr w14:paraId="1C992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pct"/>
          </w:tcPr>
          <w:p w14:paraId="38C59760">
            <w:pPr>
              <w:pStyle w:val="218"/>
              <w:rPr>
                <w:color w:val="auto"/>
              </w:rPr>
            </w:pPr>
            <w:r>
              <w:rPr>
                <w:rFonts w:hint="eastAsia"/>
                <w:color w:val="auto"/>
              </w:rPr>
              <w:t>区间年均增长率（%）</w:t>
            </w:r>
          </w:p>
        </w:tc>
        <w:tc>
          <w:tcPr>
            <w:tcW w:w="3360" w:type="pct"/>
            <w:gridSpan w:val="3"/>
          </w:tcPr>
          <w:p w14:paraId="0F4D1E89">
            <w:pPr>
              <w:pStyle w:val="218"/>
              <w:rPr>
                <w:color w:val="auto"/>
              </w:rPr>
            </w:pPr>
            <w:r>
              <w:rPr>
                <w:rFonts w:hint="eastAsia"/>
                <w:color w:val="auto"/>
              </w:rPr>
              <w:t>1.37%</w:t>
            </w:r>
          </w:p>
        </w:tc>
      </w:tr>
    </w:tbl>
    <w:p w14:paraId="3B6EEA9C">
      <w:pPr>
        <w:autoSpaceDE w:val="0"/>
        <w:autoSpaceDN w:val="0"/>
        <w:adjustRightInd w:val="0"/>
        <w:snapToGrid w:val="0"/>
        <w:ind w:firstLine="482"/>
        <w:rPr>
          <w:rFonts w:cs="Times New Roman"/>
          <w:b/>
          <w:szCs w:val="24"/>
        </w:rPr>
      </w:pPr>
      <w:r>
        <w:rPr>
          <w:rFonts w:hint="eastAsia" w:ascii="宋体" w:hAnsi="宋体"/>
          <w:b/>
          <w:szCs w:val="24"/>
        </w:rPr>
        <w:t>五、与《淮安港总体规划（2020</w:t>
      </w:r>
      <w:r>
        <w:rPr>
          <w:rFonts w:hint="eastAsia" w:ascii="宋体" w:hAnsi="宋体"/>
          <w:b/>
          <w:szCs w:val="24"/>
          <w:lang w:eastAsia="zh-CN"/>
        </w:rPr>
        <w:t>—</w:t>
      </w:r>
      <w:r>
        <w:rPr>
          <w:rFonts w:hint="eastAsia" w:ascii="宋体" w:hAnsi="宋体"/>
          <w:b/>
          <w:szCs w:val="24"/>
        </w:rPr>
        <w:t>2035年）》相容性分析</w:t>
      </w:r>
    </w:p>
    <w:p w14:paraId="4AAC4A87">
      <w:pPr>
        <w:adjustRightInd w:val="0"/>
        <w:snapToGrid w:val="0"/>
        <w:ind w:firstLine="480"/>
        <w:rPr>
          <w:rFonts w:hint="eastAsia" w:ascii="宋体" w:hAnsi="宋体"/>
          <w:szCs w:val="24"/>
        </w:rPr>
      </w:pPr>
      <w:r>
        <w:rPr>
          <w:rFonts w:hint="eastAsia" w:ascii="宋体" w:hAnsi="宋体"/>
          <w:szCs w:val="24"/>
        </w:rPr>
        <w:t>对照《淮安港总体规划（</w:t>
      </w:r>
      <w:r>
        <w:rPr>
          <w:rFonts w:hint="eastAsia"/>
          <w:szCs w:val="24"/>
        </w:rPr>
        <w:t>2020</w:t>
      </w:r>
      <w:r>
        <w:rPr>
          <w:rFonts w:hint="eastAsia"/>
          <w:szCs w:val="24"/>
          <w:lang w:eastAsia="zh-CN"/>
        </w:rPr>
        <w:t>—</w:t>
      </w:r>
      <w:r>
        <w:rPr>
          <w:rFonts w:hint="eastAsia"/>
          <w:szCs w:val="24"/>
        </w:rPr>
        <w:t>2035</w:t>
      </w:r>
      <w:r>
        <w:rPr>
          <w:rFonts w:hint="eastAsia" w:ascii="宋体" w:hAnsi="宋体"/>
          <w:szCs w:val="24"/>
        </w:rPr>
        <w:t>年）》，本码头位于涟水港区薛行作业区，盐河左岸。本项目在淮安港的位置见图</w:t>
      </w:r>
      <w:r>
        <w:rPr>
          <w:rFonts w:cs="Times New Roman"/>
          <w:szCs w:val="24"/>
        </w:rPr>
        <w:t>1.5-8。</w:t>
      </w:r>
      <w:r>
        <w:rPr>
          <w:rFonts w:hint="eastAsia" w:ascii="宋体" w:hAnsi="宋体"/>
          <w:szCs w:val="24"/>
        </w:rPr>
        <w:t>本项目在淮安港港口岸线利用规划的位置见图</w:t>
      </w:r>
      <w:r>
        <w:rPr>
          <w:rFonts w:hint="eastAsia"/>
          <w:szCs w:val="24"/>
        </w:rPr>
        <w:t>1.</w:t>
      </w:r>
      <w:r>
        <w:rPr>
          <w:szCs w:val="24"/>
        </w:rPr>
        <w:t>5</w:t>
      </w:r>
      <w:r>
        <w:rPr>
          <w:rFonts w:hint="eastAsia"/>
          <w:szCs w:val="24"/>
        </w:rPr>
        <w:t>-</w:t>
      </w:r>
      <w:r>
        <w:rPr>
          <w:szCs w:val="24"/>
        </w:rPr>
        <w:t>9</w:t>
      </w:r>
      <w:r>
        <w:rPr>
          <w:rFonts w:hint="eastAsia" w:ascii="宋体" w:hAnsi="宋体"/>
          <w:szCs w:val="24"/>
        </w:rPr>
        <w:t>。根据</w:t>
      </w:r>
      <w:r>
        <w:rPr>
          <w:rStyle w:val="140"/>
          <w:rFonts w:hint="eastAsia"/>
          <w:color w:val="auto"/>
        </w:rPr>
        <w:t>图1.5-9，薛行作业区共计规划长度2100m，为三个作业分区，右岸两个作业分区，左岸一个作业分区，其中左岸分区规划长度为1000m，目前已有的码头均位于右岸，左岸目前未有码头项目。</w:t>
      </w:r>
      <w:r>
        <w:rPr>
          <w:rFonts w:cs="Times New Roman"/>
          <w:szCs w:val="24"/>
        </w:rPr>
        <w:t>本项目所在的港口规划岸线为朱码船闸下游4300</w:t>
      </w:r>
      <w:r>
        <w:rPr>
          <w:rStyle w:val="140"/>
          <w:rFonts w:hint="eastAsia"/>
          <w:color w:val="auto"/>
        </w:rPr>
        <w:t>m</w:t>
      </w:r>
      <w:r>
        <w:rPr>
          <w:rFonts w:cs="Times New Roman"/>
          <w:szCs w:val="24"/>
        </w:rPr>
        <w:t>至朱码船闸下游5300</w:t>
      </w:r>
      <w:r>
        <w:rPr>
          <w:rStyle w:val="140"/>
          <w:rFonts w:hint="eastAsia"/>
          <w:color w:val="auto"/>
        </w:rPr>
        <w:t>m</w:t>
      </w:r>
      <w:r>
        <w:rPr>
          <w:rFonts w:cs="Times New Roman"/>
          <w:szCs w:val="24"/>
        </w:rPr>
        <w:t>，全长1000</w:t>
      </w:r>
      <w:r>
        <w:rPr>
          <w:rStyle w:val="140"/>
          <w:rFonts w:hint="eastAsia"/>
          <w:color w:val="auto"/>
        </w:rPr>
        <w:t>m的薛行作业区左岸线</w:t>
      </w:r>
      <w:r>
        <w:rPr>
          <w:rFonts w:cs="Times New Roman"/>
          <w:szCs w:val="24"/>
        </w:rPr>
        <w:t>，岸线用途为矿建材等散杂货。据现场调查及相关资料，目前涟水港区薛行作业区内现有码头均位于盐河航道右侧，薛行作业区左岸岸线范围内现状、近期规划期均无使用情况。本码头实际利用的</w:t>
      </w:r>
      <w:r>
        <w:rPr>
          <w:rStyle w:val="140"/>
          <w:color w:val="auto"/>
        </w:rPr>
        <w:t>左侧</w:t>
      </w:r>
      <w:r>
        <w:rPr>
          <w:rFonts w:cs="Times New Roman"/>
          <w:szCs w:val="24"/>
        </w:rPr>
        <w:t>岸线为朱码船闸下游4300</w:t>
      </w:r>
      <w:r>
        <w:rPr>
          <w:rStyle w:val="140"/>
          <w:rFonts w:hint="eastAsia"/>
          <w:color w:val="auto"/>
        </w:rPr>
        <w:t>m</w:t>
      </w:r>
      <w:r>
        <w:rPr>
          <w:rFonts w:cs="Times New Roman"/>
          <w:szCs w:val="24"/>
        </w:rPr>
        <w:t>至朱码船闸下游4482</w:t>
      </w:r>
      <w:r>
        <w:rPr>
          <w:rStyle w:val="140"/>
          <w:rFonts w:hint="eastAsia"/>
          <w:color w:val="auto"/>
        </w:rPr>
        <w:t>m</w:t>
      </w:r>
      <w:r>
        <w:rPr>
          <w:rFonts w:cs="Times New Roman"/>
          <w:szCs w:val="24"/>
        </w:rPr>
        <w:t>，约182</w:t>
      </w:r>
      <w:r>
        <w:rPr>
          <w:rStyle w:val="140"/>
          <w:rFonts w:cs="Times New Roman"/>
          <w:color w:val="auto"/>
        </w:rPr>
        <w:t>m</w:t>
      </w:r>
      <w:r>
        <w:rPr>
          <w:rFonts w:hint="eastAsia" w:ascii="宋体" w:hAnsi="宋体"/>
          <w:szCs w:val="24"/>
        </w:rPr>
        <w:t>，位于规划左侧岸线范围内</w:t>
      </w:r>
      <w:r>
        <w:rPr>
          <w:rStyle w:val="140"/>
          <w:rFonts w:hint="eastAsia"/>
          <w:color w:val="auto"/>
        </w:rPr>
        <w:t>。</w:t>
      </w:r>
      <w:r>
        <w:rPr>
          <w:rFonts w:hint="eastAsia" w:ascii="宋体" w:hAnsi="宋体"/>
          <w:szCs w:val="24"/>
        </w:rPr>
        <w:t>朱码船闸下游段岸线用途主要为矿建材等散杂货，本项目建成后承担国能涟水一期热电联产项目燃料煤炭的物资运输，货种为散货煤炭，符合要求。</w:t>
      </w:r>
    </w:p>
    <w:p w14:paraId="4EB40318">
      <w:pPr>
        <w:adjustRightInd w:val="0"/>
        <w:snapToGrid w:val="0"/>
        <w:ind w:firstLine="480"/>
        <w:rPr>
          <w:szCs w:val="24"/>
        </w:rPr>
      </w:pPr>
      <w:r>
        <w:rPr>
          <w:rFonts w:hint="eastAsia"/>
          <w:szCs w:val="24"/>
        </w:rPr>
        <w:t>本项目港口岸线使用已于2022年10月取得《准予交通运输行政许可决定书》（淮交航</w:t>
      </w:r>
      <w:r>
        <w:rPr>
          <w:rFonts w:hint="eastAsia"/>
          <w:szCs w:val="24"/>
          <w:lang w:eastAsia="zh-CN"/>
        </w:rPr>
        <w:t>确定</w:t>
      </w:r>
      <w:r>
        <w:rPr>
          <w:rFonts w:hint="eastAsia"/>
          <w:szCs w:val="24"/>
        </w:rPr>
        <w:t>〔2022〕00011号）（见附件</w:t>
      </w:r>
      <w:r>
        <w:rPr>
          <w:szCs w:val="24"/>
        </w:rPr>
        <w:t>7</w:t>
      </w:r>
      <w:r>
        <w:rPr>
          <w:rFonts w:hint="eastAsia"/>
          <w:szCs w:val="24"/>
        </w:rPr>
        <w:t>）。相关决定摘录如下：</w:t>
      </w:r>
    </w:p>
    <w:p w14:paraId="6AE798B1">
      <w:pPr>
        <w:adjustRightInd w:val="0"/>
        <w:snapToGrid w:val="0"/>
        <w:ind w:firstLine="480"/>
        <w:rPr>
          <w:szCs w:val="24"/>
        </w:rPr>
      </w:pPr>
      <w:r>
        <w:rPr>
          <w:rFonts w:hint="eastAsia"/>
          <w:szCs w:val="24"/>
        </w:rPr>
        <w:t>一、拟建码头采用顺岸挖入式布置形式，共设置了3个1000吨级泊位，其中2个1000吨级装卸泊位，1个1000吨级待泊泊位，装卸泊位长度为144m，待泊泊位长度为76m；码头前沿顶高程7.2m，码头前沿设计河底高程-1.66m，码头前沿距离航道中心线120m，符合航道通航标准，满足通航需求。</w:t>
      </w:r>
    </w:p>
    <w:p w14:paraId="51D9AA7F">
      <w:pPr>
        <w:adjustRightInd w:val="0"/>
        <w:snapToGrid w:val="0"/>
        <w:ind w:firstLine="480"/>
        <w:rPr>
          <w:szCs w:val="24"/>
        </w:rPr>
      </w:pPr>
      <w:r>
        <w:rPr>
          <w:rFonts w:hint="eastAsia"/>
          <w:szCs w:val="24"/>
        </w:rPr>
        <w:t>二、拟建码头位于淮安市涟水县薛行作业区内，盐河航道左岸朱码闸下游约4.3km处。该航段设计最高通航水位7.10m（85国家高程基准，下同），设计最低通航水位1.84m。本项目符合《淮安港总体规划（2020-2035）》，选址可行。</w:t>
      </w:r>
    </w:p>
    <w:p w14:paraId="2CD29127">
      <w:pPr>
        <w:pStyle w:val="139"/>
        <w:ind w:firstLine="480"/>
        <w:rPr>
          <w:color w:val="auto"/>
        </w:rPr>
      </w:pPr>
      <w:r>
        <w:rPr>
          <w:rFonts w:hint="eastAsia"/>
          <w:color w:val="auto"/>
        </w:rPr>
        <w:t>根据近</w:t>
      </w:r>
      <w:r>
        <w:rPr>
          <w:rFonts w:hint="eastAsia"/>
          <w:color w:val="auto"/>
          <w:lang w:eastAsia="zh-CN"/>
        </w:rPr>
        <w:t>期</w:t>
      </w:r>
      <w:r>
        <w:rPr>
          <w:rFonts w:hint="eastAsia"/>
          <w:color w:val="auto"/>
        </w:rPr>
        <w:t>国能涟水热电联产项目耗煤量分析结果，预计本码头近期2025年水运吞吐量将达到约40万吨，远期2030年将达到约112万吨。不突破规划预测的涟水港区货物吞吐量。</w:t>
      </w:r>
    </w:p>
    <w:p w14:paraId="251745D5">
      <w:pPr>
        <w:snapToGrid w:val="0"/>
        <w:ind w:firstLine="480"/>
        <w:rPr>
          <w:sz w:val="21"/>
        </w:rPr>
      </w:pPr>
      <w:r>
        <w:rPr>
          <w:rFonts w:hint="eastAsia" w:ascii="宋体" w:hAnsi="宋体"/>
          <w:bCs/>
          <w:szCs w:val="24"/>
        </w:rPr>
        <w:t>本码头符合</w:t>
      </w:r>
      <w:bookmarkStart w:id="58" w:name="_Hlk178562347"/>
      <w:r>
        <w:rPr>
          <w:rFonts w:hint="eastAsia" w:ascii="宋体" w:hAnsi="宋体"/>
          <w:bCs/>
          <w:szCs w:val="24"/>
        </w:rPr>
        <w:t>《淮安港总体规划（</w:t>
      </w:r>
      <w:r>
        <w:rPr>
          <w:rFonts w:hint="eastAsia"/>
          <w:bCs/>
          <w:szCs w:val="24"/>
        </w:rPr>
        <w:t>2020</w:t>
      </w:r>
      <w:r>
        <w:rPr>
          <w:rFonts w:hint="eastAsia"/>
          <w:bCs/>
          <w:szCs w:val="24"/>
          <w:lang w:eastAsia="zh-CN"/>
        </w:rPr>
        <w:t>—</w:t>
      </w:r>
      <w:r>
        <w:rPr>
          <w:rFonts w:hint="eastAsia"/>
          <w:bCs/>
          <w:szCs w:val="24"/>
        </w:rPr>
        <w:t>2035</w:t>
      </w:r>
      <w:r>
        <w:rPr>
          <w:rFonts w:hint="eastAsia" w:ascii="宋体" w:hAnsi="宋体"/>
          <w:bCs/>
          <w:szCs w:val="24"/>
        </w:rPr>
        <w:t>年）》</w:t>
      </w:r>
      <w:bookmarkEnd w:id="58"/>
      <w:r>
        <w:rPr>
          <w:rFonts w:hint="eastAsia" w:ascii="宋体" w:hAnsi="宋体"/>
          <w:bCs/>
          <w:szCs w:val="24"/>
        </w:rPr>
        <w:t>。</w:t>
      </w:r>
    </w:p>
    <w:p w14:paraId="08DECCDB">
      <w:pPr>
        <w:ind w:firstLine="482"/>
        <w:rPr>
          <w:b/>
          <w:bCs/>
          <w:szCs w:val="24"/>
        </w:rPr>
      </w:pPr>
      <w:r>
        <w:rPr>
          <w:rFonts w:hint="eastAsia" w:ascii="宋体" w:hAnsi="宋体"/>
          <w:b/>
          <w:bCs/>
          <w:szCs w:val="24"/>
        </w:rPr>
        <w:t>六、与《淮安港总体规划（</w:t>
      </w:r>
      <w:r>
        <w:rPr>
          <w:rFonts w:hint="eastAsia"/>
          <w:b/>
          <w:bCs/>
          <w:szCs w:val="24"/>
        </w:rPr>
        <w:t>2020</w:t>
      </w:r>
      <w:r>
        <w:rPr>
          <w:rFonts w:hint="eastAsia"/>
          <w:b/>
          <w:bCs/>
          <w:szCs w:val="24"/>
          <w:lang w:eastAsia="zh-CN"/>
        </w:rPr>
        <w:t>—</w:t>
      </w:r>
      <w:r>
        <w:rPr>
          <w:rFonts w:hint="eastAsia"/>
          <w:b/>
          <w:bCs/>
          <w:szCs w:val="24"/>
        </w:rPr>
        <w:t>2035</w:t>
      </w:r>
      <w:r>
        <w:rPr>
          <w:rFonts w:hint="eastAsia" w:ascii="宋体" w:hAnsi="宋体"/>
          <w:b/>
          <w:bCs/>
          <w:szCs w:val="24"/>
        </w:rPr>
        <w:t>年）环境影响报告书》（</w:t>
      </w:r>
      <w:r>
        <w:rPr>
          <w:rFonts w:hint="eastAsia" w:ascii="宋体" w:hAnsi="宋体"/>
          <w:b/>
          <w:bCs/>
          <w:kern w:val="0"/>
          <w:sz w:val="28"/>
          <w:szCs w:val="28"/>
        </w:rPr>
        <w:t>苏环审</w:t>
      </w:r>
      <w:r>
        <w:rPr>
          <w:rFonts w:hint="eastAsia" w:ascii="宋体" w:hAnsi="宋体"/>
          <w:b/>
          <w:bCs/>
          <w:sz w:val="30"/>
          <w:szCs w:val="30"/>
        </w:rPr>
        <w:t>〔</w:t>
      </w:r>
      <w:r>
        <w:rPr>
          <w:rFonts w:hint="eastAsia"/>
          <w:b/>
          <w:bCs/>
          <w:kern w:val="0"/>
          <w:sz w:val="28"/>
          <w:szCs w:val="28"/>
        </w:rPr>
        <w:t>2020</w:t>
      </w:r>
      <w:r>
        <w:rPr>
          <w:rFonts w:hint="eastAsia" w:ascii="宋体" w:hAnsi="宋体"/>
          <w:b/>
          <w:bCs/>
          <w:sz w:val="30"/>
          <w:szCs w:val="30"/>
        </w:rPr>
        <w:t>〕</w:t>
      </w:r>
      <w:r>
        <w:rPr>
          <w:rFonts w:hint="eastAsia"/>
          <w:b/>
          <w:bCs/>
          <w:kern w:val="0"/>
          <w:sz w:val="28"/>
          <w:szCs w:val="28"/>
        </w:rPr>
        <w:t>16</w:t>
      </w:r>
      <w:r>
        <w:rPr>
          <w:rFonts w:hint="eastAsia" w:ascii="宋体" w:hAnsi="宋体"/>
          <w:b/>
          <w:bCs/>
          <w:kern w:val="0"/>
          <w:sz w:val="28"/>
          <w:szCs w:val="28"/>
        </w:rPr>
        <w:t>号）</w:t>
      </w:r>
      <w:r>
        <w:rPr>
          <w:rFonts w:hint="eastAsia" w:ascii="宋体" w:hAnsi="宋体"/>
          <w:b/>
          <w:bCs/>
          <w:szCs w:val="24"/>
        </w:rPr>
        <w:t>环境影响报告书相符性</w:t>
      </w:r>
    </w:p>
    <w:p w14:paraId="6665A42E">
      <w:pPr>
        <w:adjustRightInd w:val="0"/>
        <w:snapToGrid w:val="0"/>
        <w:ind w:firstLine="480"/>
        <w:rPr>
          <w:sz w:val="21"/>
        </w:rPr>
      </w:pPr>
      <w:r>
        <w:rPr>
          <w:rFonts w:hint="eastAsia" w:ascii="宋体" w:hAnsi="宋体"/>
          <w:bCs/>
          <w:szCs w:val="24"/>
        </w:rPr>
        <w:t>《淮安港总体规划（</w:t>
      </w:r>
      <w:r>
        <w:rPr>
          <w:rFonts w:hint="eastAsia"/>
          <w:bCs/>
          <w:szCs w:val="24"/>
        </w:rPr>
        <w:t>2020</w:t>
      </w:r>
      <w:r>
        <w:rPr>
          <w:rFonts w:hint="eastAsia"/>
          <w:bCs/>
          <w:szCs w:val="24"/>
          <w:lang w:eastAsia="zh-CN"/>
        </w:rPr>
        <w:t>—</w:t>
      </w:r>
      <w:r>
        <w:rPr>
          <w:rFonts w:hint="eastAsia"/>
          <w:bCs/>
          <w:szCs w:val="24"/>
        </w:rPr>
        <w:t>2035</w:t>
      </w:r>
      <w:r>
        <w:rPr>
          <w:rFonts w:hint="eastAsia" w:ascii="宋体" w:hAnsi="宋体"/>
          <w:bCs/>
          <w:szCs w:val="24"/>
        </w:rPr>
        <w:t>年）环境影响报告书》于</w:t>
      </w:r>
      <w:r>
        <w:rPr>
          <w:rFonts w:hint="eastAsia"/>
          <w:bCs/>
          <w:szCs w:val="24"/>
        </w:rPr>
        <w:t>2020</w:t>
      </w:r>
      <w:r>
        <w:rPr>
          <w:rFonts w:hint="eastAsia" w:ascii="宋体" w:hAnsi="宋体"/>
          <w:bCs/>
          <w:szCs w:val="24"/>
        </w:rPr>
        <w:t>年</w:t>
      </w:r>
      <w:r>
        <w:rPr>
          <w:rFonts w:hint="eastAsia"/>
          <w:bCs/>
          <w:szCs w:val="24"/>
        </w:rPr>
        <w:t>6</w:t>
      </w:r>
      <w:r>
        <w:rPr>
          <w:rFonts w:hint="eastAsia" w:ascii="宋体" w:hAnsi="宋体"/>
          <w:bCs/>
          <w:szCs w:val="24"/>
        </w:rPr>
        <w:t>月</w:t>
      </w:r>
      <w:r>
        <w:rPr>
          <w:rFonts w:hint="eastAsia"/>
          <w:bCs/>
          <w:szCs w:val="24"/>
        </w:rPr>
        <w:t>9</w:t>
      </w:r>
      <w:r>
        <w:rPr>
          <w:rFonts w:hint="eastAsia" w:ascii="宋体" w:hAnsi="宋体"/>
          <w:bCs/>
          <w:szCs w:val="24"/>
        </w:rPr>
        <w:t>日取得了江苏省生态环境厅审查意见。拟建项目与《省生态环境厅关于淮安港总体规划（</w:t>
      </w:r>
      <w:r>
        <w:rPr>
          <w:rFonts w:hint="eastAsia"/>
          <w:bCs/>
          <w:szCs w:val="24"/>
        </w:rPr>
        <w:t>2020</w:t>
      </w:r>
      <w:r>
        <w:rPr>
          <w:rFonts w:hint="eastAsia"/>
          <w:bCs/>
          <w:szCs w:val="24"/>
          <w:lang w:eastAsia="zh-CN"/>
        </w:rPr>
        <w:t>—</w:t>
      </w:r>
      <w:r>
        <w:rPr>
          <w:rFonts w:hint="eastAsia"/>
          <w:bCs/>
          <w:szCs w:val="24"/>
        </w:rPr>
        <w:t>2035</w:t>
      </w:r>
      <w:r>
        <w:rPr>
          <w:rFonts w:hint="eastAsia" w:ascii="宋体" w:hAnsi="宋体"/>
          <w:bCs/>
          <w:szCs w:val="24"/>
        </w:rPr>
        <w:t>年）环境影响报告书的审查意见》（苏环审</w:t>
      </w:r>
      <w:r>
        <w:rPr>
          <w:rFonts w:hint="eastAsia" w:ascii="宋体" w:hAnsi="宋体"/>
          <w:bCs/>
          <w:sz w:val="30"/>
          <w:szCs w:val="30"/>
        </w:rPr>
        <w:t>〔</w:t>
      </w:r>
      <w:r>
        <w:rPr>
          <w:rFonts w:hint="eastAsia"/>
          <w:bCs/>
          <w:szCs w:val="24"/>
        </w:rPr>
        <w:t>2020</w:t>
      </w:r>
      <w:r>
        <w:rPr>
          <w:rFonts w:hint="eastAsia" w:ascii="宋体" w:hAnsi="宋体"/>
          <w:bCs/>
          <w:sz w:val="30"/>
          <w:szCs w:val="30"/>
        </w:rPr>
        <w:t>〕</w:t>
      </w:r>
      <w:r>
        <w:rPr>
          <w:rFonts w:hint="eastAsia"/>
          <w:bCs/>
          <w:szCs w:val="24"/>
        </w:rPr>
        <w:t>16</w:t>
      </w:r>
      <w:r>
        <w:rPr>
          <w:rFonts w:hint="eastAsia" w:ascii="宋体" w:hAnsi="宋体"/>
          <w:bCs/>
          <w:szCs w:val="24"/>
        </w:rPr>
        <w:t>号）的符合性分析见表</w:t>
      </w:r>
      <w:r>
        <w:rPr>
          <w:rFonts w:hint="eastAsia"/>
          <w:bCs/>
          <w:szCs w:val="24"/>
        </w:rPr>
        <w:t>1.5-11</w:t>
      </w:r>
      <w:r>
        <w:rPr>
          <w:rFonts w:hint="eastAsia" w:ascii="宋体" w:hAnsi="宋体"/>
          <w:bCs/>
          <w:szCs w:val="24"/>
        </w:rPr>
        <w:t>。</w:t>
      </w:r>
    </w:p>
    <w:p w14:paraId="45189C65">
      <w:pPr>
        <w:ind w:firstLine="480"/>
        <w:sectPr>
          <w:pgSz w:w="11906" w:h="16838"/>
          <w:pgMar w:top="1418" w:right="1418" w:bottom="1418" w:left="1418" w:header="851" w:footer="992" w:gutter="0"/>
          <w:cols w:space="720" w:num="1"/>
          <w:docGrid w:type="lines" w:linePitch="312" w:charSpace="0"/>
        </w:sectPr>
      </w:pPr>
    </w:p>
    <w:p w14:paraId="2DC80159">
      <w:pPr>
        <w:pStyle w:val="86"/>
      </w:pPr>
      <w:r>
        <w:rPr>
          <w:rFonts w:hint="eastAsia"/>
        </w:rPr>
        <w:t>本项目与淮安港总体规划（</w:t>
      </w:r>
      <w:r>
        <w:rPr>
          <w:rFonts w:hint="eastAsia"/>
          <w:lang w:eastAsia="zh-CN"/>
        </w:rPr>
        <w:t>2020—2035</w:t>
      </w:r>
      <w:r>
        <w:rPr>
          <w:rFonts w:hint="eastAsia"/>
        </w:rPr>
        <w:t>年）环境影响报告书审查意见相符性一览表</w:t>
      </w:r>
    </w:p>
    <w:tbl>
      <w:tblPr>
        <w:tblStyle w:val="38"/>
        <w:tblW w:w="4996" w:type="pct"/>
        <w:tblInd w:w="0" w:type="dxa"/>
        <w:tblLayout w:type="autofit"/>
        <w:tblCellMar>
          <w:top w:w="0" w:type="dxa"/>
          <w:left w:w="108" w:type="dxa"/>
          <w:bottom w:w="0" w:type="dxa"/>
          <w:right w:w="108" w:type="dxa"/>
        </w:tblCellMar>
      </w:tblPr>
      <w:tblGrid>
        <w:gridCol w:w="597"/>
        <w:gridCol w:w="8715"/>
        <w:gridCol w:w="3946"/>
        <w:gridCol w:w="949"/>
      </w:tblGrid>
      <w:tr w14:paraId="5150F2CE">
        <w:tblPrEx>
          <w:tblCellMar>
            <w:top w:w="0" w:type="dxa"/>
            <w:left w:w="108" w:type="dxa"/>
            <w:bottom w:w="0" w:type="dxa"/>
            <w:right w:w="108" w:type="dxa"/>
          </w:tblCellMar>
        </w:tblPrEx>
        <w:trPr>
          <w:trHeight w:val="510" w:hRule="atLeast"/>
          <w:tblHeader/>
        </w:trPr>
        <w:tc>
          <w:tcPr>
            <w:tcW w:w="210" w:type="pct"/>
            <w:tcBorders>
              <w:top w:val="single" w:color="000000" w:sz="4" w:space="0"/>
              <w:left w:val="single" w:color="000000" w:sz="4" w:space="0"/>
              <w:bottom w:val="single" w:color="000000" w:sz="4" w:space="0"/>
              <w:right w:val="single" w:color="000000" w:sz="4" w:space="0"/>
            </w:tcBorders>
            <w:vAlign w:val="center"/>
          </w:tcPr>
          <w:p w14:paraId="6CE8914A">
            <w:pPr>
              <w:pStyle w:val="196"/>
              <w:rPr>
                <w:rFonts w:cs="宋体"/>
                <w:b/>
                <w:bCs/>
                <w:szCs w:val="21"/>
              </w:rPr>
            </w:pPr>
            <w:r>
              <w:rPr>
                <w:rFonts w:hint="eastAsia"/>
                <w:b/>
                <w:bCs/>
              </w:rPr>
              <w:t>序号</w:t>
            </w:r>
          </w:p>
        </w:tc>
        <w:tc>
          <w:tcPr>
            <w:tcW w:w="3066" w:type="pct"/>
            <w:tcBorders>
              <w:top w:val="single" w:color="000000" w:sz="4" w:space="0"/>
              <w:left w:val="nil"/>
              <w:bottom w:val="single" w:color="000000" w:sz="4" w:space="0"/>
              <w:right w:val="single" w:color="000000" w:sz="4" w:space="0"/>
            </w:tcBorders>
            <w:vAlign w:val="center"/>
          </w:tcPr>
          <w:p w14:paraId="311ABB8B">
            <w:pPr>
              <w:pStyle w:val="196"/>
              <w:rPr>
                <w:rFonts w:cs="宋体"/>
                <w:b/>
                <w:bCs/>
              </w:rPr>
            </w:pPr>
            <w:r>
              <w:rPr>
                <w:rFonts w:hint="eastAsia"/>
                <w:b/>
                <w:bCs/>
              </w:rPr>
              <w:t>审查意见</w:t>
            </w:r>
          </w:p>
        </w:tc>
        <w:tc>
          <w:tcPr>
            <w:tcW w:w="1388" w:type="pct"/>
            <w:tcBorders>
              <w:top w:val="single" w:color="000000" w:sz="4" w:space="0"/>
              <w:left w:val="nil"/>
              <w:bottom w:val="single" w:color="000000" w:sz="4" w:space="0"/>
              <w:right w:val="single" w:color="000000" w:sz="4" w:space="0"/>
            </w:tcBorders>
            <w:vAlign w:val="center"/>
          </w:tcPr>
          <w:p w14:paraId="6999A07B">
            <w:pPr>
              <w:pStyle w:val="196"/>
              <w:rPr>
                <w:rFonts w:cs="宋体"/>
                <w:b/>
                <w:bCs/>
              </w:rPr>
            </w:pPr>
            <w:r>
              <w:rPr>
                <w:rFonts w:hint="eastAsia"/>
                <w:b/>
                <w:bCs/>
              </w:rPr>
              <w:t>拟建码头情况</w:t>
            </w:r>
          </w:p>
        </w:tc>
        <w:tc>
          <w:tcPr>
            <w:tcW w:w="334" w:type="pct"/>
            <w:tcBorders>
              <w:top w:val="single" w:color="000000" w:sz="4" w:space="0"/>
              <w:left w:val="nil"/>
              <w:bottom w:val="single" w:color="000000" w:sz="4" w:space="0"/>
              <w:right w:val="single" w:color="000000" w:sz="4" w:space="0"/>
            </w:tcBorders>
            <w:vAlign w:val="center"/>
          </w:tcPr>
          <w:p w14:paraId="45AE787B">
            <w:pPr>
              <w:pStyle w:val="196"/>
              <w:rPr>
                <w:rFonts w:cs="宋体"/>
                <w:b/>
                <w:bCs/>
              </w:rPr>
            </w:pPr>
            <w:r>
              <w:rPr>
                <w:rFonts w:hint="eastAsia"/>
                <w:b/>
                <w:bCs/>
              </w:rPr>
              <w:t>符合性分析</w:t>
            </w:r>
          </w:p>
        </w:tc>
      </w:tr>
      <w:tr w14:paraId="2CA9FE3B">
        <w:tblPrEx>
          <w:tblCellMar>
            <w:top w:w="0" w:type="dxa"/>
            <w:left w:w="108" w:type="dxa"/>
            <w:bottom w:w="0" w:type="dxa"/>
            <w:right w:w="108" w:type="dxa"/>
          </w:tblCellMar>
        </w:tblPrEx>
        <w:trPr>
          <w:trHeight w:val="105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297FA6CC">
            <w:pPr>
              <w:pStyle w:val="196"/>
              <w:rPr>
                <w:rFonts w:cs="Times New Roman"/>
              </w:rPr>
            </w:pPr>
            <w:r>
              <w:rPr>
                <w:rFonts w:hint="eastAsia"/>
              </w:rPr>
              <w:t>1</w:t>
            </w:r>
          </w:p>
        </w:tc>
        <w:tc>
          <w:tcPr>
            <w:tcW w:w="3066" w:type="pct"/>
            <w:tcBorders>
              <w:top w:val="single" w:color="000000" w:sz="4" w:space="0"/>
              <w:left w:val="nil"/>
              <w:bottom w:val="single" w:color="000000" w:sz="4" w:space="0"/>
              <w:right w:val="single" w:color="000000" w:sz="4" w:space="0"/>
            </w:tcBorders>
            <w:vAlign w:val="center"/>
          </w:tcPr>
          <w:p w14:paraId="212EB169">
            <w:pPr>
              <w:pStyle w:val="196"/>
            </w:pPr>
            <w:r>
              <w:rPr>
                <w:rFonts w:hint="eastAsia"/>
              </w:rPr>
              <w:t>（一）正确处理保护和发展的关系。坚持生态优先、绿色发展战略定位，明确规划期水环境、大气环境质量改善目标以及生态系统修复目标，作为开发建设的底线。立足大运河保护、南水北调东线工程水环境保护、清水通道维护区管控要求、水源地保护、生态系统完整性保护以及自然岸线和湿地等保护，强化对港口开发的引导和约束作用，进一步优化开发方案，落实环保对策措施。加强《规划》与有关规划要</w:t>
            </w:r>
            <w:r>
              <w:rPr>
                <w:rFonts w:hint="eastAsia"/>
                <w:lang w:eastAsia="zh-CN"/>
              </w:rPr>
              <w:t>求的</w:t>
            </w:r>
            <w:r>
              <w:rPr>
                <w:rFonts w:hint="eastAsia"/>
              </w:rPr>
              <w:t>衔接，确保符合国土空间规划、国家级生态保护红线、生态空间管控区域、环境功能区划等管理要求。</w:t>
            </w:r>
          </w:p>
        </w:tc>
        <w:tc>
          <w:tcPr>
            <w:tcW w:w="1388" w:type="pct"/>
            <w:tcBorders>
              <w:top w:val="single" w:color="000000" w:sz="4" w:space="0"/>
              <w:left w:val="nil"/>
              <w:bottom w:val="single" w:color="000000" w:sz="4" w:space="0"/>
              <w:right w:val="single" w:color="000000" w:sz="4" w:space="0"/>
            </w:tcBorders>
            <w:vAlign w:val="center"/>
          </w:tcPr>
          <w:p w14:paraId="1758BFB2">
            <w:pPr>
              <w:pStyle w:val="196"/>
            </w:pPr>
            <w:r>
              <w:rPr>
                <w:rFonts w:hint="eastAsia"/>
              </w:rPr>
              <w:t>本工程拟利用盐河左岸朱码船闸下游4</w:t>
            </w:r>
            <w:r>
              <w:rPr>
                <w:rFonts w:hint="eastAsia" w:cs="宋体"/>
              </w:rPr>
              <w:t>300</w:t>
            </w:r>
            <w:r>
              <w:rPr>
                <w:rFonts w:hint="eastAsia"/>
              </w:rPr>
              <w:t>m至朱码船闸下游</w:t>
            </w:r>
            <w:r>
              <w:rPr>
                <w:rFonts w:hint="eastAsia" w:cs="宋体"/>
              </w:rPr>
              <w:t>4482</w:t>
            </w:r>
            <w:r>
              <w:rPr>
                <w:rFonts w:hint="eastAsia"/>
              </w:rPr>
              <w:t>m之间的岸线，约</w:t>
            </w:r>
            <w:r>
              <w:rPr>
                <w:rFonts w:hint="eastAsia" w:cs="宋体"/>
              </w:rPr>
              <w:t>182</w:t>
            </w:r>
            <w:r>
              <w:rPr>
                <w:rFonts w:hint="eastAsia"/>
              </w:rPr>
              <w:t>m。本新建码头项目符合淮安港的岸线利用规划。朱码船闸下游段岸线用途主要为矿建材等散杂货，本项目建成后主要承担国能涟水一期热电联产项目的燃料煤炭的运输，符合要求。在采取综合环保措施后，港区污染物排放满足标准要求。经分析项目与淮安市城市总体规划、淮安港总体规划、国土空间规划、国家级生态保护红线、生态空间管控区域、环境功能区划等管理要求均相符。</w:t>
            </w:r>
          </w:p>
        </w:tc>
        <w:tc>
          <w:tcPr>
            <w:tcW w:w="334" w:type="pct"/>
            <w:tcBorders>
              <w:top w:val="single" w:color="000000" w:sz="4" w:space="0"/>
              <w:left w:val="nil"/>
              <w:bottom w:val="single" w:color="000000" w:sz="4" w:space="0"/>
              <w:right w:val="single" w:color="000000" w:sz="4" w:space="0"/>
            </w:tcBorders>
            <w:vAlign w:val="center"/>
          </w:tcPr>
          <w:p w14:paraId="42BECC22">
            <w:pPr>
              <w:pStyle w:val="196"/>
              <w:rPr>
                <w:rFonts w:cs="宋体"/>
              </w:rPr>
            </w:pPr>
            <w:r>
              <w:rPr>
                <w:rFonts w:hint="eastAsia"/>
              </w:rPr>
              <w:t>符合</w:t>
            </w:r>
          </w:p>
        </w:tc>
      </w:tr>
      <w:tr w14:paraId="726F694B">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108AFB06">
            <w:pPr>
              <w:pStyle w:val="196"/>
              <w:rPr>
                <w:rFonts w:cs="Times New Roman"/>
              </w:rPr>
            </w:pPr>
            <w:r>
              <w:rPr>
                <w:rFonts w:hint="eastAsia"/>
              </w:rPr>
              <w:t>2</w:t>
            </w:r>
          </w:p>
        </w:tc>
        <w:tc>
          <w:tcPr>
            <w:tcW w:w="3066" w:type="pct"/>
            <w:tcBorders>
              <w:top w:val="single" w:color="000000" w:sz="4" w:space="0"/>
              <w:left w:val="nil"/>
              <w:bottom w:val="single" w:color="000000" w:sz="4" w:space="0"/>
              <w:right w:val="single" w:color="000000" w:sz="4" w:space="0"/>
            </w:tcBorders>
            <w:vAlign w:val="center"/>
          </w:tcPr>
          <w:p w14:paraId="3ECCC3A3">
            <w:pPr>
              <w:pStyle w:val="196"/>
              <w:rPr>
                <w:rFonts w:cs="宋体"/>
              </w:rPr>
            </w:pPr>
            <w:r>
              <w:rPr>
                <w:rFonts w:hint="eastAsia"/>
              </w:rPr>
              <w:t>（二）明确并落实生态空间管控要求。国家级生态保护红线，区域按照禁止开发区域要求进行管理。闸桥上游段岸线950米（废黄河工业作业区，已建华能淮阴电厂码头、海螺水泥码头），部分位于国家级生态保护红线中的北京路水厂废黄河饮用水水源准保护区；运西电站节制闸下游岸线300米（已建大山粮食码头），全部位于国家级生态保护红线京杭大运河淮安区饮用水水源保护区二级保护区内。所有位于饮用水源二级保护区、准保护区范围内的码头不得扩充经营货种，不得增加货种吞吐量，做好环保措施：如2025年前保护区尚未调整，需及时拆除码头设施，并取消该规划岸线。金湖二桥下游岸线中的134米未建设，位于国家级生态保护红线金湖县饮用水水源保护区二级保护区，在国家生态保护红线调整发布前，未建岸线不得开发利用。其余部分岸线及锚地涉及江苏省生态空间管控区域清水通道维护区的，应严格执行《南水北调工程供用水管理条例》《江苏省河道管理条例》等有关规定，并严格环保措施，不设置排污口。位于江苏省生态空间管控区域淮阴区生态公益林的3段岸线（淮三路大桥上游段、老淮泗路下游段、徐宋路大桥上游段）需严格控制占用，如需占用应征得省级主管部门同意，并由所在地县级林业行政主管部门按照“占一补一”的原则组织林地恢复补偿到位。</w:t>
            </w:r>
          </w:p>
        </w:tc>
        <w:tc>
          <w:tcPr>
            <w:tcW w:w="1388" w:type="pct"/>
            <w:tcBorders>
              <w:top w:val="single" w:color="000000" w:sz="4" w:space="0"/>
              <w:left w:val="nil"/>
              <w:bottom w:val="single" w:color="000000" w:sz="4" w:space="0"/>
              <w:right w:val="single" w:color="000000" w:sz="4" w:space="0"/>
            </w:tcBorders>
            <w:vAlign w:val="center"/>
          </w:tcPr>
          <w:p w14:paraId="507A0F5E">
            <w:pPr>
              <w:pStyle w:val="196"/>
              <w:rPr>
                <w:rFonts w:cs="宋体"/>
              </w:rPr>
            </w:pPr>
            <w:r>
              <w:rPr>
                <w:rFonts w:hint="eastAsia"/>
              </w:rPr>
              <w:t>项目不占用国家级生态保护红线及饮用水源保护区各级保护区范围，并采取措施严禁往盐河排污，与生态保护红线及饮用水源保护等管理要求相符。</w:t>
            </w:r>
          </w:p>
        </w:tc>
        <w:tc>
          <w:tcPr>
            <w:tcW w:w="334" w:type="pct"/>
            <w:tcBorders>
              <w:top w:val="single" w:color="000000" w:sz="4" w:space="0"/>
              <w:left w:val="nil"/>
              <w:bottom w:val="single" w:color="000000" w:sz="4" w:space="0"/>
              <w:right w:val="single" w:color="000000" w:sz="4" w:space="0"/>
            </w:tcBorders>
            <w:vAlign w:val="center"/>
          </w:tcPr>
          <w:p w14:paraId="75AC6A1A">
            <w:pPr>
              <w:pStyle w:val="196"/>
              <w:rPr>
                <w:rFonts w:cs="宋体"/>
              </w:rPr>
            </w:pPr>
            <w:r>
              <w:rPr>
                <w:rFonts w:hint="eastAsia"/>
              </w:rPr>
              <w:t>符合</w:t>
            </w:r>
          </w:p>
        </w:tc>
      </w:tr>
      <w:tr w14:paraId="7A27B932">
        <w:tblPrEx>
          <w:tblCellMar>
            <w:top w:w="0" w:type="dxa"/>
            <w:left w:w="108" w:type="dxa"/>
            <w:bottom w:w="0" w:type="dxa"/>
            <w:right w:w="108" w:type="dxa"/>
          </w:tblCellMar>
        </w:tblPrEx>
        <w:trPr>
          <w:trHeight w:val="108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37275A35">
            <w:pPr>
              <w:pStyle w:val="196"/>
              <w:rPr>
                <w:rFonts w:cs="Times New Roman"/>
              </w:rPr>
            </w:pPr>
            <w:r>
              <w:rPr>
                <w:rFonts w:hint="eastAsia"/>
              </w:rPr>
              <w:t>3</w:t>
            </w:r>
          </w:p>
        </w:tc>
        <w:tc>
          <w:tcPr>
            <w:tcW w:w="3066" w:type="pct"/>
            <w:tcBorders>
              <w:top w:val="single" w:color="000000" w:sz="4" w:space="0"/>
              <w:left w:val="nil"/>
              <w:bottom w:val="single" w:color="000000" w:sz="4" w:space="0"/>
              <w:right w:val="single" w:color="000000" w:sz="4" w:space="0"/>
            </w:tcBorders>
            <w:vAlign w:val="center"/>
          </w:tcPr>
          <w:p w14:paraId="7BBC75BF">
            <w:pPr>
              <w:pStyle w:val="196"/>
              <w:rPr>
                <w:rFonts w:cs="宋体"/>
              </w:rPr>
            </w:pPr>
            <w:r>
              <w:rPr>
                <w:rFonts w:hint="eastAsia"/>
              </w:rPr>
              <w:t>（三）严格饮用水源保护。应根据《</w:t>
            </w:r>
            <w:r>
              <w:rPr>
                <w:rFonts w:hint="eastAsia"/>
                <w:lang w:eastAsia="zh-CN"/>
              </w:rPr>
              <w:t>中华人民共和国水污染防治法</w:t>
            </w:r>
            <w:r>
              <w:rPr>
                <w:rFonts w:hint="eastAsia"/>
              </w:rPr>
              <w:t>》等有关法律法规要求，严格岸线及作业区设置，减轻港口对水源地的不利影响。运西电站节制闸下游岸线1320米（部分上河作业区）位于京杭大运河淮安区饮用水水源准保护区内，涉及准保护区的部分岸线及作业区禁止从事危化品、油品、煤炭等重污染装卸作业，需符合饮用水源准保护区相关规定要求；白马湖下游引河河口段880米（部分林集作业区）位于京杭大运河淮安区饮用水水源准保护区内，根据专项调整规划环评的批复（苏环审〔2017〕40号），林集作业区禁止从事化学品及油品等危险货物以及煤炭、矿砂、水泥等散货装卸作业。</w:t>
            </w:r>
          </w:p>
        </w:tc>
        <w:tc>
          <w:tcPr>
            <w:tcW w:w="1388" w:type="pct"/>
            <w:tcBorders>
              <w:top w:val="single" w:color="000000" w:sz="4" w:space="0"/>
              <w:left w:val="nil"/>
              <w:bottom w:val="single" w:color="000000" w:sz="4" w:space="0"/>
              <w:right w:val="single" w:color="000000" w:sz="4" w:space="0"/>
            </w:tcBorders>
            <w:vAlign w:val="center"/>
          </w:tcPr>
          <w:p w14:paraId="07FE2011">
            <w:pPr>
              <w:pStyle w:val="196"/>
              <w:rPr>
                <w:rFonts w:cs="宋体"/>
              </w:rPr>
            </w:pPr>
            <w:r>
              <w:rPr>
                <w:rFonts w:hint="eastAsia"/>
              </w:rPr>
              <w:t>项目不占用国家级生态保护红线及饮用水源保护区各级保护区范围。</w:t>
            </w:r>
          </w:p>
        </w:tc>
        <w:tc>
          <w:tcPr>
            <w:tcW w:w="334" w:type="pct"/>
            <w:tcBorders>
              <w:top w:val="single" w:color="000000" w:sz="4" w:space="0"/>
              <w:left w:val="nil"/>
              <w:bottom w:val="single" w:color="000000" w:sz="4" w:space="0"/>
              <w:right w:val="single" w:color="000000" w:sz="4" w:space="0"/>
            </w:tcBorders>
            <w:vAlign w:val="center"/>
          </w:tcPr>
          <w:p w14:paraId="3B20F36F">
            <w:pPr>
              <w:pStyle w:val="196"/>
              <w:rPr>
                <w:rFonts w:cs="宋体"/>
              </w:rPr>
            </w:pPr>
            <w:r>
              <w:rPr>
                <w:rFonts w:hint="eastAsia"/>
              </w:rPr>
              <w:t>符合</w:t>
            </w:r>
          </w:p>
        </w:tc>
      </w:tr>
      <w:tr w14:paraId="5E360888">
        <w:tblPrEx>
          <w:tblCellMar>
            <w:top w:w="0" w:type="dxa"/>
            <w:left w:w="108" w:type="dxa"/>
            <w:bottom w:w="0" w:type="dxa"/>
            <w:right w:w="108" w:type="dxa"/>
          </w:tblCellMar>
        </w:tblPrEx>
        <w:trPr>
          <w:trHeight w:val="81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60F8A521">
            <w:pPr>
              <w:pStyle w:val="196"/>
              <w:rPr>
                <w:rFonts w:cs="Times New Roman"/>
              </w:rPr>
            </w:pPr>
            <w:r>
              <w:rPr>
                <w:rFonts w:hint="eastAsia"/>
              </w:rPr>
              <w:t>4</w:t>
            </w:r>
          </w:p>
        </w:tc>
        <w:tc>
          <w:tcPr>
            <w:tcW w:w="3066" w:type="pct"/>
            <w:tcBorders>
              <w:top w:val="single" w:color="000000" w:sz="4" w:space="0"/>
              <w:left w:val="nil"/>
              <w:bottom w:val="single" w:color="000000" w:sz="4" w:space="0"/>
              <w:right w:val="single" w:color="000000" w:sz="4" w:space="0"/>
            </w:tcBorders>
            <w:vAlign w:val="center"/>
          </w:tcPr>
          <w:p w14:paraId="3DE3C778">
            <w:pPr>
              <w:pStyle w:val="196"/>
              <w:rPr>
                <w:rFonts w:cs="宋体"/>
              </w:rPr>
            </w:pPr>
            <w:r>
              <w:rPr>
                <w:rFonts w:hint="eastAsia"/>
              </w:rPr>
              <w:t>（四）严格港区环境准入。执行《报告书》提出的环境准入清单。禁止建设区为国家级生态保护红线区域、饮用水水源地一级保护区和二级保护区、永久基本农田；在禁止建设区内严禁码头作业区开发建设活动。限制开发区为清水通道维护区、洪水调蓄区、饮用水水源地的准保护区，需符合相应管控要求。根据环境准入清单，各规划岸线的作业区禁止装卸列入《内河禁运危险化学品目录》的危险化学品。</w:t>
            </w:r>
          </w:p>
        </w:tc>
        <w:tc>
          <w:tcPr>
            <w:tcW w:w="1388" w:type="pct"/>
            <w:tcBorders>
              <w:top w:val="single" w:color="000000" w:sz="4" w:space="0"/>
              <w:left w:val="nil"/>
              <w:bottom w:val="single" w:color="000000" w:sz="4" w:space="0"/>
              <w:right w:val="single" w:color="000000" w:sz="4" w:space="0"/>
            </w:tcBorders>
            <w:vAlign w:val="center"/>
          </w:tcPr>
          <w:p w14:paraId="66681052">
            <w:pPr>
              <w:pStyle w:val="196"/>
              <w:rPr>
                <w:rFonts w:cs="宋体"/>
              </w:rPr>
            </w:pPr>
            <w:r>
              <w:rPr>
                <w:rFonts w:hint="eastAsia"/>
              </w:rPr>
              <w:t>本项目不在禁止建设区和限制开发区，不涉及危险化学品。</w:t>
            </w:r>
          </w:p>
        </w:tc>
        <w:tc>
          <w:tcPr>
            <w:tcW w:w="334" w:type="pct"/>
            <w:tcBorders>
              <w:top w:val="single" w:color="000000" w:sz="4" w:space="0"/>
              <w:left w:val="nil"/>
              <w:bottom w:val="single" w:color="000000" w:sz="4" w:space="0"/>
              <w:right w:val="single" w:color="000000" w:sz="4" w:space="0"/>
            </w:tcBorders>
            <w:vAlign w:val="center"/>
          </w:tcPr>
          <w:p w14:paraId="41470FCD">
            <w:pPr>
              <w:pStyle w:val="196"/>
              <w:rPr>
                <w:rFonts w:cs="宋体"/>
              </w:rPr>
            </w:pPr>
            <w:r>
              <w:rPr>
                <w:rFonts w:hint="eastAsia"/>
              </w:rPr>
              <w:t>符合</w:t>
            </w:r>
          </w:p>
        </w:tc>
      </w:tr>
      <w:tr w14:paraId="56D2DD0B">
        <w:tblPrEx>
          <w:tblCellMar>
            <w:top w:w="0" w:type="dxa"/>
            <w:left w:w="108" w:type="dxa"/>
            <w:bottom w:w="0" w:type="dxa"/>
            <w:right w:w="108" w:type="dxa"/>
          </w:tblCellMar>
        </w:tblPrEx>
        <w:trPr>
          <w:trHeight w:val="245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59F23A2C">
            <w:pPr>
              <w:pStyle w:val="196"/>
              <w:rPr>
                <w:rFonts w:cs="Times New Roman"/>
              </w:rPr>
            </w:pPr>
            <w:r>
              <w:rPr>
                <w:rFonts w:hint="eastAsia"/>
              </w:rPr>
              <w:t>5</w:t>
            </w:r>
          </w:p>
        </w:tc>
        <w:tc>
          <w:tcPr>
            <w:tcW w:w="3066" w:type="pct"/>
            <w:tcBorders>
              <w:top w:val="single" w:color="000000" w:sz="4" w:space="0"/>
              <w:left w:val="nil"/>
              <w:bottom w:val="single" w:color="000000" w:sz="4" w:space="0"/>
              <w:right w:val="single" w:color="000000" w:sz="4" w:space="0"/>
            </w:tcBorders>
            <w:vAlign w:val="center"/>
          </w:tcPr>
          <w:p w14:paraId="3CAE91FC">
            <w:pPr>
              <w:pStyle w:val="196"/>
              <w:rPr>
                <w:rFonts w:cs="宋体"/>
              </w:rPr>
            </w:pPr>
            <w:r>
              <w:rPr>
                <w:rFonts w:hint="eastAsia"/>
              </w:rPr>
              <w:t>（五）强化生态保护以及污染防治措施。采取防风抑尘网、湿式除尘系统、洒水喷淋系统、封闭式输送廊道、散货堆场封闭式大棚等国内外先进的除尘、防尘技术和设备，最大限度地降低粉尘排放量，按照相关规定，逐步完善船舶岸电系统及接口，提高在港船舶岸电使用率，减少船舶尾气排放；落实报告书提出的各项船舶污水处理措施，不得外排洗舱废水。苏淮高新区作业区等原油成品油码头应配套建设油气回收设施。进一步加快各作业区污水收集管网建设，规划各作业区生活污水、生产废水等各类废水应尽可能接管至污水处理厂（站）进行处理，暂不具备接管条件的，应提出切实可行的污染治理措施并满足环境管理要求。各作业区固体废物应按要求规范收集处置。</w:t>
            </w:r>
          </w:p>
        </w:tc>
        <w:tc>
          <w:tcPr>
            <w:tcW w:w="1388" w:type="pct"/>
            <w:tcBorders>
              <w:top w:val="single" w:color="000000" w:sz="4" w:space="0"/>
              <w:left w:val="nil"/>
              <w:bottom w:val="single" w:color="000000" w:sz="4" w:space="0"/>
              <w:right w:val="single" w:color="000000" w:sz="4" w:space="0"/>
            </w:tcBorders>
            <w:vAlign w:val="center"/>
          </w:tcPr>
          <w:p w14:paraId="10234EE3">
            <w:pPr>
              <w:pStyle w:val="196"/>
              <w:rPr>
                <w:rFonts w:cs="宋体"/>
              </w:rPr>
            </w:pPr>
            <w:r>
              <w:rPr>
                <w:rFonts w:hint="eastAsia"/>
              </w:rPr>
              <w:t>本项目采用洒水抑尘等先进的除尘技术。使用船舶岸电系统。本项目船舶含油废水委托海事部门指定的环保船接收处理；船舶生活污水、陆域生活废水、冲洗废水等收集后进入热电项目厂区污水处理站处理，全部回用不外排。危废委外安全处置，生活垃圾等环卫清运，运营期清淤固废按一般固废进行处置。本项目设置岸电系统。</w:t>
            </w:r>
          </w:p>
        </w:tc>
        <w:tc>
          <w:tcPr>
            <w:tcW w:w="334" w:type="pct"/>
            <w:tcBorders>
              <w:top w:val="single" w:color="000000" w:sz="4" w:space="0"/>
              <w:left w:val="nil"/>
              <w:bottom w:val="single" w:color="000000" w:sz="4" w:space="0"/>
              <w:right w:val="single" w:color="000000" w:sz="4" w:space="0"/>
            </w:tcBorders>
            <w:vAlign w:val="center"/>
          </w:tcPr>
          <w:p w14:paraId="359601E1">
            <w:pPr>
              <w:pStyle w:val="196"/>
              <w:rPr>
                <w:rFonts w:cs="宋体"/>
              </w:rPr>
            </w:pPr>
            <w:r>
              <w:rPr>
                <w:rFonts w:hint="eastAsia"/>
              </w:rPr>
              <w:t>符合</w:t>
            </w:r>
          </w:p>
        </w:tc>
      </w:tr>
      <w:tr w14:paraId="233CC5CE">
        <w:tblPrEx>
          <w:tblCellMar>
            <w:top w:w="0" w:type="dxa"/>
            <w:left w:w="108" w:type="dxa"/>
            <w:bottom w:w="0" w:type="dxa"/>
            <w:right w:w="108" w:type="dxa"/>
          </w:tblCellMar>
        </w:tblPrEx>
        <w:trPr>
          <w:trHeight w:val="108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7276D3B2">
            <w:pPr>
              <w:pStyle w:val="196"/>
              <w:rPr>
                <w:rFonts w:cs="Times New Roman"/>
              </w:rPr>
            </w:pPr>
            <w:r>
              <w:rPr>
                <w:rFonts w:hint="eastAsia"/>
              </w:rPr>
              <w:t>6</w:t>
            </w:r>
          </w:p>
        </w:tc>
        <w:tc>
          <w:tcPr>
            <w:tcW w:w="3066" w:type="pct"/>
            <w:tcBorders>
              <w:top w:val="single" w:color="000000" w:sz="4" w:space="0"/>
              <w:left w:val="nil"/>
              <w:bottom w:val="single" w:color="000000" w:sz="4" w:space="0"/>
              <w:right w:val="single" w:color="000000" w:sz="4" w:space="0"/>
            </w:tcBorders>
            <w:vAlign w:val="center"/>
          </w:tcPr>
          <w:p w14:paraId="53A458A9">
            <w:pPr>
              <w:pStyle w:val="196"/>
              <w:rPr>
                <w:rFonts w:cs="宋体"/>
              </w:rPr>
            </w:pPr>
            <w:r>
              <w:rPr>
                <w:rFonts w:hint="eastAsia"/>
              </w:rPr>
              <w:t>（六）加强环境风险防范。严格限定和管理各作业区运输和存储的货种，加强港区安全保障和风险防范力度。落实港区环境风险应急能力建设要求，各作业区应按要求编制环境风险防范和应急预案，完善区域联动应急反应体系，合理配备应急设备设施，加强日常应急管理演练，及时应对可能出现的突发环境污染事故。苏淮高新区作业区主要货种为石油及制品、液体化学品等，作业区前方水域为洪水调蓄区以及南水北调输水河道苏北灌溉总渠，应采取严格措施防止对苏北灌溉总渠、南水北调通道的水质影响。</w:t>
            </w:r>
          </w:p>
        </w:tc>
        <w:tc>
          <w:tcPr>
            <w:tcW w:w="1388" w:type="pct"/>
            <w:tcBorders>
              <w:top w:val="single" w:color="000000" w:sz="4" w:space="0"/>
              <w:left w:val="nil"/>
              <w:bottom w:val="single" w:color="000000" w:sz="4" w:space="0"/>
              <w:right w:val="single" w:color="000000" w:sz="4" w:space="0"/>
            </w:tcBorders>
            <w:vAlign w:val="center"/>
          </w:tcPr>
          <w:p w14:paraId="62EA351E">
            <w:pPr>
              <w:pStyle w:val="196"/>
              <w:rPr>
                <w:rFonts w:cs="宋体"/>
              </w:rPr>
            </w:pPr>
            <w:r>
              <w:rPr>
                <w:rFonts w:hint="eastAsia"/>
              </w:rPr>
              <w:t>本项目加强环境风险应急能力建设，按要求编制环境风险防范和应急预案，完善区域联动应急反应体系，合理配备应急设备设施，加强日常应急管理演练。</w:t>
            </w:r>
          </w:p>
        </w:tc>
        <w:tc>
          <w:tcPr>
            <w:tcW w:w="334" w:type="pct"/>
            <w:tcBorders>
              <w:top w:val="single" w:color="000000" w:sz="4" w:space="0"/>
              <w:left w:val="nil"/>
              <w:bottom w:val="single" w:color="000000" w:sz="4" w:space="0"/>
              <w:right w:val="single" w:color="000000" w:sz="4" w:space="0"/>
            </w:tcBorders>
            <w:vAlign w:val="center"/>
          </w:tcPr>
          <w:p w14:paraId="4E04A50D">
            <w:pPr>
              <w:pStyle w:val="196"/>
              <w:rPr>
                <w:rFonts w:cs="宋体"/>
              </w:rPr>
            </w:pPr>
            <w:r>
              <w:rPr>
                <w:rFonts w:hint="eastAsia"/>
              </w:rPr>
              <w:t>符合</w:t>
            </w:r>
          </w:p>
        </w:tc>
      </w:tr>
      <w:tr w14:paraId="09E73CCA">
        <w:tblPrEx>
          <w:tblCellMar>
            <w:top w:w="0" w:type="dxa"/>
            <w:left w:w="108" w:type="dxa"/>
            <w:bottom w:w="0" w:type="dxa"/>
            <w:right w:w="108" w:type="dxa"/>
          </w:tblCellMar>
        </w:tblPrEx>
        <w:trPr>
          <w:trHeight w:val="9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6D7D40C2">
            <w:pPr>
              <w:pStyle w:val="196"/>
              <w:rPr>
                <w:rFonts w:cs="Times New Roman"/>
              </w:rPr>
            </w:pPr>
            <w:r>
              <w:rPr>
                <w:rFonts w:hint="eastAsia"/>
              </w:rPr>
              <w:t>7</w:t>
            </w:r>
          </w:p>
        </w:tc>
        <w:tc>
          <w:tcPr>
            <w:tcW w:w="3066" w:type="pct"/>
            <w:tcBorders>
              <w:top w:val="single" w:color="000000" w:sz="4" w:space="0"/>
              <w:left w:val="nil"/>
              <w:bottom w:val="single" w:color="000000" w:sz="4" w:space="0"/>
              <w:right w:val="single" w:color="000000" w:sz="4" w:space="0"/>
            </w:tcBorders>
            <w:vAlign w:val="center"/>
          </w:tcPr>
          <w:p w14:paraId="792A32E8">
            <w:pPr>
              <w:pStyle w:val="196"/>
              <w:rPr>
                <w:rFonts w:cs="宋体"/>
              </w:rPr>
            </w:pPr>
            <w:r>
              <w:rPr>
                <w:rFonts w:hint="eastAsia"/>
              </w:rPr>
              <w:t>（七）强化长期监测和跟踪评价。完善港口环境保护管理和监测机构，严格执行建设项目环评及“三同时”制度。建立完善港口环境监测监控系统，制定并实施港区日常环境监测计划，针对《规划》实施可能产生的长期累积不良环境影响，建立预警机制。在《规划》实施过程后，按规定开展环境影响跟踪评价，《规划》修编时应重新编制环境影响报告书。</w:t>
            </w:r>
          </w:p>
        </w:tc>
        <w:tc>
          <w:tcPr>
            <w:tcW w:w="1388" w:type="pct"/>
            <w:tcBorders>
              <w:top w:val="single" w:color="000000" w:sz="4" w:space="0"/>
              <w:left w:val="nil"/>
              <w:bottom w:val="single" w:color="000000" w:sz="4" w:space="0"/>
              <w:right w:val="single" w:color="000000" w:sz="4" w:space="0"/>
            </w:tcBorders>
            <w:vAlign w:val="center"/>
          </w:tcPr>
          <w:p w14:paraId="62EFE5CA">
            <w:pPr>
              <w:pStyle w:val="196"/>
              <w:rPr>
                <w:rFonts w:cs="宋体"/>
              </w:rPr>
            </w:pPr>
            <w:r>
              <w:rPr>
                <w:rFonts w:hint="eastAsia"/>
              </w:rPr>
              <w:t>本项目制定环境监测计划。</w:t>
            </w:r>
          </w:p>
        </w:tc>
        <w:tc>
          <w:tcPr>
            <w:tcW w:w="334" w:type="pct"/>
            <w:tcBorders>
              <w:top w:val="single" w:color="000000" w:sz="4" w:space="0"/>
              <w:left w:val="nil"/>
              <w:bottom w:val="single" w:color="000000" w:sz="4" w:space="0"/>
              <w:right w:val="single" w:color="000000" w:sz="4" w:space="0"/>
            </w:tcBorders>
            <w:vAlign w:val="center"/>
          </w:tcPr>
          <w:p w14:paraId="284F6BCC">
            <w:pPr>
              <w:pStyle w:val="196"/>
              <w:rPr>
                <w:rFonts w:cs="宋体"/>
              </w:rPr>
            </w:pPr>
            <w:r>
              <w:rPr>
                <w:rFonts w:hint="eastAsia"/>
              </w:rPr>
              <w:t>符合</w:t>
            </w:r>
          </w:p>
        </w:tc>
      </w:tr>
      <w:tr w14:paraId="143166CE">
        <w:tblPrEx>
          <w:tblCellMar>
            <w:top w:w="0" w:type="dxa"/>
            <w:left w:w="108" w:type="dxa"/>
            <w:bottom w:w="0" w:type="dxa"/>
            <w:right w:w="108" w:type="dxa"/>
          </w:tblCellMar>
        </w:tblPrEx>
        <w:trPr>
          <w:trHeight w:val="810" w:hRule="atLeast"/>
        </w:trPr>
        <w:tc>
          <w:tcPr>
            <w:tcW w:w="210" w:type="pct"/>
            <w:tcBorders>
              <w:top w:val="single" w:color="000000" w:sz="4" w:space="0"/>
              <w:left w:val="single" w:color="000000" w:sz="4" w:space="0"/>
              <w:bottom w:val="single" w:color="000000" w:sz="4" w:space="0"/>
              <w:right w:val="single" w:color="000000" w:sz="4" w:space="0"/>
            </w:tcBorders>
            <w:vAlign w:val="center"/>
          </w:tcPr>
          <w:p w14:paraId="0713D665">
            <w:pPr>
              <w:pStyle w:val="196"/>
              <w:rPr>
                <w:rFonts w:cs="Times New Roman"/>
              </w:rPr>
            </w:pPr>
            <w:r>
              <w:rPr>
                <w:rFonts w:hint="eastAsia"/>
              </w:rPr>
              <w:t>8</w:t>
            </w:r>
          </w:p>
        </w:tc>
        <w:tc>
          <w:tcPr>
            <w:tcW w:w="3066" w:type="pct"/>
            <w:tcBorders>
              <w:top w:val="single" w:color="000000" w:sz="4" w:space="0"/>
              <w:left w:val="nil"/>
              <w:bottom w:val="single" w:color="000000" w:sz="4" w:space="0"/>
              <w:right w:val="single" w:color="000000" w:sz="4" w:space="0"/>
            </w:tcBorders>
            <w:vAlign w:val="center"/>
          </w:tcPr>
          <w:p w14:paraId="1F149F55">
            <w:pPr>
              <w:pStyle w:val="196"/>
              <w:rPr>
                <w:rFonts w:cs="宋体"/>
              </w:rPr>
            </w:pPr>
            <w:r>
              <w:rPr>
                <w:rFonts w:hint="eastAsia"/>
              </w:rPr>
              <w:t>四、对拟入区建设项目环评的指导意见：强化规划环评对项目环评的指导和约束作用，对拟建项目应重点分析项目实施对大气环境、水环境、生态环境等的影响。涉及重要生态环境敏感区域的，应就拟建项目的影响方式、范围和程度开展深入分析预测，强化环境风险防范，细化落实施工期、运营期环保对策措施，预防或者减轻项目实施可能产生的不良环境影响。有关规划协调性分析及现状评价内容可适当简化。</w:t>
            </w:r>
          </w:p>
        </w:tc>
        <w:tc>
          <w:tcPr>
            <w:tcW w:w="1388" w:type="pct"/>
            <w:tcBorders>
              <w:top w:val="single" w:color="000000" w:sz="4" w:space="0"/>
              <w:left w:val="nil"/>
              <w:bottom w:val="single" w:color="000000" w:sz="4" w:space="0"/>
              <w:right w:val="single" w:color="000000" w:sz="4" w:space="0"/>
            </w:tcBorders>
            <w:vAlign w:val="center"/>
          </w:tcPr>
          <w:p w14:paraId="75315405">
            <w:pPr>
              <w:pStyle w:val="196"/>
              <w:rPr>
                <w:rFonts w:cs="宋体"/>
              </w:rPr>
            </w:pPr>
            <w:r>
              <w:rPr>
                <w:rFonts w:hint="eastAsia"/>
              </w:rPr>
              <w:t>本项目位于《淮安港总体规划（2020</w:t>
            </w:r>
            <w:r>
              <w:rPr>
                <w:rFonts w:hint="eastAsia"/>
                <w:lang w:eastAsia="zh-CN"/>
              </w:rPr>
              <w:t>—</w:t>
            </w:r>
            <w:r>
              <w:rPr>
                <w:rFonts w:hint="eastAsia"/>
              </w:rPr>
              <w:t>2035年）》规划的薛行作业区，该规划环评已取得批复意见，本项目不涉及重要生态环境敏感区域。</w:t>
            </w:r>
          </w:p>
        </w:tc>
        <w:tc>
          <w:tcPr>
            <w:tcW w:w="334" w:type="pct"/>
            <w:tcBorders>
              <w:top w:val="single" w:color="000000" w:sz="4" w:space="0"/>
              <w:left w:val="nil"/>
              <w:bottom w:val="single" w:color="000000" w:sz="4" w:space="0"/>
              <w:right w:val="single" w:color="000000" w:sz="4" w:space="0"/>
            </w:tcBorders>
            <w:vAlign w:val="center"/>
          </w:tcPr>
          <w:p w14:paraId="00714359">
            <w:pPr>
              <w:pStyle w:val="196"/>
              <w:rPr>
                <w:rFonts w:cs="宋体"/>
              </w:rPr>
            </w:pPr>
            <w:r>
              <w:rPr>
                <w:rFonts w:hint="eastAsia"/>
              </w:rPr>
              <w:t>符合</w:t>
            </w:r>
          </w:p>
        </w:tc>
      </w:tr>
    </w:tbl>
    <w:p w14:paraId="579678CE">
      <w:pPr>
        <w:ind w:firstLine="480"/>
        <w:rPr>
          <w:kern w:val="0"/>
          <w:szCs w:val="24"/>
        </w:rPr>
        <w:sectPr>
          <w:pgSz w:w="16838" w:h="11906" w:orient="landscape"/>
          <w:pgMar w:top="1418" w:right="1418" w:bottom="1418" w:left="1418" w:header="851" w:footer="992" w:gutter="0"/>
          <w:cols w:space="720" w:num="1"/>
          <w:docGrid w:type="lines" w:linePitch="312" w:charSpace="0"/>
        </w:sectPr>
      </w:pPr>
    </w:p>
    <w:p w14:paraId="56F5240D">
      <w:pPr>
        <w:pStyle w:val="93"/>
        <w:rPr>
          <w:sz w:val="21"/>
        </w:rPr>
      </w:pPr>
      <w:r>
        <w:rPr>
          <w:rFonts w:hint="eastAsia"/>
        </w:rPr>
        <w:t>综上，本项目不在禁止建设区和限制开发区，运输货种不涉及危险化学品，在严格落实报告书中的各项环保措施前提下，无污废水排入盐河中，不会对其水质和生态功能造成不利影响，固废废物得到有效处置，厂界废气、噪声达标，环境风险可控。因此，本项目的建设与《淮安港总体规划（2020</w:t>
      </w:r>
      <w:r>
        <w:rPr>
          <w:rFonts w:hint="eastAsia"/>
          <w:lang w:eastAsia="zh-CN"/>
        </w:rPr>
        <w:t>—</w:t>
      </w:r>
      <w:r>
        <w:rPr>
          <w:rFonts w:hint="eastAsia"/>
        </w:rPr>
        <w:t>2035年）环境影响报告书》中的各项环保要求相符。</w:t>
      </w:r>
    </w:p>
    <w:p w14:paraId="266EAF11">
      <w:pPr>
        <w:pStyle w:val="84"/>
      </w:pPr>
      <w:r>
        <w:rPr>
          <w:rFonts w:hint="eastAsia"/>
        </w:rPr>
        <w:t>与《淮安市大运河文化遗产保护条例》《大运河（淮安段）遗产保护规划》和《大运河淮安段清口枢纽保护总体规划（2012-2030）》相符性分析</w:t>
      </w:r>
    </w:p>
    <w:p w14:paraId="7F3EEC59">
      <w:pPr>
        <w:ind w:firstLine="480"/>
      </w:pPr>
      <w:r>
        <w:rPr>
          <w:rFonts w:hint="eastAsia"/>
        </w:rPr>
        <w:t>根据《淮安市大运河文化遗产保护条例</w:t>
      </w:r>
      <w:r>
        <w:rPr>
          <w:rFonts w:hint="eastAsia"/>
          <w:lang w:eastAsia="zh-CN"/>
        </w:rPr>
        <w:t>》《</w:t>
      </w:r>
      <w:r>
        <w:rPr>
          <w:rFonts w:hint="eastAsia"/>
        </w:rPr>
        <w:t>大运河（淮安段）遗产保护规划》和《大运河淮安段清口枢纽保护总体规划（2012-2030）》，大运河文化遗产包括：</w:t>
      </w:r>
    </w:p>
    <w:p w14:paraId="2BFE15FC">
      <w:pPr>
        <w:ind w:firstLine="480"/>
      </w:pPr>
      <w:r>
        <w:rPr>
          <w:rFonts w:hint="eastAsia"/>
        </w:rPr>
        <w:t>（一）列入大运河世界文化遗产的清口枢纽片区，包括淮扬运河淮安段河道（里运河、里运河故道、古黄河、中运河、张福河）和清口枢纽、双金闸、清江大闸、洪泽湖大堤遗产点；</w:t>
      </w:r>
    </w:p>
    <w:p w14:paraId="4D9E1D91">
      <w:pPr>
        <w:ind w:firstLine="480"/>
      </w:pPr>
      <w:r>
        <w:rPr>
          <w:rFonts w:hint="eastAsia"/>
        </w:rPr>
        <w:t>（二）列入大运河世界文化遗产的总督漕运公署遗址片区；</w:t>
      </w:r>
    </w:p>
    <w:p w14:paraId="45E12648">
      <w:pPr>
        <w:ind w:firstLine="480"/>
      </w:pPr>
      <w:r>
        <w:rPr>
          <w:rFonts w:hint="eastAsia"/>
        </w:rPr>
        <w:t>（三）大运河世界文化遗产以外的大运河河道，板闸遗址等其他水工遗存，泗州城遗址、第一山题刻等各类伴生历史遗存，历史街区村镇，以及相关联的环境景观等；</w:t>
      </w:r>
    </w:p>
    <w:p w14:paraId="6986737E">
      <w:pPr>
        <w:ind w:firstLine="480"/>
      </w:pPr>
      <w:r>
        <w:rPr>
          <w:rFonts w:hint="eastAsia"/>
        </w:rPr>
        <w:t>（四）近代以来兴建的具有文化代表性和突出价值的大运河水</w:t>
      </w:r>
      <w:r>
        <w:rPr>
          <w:rFonts w:hint="eastAsia"/>
          <w:lang w:eastAsia="zh-CN"/>
        </w:rPr>
        <w:t>利</w:t>
      </w:r>
      <w:r>
        <w:rPr>
          <w:rFonts w:hint="eastAsia"/>
        </w:rPr>
        <w:t>设施；</w:t>
      </w:r>
    </w:p>
    <w:p w14:paraId="660992B8">
      <w:pPr>
        <w:ind w:firstLine="480"/>
      </w:pPr>
      <w:r>
        <w:rPr>
          <w:rFonts w:hint="eastAsia"/>
        </w:rPr>
        <w:t>（五）列入淮安市大运河文化遗产保护名录的其他物质文化遗产和非物质文化遗产。</w:t>
      </w:r>
    </w:p>
    <w:p w14:paraId="184E96E8">
      <w:pPr>
        <w:ind w:firstLine="480"/>
      </w:pPr>
      <w:r>
        <w:rPr>
          <w:rFonts w:hint="eastAsia"/>
        </w:rPr>
        <w:t>大运河世界文化遗产清口枢纽片区范围：东界自淮阴船闸东侧里运河岸线外扩5m，至里运河与新京杭运河交汇处止。</w:t>
      </w:r>
    </w:p>
    <w:p w14:paraId="19FFF1A3">
      <w:pPr>
        <w:ind w:firstLine="480"/>
      </w:pPr>
      <w:r>
        <w:rPr>
          <w:rFonts w:hint="eastAsia"/>
        </w:rPr>
        <w:t>本项目选址位于清口枢纽保护范围以外。同时，项目用地范围不占用大运河文化遗产，不在自然保护区、风景名胜区和森林公园内，未发现文物古迹。因此，项目建设符合文物保护规划要求。</w:t>
      </w:r>
    </w:p>
    <w:p w14:paraId="32DEBAC9">
      <w:pPr>
        <w:pStyle w:val="84"/>
      </w:pPr>
      <w:bookmarkStart w:id="59" w:name="_Hlk181739981"/>
      <w:r>
        <w:rPr>
          <w:rFonts w:hint="eastAsia"/>
        </w:rPr>
        <w:t>与《江苏省干线航道网规划（2023—2035年）》相符性分析</w:t>
      </w:r>
    </w:p>
    <w:bookmarkEnd w:id="59"/>
    <w:p w14:paraId="25B091C1">
      <w:pPr>
        <w:adjustRightInd w:val="0"/>
        <w:snapToGrid w:val="0"/>
        <w:ind w:firstLine="480"/>
        <w:rPr>
          <w:kern w:val="0"/>
          <w:szCs w:val="24"/>
        </w:rPr>
      </w:pPr>
      <w:bookmarkStart w:id="60" w:name="_Hlk181739991"/>
      <w:r>
        <w:rPr>
          <w:rFonts w:hint="eastAsia" w:ascii="宋体" w:hAnsi="宋体"/>
          <w:kern w:val="0"/>
          <w:szCs w:val="24"/>
        </w:rPr>
        <w:t>根据</w:t>
      </w:r>
      <w:r>
        <w:rPr>
          <w:rStyle w:val="140"/>
          <w:rFonts w:hint="eastAsia"/>
          <w:color w:val="auto"/>
        </w:rPr>
        <w:t>《省政府关于江苏省干线航道网规划（2023－2035年）</w:t>
      </w:r>
      <w:r>
        <w:rPr>
          <w:rFonts w:hint="eastAsia" w:ascii="宋体" w:hAnsi="宋体"/>
          <w:kern w:val="0"/>
          <w:szCs w:val="24"/>
        </w:rPr>
        <w:t>的批复》（苏政</w:t>
      </w:r>
      <w:r>
        <w:rPr>
          <w:rStyle w:val="140"/>
          <w:rFonts w:hint="eastAsia"/>
          <w:color w:val="auto"/>
        </w:rPr>
        <w:t>复〔2023〕47号</w:t>
      </w:r>
      <w:r>
        <w:rPr>
          <w:rFonts w:hint="eastAsia" w:ascii="宋体" w:hAnsi="宋体"/>
          <w:kern w:val="0"/>
          <w:szCs w:val="24"/>
        </w:rPr>
        <w:t>），“四、实施安排及效果展望 （一）分期实施安排 ：2031—2035年：重点推进淮河出海航道、</w:t>
      </w:r>
      <w:r>
        <w:rPr>
          <w:rFonts w:hint="eastAsia" w:ascii="宋体" w:hAnsi="宋体"/>
          <w:b/>
          <w:bCs/>
          <w:kern w:val="0"/>
          <w:szCs w:val="24"/>
        </w:rPr>
        <w:t>盐河</w:t>
      </w:r>
      <w:r>
        <w:rPr>
          <w:rFonts w:hint="eastAsia" w:ascii="宋体" w:hAnsi="宋体"/>
          <w:kern w:val="0"/>
          <w:szCs w:val="24"/>
        </w:rPr>
        <w:t>、苏申外港线、锡溧漕河、锡澄运河、泰东线</w:t>
      </w:r>
      <w:r>
        <w:rPr>
          <w:rFonts w:hint="eastAsia" w:ascii="宋体" w:hAnsi="宋体"/>
          <w:b/>
          <w:bCs/>
          <w:kern w:val="0"/>
          <w:szCs w:val="24"/>
        </w:rPr>
        <w:t>等二级航道整治工程</w:t>
      </w:r>
      <w:r>
        <w:rPr>
          <w:rFonts w:hint="eastAsia" w:ascii="宋体" w:hAnsi="宋体"/>
          <w:kern w:val="0"/>
          <w:szCs w:val="24"/>
        </w:rPr>
        <w:t>，同步推进兴东线、盐宝线、新汴河等三级航道整治工程”。本工程所在盐河航道现状等级为三级，规划等级为二级（2031—2035年）。二级航道可通航</w:t>
      </w:r>
      <w:r>
        <w:rPr>
          <w:rFonts w:hint="eastAsia"/>
          <w:kern w:val="0"/>
          <w:szCs w:val="24"/>
        </w:rPr>
        <w:t>2000</w:t>
      </w:r>
      <w:r>
        <w:rPr>
          <w:rFonts w:hint="eastAsia" w:ascii="宋体" w:hAnsi="宋体"/>
          <w:kern w:val="0"/>
          <w:szCs w:val="24"/>
        </w:rPr>
        <w:t>吨。本工程拟建泊位为</w:t>
      </w:r>
      <w:r>
        <w:rPr>
          <w:rFonts w:hint="eastAsia"/>
          <w:szCs w:val="24"/>
        </w:rPr>
        <w:t>3</w:t>
      </w:r>
      <w:r>
        <w:rPr>
          <w:rFonts w:hint="eastAsia" w:ascii="宋体" w:hAnsi="宋体"/>
          <w:szCs w:val="24"/>
        </w:rPr>
        <w:t>个</w:t>
      </w:r>
      <w:r>
        <w:rPr>
          <w:rFonts w:hint="eastAsia"/>
          <w:szCs w:val="24"/>
        </w:rPr>
        <w:t>1000</w:t>
      </w:r>
      <w:r>
        <w:rPr>
          <w:rFonts w:hint="eastAsia" w:ascii="宋体" w:hAnsi="宋体"/>
          <w:szCs w:val="24"/>
        </w:rPr>
        <w:t>吨级泊位，其中</w:t>
      </w:r>
      <w:r>
        <w:rPr>
          <w:rFonts w:hint="eastAsia"/>
          <w:szCs w:val="24"/>
        </w:rPr>
        <w:t>2</w:t>
      </w:r>
      <w:r>
        <w:rPr>
          <w:rFonts w:hint="eastAsia" w:ascii="宋体" w:hAnsi="宋体"/>
          <w:szCs w:val="24"/>
        </w:rPr>
        <w:t>个煤炭散货泊位、</w:t>
      </w:r>
      <w:r>
        <w:rPr>
          <w:rFonts w:hint="eastAsia"/>
          <w:szCs w:val="24"/>
        </w:rPr>
        <w:t>1</w:t>
      </w:r>
      <w:r>
        <w:rPr>
          <w:rFonts w:hint="eastAsia" w:ascii="宋体" w:hAnsi="宋体"/>
          <w:szCs w:val="24"/>
        </w:rPr>
        <w:t>个待泊泊位，泊位长度</w:t>
      </w:r>
      <w:r>
        <w:rPr>
          <w:rFonts w:hint="eastAsia"/>
          <w:szCs w:val="24"/>
        </w:rPr>
        <w:t>220m</w:t>
      </w:r>
      <w:r>
        <w:rPr>
          <w:rFonts w:hint="eastAsia" w:ascii="宋体" w:hAnsi="宋体"/>
          <w:kern w:val="0"/>
          <w:szCs w:val="24"/>
        </w:rPr>
        <w:t>，码头建设规模符合《江苏省干线航道网规划》中规划的盐河工程河段的航道等级。</w:t>
      </w:r>
    </w:p>
    <w:p w14:paraId="01D45FB3">
      <w:pPr>
        <w:adjustRightInd w:val="0"/>
        <w:snapToGrid w:val="0"/>
        <w:ind w:firstLine="480"/>
        <w:rPr>
          <w:kern w:val="0"/>
          <w:szCs w:val="24"/>
        </w:rPr>
      </w:pPr>
      <w:r>
        <w:rPr>
          <w:rFonts w:hint="eastAsia" w:ascii="宋体" w:hAnsi="宋体"/>
          <w:kern w:val="0"/>
          <w:szCs w:val="24"/>
        </w:rPr>
        <w:t>因此，本项目建设规模与《江苏省干线航道</w:t>
      </w:r>
      <w:r>
        <w:rPr>
          <w:rStyle w:val="140"/>
          <w:rFonts w:hint="eastAsia"/>
          <w:color w:val="auto"/>
        </w:rPr>
        <w:t>网规划（2023－2035年）》</w:t>
      </w:r>
      <w:r>
        <w:rPr>
          <w:rFonts w:hint="eastAsia" w:ascii="宋体" w:hAnsi="宋体"/>
          <w:kern w:val="0"/>
          <w:szCs w:val="24"/>
        </w:rPr>
        <w:t>的相关要求相符。</w:t>
      </w:r>
    </w:p>
    <w:bookmarkEnd w:id="60"/>
    <w:p w14:paraId="4B680D8D">
      <w:pPr>
        <w:pStyle w:val="84"/>
      </w:pPr>
      <w:r>
        <w:rPr>
          <w:rFonts w:hint="eastAsia"/>
        </w:rPr>
        <w:t>与《江苏省内河港口布局规划（2017</w:t>
      </w:r>
      <w:r>
        <w:rPr>
          <w:rFonts w:hint="eastAsia"/>
          <w:lang w:eastAsia="zh-CN"/>
        </w:rPr>
        <w:t>—</w:t>
      </w:r>
      <w:r>
        <w:rPr>
          <w:rFonts w:hint="eastAsia"/>
        </w:rPr>
        <w:t>2035年）》相符性分析</w:t>
      </w:r>
    </w:p>
    <w:p w14:paraId="71DCA48D">
      <w:pPr>
        <w:ind w:firstLine="480"/>
        <w:rPr>
          <w:rFonts w:hint="eastAsia" w:ascii="宋体" w:hAnsi="宋体"/>
          <w:szCs w:val="24"/>
        </w:rPr>
      </w:pPr>
      <w:r>
        <w:rPr>
          <w:rFonts w:hint="eastAsia" w:ascii="宋体" w:hAnsi="宋体"/>
          <w:szCs w:val="24"/>
        </w:rPr>
        <w:t>根据《江苏省内河港口布局规划（2017-2035）》，淮安港包括市区、淮安、淮阴、盱眙、涟水、洪泽和金湖港区，以原材料、能源等大宗散杂货以及集装箱运输为主，逐步发展成为国家主要港口。</w:t>
      </w:r>
    </w:p>
    <w:p w14:paraId="38A1AD42">
      <w:pPr>
        <w:ind w:firstLine="480"/>
        <w:rPr>
          <w:rFonts w:hint="eastAsia" w:ascii="宋体" w:hAnsi="宋体"/>
          <w:szCs w:val="24"/>
        </w:rPr>
      </w:pPr>
      <w:r>
        <w:rPr>
          <w:rFonts w:hint="eastAsia" w:ascii="宋体" w:hAnsi="宋体"/>
          <w:szCs w:val="24"/>
        </w:rPr>
        <w:t>其中煤炭运输系统港口布局规划明确：“江苏内河港口煤炭运输将以铁路调入、海港调入和沿江港口调入为主，</w:t>
      </w:r>
      <w:r>
        <w:rPr>
          <w:rFonts w:hint="eastAsia" w:ascii="宋体" w:hAnsi="宋体"/>
          <w:szCs w:val="24"/>
          <w:u w:val="single"/>
        </w:rPr>
        <w:t>形成以徐州港、</w:t>
      </w:r>
      <w:r>
        <w:rPr>
          <w:rFonts w:hint="eastAsia" w:ascii="宋体" w:hAnsi="宋体"/>
          <w:b/>
          <w:bCs/>
          <w:szCs w:val="24"/>
          <w:u w:val="single"/>
        </w:rPr>
        <w:t>淮安港</w:t>
      </w:r>
      <w:r>
        <w:rPr>
          <w:rFonts w:hint="eastAsia" w:ascii="宋体" w:hAnsi="宋体"/>
          <w:szCs w:val="24"/>
          <w:u w:val="single"/>
        </w:rPr>
        <w:t>等为铁路煤炭装船港、以沿江沿海港口为煤炭中转装船港（沿海港区后方内河作业区），以各地区内河煤炭公用码头、</w:t>
      </w:r>
      <w:r>
        <w:rPr>
          <w:rFonts w:hint="eastAsia" w:ascii="宋体" w:hAnsi="宋体"/>
          <w:b/>
          <w:bCs/>
          <w:szCs w:val="24"/>
          <w:u w:val="single"/>
        </w:rPr>
        <w:t>电厂等企业专用煤炭码头为卸船港</w:t>
      </w:r>
      <w:r>
        <w:rPr>
          <w:rFonts w:hint="eastAsia" w:ascii="宋体" w:hAnsi="宋体"/>
          <w:szCs w:val="24"/>
          <w:u w:val="single"/>
        </w:rPr>
        <w:t>，</w:t>
      </w:r>
      <w:r>
        <w:rPr>
          <w:rFonts w:hint="eastAsia" w:ascii="宋体" w:hAnsi="宋体"/>
          <w:szCs w:val="24"/>
        </w:rPr>
        <w:t>以京杭运河、徐宿连航道、灌河、</w:t>
      </w:r>
      <w:r>
        <w:rPr>
          <w:rFonts w:hint="eastAsia" w:ascii="宋体" w:hAnsi="宋体"/>
          <w:b/>
          <w:bCs/>
          <w:szCs w:val="24"/>
          <w:u w:val="single"/>
        </w:rPr>
        <w:t>盐河</w:t>
      </w:r>
      <w:r>
        <w:rPr>
          <w:rFonts w:hint="eastAsia" w:ascii="宋体" w:hAnsi="宋体"/>
          <w:szCs w:val="24"/>
        </w:rPr>
        <w:t>、锡溧漕河、锡澄运河、连云港港疏港航道、滨海港疏港航道、大丰港刘大线为主要运输通道的煤炭运输体系。”</w:t>
      </w:r>
    </w:p>
    <w:p w14:paraId="2D809684">
      <w:pPr>
        <w:ind w:firstLine="480"/>
        <w:rPr>
          <w:rFonts w:hint="eastAsia" w:ascii="宋体" w:hAnsi="宋体"/>
          <w:szCs w:val="24"/>
        </w:rPr>
      </w:pPr>
      <w:r>
        <w:rPr>
          <w:rFonts w:hint="eastAsia" w:ascii="宋体" w:hAnsi="宋体"/>
          <w:szCs w:val="24"/>
        </w:rPr>
        <w:t>其中矿建材料运输系统布局规划明确：“我省矿建材料需求量将保持总体稳定，结合矿建材料生产、需求分布等情况，</w:t>
      </w:r>
      <w:r>
        <w:rPr>
          <w:rFonts w:hint="eastAsia" w:ascii="宋体" w:hAnsi="宋体"/>
          <w:b/>
          <w:bCs/>
          <w:szCs w:val="24"/>
          <w:u w:val="single"/>
        </w:rPr>
        <w:t>矿建材料运输基本维持目前以</w:t>
      </w:r>
      <w:r>
        <w:rPr>
          <w:rFonts w:hint="eastAsia" w:ascii="宋体" w:hAnsi="宋体"/>
          <w:szCs w:val="24"/>
          <w:u w:val="single"/>
        </w:rPr>
        <w:t>苏北徐州、</w:t>
      </w:r>
      <w:r>
        <w:rPr>
          <w:rFonts w:hint="eastAsia" w:ascii="宋体" w:hAnsi="宋体"/>
          <w:b/>
          <w:bCs/>
          <w:szCs w:val="24"/>
          <w:u w:val="single"/>
        </w:rPr>
        <w:t>淮安</w:t>
      </w:r>
      <w:r>
        <w:rPr>
          <w:rFonts w:hint="eastAsia" w:ascii="宋体" w:hAnsi="宋体"/>
          <w:szCs w:val="24"/>
          <w:u w:val="single"/>
        </w:rPr>
        <w:t>、宿迁、苏南高淳、溧阳等为</w:t>
      </w:r>
      <w:r>
        <w:rPr>
          <w:rFonts w:hint="eastAsia" w:ascii="宋体" w:hAnsi="宋体"/>
          <w:b/>
          <w:bCs/>
          <w:szCs w:val="24"/>
          <w:u w:val="single"/>
        </w:rPr>
        <w:t>矿建材料运输枢纽节点</w:t>
      </w:r>
      <w:r>
        <w:rPr>
          <w:rFonts w:hint="eastAsia" w:ascii="宋体" w:hAnsi="宋体"/>
          <w:szCs w:val="24"/>
        </w:rPr>
        <w:t>，以京杭运河、丹金溧漕河、芜申线等为运输通道的总体运输格局，通过京杭运河、长江从外省调入的量不断增加。</w:t>
      </w:r>
    </w:p>
    <w:p w14:paraId="391B221E">
      <w:pPr>
        <w:ind w:firstLine="480"/>
        <w:rPr>
          <w:rFonts w:hint="eastAsia" w:ascii="宋体" w:hAnsi="宋体"/>
          <w:szCs w:val="24"/>
        </w:rPr>
      </w:pPr>
      <w:r>
        <w:rPr>
          <w:rFonts w:hint="eastAsia" w:ascii="宋体" w:hAnsi="宋体"/>
          <w:szCs w:val="24"/>
        </w:rPr>
        <w:t>矿建材料码头布局要贯彻规模化、集约化原则，在各港总体规划确定的</w:t>
      </w:r>
      <w:r>
        <w:rPr>
          <w:rFonts w:hint="eastAsia" w:ascii="宋体" w:hAnsi="宋体"/>
          <w:szCs w:val="24"/>
          <w:u w:val="single"/>
        </w:rPr>
        <w:t>港口作业区或规划港口岸线中根据需求合理选址，靠近产地和需求地</w:t>
      </w:r>
      <w:r>
        <w:rPr>
          <w:rFonts w:hint="eastAsia" w:ascii="宋体" w:hAnsi="宋体"/>
          <w:szCs w:val="24"/>
        </w:rPr>
        <w:t>，并进行集中布置和建设，满足城镇建设发展和运输需求，满足生态环保要求。”</w:t>
      </w:r>
    </w:p>
    <w:p w14:paraId="60F89C68">
      <w:pPr>
        <w:pStyle w:val="93"/>
      </w:pPr>
      <w:r>
        <w:rPr>
          <w:rFonts w:hint="eastAsia"/>
        </w:rPr>
        <w:t>本项目工程选址于江苏省涟水县朱码街道高台村国能涟水一期热电联产项目厂区内，位于盐河航道左侧薛行作业区岸线范围内，主要作为国能涟水一期项目运行期间煤炭</w:t>
      </w:r>
      <w:r>
        <w:rPr>
          <w:rFonts w:hint="eastAsia"/>
          <w:lang w:eastAsia="zh-CN"/>
        </w:rPr>
        <w:t>运输</w:t>
      </w:r>
      <w:r>
        <w:rPr>
          <w:rFonts w:hint="eastAsia"/>
        </w:rPr>
        <w:t>使用，满足《江苏省内河港口布局规划（2017-2035）》中关于煤炭和扩建材料运输系统的规划布局要求。</w:t>
      </w:r>
    </w:p>
    <w:p w14:paraId="3C9534DF">
      <w:pPr>
        <w:pStyle w:val="93"/>
        <w:rPr>
          <w:szCs w:val="24"/>
        </w:rPr>
      </w:pPr>
      <w:r>
        <w:rPr>
          <w:rFonts w:hint="eastAsia"/>
        </w:rPr>
        <w:t>因此，本项目符合《江苏省内河港口布局规划（2017-2035）》相关要求。</w:t>
      </w:r>
    </w:p>
    <w:p w14:paraId="431A28DA">
      <w:pPr>
        <w:ind w:firstLine="480"/>
        <w:rPr>
          <w:szCs w:val="24"/>
        </w:rPr>
      </w:pPr>
      <w:r>
        <w:rPr>
          <w:rFonts w:hint="eastAsia" w:ascii="宋体" w:hAnsi="宋体"/>
          <w:szCs w:val="24"/>
        </w:rPr>
        <w:t>《江苏省内河港口布局规划（</w:t>
      </w:r>
      <w:r>
        <w:rPr>
          <w:rFonts w:hint="eastAsia"/>
          <w:szCs w:val="24"/>
        </w:rPr>
        <w:t>2017</w:t>
      </w:r>
      <w:r>
        <w:rPr>
          <w:rFonts w:hint="eastAsia" w:ascii="宋体" w:hAnsi="宋体"/>
          <w:szCs w:val="24"/>
        </w:rPr>
        <w:t>－</w:t>
      </w:r>
      <w:r>
        <w:rPr>
          <w:rFonts w:hint="eastAsia"/>
          <w:szCs w:val="24"/>
        </w:rPr>
        <w:t>2035</w:t>
      </w:r>
      <w:r>
        <w:rPr>
          <w:rFonts w:hint="eastAsia" w:ascii="宋体" w:hAnsi="宋体"/>
          <w:szCs w:val="24"/>
        </w:rPr>
        <w:t>年）》中的“五、环境影响评价”对具体项目的环境影响评价提出了相应要求，本项目与其相符性情况见表</w:t>
      </w:r>
      <w:r>
        <w:rPr>
          <w:rFonts w:hint="eastAsia"/>
          <w:szCs w:val="24"/>
        </w:rPr>
        <w:t>1.5-12</w:t>
      </w:r>
      <w:r>
        <w:rPr>
          <w:rFonts w:hint="eastAsia" w:ascii="宋体" w:hAnsi="宋体"/>
          <w:szCs w:val="24"/>
        </w:rPr>
        <w:t>。</w:t>
      </w:r>
    </w:p>
    <w:p w14:paraId="5D9E04DE">
      <w:pPr>
        <w:pStyle w:val="86"/>
      </w:pPr>
      <w:r>
        <w:rPr>
          <w:rFonts w:hint="eastAsia"/>
        </w:rPr>
        <w:t>与江苏省内河港口布局规划环评要求相符性分析一览表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8"/>
        <w:gridCol w:w="4433"/>
        <w:gridCol w:w="3331"/>
        <w:gridCol w:w="868"/>
      </w:tblGrid>
      <w:tr w14:paraId="6BD7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247" w:type="pct"/>
            <w:shd w:val="clear" w:color="auto" w:fill="FFFFFF"/>
            <w:vAlign w:val="center"/>
          </w:tcPr>
          <w:p w14:paraId="122D920A">
            <w:pPr>
              <w:pStyle w:val="196"/>
              <w:wordWrap w:val="0"/>
              <w:rPr>
                <w:b/>
                <w:bCs/>
                <w:szCs w:val="21"/>
              </w:rPr>
            </w:pPr>
            <w:r>
              <w:rPr>
                <w:rFonts w:hint="eastAsia"/>
                <w:b/>
                <w:bCs/>
              </w:rPr>
              <w:t>序号</w:t>
            </w:r>
          </w:p>
        </w:tc>
        <w:tc>
          <w:tcPr>
            <w:tcW w:w="2441" w:type="pct"/>
            <w:shd w:val="clear" w:color="auto" w:fill="FFFFFF"/>
            <w:vAlign w:val="center"/>
          </w:tcPr>
          <w:p w14:paraId="794857DB">
            <w:pPr>
              <w:pStyle w:val="196"/>
              <w:wordWrap w:val="0"/>
              <w:rPr>
                <w:b/>
                <w:bCs/>
              </w:rPr>
            </w:pPr>
            <w:r>
              <w:rPr>
                <w:rFonts w:hint="eastAsia"/>
                <w:b/>
                <w:bCs/>
              </w:rPr>
              <w:t>江苏省内河港口布局规划环评要求</w:t>
            </w:r>
          </w:p>
        </w:tc>
        <w:tc>
          <w:tcPr>
            <w:tcW w:w="1834" w:type="pct"/>
            <w:shd w:val="clear" w:color="auto" w:fill="FFFFFF"/>
            <w:vAlign w:val="center"/>
          </w:tcPr>
          <w:p w14:paraId="675F5EAC">
            <w:pPr>
              <w:pStyle w:val="196"/>
              <w:wordWrap w:val="0"/>
              <w:rPr>
                <w:b/>
                <w:bCs/>
              </w:rPr>
            </w:pPr>
            <w:r>
              <w:rPr>
                <w:rFonts w:hint="eastAsia"/>
                <w:b/>
                <w:bCs/>
              </w:rPr>
              <w:t>相符性分析</w:t>
            </w:r>
          </w:p>
        </w:tc>
        <w:tc>
          <w:tcPr>
            <w:tcW w:w="478" w:type="pct"/>
            <w:shd w:val="clear" w:color="auto" w:fill="FFFFFF"/>
            <w:vAlign w:val="center"/>
          </w:tcPr>
          <w:p w14:paraId="50BFDEE6">
            <w:pPr>
              <w:pStyle w:val="196"/>
              <w:wordWrap w:val="0"/>
              <w:rPr>
                <w:b/>
                <w:bCs/>
              </w:rPr>
            </w:pPr>
            <w:r>
              <w:rPr>
                <w:rFonts w:hint="eastAsia"/>
                <w:b/>
                <w:bCs/>
              </w:rPr>
              <w:t>是否相符</w:t>
            </w:r>
          </w:p>
        </w:tc>
      </w:tr>
      <w:tr w14:paraId="42B2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47" w:type="pct"/>
            <w:shd w:val="clear" w:color="auto" w:fill="FFFFFF"/>
            <w:vAlign w:val="center"/>
          </w:tcPr>
          <w:p w14:paraId="32F7372E">
            <w:pPr>
              <w:pStyle w:val="196"/>
              <w:wordWrap w:val="0"/>
            </w:pPr>
            <w:r>
              <w:rPr>
                <w:rFonts w:hint="eastAsia"/>
              </w:rPr>
              <w:t>1</w:t>
            </w:r>
          </w:p>
        </w:tc>
        <w:tc>
          <w:tcPr>
            <w:tcW w:w="2441" w:type="pct"/>
            <w:shd w:val="clear" w:color="auto" w:fill="FFFFFF"/>
            <w:vAlign w:val="center"/>
          </w:tcPr>
          <w:p w14:paraId="510CB5CE">
            <w:pPr>
              <w:pStyle w:val="196"/>
              <w:wordWrap w:val="0"/>
            </w:pPr>
            <w:r>
              <w:rPr>
                <w:rFonts w:hint="eastAsia"/>
              </w:rPr>
              <w:t>按照《中华人民共和国环境保护法》《中华人民共和国环境影响评价法》《江苏省国家级生态保护红线规划》《江苏省生态空间管控区域规划》等有关环境保护要求，牢固树立绿色安全发展理念，严守安全、环保底线，加强污染防治，强化环境风险管控，集约高效利用资源，推动绿色循环低碳港口建设，促进内河港口与生态环境和谐发展。</w:t>
            </w:r>
          </w:p>
        </w:tc>
        <w:tc>
          <w:tcPr>
            <w:tcW w:w="1834" w:type="pct"/>
            <w:shd w:val="clear" w:color="auto" w:fill="FFFFFF"/>
            <w:vAlign w:val="center"/>
          </w:tcPr>
          <w:p w14:paraId="6FA76E5C">
            <w:pPr>
              <w:pStyle w:val="196"/>
              <w:wordWrap w:val="0"/>
            </w:pPr>
            <w:r>
              <w:rPr>
                <w:rFonts w:hint="eastAsia"/>
              </w:rPr>
              <w:t>本项目符合《中华人民共和国环境保护法</w:t>
            </w:r>
            <w:r>
              <w:rPr>
                <w:rFonts w:hint="eastAsia"/>
                <w:lang w:eastAsia="zh-CN"/>
              </w:rPr>
              <w:t>》《</w:t>
            </w:r>
            <w:r>
              <w:rPr>
                <w:rFonts w:hint="eastAsia"/>
              </w:rPr>
              <w:t>中华人民共和国环境影响评价法</w:t>
            </w:r>
            <w:r>
              <w:rPr>
                <w:rFonts w:hint="eastAsia"/>
                <w:lang w:eastAsia="zh-CN"/>
              </w:rPr>
              <w:t>》《</w:t>
            </w:r>
            <w:r>
              <w:rPr>
                <w:rFonts w:hint="eastAsia"/>
              </w:rPr>
              <w:t>江苏省国家级生态保护红线规划</w:t>
            </w:r>
            <w:r>
              <w:rPr>
                <w:rFonts w:hint="eastAsia"/>
                <w:lang w:eastAsia="zh-CN"/>
              </w:rPr>
              <w:t>》《</w:t>
            </w:r>
            <w:r>
              <w:rPr>
                <w:rFonts w:hint="eastAsia"/>
              </w:rPr>
              <w:t>江苏省生态空间管控区域规划》等法律法规和规划要求，不属于法律法规禁止占用的区域；项目通过采取废气、废水、噪声和固废等污染防治措施加强污染防治，通过配备应急设备和提出应急预案要求来强化环境风险管控，港口采用岸电系统，符合绿色循环低碳港口建设要求。</w:t>
            </w:r>
          </w:p>
        </w:tc>
        <w:tc>
          <w:tcPr>
            <w:tcW w:w="478" w:type="pct"/>
            <w:shd w:val="clear" w:color="auto" w:fill="FFFFFF"/>
            <w:vAlign w:val="center"/>
          </w:tcPr>
          <w:p w14:paraId="0541A70D">
            <w:pPr>
              <w:pStyle w:val="196"/>
              <w:wordWrap w:val="0"/>
            </w:pPr>
            <w:r>
              <w:rPr>
                <w:rFonts w:hint="eastAsia"/>
              </w:rPr>
              <w:t>相符</w:t>
            </w:r>
          </w:p>
        </w:tc>
      </w:tr>
      <w:tr w14:paraId="3EE0C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47" w:type="pct"/>
            <w:shd w:val="clear" w:color="auto" w:fill="FFFFFF"/>
            <w:vAlign w:val="center"/>
          </w:tcPr>
          <w:p w14:paraId="4F18553B">
            <w:pPr>
              <w:pStyle w:val="196"/>
              <w:wordWrap w:val="0"/>
            </w:pPr>
            <w:r>
              <w:rPr>
                <w:rFonts w:hint="eastAsia"/>
              </w:rPr>
              <w:t>2</w:t>
            </w:r>
          </w:p>
        </w:tc>
        <w:tc>
          <w:tcPr>
            <w:tcW w:w="2441" w:type="pct"/>
            <w:shd w:val="clear" w:color="auto" w:fill="FFFFFF"/>
            <w:vAlign w:val="center"/>
          </w:tcPr>
          <w:p w14:paraId="738AA11B">
            <w:pPr>
              <w:pStyle w:val="196"/>
              <w:wordWrap w:val="0"/>
            </w:pPr>
            <w:r>
              <w:rPr>
                <w:rFonts w:hint="eastAsia"/>
              </w:rPr>
              <w:t>推动集约高效发展。着力优化内河港口布局，加强港口资源整合，促进重点规模化港口作业区建设发展。依法取缔拆除非法、小散乱码头，建设规模化、专业化码头，采用环保性能好、作业效率高的装卸机械设备。</w:t>
            </w:r>
          </w:p>
        </w:tc>
        <w:tc>
          <w:tcPr>
            <w:tcW w:w="1834" w:type="pct"/>
            <w:shd w:val="clear" w:color="auto" w:fill="FFFFFF"/>
            <w:vAlign w:val="center"/>
          </w:tcPr>
          <w:p w14:paraId="28537F7F">
            <w:pPr>
              <w:pStyle w:val="196"/>
              <w:wordWrap w:val="0"/>
            </w:pPr>
            <w:r>
              <w:rPr>
                <w:rFonts w:hint="eastAsia"/>
              </w:rPr>
              <w:t>本项目为散货码头，且项目采取了岸电设备，环保性能较好、作业效率较高。</w:t>
            </w:r>
          </w:p>
        </w:tc>
        <w:tc>
          <w:tcPr>
            <w:tcW w:w="478" w:type="pct"/>
            <w:shd w:val="clear" w:color="auto" w:fill="FFFFFF"/>
            <w:vAlign w:val="center"/>
          </w:tcPr>
          <w:p w14:paraId="264EFA30">
            <w:pPr>
              <w:pStyle w:val="196"/>
              <w:wordWrap w:val="0"/>
            </w:pPr>
            <w:r>
              <w:rPr>
                <w:rFonts w:hint="eastAsia"/>
              </w:rPr>
              <w:t>相符</w:t>
            </w:r>
          </w:p>
        </w:tc>
      </w:tr>
      <w:tr w14:paraId="2FCB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47" w:type="pct"/>
            <w:shd w:val="clear" w:color="auto" w:fill="FFFFFF"/>
            <w:vAlign w:val="center"/>
          </w:tcPr>
          <w:p w14:paraId="517676E8">
            <w:pPr>
              <w:pStyle w:val="196"/>
              <w:wordWrap w:val="0"/>
            </w:pPr>
            <w:r>
              <w:rPr>
                <w:rFonts w:hint="eastAsia"/>
              </w:rPr>
              <w:t>3</w:t>
            </w:r>
          </w:p>
        </w:tc>
        <w:tc>
          <w:tcPr>
            <w:tcW w:w="2441" w:type="pct"/>
            <w:shd w:val="clear" w:color="auto" w:fill="FFFFFF"/>
            <w:vAlign w:val="center"/>
          </w:tcPr>
          <w:p w14:paraId="48BC8749">
            <w:pPr>
              <w:pStyle w:val="196"/>
              <w:wordWrap w:val="0"/>
            </w:pPr>
            <w:r>
              <w:rPr>
                <w:rFonts w:hint="eastAsia"/>
              </w:rPr>
              <w:t>提升污染防治能力。加强港口污染物接收处理设施建设。加强港口粉尘综合防治和噪声防治</w:t>
            </w:r>
            <w:r>
              <w:rPr>
                <w:rFonts w:hint="eastAsia"/>
                <w:lang w:eastAsia="zh-CN"/>
              </w:rPr>
              <w:t>。</w:t>
            </w:r>
            <w:r>
              <w:rPr>
                <w:rFonts w:hint="eastAsia"/>
              </w:rPr>
              <w:t>加强</w:t>
            </w:r>
            <w:r>
              <w:rPr>
                <w:rFonts w:hint="eastAsia"/>
                <w:lang w:eastAsia="zh-CN"/>
              </w:rPr>
              <w:t>港口</w:t>
            </w:r>
            <w:r>
              <w:rPr>
                <w:rFonts w:hint="eastAsia"/>
              </w:rPr>
              <w:t>清洁能源推广应用，加快内河靠港船舶使用岸电基础设施建设，提高低碳绿色港口建设发展水平。</w:t>
            </w:r>
          </w:p>
        </w:tc>
        <w:tc>
          <w:tcPr>
            <w:tcW w:w="1834" w:type="pct"/>
            <w:shd w:val="clear" w:color="auto" w:fill="FFFFFF"/>
            <w:vAlign w:val="center"/>
          </w:tcPr>
          <w:p w14:paraId="039ECFAB">
            <w:pPr>
              <w:pStyle w:val="196"/>
              <w:wordWrap w:val="0"/>
            </w:pPr>
            <w:r>
              <w:rPr>
                <w:rFonts w:hint="eastAsia"/>
              </w:rPr>
              <w:t>本项目废气均为无组织排放，设有洒水降尘措施，废气污染物排放符合《江苏省大气污染物综合排放标准》（DB324041-2021）要求；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 ，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项目通过合理布局、隔声等措施减轻噪声污染的影响，确保场界噪声达标；固废均得到有效处置；项目拟建设岸电设备，建成后可提高低碳绿色港口建设发展水平。</w:t>
            </w:r>
          </w:p>
        </w:tc>
        <w:tc>
          <w:tcPr>
            <w:tcW w:w="478" w:type="pct"/>
            <w:shd w:val="clear" w:color="auto" w:fill="FFFFFF"/>
            <w:vAlign w:val="center"/>
          </w:tcPr>
          <w:p w14:paraId="7E9185EB">
            <w:pPr>
              <w:pStyle w:val="196"/>
              <w:wordWrap w:val="0"/>
            </w:pPr>
            <w:r>
              <w:rPr>
                <w:rFonts w:hint="eastAsia"/>
              </w:rPr>
              <w:t>相符</w:t>
            </w:r>
          </w:p>
        </w:tc>
      </w:tr>
      <w:tr w14:paraId="51CB7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47" w:type="pct"/>
            <w:shd w:val="clear" w:color="auto" w:fill="FFFFFF"/>
            <w:vAlign w:val="center"/>
          </w:tcPr>
          <w:p w14:paraId="2F237710">
            <w:pPr>
              <w:pStyle w:val="196"/>
              <w:wordWrap w:val="0"/>
            </w:pPr>
            <w:r>
              <w:rPr>
                <w:rFonts w:hint="eastAsia"/>
              </w:rPr>
              <w:t>4</w:t>
            </w:r>
          </w:p>
        </w:tc>
        <w:tc>
          <w:tcPr>
            <w:tcW w:w="2441" w:type="pct"/>
            <w:shd w:val="clear" w:color="auto" w:fill="FFFFFF"/>
            <w:vAlign w:val="center"/>
          </w:tcPr>
          <w:p w14:paraId="7E9B72A1">
            <w:pPr>
              <w:pStyle w:val="196"/>
              <w:wordWrap w:val="0"/>
            </w:pPr>
            <w:r>
              <w:rPr>
                <w:rFonts w:hint="eastAsia"/>
              </w:rPr>
              <w:t>加强突发环境事件风险防控。危化品码头企业应开展突发环境事件风险评估，完善环境应急预案并备案。定期开展危险货物装卸专项治理，港口作业区内成立污染事故应急机构，加强污染事件应急处置队伍建设，</w:t>
            </w:r>
          </w:p>
        </w:tc>
        <w:tc>
          <w:tcPr>
            <w:tcW w:w="1834" w:type="pct"/>
            <w:shd w:val="clear" w:color="auto" w:fill="FFFFFF"/>
            <w:vAlign w:val="center"/>
          </w:tcPr>
          <w:p w14:paraId="2C89982E">
            <w:pPr>
              <w:pStyle w:val="196"/>
              <w:wordWrap w:val="0"/>
            </w:pPr>
            <w:r>
              <w:rPr>
                <w:rFonts w:hint="eastAsia"/>
              </w:rPr>
              <w:t>本项目不属于危化品码头，主要环境风险为船舶溢油事故，已要求建设单位配备围油栏等应急设备，并提出了对应的环境风险应急措施及应急预案的编制要求。</w:t>
            </w:r>
          </w:p>
        </w:tc>
        <w:tc>
          <w:tcPr>
            <w:tcW w:w="478" w:type="pct"/>
            <w:shd w:val="clear" w:color="auto" w:fill="FFFFFF"/>
            <w:vAlign w:val="center"/>
          </w:tcPr>
          <w:p w14:paraId="359FE2C5">
            <w:pPr>
              <w:pStyle w:val="196"/>
              <w:wordWrap w:val="0"/>
            </w:pPr>
            <w:r>
              <w:rPr>
                <w:rFonts w:hint="eastAsia"/>
              </w:rPr>
              <w:t>相符</w:t>
            </w:r>
          </w:p>
        </w:tc>
      </w:tr>
      <w:tr w14:paraId="669F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247" w:type="pct"/>
            <w:shd w:val="clear" w:color="auto" w:fill="FFFFFF"/>
            <w:vAlign w:val="center"/>
          </w:tcPr>
          <w:p w14:paraId="05090773">
            <w:pPr>
              <w:pStyle w:val="196"/>
              <w:wordWrap w:val="0"/>
            </w:pPr>
            <w:r>
              <w:rPr>
                <w:rFonts w:hint="eastAsia"/>
              </w:rPr>
              <w:t>5</w:t>
            </w:r>
          </w:p>
        </w:tc>
        <w:tc>
          <w:tcPr>
            <w:tcW w:w="2441" w:type="pct"/>
            <w:shd w:val="clear" w:color="auto" w:fill="FFFFFF"/>
            <w:vAlign w:val="center"/>
          </w:tcPr>
          <w:p w14:paraId="466F7ED3">
            <w:pPr>
              <w:pStyle w:val="196"/>
              <w:wordWrap w:val="0"/>
            </w:pPr>
            <w:r>
              <w:rPr>
                <w:rFonts w:hint="eastAsia"/>
              </w:rPr>
              <w:t>做好环境保护工作。在实施港门项目建设时，严格落实港口项目环境影响评价和环境保护“三同时”、排污许可要求，加强施工期间、生产运营过程中的环境保护管理工作，各地在编制港口总体规划时，应取消与饮用水源地等生态红线区域有冲突、不符合生态环境保护和相关规划要求的港口岸线，提高港口岸线利用效率和效益，根据规划确定的功能，充分考虑岸线和水陆域规划方案的环境保护要求，合理规划环境保护设施。</w:t>
            </w:r>
          </w:p>
        </w:tc>
        <w:tc>
          <w:tcPr>
            <w:tcW w:w="1834" w:type="pct"/>
            <w:shd w:val="clear" w:color="auto" w:fill="FFFFFF"/>
            <w:vAlign w:val="center"/>
          </w:tcPr>
          <w:p w14:paraId="3E613966">
            <w:pPr>
              <w:pStyle w:val="196"/>
              <w:wordWrap w:val="0"/>
            </w:pPr>
            <w:r>
              <w:rPr>
                <w:rFonts w:hint="eastAsia"/>
              </w:rPr>
              <w:t>本项目施工期间、生产运营将严格按照相关法律法规和本报告书的环保措施要求落实环境保护“三同时”、排污许可要求，并加强过程中的环境保护管理工作。项目不属于“与饮用水源地等生态红线区域有冲突、不符合生态环境保护和相关规划要求的港口岸线”。</w:t>
            </w:r>
          </w:p>
        </w:tc>
        <w:tc>
          <w:tcPr>
            <w:tcW w:w="478" w:type="pct"/>
            <w:shd w:val="clear" w:color="auto" w:fill="FFFFFF"/>
            <w:vAlign w:val="center"/>
          </w:tcPr>
          <w:p w14:paraId="32E3C23E">
            <w:pPr>
              <w:pStyle w:val="196"/>
              <w:wordWrap w:val="0"/>
            </w:pPr>
            <w:r>
              <w:rPr>
                <w:rFonts w:hint="eastAsia"/>
              </w:rPr>
              <w:t>相符</w:t>
            </w:r>
          </w:p>
        </w:tc>
      </w:tr>
    </w:tbl>
    <w:p w14:paraId="107A9647">
      <w:pPr>
        <w:adjustRightInd w:val="0"/>
        <w:snapToGrid w:val="0"/>
        <w:ind w:firstLine="420"/>
        <w:rPr>
          <w:rFonts w:cs="Times New Roman"/>
          <w:sz w:val="21"/>
        </w:rPr>
      </w:pPr>
    </w:p>
    <w:p w14:paraId="49E3D079">
      <w:pPr>
        <w:pStyle w:val="82"/>
      </w:pPr>
      <w:r>
        <w:rPr>
          <w:rFonts w:hint="eastAsia"/>
        </w:rPr>
        <w:t>与相关环保政策相符性</w:t>
      </w:r>
    </w:p>
    <w:p w14:paraId="43C19204">
      <w:pPr>
        <w:pStyle w:val="84"/>
      </w:pPr>
      <w:r>
        <w:rPr>
          <w:rFonts w:hint="eastAsia"/>
        </w:rPr>
        <w:t>与《港口建设项目环境影响评价文件审批原则（试行）》相符性分析</w:t>
      </w:r>
    </w:p>
    <w:p w14:paraId="740B780B">
      <w:pPr>
        <w:pStyle w:val="31"/>
        <w:adjustRightInd w:val="0"/>
        <w:ind w:firstLine="480"/>
        <w:jc w:val="both"/>
        <w:rPr>
          <w:rFonts w:eastAsia="宋体"/>
          <w:kern w:val="2"/>
          <w:sz w:val="24"/>
          <w:szCs w:val="24"/>
        </w:rPr>
      </w:pPr>
      <w:r>
        <w:rPr>
          <w:rFonts w:hint="eastAsia" w:ascii="宋体" w:hAnsi="宋体" w:eastAsia="宋体"/>
          <w:kern w:val="2"/>
          <w:sz w:val="24"/>
          <w:szCs w:val="24"/>
        </w:rPr>
        <w:t>根据关于印发机场、港口、水利（河湖整治与防洪除涝）三个行业建设项目环境影响评价文件审批原则的通知（环办环评</w:t>
      </w:r>
      <w:r>
        <w:rPr>
          <w:rFonts w:hint="eastAsia" w:ascii="宋体" w:hAnsi="宋体" w:eastAsia="宋体"/>
          <w:sz w:val="24"/>
          <w:szCs w:val="24"/>
        </w:rPr>
        <w:t>〔</w:t>
      </w:r>
      <w:r>
        <w:rPr>
          <w:rFonts w:hint="eastAsia" w:eastAsia="宋体"/>
          <w:kern w:val="2"/>
          <w:sz w:val="24"/>
          <w:szCs w:val="24"/>
        </w:rPr>
        <w:t>2018</w:t>
      </w:r>
      <w:r>
        <w:rPr>
          <w:rFonts w:hint="eastAsia" w:ascii="宋体" w:hAnsi="宋体" w:eastAsia="宋体"/>
          <w:sz w:val="24"/>
          <w:szCs w:val="24"/>
        </w:rPr>
        <w:t>〕</w:t>
      </w:r>
      <w:r>
        <w:rPr>
          <w:rFonts w:hint="eastAsia" w:eastAsia="宋体"/>
          <w:kern w:val="2"/>
          <w:sz w:val="24"/>
          <w:szCs w:val="24"/>
        </w:rPr>
        <w:t>2</w:t>
      </w:r>
      <w:r>
        <w:rPr>
          <w:rFonts w:hint="eastAsia" w:ascii="宋体" w:hAnsi="宋体" w:eastAsia="宋体"/>
          <w:kern w:val="2"/>
          <w:sz w:val="24"/>
          <w:szCs w:val="24"/>
        </w:rPr>
        <w:t>号），本项目建设与港口建设项目环境影响评价文件审批原则（试行）的相符性分析见表</w:t>
      </w:r>
      <w:r>
        <w:rPr>
          <w:rFonts w:hint="eastAsia" w:eastAsia="宋体"/>
          <w:kern w:val="2"/>
          <w:sz w:val="24"/>
          <w:szCs w:val="24"/>
        </w:rPr>
        <w:t>1.5-13</w:t>
      </w:r>
      <w:r>
        <w:rPr>
          <w:rFonts w:hint="eastAsia" w:ascii="宋体" w:hAnsi="宋体" w:eastAsia="宋体"/>
          <w:kern w:val="2"/>
          <w:sz w:val="24"/>
          <w:szCs w:val="24"/>
        </w:rPr>
        <w:t>，可以看出，本项目与该审批原则的各项要求相符。</w:t>
      </w:r>
    </w:p>
    <w:p w14:paraId="770940F8">
      <w:pPr>
        <w:pStyle w:val="86"/>
        <w:rPr>
          <w:rFonts w:eastAsia="宋体"/>
        </w:rPr>
      </w:pPr>
      <w:r>
        <w:rPr>
          <w:rFonts w:hint="eastAsia"/>
        </w:rPr>
        <w:t>本项目与港口建设项目环境影响评价文件审批原则（试行）相符性分析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3841"/>
        <w:gridCol w:w="3765"/>
        <w:gridCol w:w="838"/>
      </w:tblGrid>
      <w:tr w14:paraId="0E5B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54" w:type="pct"/>
            <w:tcBorders>
              <w:top w:val="single" w:color="auto" w:sz="4" w:space="0"/>
              <w:left w:val="single" w:color="auto" w:sz="4" w:space="0"/>
              <w:bottom w:val="single" w:color="auto" w:sz="4" w:space="0"/>
              <w:right w:val="single" w:color="auto" w:sz="4" w:space="0"/>
            </w:tcBorders>
            <w:vAlign w:val="center"/>
          </w:tcPr>
          <w:p w14:paraId="390E576A">
            <w:pPr>
              <w:pStyle w:val="196"/>
              <w:rPr>
                <w:b/>
                <w:bCs/>
              </w:rPr>
            </w:pPr>
            <w:r>
              <w:rPr>
                <w:rFonts w:hint="eastAsia"/>
                <w:b/>
                <w:bCs/>
              </w:rPr>
              <w:t>序号</w:t>
            </w:r>
          </w:p>
        </w:tc>
        <w:tc>
          <w:tcPr>
            <w:tcW w:w="2068" w:type="pct"/>
            <w:tcBorders>
              <w:top w:val="single" w:color="auto" w:sz="4" w:space="0"/>
              <w:left w:val="single" w:color="auto" w:sz="4" w:space="0"/>
              <w:bottom w:val="single" w:color="auto" w:sz="4" w:space="0"/>
              <w:right w:val="single" w:color="auto" w:sz="4" w:space="0"/>
            </w:tcBorders>
            <w:vAlign w:val="center"/>
          </w:tcPr>
          <w:p w14:paraId="763C57F1">
            <w:pPr>
              <w:pStyle w:val="196"/>
              <w:rPr>
                <w:b/>
                <w:bCs/>
              </w:rPr>
            </w:pPr>
            <w:r>
              <w:rPr>
                <w:rFonts w:hint="eastAsia"/>
                <w:b/>
                <w:bCs/>
              </w:rPr>
              <w:t>审批原则</w:t>
            </w:r>
          </w:p>
        </w:tc>
        <w:tc>
          <w:tcPr>
            <w:tcW w:w="2027" w:type="pct"/>
            <w:tcBorders>
              <w:top w:val="single" w:color="auto" w:sz="4" w:space="0"/>
              <w:left w:val="single" w:color="auto" w:sz="4" w:space="0"/>
              <w:bottom w:val="single" w:color="auto" w:sz="4" w:space="0"/>
              <w:right w:val="single" w:color="auto" w:sz="4" w:space="0"/>
            </w:tcBorders>
            <w:vAlign w:val="center"/>
          </w:tcPr>
          <w:p w14:paraId="0406C1F9">
            <w:pPr>
              <w:pStyle w:val="196"/>
              <w:rPr>
                <w:b/>
                <w:bCs/>
              </w:rPr>
            </w:pPr>
            <w:r>
              <w:rPr>
                <w:rFonts w:hint="eastAsia"/>
                <w:b/>
                <w:bCs/>
              </w:rPr>
              <w:t>相符性分析</w:t>
            </w:r>
          </w:p>
        </w:tc>
        <w:tc>
          <w:tcPr>
            <w:tcW w:w="451" w:type="pct"/>
            <w:tcBorders>
              <w:top w:val="single" w:color="auto" w:sz="4" w:space="0"/>
              <w:left w:val="single" w:color="auto" w:sz="4" w:space="0"/>
              <w:bottom w:val="single" w:color="auto" w:sz="4" w:space="0"/>
              <w:right w:val="single" w:color="auto" w:sz="4" w:space="0"/>
            </w:tcBorders>
            <w:vAlign w:val="center"/>
          </w:tcPr>
          <w:p w14:paraId="124C2608">
            <w:pPr>
              <w:pStyle w:val="196"/>
              <w:rPr>
                <w:b/>
                <w:bCs/>
              </w:rPr>
            </w:pPr>
            <w:r>
              <w:rPr>
                <w:rFonts w:hint="eastAsia"/>
                <w:b/>
                <w:bCs/>
              </w:rPr>
              <w:t>是否相符</w:t>
            </w:r>
          </w:p>
        </w:tc>
      </w:tr>
      <w:tr w14:paraId="11B2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6FEFFC17">
            <w:pPr>
              <w:pStyle w:val="196"/>
            </w:pPr>
            <w:r>
              <w:rPr>
                <w:rFonts w:hint="eastAsia"/>
              </w:rPr>
              <w:t>1</w:t>
            </w:r>
          </w:p>
        </w:tc>
        <w:tc>
          <w:tcPr>
            <w:tcW w:w="2068" w:type="pct"/>
            <w:tcBorders>
              <w:top w:val="single" w:color="auto" w:sz="4" w:space="0"/>
              <w:left w:val="single" w:color="auto" w:sz="4" w:space="0"/>
              <w:bottom w:val="single" w:color="auto" w:sz="4" w:space="0"/>
              <w:right w:val="single" w:color="auto" w:sz="4" w:space="0"/>
            </w:tcBorders>
            <w:vAlign w:val="center"/>
          </w:tcPr>
          <w:p w14:paraId="64A6E60E">
            <w:pPr>
              <w:pStyle w:val="196"/>
            </w:pPr>
            <w:r>
              <w:rPr>
                <w:rFonts w:hint="eastAsia"/>
              </w:rPr>
              <w:t>项目符合环境保护相关法律法规和政策要求，与主体功能区规划、近岸海域环境功能区划、水环境功能区划、生态功能区划、海洋功能区划、生态环境保护规划、港口总体规划、流域规划等相协调，满足相关规划环评要求</w:t>
            </w:r>
          </w:p>
        </w:tc>
        <w:tc>
          <w:tcPr>
            <w:tcW w:w="2027" w:type="pct"/>
            <w:tcBorders>
              <w:top w:val="single" w:color="auto" w:sz="4" w:space="0"/>
              <w:left w:val="single" w:color="auto" w:sz="4" w:space="0"/>
              <w:bottom w:val="single" w:color="auto" w:sz="4" w:space="0"/>
              <w:right w:val="single" w:color="auto" w:sz="4" w:space="0"/>
            </w:tcBorders>
          </w:tcPr>
          <w:p w14:paraId="71D48FE8">
            <w:pPr>
              <w:pStyle w:val="196"/>
            </w:pPr>
            <w:r>
              <w:rPr>
                <w:rFonts w:hint="eastAsia"/>
              </w:rPr>
              <w:t>本项目建设符合国家和江苏省的环境保护相关法律和政策要求，与江苏省水环境功能区划、《江苏省国家级生态保护红线规划</w:t>
            </w:r>
            <w:r>
              <w:rPr>
                <w:rFonts w:hint="eastAsia"/>
                <w:lang w:eastAsia="zh-CN"/>
              </w:rPr>
              <w:t>》《</w:t>
            </w:r>
            <w:r>
              <w:rPr>
                <w:rFonts w:hint="eastAsia"/>
              </w:rPr>
              <w:t>江苏省生态空间管控区域规划</w:t>
            </w:r>
            <w:r>
              <w:rPr>
                <w:rFonts w:hint="eastAsia"/>
                <w:lang w:eastAsia="zh-CN"/>
              </w:rPr>
              <w:t>》《</w:t>
            </w:r>
            <w:r>
              <w:rPr>
                <w:rFonts w:hint="eastAsia"/>
              </w:rPr>
              <w:t>淮安港总体规划（2020</w:t>
            </w:r>
            <w:r>
              <w:rPr>
                <w:rFonts w:hint="eastAsia"/>
                <w:lang w:eastAsia="zh-CN"/>
              </w:rPr>
              <w:t>—</w:t>
            </w:r>
            <w:r>
              <w:rPr>
                <w:rFonts w:hint="eastAsia"/>
              </w:rPr>
              <w:t>2035年）》等相符，满足淮安港总体规划（</w:t>
            </w:r>
            <w:r>
              <w:rPr>
                <w:rFonts w:hint="eastAsia"/>
                <w:lang w:eastAsia="zh-CN"/>
              </w:rPr>
              <w:t>2020—2035</w:t>
            </w:r>
            <w:r>
              <w:rPr>
                <w:rFonts w:hint="eastAsia"/>
              </w:rPr>
              <w:t>年）环评的各项环保要求</w:t>
            </w:r>
          </w:p>
        </w:tc>
        <w:tc>
          <w:tcPr>
            <w:tcW w:w="451" w:type="pct"/>
            <w:tcBorders>
              <w:top w:val="single" w:color="auto" w:sz="4" w:space="0"/>
              <w:left w:val="single" w:color="auto" w:sz="4" w:space="0"/>
              <w:bottom w:val="single" w:color="auto" w:sz="4" w:space="0"/>
              <w:right w:val="single" w:color="auto" w:sz="4" w:space="0"/>
            </w:tcBorders>
            <w:vAlign w:val="center"/>
          </w:tcPr>
          <w:p w14:paraId="02A1BBE9">
            <w:pPr>
              <w:pStyle w:val="196"/>
            </w:pPr>
            <w:r>
              <w:rPr>
                <w:rFonts w:hint="eastAsia"/>
              </w:rPr>
              <w:t>相符</w:t>
            </w:r>
          </w:p>
        </w:tc>
      </w:tr>
      <w:tr w14:paraId="5937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07085088">
            <w:pPr>
              <w:pStyle w:val="196"/>
            </w:pPr>
            <w:r>
              <w:rPr>
                <w:rFonts w:hint="eastAsia"/>
              </w:rPr>
              <w:t>2</w:t>
            </w:r>
          </w:p>
        </w:tc>
        <w:tc>
          <w:tcPr>
            <w:tcW w:w="2068" w:type="pct"/>
            <w:tcBorders>
              <w:top w:val="single" w:color="auto" w:sz="4" w:space="0"/>
              <w:left w:val="single" w:color="auto" w:sz="4" w:space="0"/>
              <w:bottom w:val="single" w:color="auto" w:sz="4" w:space="0"/>
              <w:right w:val="single" w:color="auto" w:sz="4" w:space="0"/>
            </w:tcBorders>
            <w:vAlign w:val="center"/>
          </w:tcPr>
          <w:p w14:paraId="650617C5">
            <w:pPr>
              <w:pStyle w:val="196"/>
            </w:pPr>
            <w:r>
              <w:rPr>
                <w:rFonts w:hint="eastAsia"/>
              </w:rPr>
              <w:t>项目选址、施工布置不占用自然保护区、风景名胜区、世界文化和自然遗产地、饮用水水源保护区以及其他生态保护红线等环境敏感区中法律法规禁止占用的区域。通过优化项目主要污染源和风险源的平面布置，与居民集中区等环境敏感区的距离科学合理。</w:t>
            </w:r>
          </w:p>
        </w:tc>
        <w:tc>
          <w:tcPr>
            <w:tcW w:w="2027" w:type="pct"/>
            <w:tcBorders>
              <w:top w:val="single" w:color="auto" w:sz="4" w:space="0"/>
              <w:left w:val="single" w:color="auto" w:sz="4" w:space="0"/>
              <w:bottom w:val="single" w:color="auto" w:sz="4" w:space="0"/>
              <w:right w:val="single" w:color="auto" w:sz="4" w:space="0"/>
            </w:tcBorders>
          </w:tcPr>
          <w:p w14:paraId="35CABA68">
            <w:pPr>
              <w:pStyle w:val="196"/>
            </w:pPr>
            <w:r>
              <w:rPr>
                <w:rFonts w:hint="eastAsia"/>
              </w:rPr>
              <w:t>本项目选址、施工未占用自然保护区、风景名胜区、世界文化和自然遗产地、饮用水水源保护区以及其他生态保护红线等环境敏感区中法律法规禁止占用的区域。项目平面布局合理，与周边居民点较远，不会对周围的声环境造成不利影响</w:t>
            </w:r>
          </w:p>
        </w:tc>
        <w:tc>
          <w:tcPr>
            <w:tcW w:w="451" w:type="pct"/>
            <w:tcBorders>
              <w:top w:val="single" w:color="auto" w:sz="4" w:space="0"/>
              <w:left w:val="single" w:color="auto" w:sz="4" w:space="0"/>
              <w:bottom w:val="single" w:color="auto" w:sz="4" w:space="0"/>
              <w:right w:val="single" w:color="auto" w:sz="4" w:space="0"/>
            </w:tcBorders>
            <w:vAlign w:val="center"/>
          </w:tcPr>
          <w:p w14:paraId="3D5DF974">
            <w:pPr>
              <w:pStyle w:val="196"/>
            </w:pPr>
            <w:r>
              <w:rPr>
                <w:rFonts w:hint="eastAsia"/>
              </w:rPr>
              <w:t>相符</w:t>
            </w:r>
          </w:p>
        </w:tc>
      </w:tr>
      <w:tr w14:paraId="2F17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487C1FA2">
            <w:pPr>
              <w:pStyle w:val="196"/>
            </w:pPr>
            <w:r>
              <w:rPr>
                <w:rFonts w:hint="eastAsia"/>
              </w:rPr>
              <w:t>3</w:t>
            </w:r>
          </w:p>
        </w:tc>
        <w:tc>
          <w:tcPr>
            <w:tcW w:w="2068" w:type="pct"/>
            <w:tcBorders>
              <w:top w:val="single" w:color="auto" w:sz="4" w:space="0"/>
              <w:left w:val="single" w:color="auto" w:sz="4" w:space="0"/>
              <w:bottom w:val="single" w:color="auto" w:sz="4" w:space="0"/>
              <w:right w:val="single" w:color="auto" w:sz="4" w:space="0"/>
            </w:tcBorders>
            <w:vAlign w:val="center"/>
          </w:tcPr>
          <w:p w14:paraId="5CD6559A">
            <w:pPr>
              <w:pStyle w:val="196"/>
            </w:pPr>
            <w:r>
              <w:rPr>
                <w:rFonts w:hint="eastAsia"/>
              </w:rPr>
              <w:t>项目对鱼类等水生生物的洄游通道及“三场”等重要生境、物种多样性及资源量产生不利影响的，提出了工程设计和施工方案优化、施工噪声及振动控制、施工期监控驱赶救助、迁地保护、增殖放流、人工鱼礁及其他生态修复措施。对湿地生态系统结构和功能、河湖生态缓冲带造成不利影响的，提出了优化工程设计、生态修复等措施。对陆域生态造成不利影响的，提出了避让环境敏感区、生态修复等对策。在采取上述措施后，对水生生物的不利影响能够得到缓解和控制，不会造成原有珍稀濒危保护或重要经济水生生物在相关河段、湖泊或海域消失，不会对区域生态系统造成重大不利影响。</w:t>
            </w:r>
          </w:p>
        </w:tc>
        <w:tc>
          <w:tcPr>
            <w:tcW w:w="2027" w:type="pct"/>
            <w:tcBorders>
              <w:top w:val="single" w:color="auto" w:sz="4" w:space="0"/>
              <w:left w:val="single" w:color="auto" w:sz="4" w:space="0"/>
              <w:bottom w:val="single" w:color="auto" w:sz="4" w:space="0"/>
              <w:right w:val="single" w:color="auto" w:sz="4" w:space="0"/>
            </w:tcBorders>
            <w:vAlign w:val="center"/>
          </w:tcPr>
          <w:p w14:paraId="259EE74A">
            <w:pPr>
              <w:pStyle w:val="196"/>
            </w:pPr>
            <w:r>
              <w:rPr>
                <w:rFonts w:hint="eastAsia"/>
              </w:rPr>
              <w:t>本项目不涉及重要水生生物的洄游通道及“三场”等重要生境，亦未涉及湿地生态系统、河湖生态缓冲带。</w:t>
            </w:r>
          </w:p>
        </w:tc>
        <w:tc>
          <w:tcPr>
            <w:tcW w:w="451" w:type="pct"/>
            <w:tcBorders>
              <w:top w:val="single" w:color="auto" w:sz="4" w:space="0"/>
              <w:left w:val="single" w:color="auto" w:sz="4" w:space="0"/>
              <w:bottom w:val="single" w:color="auto" w:sz="4" w:space="0"/>
              <w:right w:val="single" w:color="auto" w:sz="4" w:space="0"/>
            </w:tcBorders>
            <w:vAlign w:val="center"/>
          </w:tcPr>
          <w:p w14:paraId="5C1BBC67">
            <w:pPr>
              <w:pStyle w:val="196"/>
            </w:pPr>
            <w:r>
              <w:rPr>
                <w:rFonts w:hint="eastAsia"/>
              </w:rPr>
              <w:t>相符</w:t>
            </w:r>
          </w:p>
        </w:tc>
      </w:tr>
      <w:tr w14:paraId="684D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35F9BFD5">
            <w:pPr>
              <w:pStyle w:val="196"/>
            </w:pPr>
            <w:r>
              <w:rPr>
                <w:rFonts w:hint="eastAsia"/>
              </w:rPr>
              <w:t>4</w:t>
            </w:r>
          </w:p>
        </w:tc>
        <w:tc>
          <w:tcPr>
            <w:tcW w:w="2068" w:type="pct"/>
            <w:tcBorders>
              <w:top w:val="single" w:color="auto" w:sz="4" w:space="0"/>
              <w:left w:val="single" w:color="auto" w:sz="4" w:space="0"/>
              <w:bottom w:val="single" w:color="auto" w:sz="4" w:space="0"/>
              <w:right w:val="single" w:color="auto" w:sz="4" w:space="0"/>
            </w:tcBorders>
            <w:vAlign w:val="center"/>
          </w:tcPr>
          <w:p w14:paraId="49411975">
            <w:pPr>
              <w:pStyle w:val="196"/>
            </w:pPr>
            <w:r>
              <w:rPr>
                <w:rFonts w:hint="eastAsia"/>
              </w:rPr>
              <w:t>项目布置及水工构筑物改变水文情势，造成水体交换、水污染物扩散能力降低且影响水质的，提出了工程优化调整措施。针对冲洗污水、初期雨污水、含尘废水、含油污水、洗箱（罐）废水、生活污水等，提出了收集、处置措施。在采取上述措施后，废（污）水能够得到妥善处置，排放、回用或综合利用均符合相关标准，排污口设置符合相关要求。</w:t>
            </w:r>
          </w:p>
        </w:tc>
        <w:tc>
          <w:tcPr>
            <w:tcW w:w="2027" w:type="pct"/>
            <w:tcBorders>
              <w:top w:val="single" w:color="auto" w:sz="4" w:space="0"/>
              <w:left w:val="single" w:color="auto" w:sz="4" w:space="0"/>
              <w:bottom w:val="single" w:color="auto" w:sz="4" w:space="0"/>
              <w:right w:val="single" w:color="auto" w:sz="4" w:space="0"/>
            </w:tcBorders>
            <w:vAlign w:val="center"/>
          </w:tcPr>
          <w:p w14:paraId="617A777E">
            <w:pPr>
              <w:pStyle w:val="196"/>
            </w:pPr>
            <w:r>
              <w:rPr>
                <w:rFonts w:hint="eastAsia"/>
                <w:lang w:val="en-US"/>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vertAlign w:val="superscript"/>
                <w:lang w:val="en-US"/>
              </w:rPr>
              <w:t>3</w:t>
            </w:r>
            <w:r>
              <w:rPr>
                <w:rFonts w:hint="eastAsia"/>
                <w:lang w:val="en-US"/>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r>
              <w:rPr>
                <w:rFonts w:hint="eastAsia"/>
              </w:rPr>
              <w:t>。</w:t>
            </w:r>
          </w:p>
        </w:tc>
        <w:tc>
          <w:tcPr>
            <w:tcW w:w="451" w:type="pct"/>
            <w:tcBorders>
              <w:top w:val="single" w:color="auto" w:sz="4" w:space="0"/>
              <w:left w:val="single" w:color="auto" w:sz="4" w:space="0"/>
              <w:bottom w:val="single" w:color="auto" w:sz="4" w:space="0"/>
              <w:right w:val="single" w:color="auto" w:sz="4" w:space="0"/>
            </w:tcBorders>
            <w:vAlign w:val="center"/>
          </w:tcPr>
          <w:p w14:paraId="3246FC62">
            <w:pPr>
              <w:pStyle w:val="196"/>
            </w:pPr>
            <w:r>
              <w:rPr>
                <w:rFonts w:hint="eastAsia"/>
              </w:rPr>
              <w:t>相符</w:t>
            </w:r>
          </w:p>
        </w:tc>
      </w:tr>
      <w:tr w14:paraId="6A60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6EEEF0B9">
            <w:pPr>
              <w:pStyle w:val="196"/>
            </w:pPr>
            <w:r>
              <w:rPr>
                <w:rFonts w:hint="eastAsia"/>
              </w:rPr>
              <w:t>5</w:t>
            </w:r>
          </w:p>
        </w:tc>
        <w:tc>
          <w:tcPr>
            <w:tcW w:w="2068" w:type="pct"/>
            <w:tcBorders>
              <w:top w:val="single" w:color="auto" w:sz="4" w:space="0"/>
              <w:left w:val="single" w:color="auto" w:sz="4" w:space="0"/>
              <w:bottom w:val="single" w:color="auto" w:sz="4" w:space="0"/>
              <w:right w:val="single" w:color="auto" w:sz="4" w:space="0"/>
            </w:tcBorders>
            <w:vAlign w:val="center"/>
          </w:tcPr>
          <w:p w14:paraId="5F95D447">
            <w:pPr>
              <w:pStyle w:val="196"/>
              <w:rPr>
                <w:kern w:val="0"/>
              </w:rPr>
            </w:pPr>
            <w:r>
              <w:rPr>
                <w:rFonts w:hint="eastAsia"/>
                <w:b/>
                <w:bCs/>
              </w:rPr>
              <w:t>煤炭、矿石等干散货码头项目，综合考虑建设性质、运营方式、货种等特点，针对物料装卸、输送和堆场储存提出了必要可行的封闭工艺优化方案，以及防风抑尘网、喷淋湿式抑尘等措施。油气、化工等液体散货码头项目，提</w:t>
            </w:r>
            <w:r>
              <w:rPr>
                <w:rFonts w:hint="eastAsia"/>
              </w:rPr>
              <w:t>出了必要可行的挥发性气体控制、油气回收处理等措施。散装粮食、木材及其制品等采用熏蒸工艺的，提出了采用符合国家相关规定的工艺、药剂的要求以及控制气体挥发强度的措施。根据国家相关规划或政策规定，提出了配备岸电设施要求。</w:t>
            </w:r>
          </w:p>
          <w:p w14:paraId="11FD975D">
            <w:pPr>
              <w:pStyle w:val="196"/>
            </w:pPr>
            <w:r>
              <w:rPr>
                <w:rFonts w:hint="eastAsia"/>
              </w:rPr>
              <w:t>在采取上述措施后，粉尘、挥发性气体等排放符合相关标准，不会对周边环境敏感目标造成重大不利影响。</w:t>
            </w:r>
          </w:p>
        </w:tc>
        <w:tc>
          <w:tcPr>
            <w:tcW w:w="2027" w:type="pct"/>
            <w:tcBorders>
              <w:top w:val="single" w:color="auto" w:sz="4" w:space="0"/>
              <w:left w:val="single" w:color="auto" w:sz="4" w:space="0"/>
              <w:bottom w:val="single" w:color="auto" w:sz="4" w:space="0"/>
              <w:right w:val="single" w:color="auto" w:sz="4" w:space="0"/>
            </w:tcBorders>
            <w:vAlign w:val="center"/>
          </w:tcPr>
          <w:p w14:paraId="48A49005">
            <w:pPr>
              <w:pStyle w:val="196"/>
            </w:pPr>
            <w:bookmarkStart w:id="61" w:name="_Hlk181740935"/>
            <w:r>
              <w:rPr>
                <w:rFonts w:hint="eastAsia"/>
              </w:rPr>
              <w:t>（1）本项目采用封闭输煤皮带机运输，货种为煤炭，仅涉及物料卸船，不涉及物料装船。（2）本项目港口码头物料的卸船运输实行全过程控制，防止物料扬散，采取各类除尘、抑尘设施；抓斗卸船时，落料落差低于1.5m；码头落地的物料清扫后回用；向堆场的转运采用封闭式固定皮带；转运站采用密闭方式且仓顶装有布袋除尘器。在运营过程中卸料时采用喷淋降尘的方式减少粉尘产生量，卸船接料口下口设置闸板、出料溜筒等，在吊机抓斗落料处的料斗顶端设置洒水喷嘴，作业时喷水形成水幕，抑制落料时所产生的粉尘。（3）本项目不涉及油气、化工等液体散货、粮食、木材及其制品。码头每个泊位均设计配套岸电设施。采取以上措施后，粉尘排放符合《江苏省大气污染物综合排放标准》（DB324041-2021）要求，不会对周边环境敏感目标造成重大不利影响。</w:t>
            </w:r>
            <w:bookmarkEnd w:id="61"/>
          </w:p>
        </w:tc>
        <w:tc>
          <w:tcPr>
            <w:tcW w:w="451" w:type="pct"/>
            <w:tcBorders>
              <w:top w:val="single" w:color="auto" w:sz="4" w:space="0"/>
              <w:left w:val="single" w:color="auto" w:sz="4" w:space="0"/>
              <w:bottom w:val="single" w:color="auto" w:sz="4" w:space="0"/>
              <w:right w:val="single" w:color="auto" w:sz="4" w:space="0"/>
            </w:tcBorders>
            <w:vAlign w:val="center"/>
          </w:tcPr>
          <w:p w14:paraId="6C35E35C">
            <w:pPr>
              <w:pStyle w:val="196"/>
            </w:pPr>
            <w:r>
              <w:rPr>
                <w:rFonts w:hint="eastAsia"/>
              </w:rPr>
              <w:t>相符</w:t>
            </w:r>
          </w:p>
        </w:tc>
      </w:tr>
      <w:tr w14:paraId="7765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06E74B1E">
            <w:pPr>
              <w:pStyle w:val="196"/>
            </w:pPr>
            <w:r>
              <w:rPr>
                <w:rFonts w:hint="eastAsia"/>
              </w:rPr>
              <w:t>6</w:t>
            </w:r>
          </w:p>
        </w:tc>
        <w:tc>
          <w:tcPr>
            <w:tcW w:w="2068" w:type="pct"/>
            <w:tcBorders>
              <w:top w:val="single" w:color="auto" w:sz="4" w:space="0"/>
              <w:left w:val="single" w:color="auto" w:sz="4" w:space="0"/>
              <w:bottom w:val="single" w:color="auto" w:sz="4" w:space="0"/>
              <w:right w:val="single" w:color="auto" w:sz="4" w:space="0"/>
            </w:tcBorders>
          </w:tcPr>
          <w:p w14:paraId="72397A96">
            <w:pPr>
              <w:pStyle w:val="196"/>
              <w:rPr>
                <w:kern w:val="0"/>
              </w:rPr>
            </w:pPr>
            <w:r>
              <w:rPr>
                <w:rFonts w:hint="eastAsia"/>
              </w:rPr>
              <w:t>对声环境敏感目标产生不利影响的，提出了优化平面布置、选用低噪声设备、隔声减振等措施。按照国家相关规定，提出了一般固体废物、危险废物的收集、贮存、运输及处置要求。</w:t>
            </w:r>
          </w:p>
          <w:p w14:paraId="2220D1A4">
            <w:pPr>
              <w:pStyle w:val="196"/>
            </w:pPr>
            <w:r>
              <w:rPr>
                <w:rFonts w:hint="eastAsia"/>
              </w:rPr>
              <w:t>在采取上述措施后，噪声排放、固体废物处置等符合相关标准，不会对周边居民集中区等环境敏感目标造成重大不利影响。</w:t>
            </w:r>
          </w:p>
        </w:tc>
        <w:tc>
          <w:tcPr>
            <w:tcW w:w="2027" w:type="pct"/>
            <w:tcBorders>
              <w:top w:val="single" w:color="auto" w:sz="4" w:space="0"/>
              <w:left w:val="single" w:color="auto" w:sz="4" w:space="0"/>
              <w:bottom w:val="single" w:color="auto" w:sz="4" w:space="0"/>
              <w:right w:val="single" w:color="auto" w:sz="4" w:space="0"/>
            </w:tcBorders>
            <w:vAlign w:val="center"/>
          </w:tcPr>
          <w:p w14:paraId="601751E0">
            <w:pPr>
              <w:pStyle w:val="196"/>
            </w:pPr>
            <w:r>
              <w:rPr>
                <w:rFonts w:hint="eastAsia"/>
              </w:rPr>
              <w:t>本项目所在区域空旷，周围居民点较少，最近距离为550m，各类固废均采取合理的收集、贮存、运输及处置，在采取上述措施后，本项目噪声排放、固体废物处置等符合相关标准，不会对周边居民等环境敏感目标造成重大不利影响。</w:t>
            </w:r>
          </w:p>
        </w:tc>
        <w:tc>
          <w:tcPr>
            <w:tcW w:w="451" w:type="pct"/>
            <w:tcBorders>
              <w:top w:val="single" w:color="auto" w:sz="4" w:space="0"/>
              <w:left w:val="single" w:color="auto" w:sz="4" w:space="0"/>
              <w:bottom w:val="single" w:color="auto" w:sz="4" w:space="0"/>
              <w:right w:val="single" w:color="auto" w:sz="4" w:space="0"/>
            </w:tcBorders>
            <w:vAlign w:val="center"/>
          </w:tcPr>
          <w:p w14:paraId="79ACDB48">
            <w:pPr>
              <w:pStyle w:val="196"/>
            </w:pPr>
            <w:r>
              <w:rPr>
                <w:rFonts w:hint="eastAsia"/>
              </w:rPr>
              <w:t>相符</w:t>
            </w:r>
          </w:p>
        </w:tc>
      </w:tr>
      <w:tr w14:paraId="6633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077AE0A7">
            <w:pPr>
              <w:pStyle w:val="196"/>
            </w:pPr>
            <w:r>
              <w:rPr>
                <w:rFonts w:hint="eastAsia"/>
              </w:rPr>
              <w:t>7</w:t>
            </w:r>
          </w:p>
        </w:tc>
        <w:tc>
          <w:tcPr>
            <w:tcW w:w="2068" w:type="pct"/>
            <w:tcBorders>
              <w:top w:val="single" w:color="auto" w:sz="4" w:space="0"/>
              <w:left w:val="single" w:color="auto" w:sz="4" w:space="0"/>
              <w:bottom w:val="single" w:color="auto" w:sz="4" w:space="0"/>
              <w:right w:val="single" w:color="auto" w:sz="4" w:space="0"/>
            </w:tcBorders>
            <w:vAlign w:val="center"/>
          </w:tcPr>
          <w:p w14:paraId="100924F0">
            <w:pPr>
              <w:pStyle w:val="196"/>
            </w:pPr>
            <w:r>
              <w:rPr>
                <w:rFonts w:hint="eastAsia"/>
              </w:rPr>
              <w:t>根据相关规划和政策要求，提出了船舶污水、船舶垃圾、船舶压载水及沉积物等接收处置措施。</w:t>
            </w:r>
          </w:p>
        </w:tc>
        <w:tc>
          <w:tcPr>
            <w:tcW w:w="2027" w:type="pct"/>
            <w:tcBorders>
              <w:top w:val="single" w:color="auto" w:sz="4" w:space="0"/>
              <w:left w:val="single" w:color="auto" w:sz="4" w:space="0"/>
              <w:bottom w:val="single" w:color="auto" w:sz="4" w:space="0"/>
              <w:right w:val="single" w:color="auto" w:sz="4" w:space="0"/>
            </w:tcBorders>
            <w:vAlign w:val="center"/>
          </w:tcPr>
          <w:p w14:paraId="49DABC7D">
            <w:pPr>
              <w:pStyle w:val="196"/>
            </w:pPr>
            <w:r>
              <w:rPr>
                <w:rFonts w:hint="eastAsia"/>
              </w:rPr>
              <w:t>本项目船舶含油污水经油水分离器处理后收集至码头船舶油污水收集装置，由海事部门认可的具备资质的油污水处理单位接收处理。</w:t>
            </w:r>
          </w:p>
        </w:tc>
        <w:tc>
          <w:tcPr>
            <w:tcW w:w="451" w:type="pct"/>
            <w:tcBorders>
              <w:top w:val="single" w:color="auto" w:sz="4" w:space="0"/>
              <w:left w:val="single" w:color="auto" w:sz="4" w:space="0"/>
              <w:bottom w:val="single" w:color="auto" w:sz="4" w:space="0"/>
              <w:right w:val="single" w:color="auto" w:sz="4" w:space="0"/>
            </w:tcBorders>
            <w:vAlign w:val="center"/>
          </w:tcPr>
          <w:p w14:paraId="677DF52E">
            <w:pPr>
              <w:pStyle w:val="196"/>
            </w:pPr>
            <w:r>
              <w:rPr>
                <w:rFonts w:hint="eastAsia"/>
              </w:rPr>
              <w:t>相符</w:t>
            </w:r>
          </w:p>
        </w:tc>
      </w:tr>
      <w:tr w14:paraId="547E8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6AE0AF0A">
            <w:pPr>
              <w:pStyle w:val="196"/>
            </w:pPr>
            <w:r>
              <w:rPr>
                <w:rFonts w:hint="eastAsia"/>
              </w:rPr>
              <w:t>8</w:t>
            </w:r>
          </w:p>
        </w:tc>
        <w:tc>
          <w:tcPr>
            <w:tcW w:w="2068" w:type="pct"/>
            <w:tcBorders>
              <w:top w:val="single" w:color="auto" w:sz="4" w:space="0"/>
              <w:left w:val="single" w:color="auto" w:sz="4" w:space="0"/>
              <w:bottom w:val="single" w:color="auto" w:sz="4" w:space="0"/>
              <w:right w:val="single" w:color="auto" w:sz="4" w:space="0"/>
            </w:tcBorders>
            <w:vAlign w:val="center"/>
          </w:tcPr>
          <w:p w14:paraId="48A7F7C9">
            <w:pPr>
              <w:pStyle w:val="196"/>
            </w:pPr>
            <w:r>
              <w:rPr>
                <w:rFonts w:hint="eastAsia"/>
              </w:rPr>
              <w:t>项目施工组织方案具有环境合理性，对取、弃土（渣）场、施工场地（道路）等提出了水土流失防治和生态修复等措施。根据环境保护相关标准和要求，对施工期各类废（污）水、废气、噪声、固体废物等提出防治或处置措施。其中，涉水施工对水质造成不利影响的，提出了施工方案优化及悬浮物控制等措施；针对施工产生的疏浚物，提出了符合相关规定的处置或综合利用方案</w:t>
            </w:r>
          </w:p>
        </w:tc>
        <w:tc>
          <w:tcPr>
            <w:tcW w:w="2027" w:type="pct"/>
            <w:tcBorders>
              <w:top w:val="single" w:color="auto" w:sz="4" w:space="0"/>
              <w:left w:val="single" w:color="auto" w:sz="4" w:space="0"/>
              <w:bottom w:val="single" w:color="auto" w:sz="4" w:space="0"/>
              <w:right w:val="single" w:color="auto" w:sz="4" w:space="0"/>
            </w:tcBorders>
            <w:vAlign w:val="center"/>
          </w:tcPr>
          <w:p w14:paraId="6ED9BC3F">
            <w:pPr>
              <w:pStyle w:val="196"/>
            </w:pPr>
            <w:r>
              <w:rPr>
                <w:rFonts w:hint="eastAsia"/>
              </w:rPr>
              <w:t>本项目施工方案组织合理，施工场地、临时表土堆场等均布设于国能涟水一期热电联产项目的预留空地内，弃土场位于热电项目预留用地内，排泥场位于项目西侧，在使用过程中做好水保措施，最大限度减少临时工程对周围环境和土地的不利影响；项目疏浚时采用挡污帘等措施减少对盐河的影响，疏浚污泥余水经围堰、泄水口及后续沉淀池等预处理后，满足《污水综合排放标准》（GB8978-1996）表4一级标准就近排入盐河，工程产生的水下方干化后弃方全部用于临时用地恢复。</w:t>
            </w:r>
          </w:p>
        </w:tc>
        <w:tc>
          <w:tcPr>
            <w:tcW w:w="451" w:type="pct"/>
            <w:tcBorders>
              <w:top w:val="single" w:color="auto" w:sz="4" w:space="0"/>
              <w:left w:val="single" w:color="auto" w:sz="4" w:space="0"/>
              <w:bottom w:val="single" w:color="auto" w:sz="4" w:space="0"/>
              <w:right w:val="single" w:color="auto" w:sz="4" w:space="0"/>
            </w:tcBorders>
            <w:vAlign w:val="center"/>
          </w:tcPr>
          <w:p w14:paraId="3217C21C">
            <w:pPr>
              <w:pStyle w:val="196"/>
            </w:pPr>
            <w:r>
              <w:rPr>
                <w:rFonts w:hint="eastAsia"/>
              </w:rPr>
              <w:t>相符</w:t>
            </w:r>
          </w:p>
        </w:tc>
      </w:tr>
      <w:tr w14:paraId="31F4F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14AE755A">
            <w:pPr>
              <w:pStyle w:val="196"/>
            </w:pPr>
            <w:r>
              <w:rPr>
                <w:rFonts w:hint="eastAsia"/>
              </w:rPr>
              <w:t>9</w:t>
            </w:r>
          </w:p>
        </w:tc>
        <w:tc>
          <w:tcPr>
            <w:tcW w:w="2068" w:type="pct"/>
            <w:tcBorders>
              <w:top w:val="single" w:color="auto" w:sz="4" w:space="0"/>
              <w:left w:val="single" w:color="auto" w:sz="4" w:space="0"/>
              <w:bottom w:val="single" w:color="auto" w:sz="4" w:space="0"/>
              <w:right w:val="single" w:color="auto" w:sz="4" w:space="0"/>
            </w:tcBorders>
            <w:vAlign w:val="center"/>
          </w:tcPr>
          <w:p w14:paraId="03D8B66C">
            <w:pPr>
              <w:pStyle w:val="196"/>
            </w:pPr>
            <w:r>
              <w:rPr>
                <w:rFonts w:hint="eastAsia"/>
              </w:rPr>
              <w:t>针对码头、港区航道等存在的溢油或危险化学品泄漏等环境风险，提出了工程防控、应急资源配备、事故池、事故污水处置等风险防范措施，以及环境应急预案编制、与地方人民政府及相关部门、有关单位建立应急联动机制等要求</w:t>
            </w:r>
          </w:p>
        </w:tc>
        <w:tc>
          <w:tcPr>
            <w:tcW w:w="2027" w:type="pct"/>
            <w:tcBorders>
              <w:top w:val="single" w:color="auto" w:sz="4" w:space="0"/>
              <w:left w:val="single" w:color="auto" w:sz="4" w:space="0"/>
              <w:bottom w:val="single" w:color="auto" w:sz="4" w:space="0"/>
              <w:right w:val="single" w:color="auto" w:sz="4" w:space="0"/>
            </w:tcBorders>
            <w:vAlign w:val="center"/>
          </w:tcPr>
          <w:p w14:paraId="2BDAED9B">
            <w:pPr>
              <w:pStyle w:val="196"/>
            </w:pPr>
            <w:r>
              <w:rPr>
                <w:rFonts w:hint="eastAsia"/>
              </w:rPr>
              <w:t>本项目针对码头等存在的溢油泄漏等环境风险提出了加强风险管理、配备围油栏、吸油毡等风险防范措施，提出了环境应急预案编制、与地方相关部门、有关单位建立应急联动机制等要求。</w:t>
            </w:r>
          </w:p>
        </w:tc>
        <w:tc>
          <w:tcPr>
            <w:tcW w:w="451" w:type="pct"/>
            <w:tcBorders>
              <w:top w:val="single" w:color="auto" w:sz="4" w:space="0"/>
              <w:left w:val="single" w:color="auto" w:sz="4" w:space="0"/>
              <w:bottom w:val="single" w:color="auto" w:sz="4" w:space="0"/>
              <w:right w:val="single" w:color="auto" w:sz="4" w:space="0"/>
            </w:tcBorders>
            <w:vAlign w:val="center"/>
          </w:tcPr>
          <w:p w14:paraId="08DA18C5">
            <w:pPr>
              <w:pStyle w:val="196"/>
            </w:pPr>
            <w:r>
              <w:rPr>
                <w:rFonts w:hint="eastAsia"/>
              </w:rPr>
              <w:t>相符</w:t>
            </w:r>
          </w:p>
        </w:tc>
      </w:tr>
      <w:tr w14:paraId="4485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1F008B74">
            <w:pPr>
              <w:pStyle w:val="196"/>
            </w:pPr>
            <w:r>
              <w:rPr>
                <w:rFonts w:hint="eastAsia"/>
              </w:rPr>
              <w:t>10</w:t>
            </w:r>
          </w:p>
        </w:tc>
        <w:tc>
          <w:tcPr>
            <w:tcW w:w="2068" w:type="pct"/>
            <w:tcBorders>
              <w:top w:val="single" w:color="auto" w:sz="4" w:space="0"/>
              <w:left w:val="single" w:color="auto" w:sz="4" w:space="0"/>
              <w:bottom w:val="single" w:color="auto" w:sz="4" w:space="0"/>
              <w:right w:val="single" w:color="auto" w:sz="4" w:space="0"/>
            </w:tcBorders>
            <w:vAlign w:val="center"/>
          </w:tcPr>
          <w:p w14:paraId="72F29630">
            <w:pPr>
              <w:pStyle w:val="196"/>
            </w:pPr>
            <w:r>
              <w:rPr>
                <w:rFonts w:hint="eastAsia"/>
              </w:rPr>
              <w:t>改、扩建项目在全面梳理了与项目有关的现有工程环境问题基础上，提出了“以新带老”措施。</w:t>
            </w:r>
          </w:p>
        </w:tc>
        <w:tc>
          <w:tcPr>
            <w:tcW w:w="2027" w:type="pct"/>
            <w:tcBorders>
              <w:top w:val="single" w:color="auto" w:sz="4" w:space="0"/>
              <w:left w:val="single" w:color="auto" w:sz="4" w:space="0"/>
              <w:bottom w:val="single" w:color="auto" w:sz="4" w:space="0"/>
              <w:right w:val="single" w:color="auto" w:sz="4" w:space="0"/>
            </w:tcBorders>
            <w:vAlign w:val="center"/>
          </w:tcPr>
          <w:p w14:paraId="5F78A05A">
            <w:pPr>
              <w:pStyle w:val="196"/>
            </w:pPr>
            <w:r>
              <w:rPr>
                <w:rFonts w:hint="eastAsia"/>
              </w:rPr>
              <w:t>本项目码头属于新建项目，不涉及“以新带老”措施。</w:t>
            </w:r>
          </w:p>
        </w:tc>
        <w:tc>
          <w:tcPr>
            <w:tcW w:w="451" w:type="pct"/>
            <w:tcBorders>
              <w:top w:val="single" w:color="auto" w:sz="4" w:space="0"/>
              <w:left w:val="single" w:color="auto" w:sz="4" w:space="0"/>
              <w:bottom w:val="single" w:color="auto" w:sz="4" w:space="0"/>
              <w:right w:val="single" w:color="auto" w:sz="4" w:space="0"/>
            </w:tcBorders>
            <w:vAlign w:val="center"/>
          </w:tcPr>
          <w:p w14:paraId="31AC92B5">
            <w:pPr>
              <w:pStyle w:val="196"/>
            </w:pPr>
            <w:r>
              <w:rPr>
                <w:rFonts w:hint="eastAsia"/>
              </w:rPr>
              <w:t>相符</w:t>
            </w:r>
          </w:p>
        </w:tc>
      </w:tr>
      <w:tr w14:paraId="2DA13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3E634A54">
            <w:pPr>
              <w:pStyle w:val="196"/>
            </w:pPr>
            <w:r>
              <w:rPr>
                <w:rFonts w:hint="eastAsia"/>
              </w:rPr>
              <w:t>11</w:t>
            </w:r>
          </w:p>
        </w:tc>
        <w:tc>
          <w:tcPr>
            <w:tcW w:w="2068" w:type="pct"/>
            <w:tcBorders>
              <w:top w:val="single" w:color="auto" w:sz="4" w:space="0"/>
              <w:left w:val="single" w:color="auto" w:sz="4" w:space="0"/>
              <w:bottom w:val="single" w:color="auto" w:sz="4" w:space="0"/>
              <w:right w:val="single" w:color="auto" w:sz="4" w:space="0"/>
            </w:tcBorders>
            <w:vAlign w:val="center"/>
          </w:tcPr>
          <w:p w14:paraId="02276085">
            <w:pPr>
              <w:pStyle w:val="196"/>
            </w:pPr>
            <w:r>
              <w:rPr>
                <w:rFonts w:hint="eastAsia"/>
              </w:rPr>
              <w:t>按相关导则及规定要求，制定了水生生态、水环境、大气环境、噪声等环境监测计划，明确了监测网点、因子、频次等有关要求，提出了开展环境影响后评价、根据监测评估结果优化环境保护措施的要求。根据需要和相关规定，提出了环境保护设计、开展相关科学研究、环境管理等要求。</w:t>
            </w:r>
          </w:p>
        </w:tc>
        <w:tc>
          <w:tcPr>
            <w:tcW w:w="2027" w:type="pct"/>
            <w:tcBorders>
              <w:top w:val="single" w:color="auto" w:sz="4" w:space="0"/>
              <w:left w:val="single" w:color="auto" w:sz="4" w:space="0"/>
              <w:bottom w:val="single" w:color="auto" w:sz="4" w:space="0"/>
              <w:right w:val="single" w:color="auto" w:sz="4" w:space="0"/>
            </w:tcBorders>
            <w:vAlign w:val="center"/>
          </w:tcPr>
          <w:p w14:paraId="3BAE864A">
            <w:pPr>
              <w:pStyle w:val="196"/>
            </w:pPr>
            <w:r>
              <w:rPr>
                <w:rFonts w:hint="eastAsia"/>
              </w:rPr>
              <w:t>本项目提出了全过程的环境管理计划；按照相应环境要素导则要求，制定了水环境、大气环境、噪声等环境监测计划。提出了项目建设、运行过程中产生不符合经审批的环境影响评价文件的情形时，需开展环境影响后评价、根据监测评估结果优化环境保护措施的要求。</w:t>
            </w:r>
          </w:p>
        </w:tc>
        <w:tc>
          <w:tcPr>
            <w:tcW w:w="451" w:type="pct"/>
            <w:tcBorders>
              <w:top w:val="single" w:color="auto" w:sz="4" w:space="0"/>
              <w:left w:val="single" w:color="auto" w:sz="4" w:space="0"/>
              <w:bottom w:val="single" w:color="auto" w:sz="4" w:space="0"/>
              <w:right w:val="single" w:color="auto" w:sz="4" w:space="0"/>
            </w:tcBorders>
            <w:vAlign w:val="center"/>
          </w:tcPr>
          <w:p w14:paraId="316292A9">
            <w:pPr>
              <w:pStyle w:val="196"/>
            </w:pPr>
            <w:r>
              <w:rPr>
                <w:rFonts w:hint="eastAsia"/>
              </w:rPr>
              <w:t>相符</w:t>
            </w:r>
          </w:p>
        </w:tc>
      </w:tr>
      <w:tr w14:paraId="6C1D5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1DA2A108">
            <w:pPr>
              <w:pStyle w:val="196"/>
            </w:pPr>
            <w:r>
              <w:rPr>
                <w:rFonts w:hint="eastAsia"/>
              </w:rPr>
              <w:t>12</w:t>
            </w:r>
          </w:p>
        </w:tc>
        <w:tc>
          <w:tcPr>
            <w:tcW w:w="2068" w:type="pct"/>
            <w:tcBorders>
              <w:top w:val="single" w:color="auto" w:sz="4" w:space="0"/>
              <w:left w:val="single" w:color="auto" w:sz="4" w:space="0"/>
              <w:bottom w:val="single" w:color="auto" w:sz="4" w:space="0"/>
              <w:right w:val="single" w:color="auto" w:sz="4" w:space="0"/>
            </w:tcBorders>
            <w:vAlign w:val="center"/>
          </w:tcPr>
          <w:p w14:paraId="03086901">
            <w:pPr>
              <w:pStyle w:val="196"/>
              <w:rPr>
                <w:kern w:val="0"/>
              </w:rPr>
            </w:pPr>
            <w:r>
              <w:rPr>
                <w:rFonts w:hint="eastAsia"/>
              </w:rPr>
              <w:t>对环境保护措施进行了深入论证，建设单位主体责任、投资估算、时间节点、预期效果明确，确保科学有效、安全可行、绿色协调。</w:t>
            </w:r>
          </w:p>
        </w:tc>
        <w:tc>
          <w:tcPr>
            <w:tcW w:w="2027" w:type="pct"/>
            <w:tcBorders>
              <w:top w:val="single" w:color="auto" w:sz="4" w:space="0"/>
              <w:left w:val="single" w:color="auto" w:sz="4" w:space="0"/>
              <w:bottom w:val="single" w:color="auto" w:sz="4" w:space="0"/>
              <w:right w:val="single" w:color="auto" w:sz="4" w:space="0"/>
            </w:tcBorders>
            <w:vAlign w:val="center"/>
          </w:tcPr>
          <w:p w14:paraId="74B10E92">
            <w:pPr>
              <w:pStyle w:val="196"/>
            </w:pPr>
            <w:r>
              <w:rPr>
                <w:rFonts w:hint="eastAsia"/>
              </w:rPr>
              <w:t>报告对拟采取的各项环境保护措施进行了深入论证，明确了建设单位主体责任，对环保设施的投资估算、投产时间、拟达到处理效果等提出了相应要求，可有效指导项目的全过程环境保护。</w:t>
            </w:r>
          </w:p>
        </w:tc>
        <w:tc>
          <w:tcPr>
            <w:tcW w:w="451" w:type="pct"/>
            <w:tcBorders>
              <w:top w:val="single" w:color="auto" w:sz="4" w:space="0"/>
              <w:left w:val="single" w:color="auto" w:sz="4" w:space="0"/>
              <w:bottom w:val="single" w:color="auto" w:sz="4" w:space="0"/>
              <w:right w:val="single" w:color="auto" w:sz="4" w:space="0"/>
            </w:tcBorders>
            <w:vAlign w:val="center"/>
          </w:tcPr>
          <w:p w14:paraId="4788F49F">
            <w:pPr>
              <w:pStyle w:val="196"/>
            </w:pPr>
            <w:r>
              <w:rPr>
                <w:rFonts w:hint="eastAsia"/>
              </w:rPr>
              <w:t>相符</w:t>
            </w:r>
          </w:p>
        </w:tc>
      </w:tr>
      <w:tr w14:paraId="1A16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tcBorders>
              <w:top w:val="single" w:color="auto" w:sz="4" w:space="0"/>
              <w:left w:val="single" w:color="auto" w:sz="4" w:space="0"/>
              <w:bottom w:val="single" w:color="auto" w:sz="4" w:space="0"/>
              <w:right w:val="single" w:color="auto" w:sz="4" w:space="0"/>
            </w:tcBorders>
            <w:vAlign w:val="center"/>
          </w:tcPr>
          <w:p w14:paraId="3BFE508C">
            <w:pPr>
              <w:pStyle w:val="196"/>
            </w:pPr>
            <w:r>
              <w:rPr>
                <w:rFonts w:hint="eastAsia"/>
              </w:rPr>
              <w:t>13</w:t>
            </w:r>
          </w:p>
        </w:tc>
        <w:tc>
          <w:tcPr>
            <w:tcW w:w="2068" w:type="pct"/>
            <w:tcBorders>
              <w:top w:val="single" w:color="auto" w:sz="4" w:space="0"/>
              <w:left w:val="single" w:color="auto" w:sz="4" w:space="0"/>
              <w:bottom w:val="single" w:color="auto" w:sz="4" w:space="0"/>
              <w:right w:val="single" w:color="auto" w:sz="4" w:space="0"/>
            </w:tcBorders>
            <w:vAlign w:val="center"/>
          </w:tcPr>
          <w:p w14:paraId="2664EF31">
            <w:pPr>
              <w:pStyle w:val="196"/>
              <w:rPr>
                <w:kern w:val="0"/>
              </w:rPr>
            </w:pPr>
            <w:r>
              <w:rPr>
                <w:rFonts w:hint="eastAsia"/>
              </w:rPr>
              <w:t>按相关规定开展了信息公开和公众参与</w:t>
            </w:r>
          </w:p>
        </w:tc>
        <w:tc>
          <w:tcPr>
            <w:tcW w:w="2027" w:type="pct"/>
            <w:tcBorders>
              <w:top w:val="single" w:color="auto" w:sz="4" w:space="0"/>
              <w:left w:val="single" w:color="auto" w:sz="4" w:space="0"/>
              <w:bottom w:val="single" w:color="auto" w:sz="4" w:space="0"/>
              <w:right w:val="single" w:color="auto" w:sz="4" w:space="0"/>
            </w:tcBorders>
            <w:vAlign w:val="center"/>
          </w:tcPr>
          <w:p w14:paraId="0938E699">
            <w:pPr>
              <w:pStyle w:val="196"/>
            </w:pPr>
            <w:r>
              <w:rPr>
                <w:rFonts w:hint="eastAsia"/>
              </w:rPr>
              <w:t>本项目将按照《环境影响评价公众参与办法》进行了网络公示、登报公示、现场张贴公告等多种公众参与方式。</w:t>
            </w:r>
          </w:p>
        </w:tc>
        <w:tc>
          <w:tcPr>
            <w:tcW w:w="451" w:type="pct"/>
            <w:tcBorders>
              <w:top w:val="single" w:color="auto" w:sz="4" w:space="0"/>
              <w:left w:val="single" w:color="auto" w:sz="4" w:space="0"/>
              <w:bottom w:val="single" w:color="auto" w:sz="4" w:space="0"/>
              <w:right w:val="single" w:color="auto" w:sz="4" w:space="0"/>
            </w:tcBorders>
            <w:vAlign w:val="center"/>
          </w:tcPr>
          <w:p w14:paraId="66F32D1C">
            <w:pPr>
              <w:pStyle w:val="196"/>
            </w:pPr>
            <w:r>
              <w:rPr>
                <w:rFonts w:hint="eastAsia"/>
              </w:rPr>
              <w:t>相符</w:t>
            </w:r>
          </w:p>
        </w:tc>
      </w:tr>
    </w:tbl>
    <w:p w14:paraId="688CD17E">
      <w:pPr>
        <w:adjustRightInd w:val="0"/>
        <w:snapToGrid w:val="0"/>
        <w:ind w:firstLine="482"/>
        <w:rPr>
          <w:rFonts w:eastAsia="宋体" w:cs="Times New Roman"/>
          <w:b/>
          <w:kern w:val="0"/>
          <w:szCs w:val="24"/>
        </w:rPr>
      </w:pPr>
      <w:r>
        <w:rPr>
          <w:rFonts w:hint="eastAsia"/>
          <w:b/>
          <w:kern w:val="0"/>
          <w:szCs w:val="24"/>
        </w:rPr>
        <w:t xml:space="preserve"> </w:t>
      </w:r>
    </w:p>
    <w:p w14:paraId="7D4DB99E">
      <w:pPr>
        <w:pStyle w:val="84"/>
      </w:pPr>
      <w:r>
        <w:rPr>
          <w:rFonts w:hint="eastAsia"/>
        </w:rPr>
        <w:t>与《中华人民共和国长江保护法》相符性分析</w:t>
      </w:r>
    </w:p>
    <w:p w14:paraId="29D6E35A">
      <w:pPr>
        <w:autoSpaceDE w:val="0"/>
        <w:autoSpaceDN w:val="0"/>
        <w:adjustRightInd w:val="0"/>
        <w:snapToGrid w:val="0"/>
        <w:ind w:firstLine="480"/>
        <w:rPr>
          <w:kern w:val="0"/>
          <w:szCs w:val="24"/>
        </w:rPr>
      </w:pPr>
      <w:r>
        <w:rPr>
          <w:rFonts w:hint="eastAsia" w:ascii="宋体" w:hAnsi="宋体"/>
          <w:kern w:val="0"/>
          <w:szCs w:val="24"/>
        </w:rPr>
        <w:t>对照《中华人民共和国长江保护法》，本项目符合要求，详见表</w:t>
      </w:r>
      <w:r>
        <w:rPr>
          <w:rFonts w:hint="eastAsia"/>
          <w:kern w:val="0"/>
          <w:szCs w:val="24"/>
        </w:rPr>
        <w:t>1.5-14</w:t>
      </w:r>
      <w:r>
        <w:rPr>
          <w:rFonts w:hint="eastAsia" w:ascii="宋体" w:hAnsi="宋体"/>
          <w:kern w:val="0"/>
          <w:szCs w:val="24"/>
        </w:rPr>
        <w:t>。</w:t>
      </w:r>
    </w:p>
    <w:p w14:paraId="33DCBE66">
      <w:pPr>
        <w:pStyle w:val="86"/>
      </w:pPr>
      <w:r>
        <w:rPr>
          <w:rFonts w:hint="eastAsia"/>
        </w:rPr>
        <w:t>与《中华人民共和国长江保护法》相符性分析</w:t>
      </w:r>
    </w:p>
    <w:tbl>
      <w:tblPr>
        <w:tblStyle w:val="3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3788"/>
        <w:gridCol w:w="3623"/>
        <w:gridCol w:w="1128"/>
      </w:tblGrid>
      <w:tr w14:paraId="6324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9" w:type="pct"/>
            <w:tcBorders>
              <w:top w:val="single" w:color="auto" w:sz="4" w:space="0"/>
              <w:left w:val="single" w:color="auto" w:sz="4" w:space="0"/>
              <w:bottom w:val="single" w:color="auto" w:sz="4" w:space="0"/>
              <w:right w:val="single" w:color="auto" w:sz="4" w:space="0"/>
            </w:tcBorders>
            <w:vAlign w:val="center"/>
          </w:tcPr>
          <w:p w14:paraId="36812C91">
            <w:pPr>
              <w:pStyle w:val="196"/>
              <w:rPr>
                <w:b/>
                <w:bCs/>
                <w:sz w:val="18"/>
                <w:szCs w:val="18"/>
              </w:rPr>
            </w:pPr>
            <w:r>
              <w:rPr>
                <w:rFonts w:hint="eastAsia"/>
                <w:b/>
                <w:bCs/>
              </w:rPr>
              <w:t>项目</w:t>
            </w:r>
          </w:p>
        </w:tc>
        <w:tc>
          <w:tcPr>
            <w:tcW w:w="2041" w:type="pct"/>
            <w:tcBorders>
              <w:top w:val="single" w:color="auto" w:sz="4" w:space="0"/>
              <w:left w:val="single" w:color="auto" w:sz="4" w:space="0"/>
              <w:bottom w:val="single" w:color="auto" w:sz="4" w:space="0"/>
              <w:right w:val="single" w:color="auto" w:sz="4" w:space="0"/>
            </w:tcBorders>
            <w:vAlign w:val="center"/>
          </w:tcPr>
          <w:p w14:paraId="14978487">
            <w:pPr>
              <w:pStyle w:val="196"/>
              <w:rPr>
                <w:b/>
                <w:bCs/>
              </w:rPr>
            </w:pPr>
            <w:r>
              <w:rPr>
                <w:rFonts w:hint="eastAsia"/>
                <w:b/>
                <w:bCs/>
              </w:rPr>
              <w:t>文件相关内容</w:t>
            </w:r>
          </w:p>
        </w:tc>
        <w:tc>
          <w:tcPr>
            <w:tcW w:w="1952" w:type="pct"/>
            <w:tcBorders>
              <w:top w:val="single" w:color="auto" w:sz="4" w:space="0"/>
              <w:left w:val="single" w:color="auto" w:sz="4" w:space="0"/>
              <w:bottom w:val="single" w:color="auto" w:sz="4" w:space="0"/>
              <w:right w:val="single" w:color="auto" w:sz="4" w:space="0"/>
            </w:tcBorders>
            <w:vAlign w:val="center"/>
          </w:tcPr>
          <w:p w14:paraId="13C3FE52">
            <w:pPr>
              <w:pStyle w:val="196"/>
              <w:rPr>
                <w:b/>
                <w:bCs/>
              </w:rPr>
            </w:pPr>
            <w:r>
              <w:rPr>
                <w:rFonts w:hint="eastAsia"/>
                <w:b/>
                <w:bCs/>
                <w:szCs w:val="21"/>
              </w:rPr>
              <w:t>相符性分析</w:t>
            </w:r>
          </w:p>
        </w:tc>
        <w:tc>
          <w:tcPr>
            <w:tcW w:w="608" w:type="pct"/>
            <w:tcBorders>
              <w:top w:val="single" w:color="auto" w:sz="4" w:space="0"/>
              <w:left w:val="single" w:color="auto" w:sz="4" w:space="0"/>
              <w:bottom w:val="single" w:color="auto" w:sz="4" w:space="0"/>
              <w:right w:val="single" w:color="auto" w:sz="4" w:space="0"/>
            </w:tcBorders>
            <w:vAlign w:val="center"/>
          </w:tcPr>
          <w:p w14:paraId="61004A02">
            <w:pPr>
              <w:pStyle w:val="196"/>
              <w:rPr>
                <w:b/>
                <w:bCs/>
              </w:rPr>
            </w:pPr>
            <w:r>
              <w:rPr>
                <w:rFonts w:hint="eastAsia"/>
                <w:b/>
                <w:bCs/>
              </w:rPr>
              <w:t>是否相符</w:t>
            </w:r>
          </w:p>
        </w:tc>
      </w:tr>
      <w:tr w14:paraId="1FAD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792FCB6C">
            <w:pPr>
              <w:pStyle w:val="196"/>
            </w:pPr>
            <w:r>
              <w:rPr>
                <w:rFonts w:hint="eastAsia"/>
              </w:rPr>
              <w:t>规划与管控</w:t>
            </w:r>
          </w:p>
        </w:tc>
        <w:tc>
          <w:tcPr>
            <w:tcW w:w="2041" w:type="pct"/>
            <w:tcBorders>
              <w:top w:val="single" w:color="auto" w:sz="4" w:space="0"/>
              <w:left w:val="single" w:color="auto" w:sz="4" w:space="0"/>
              <w:bottom w:val="single" w:color="auto" w:sz="4" w:space="0"/>
              <w:right w:val="single" w:color="auto" w:sz="4" w:space="0"/>
            </w:tcBorders>
            <w:vAlign w:val="center"/>
          </w:tcPr>
          <w:p w14:paraId="399BDE2E">
            <w:pPr>
              <w:pStyle w:val="196"/>
            </w:pPr>
            <w:r>
              <w:rPr>
                <w:rFonts w:hint="eastAsia"/>
              </w:rPr>
              <w:t>第二十一条“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w:t>
            </w:r>
          </w:p>
        </w:tc>
        <w:tc>
          <w:tcPr>
            <w:tcW w:w="1952" w:type="pct"/>
            <w:tcBorders>
              <w:top w:val="single" w:color="auto" w:sz="4" w:space="0"/>
              <w:left w:val="single" w:color="auto" w:sz="4" w:space="0"/>
              <w:bottom w:val="single" w:color="auto" w:sz="4" w:space="0"/>
              <w:right w:val="single" w:color="auto" w:sz="4" w:space="0"/>
            </w:tcBorders>
            <w:vAlign w:val="center"/>
          </w:tcPr>
          <w:p w14:paraId="2BA74C93">
            <w:pPr>
              <w:pStyle w:val="196"/>
            </w:pPr>
            <w:r>
              <w:rPr>
                <w:rFonts w:hint="eastAsia"/>
                <w:lang w:val="en-US"/>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初期雨水经过滤处理</w:t>
            </w:r>
            <w:r>
              <w:rPr>
                <w:rFonts w:hint="eastAsia"/>
                <w:lang w:val="en-US" w:eastAsia="zh-CN"/>
              </w:rPr>
              <w:t>达到</w:t>
            </w:r>
            <w:r>
              <w:rPr>
                <w:rFonts w:hint="eastAsia"/>
                <w:lang w:val="en-US"/>
              </w:rPr>
              <w:t>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r>
              <w:rPr>
                <w:rFonts w:hint="eastAsia"/>
              </w:rPr>
              <w:t>。</w:t>
            </w:r>
          </w:p>
        </w:tc>
        <w:tc>
          <w:tcPr>
            <w:tcW w:w="608" w:type="pct"/>
            <w:tcBorders>
              <w:top w:val="single" w:color="auto" w:sz="4" w:space="0"/>
              <w:left w:val="single" w:color="auto" w:sz="4" w:space="0"/>
              <w:bottom w:val="single" w:color="auto" w:sz="4" w:space="0"/>
              <w:right w:val="single" w:color="auto" w:sz="4" w:space="0"/>
            </w:tcBorders>
            <w:vAlign w:val="center"/>
          </w:tcPr>
          <w:p w14:paraId="4C317047">
            <w:pPr>
              <w:pStyle w:val="196"/>
            </w:pPr>
            <w:r>
              <w:rPr>
                <w:rFonts w:hint="eastAsia"/>
              </w:rPr>
              <w:t>相符</w:t>
            </w:r>
          </w:p>
        </w:tc>
      </w:tr>
      <w:tr w14:paraId="1E9A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op w:val="single" w:color="auto" w:sz="4" w:space="0"/>
              <w:left w:val="single" w:color="auto" w:sz="4" w:space="0"/>
              <w:bottom w:val="single" w:color="auto" w:sz="4" w:space="0"/>
              <w:right w:val="single" w:color="auto" w:sz="4" w:space="0"/>
            </w:tcBorders>
            <w:vAlign w:val="center"/>
          </w:tcPr>
          <w:p w14:paraId="53D31978">
            <w:pPr>
              <w:pStyle w:val="196"/>
            </w:pPr>
            <w:r>
              <w:rPr>
                <w:rFonts w:hint="eastAsia"/>
              </w:rPr>
              <w:t>资源保护</w:t>
            </w:r>
          </w:p>
        </w:tc>
        <w:tc>
          <w:tcPr>
            <w:tcW w:w="2041" w:type="pct"/>
            <w:tcBorders>
              <w:top w:val="single" w:color="auto" w:sz="4" w:space="0"/>
              <w:left w:val="single" w:color="auto" w:sz="4" w:space="0"/>
              <w:bottom w:val="single" w:color="auto" w:sz="4" w:space="0"/>
              <w:right w:val="single" w:color="auto" w:sz="4" w:space="0"/>
            </w:tcBorders>
            <w:vAlign w:val="center"/>
          </w:tcPr>
          <w:p w14:paraId="6484EABB">
            <w:pPr>
              <w:pStyle w:val="196"/>
            </w:pPr>
            <w:r>
              <w:rPr>
                <w:rFonts w:hint="eastAsia"/>
              </w:rPr>
              <w:t>第三十八条“国务院水行政主管部门会同国务院有关部门确定长江流域农业、工业用水效率目标，加强用水计量和监测设施建设；完善规划和建设项目水资源论证制度；加强对高耗水行业、重点用水单位的用水定额管理，严格控制高耗水项目建设。”</w:t>
            </w:r>
          </w:p>
        </w:tc>
        <w:tc>
          <w:tcPr>
            <w:tcW w:w="1952" w:type="pct"/>
            <w:tcBorders>
              <w:top w:val="single" w:color="auto" w:sz="4" w:space="0"/>
              <w:left w:val="single" w:color="auto" w:sz="4" w:space="0"/>
              <w:bottom w:val="single" w:color="auto" w:sz="4" w:space="0"/>
              <w:right w:val="single" w:color="auto" w:sz="4" w:space="0"/>
            </w:tcBorders>
            <w:vAlign w:val="center"/>
          </w:tcPr>
          <w:p w14:paraId="5A2DF57A">
            <w:pPr>
              <w:pStyle w:val="196"/>
            </w:pPr>
            <w:r>
              <w:rPr>
                <w:rFonts w:hint="eastAsia"/>
              </w:rPr>
              <w:t>本项目不属于高耗水项目，加强水资源利用。</w:t>
            </w:r>
          </w:p>
        </w:tc>
        <w:tc>
          <w:tcPr>
            <w:tcW w:w="608" w:type="pct"/>
            <w:tcBorders>
              <w:top w:val="single" w:color="auto" w:sz="4" w:space="0"/>
              <w:left w:val="single" w:color="auto" w:sz="4" w:space="0"/>
              <w:bottom w:val="single" w:color="auto" w:sz="4" w:space="0"/>
              <w:right w:val="single" w:color="auto" w:sz="4" w:space="0"/>
            </w:tcBorders>
            <w:vAlign w:val="center"/>
          </w:tcPr>
          <w:p w14:paraId="302F3897">
            <w:pPr>
              <w:pStyle w:val="196"/>
            </w:pPr>
            <w:r>
              <w:rPr>
                <w:rFonts w:hint="eastAsia"/>
              </w:rPr>
              <w:t>相符</w:t>
            </w:r>
          </w:p>
        </w:tc>
      </w:tr>
      <w:tr w14:paraId="1E7A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restart"/>
            <w:tcBorders>
              <w:top w:val="nil"/>
              <w:left w:val="single" w:color="auto" w:sz="4" w:space="0"/>
              <w:bottom w:val="single" w:color="auto" w:sz="4" w:space="0"/>
              <w:right w:val="single" w:color="auto" w:sz="4" w:space="0"/>
            </w:tcBorders>
            <w:vAlign w:val="center"/>
          </w:tcPr>
          <w:p w14:paraId="330DB9CC">
            <w:pPr>
              <w:pStyle w:val="196"/>
            </w:pPr>
            <w:r>
              <w:rPr>
                <w:rFonts w:hint="eastAsia"/>
              </w:rPr>
              <w:t>水污染防治</w:t>
            </w:r>
          </w:p>
        </w:tc>
        <w:tc>
          <w:tcPr>
            <w:tcW w:w="2041" w:type="pct"/>
            <w:tcBorders>
              <w:top w:val="single" w:color="auto" w:sz="4" w:space="0"/>
              <w:left w:val="single" w:color="auto" w:sz="4" w:space="0"/>
              <w:bottom w:val="single" w:color="auto" w:sz="4" w:space="0"/>
              <w:right w:val="single" w:color="auto" w:sz="4" w:space="0"/>
            </w:tcBorders>
            <w:vAlign w:val="center"/>
          </w:tcPr>
          <w:p w14:paraId="309D8D65">
            <w:pPr>
              <w:pStyle w:val="196"/>
            </w:pPr>
            <w:r>
              <w:rPr>
                <w:rFonts w:hint="eastAsia"/>
              </w:rPr>
              <w:t>第五十条“长江流域县级以上地方人民政府应当组织对沿河湖垃圾填埋场、加油站、矿山、尾矿库、危险废物处置场、化工园区和化工项目等地下水重点污染源及周边地下水环境风险隐患开展调查评估，并采取相应风险防范和整治措施。”</w:t>
            </w:r>
          </w:p>
        </w:tc>
        <w:tc>
          <w:tcPr>
            <w:tcW w:w="1952" w:type="pct"/>
            <w:tcBorders>
              <w:top w:val="single" w:color="auto" w:sz="4" w:space="0"/>
              <w:left w:val="single" w:color="auto" w:sz="4" w:space="0"/>
              <w:bottom w:val="single" w:color="auto" w:sz="4" w:space="0"/>
              <w:right w:val="single" w:color="auto" w:sz="4" w:space="0"/>
            </w:tcBorders>
            <w:vAlign w:val="center"/>
          </w:tcPr>
          <w:p w14:paraId="27461DB4">
            <w:pPr>
              <w:pStyle w:val="196"/>
            </w:pPr>
            <w:r>
              <w:rPr>
                <w:rFonts w:hint="eastAsia"/>
              </w:rPr>
              <w:t>本项目不属于垃圾填埋场、加油站、矿山、尾矿库、危险废物处置场、化工园区和化工项目。</w:t>
            </w:r>
          </w:p>
        </w:tc>
        <w:tc>
          <w:tcPr>
            <w:tcW w:w="608" w:type="pct"/>
            <w:tcBorders>
              <w:top w:val="single" w:color="auto" w:sz="4" w:space="0"/>
              <w:left w:val="single" w:color="auto" w:sz="4" w:space="0"/>
              <w:bottom w:val="single" w:color="auto" w:sz="4" w:space="0"/>
              <w:right w:val="single" w:color="auto" w:sz="4" w:space="0"/>
            </w:tcBorders>
            <w:vAlign w:val="center"/>
          </w:tcPr>
          <w:p w14:paraId="47EE5D34">
            <w:pPr>
              <w:pStyle w:val="196"/>
            </w:pPr>
            <w:r>
              <w:rPr>
                <w:rFonts w:hint="eastAsia"/>
              </w:rPr>
              <w:t>相符</w:t>
            </w:r>
          </w:p>
        </w:tc>
      </w:tr>
      <w:tr w14:paraId="0BBE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5AAAE6C6">
            <w:pPr>
              <w:pStyle w:val="196"/>
              <w:rPr>
                <w:szCs w:val="21"/>
              </w:rPr>
            </w:pPr>
          </w:p>
        </w:tc>
        <w:tc>
          <w:tcPr>
            <w:tcW w:w="2041" w:type="pct"/>
            <w:tcBorders>
              <w:top w:val="single" w:color="auto" w:sz="4" w:space="0"/>
              <w:left w:val="single" w:color="auto" w:sz="4" w:space="0"/>
              <w:bottom w:val="single" w:color="auto" w:sz="4" w:space="0"/>
              <w:right w:val="single" w:color="auto" w:sz="4" w:space="0"/>
            </w:tcBorders>
            <w:vAlign w:val="center"/>
          </w:tcPr>
          <w:p w14:paraId="69643363">
            <w:pPr>
              <w:pStyle w:val="196"/>
            </w:pPr>
            <w:r>
              <w:rPr>
                <w:rFonts w:hint="eastAsia"/>
              </w:rPr>
              <w:t>第四十九条　禁止在长江流域河湖管理范围内倾倒、填埋、堆放、弃置、处理固体废物。长江流域县级以上地方人民政府应当加强对固体废物非法转移和倾倒的联防联控</w:t>
            </w:r>
          </w:p>
        </w:tc>
        <w:tc>
          <w:tcPr>
            <w:tcW w:w="1952" w:type="pct"/>
            <w:tcBorders>
              <w:top w:val="single" w:color="auto" w:sz="4" w:space="0"/>
              <w:left w:val="single" w:color="auto" w:sz="4" w:space="0"/>
              <w:bottom w:val="single" w:color="auto" w:sz="4" w:space="0"/>
              <w:right w:val="single" w:color="auto" w:sz="4" w:space="0"/>
            </w:tcBorders>
            <w:vAlign w:val="center"/>
          </w:tcPr>
          <w:p w14:paraId="441447AA">
            <w:pPr>
              <w:pStyle w:val="196"/>
            </w:pPr>
            <w:r>
              <w:rPr>
                <w:rFonts w:hint="eastAsia"/>
              </w:rPr>
              <w:t>项目危废暂存于</w:t>
            </w:r>
            <w:r>
              <w:rPr>
                <w:rFonts w:hint="eastAsia"/>
                <w:lang w:eastAsia="zh-CN"/>
              </w:rPr>
              <w:t>后房</w:t>
            </w:r>
            <w:r>
              <w:rPr>
                <w:rFonts w:hint="eastAsia"/>
              </w:rPr>
              <w:t>热电厂区危废仓库后定期交由有资质的单位处置，生活垃圾等采取环卫清运，均得到合理处置。</w:t>
            </w:r>
          </w:p>
        </w:tc>
        <w:tc>
          <w:tcPr>
            <w:tcW w:w="608" w:type="pct"/>
            <w:tcBorders>
              <w:top w:val="single" w:color="auto" w:sz="4" w:space="0"/>
              <w:left w:val="single" w:color="auto" w:sz="4" w:space="0"/>
              <w:bottom w:val="single" w:color="auto" w:sz="4" w:space="0"/>
              <w:right w:val="single" w:color="auto" w:sz="4" w:space="0"/>
            </w:tcBorders>
            <w:vAlign w:val="center"/>
          </w:tcPr>
          <w:p w14:paraId="590E1169">
            <w:pPr>
              <w:pStyle w:val="196"/>
            </w:pPr>
            <w:r>
              <w:rPr>
                <w:rFonts w:hint="eastAsia"/>
              </w:rPr>
              <w:t>相符</w:t>
            </w:r>
          </w:p>
        </w:tc>
      </w:tr>
    </w:tbl>
    <w:p w14:paraId="2F3FBB3F">
      <w:pPr>
        <w:pStyle w:val="84"/>
      </w:pPr>
      <w:r>
        <w:rPr>
          <w:rFonts w:hint="eastAsia"/>
        </w:rPr>
        <w:t>《“十四五”生态保护监管规划》（环生态〔2022〕15号）</w:t>
      </w:r>
    </w:p>
    <w:p w14:paraId="3AFF38E7">
      <w:pPr>
        <w:pStyle w:val="93"/>
      </w:pPr>
      <w:r>
        <w:rPr>
          <w:rFonts w:hint="eastAsia"/>
        </w:rPr>
        <w:t>根据《“十四五”生态保护监管规划》：结合“绿盾”自然保护地强化监督专项行动，重点加强采矿采砂、工矿企业、核心区缓冲区旅游设施和水电设施四类重点问题，以及长江经济带国家级自然保护区设立后发生的采矿（石）、采砂、非法建设码头、开办工矿企业、挤占河（湖）岸、侵占湿地，以及核心区缓冲区内旅游开发和水电开发等八类重点问题监测。</w:t>
      </w:r>
    </w:p>
    <w:p w14:paraId="6C36C7AA">
      <w:pPr>
        <w:pStyle w:val="93"/>
      </w:pPr>
      <w:r>
        <w:rPr>
          <w:rFonts w:hint="eastAsia"/>
        </w:rPr>
        <w:t>本项目不在生态保护红线和自然保护地内，对照该规划附表，项目不在生态保护监管重点区域。</w:t>
      </w:r>
    </w:p>
    <w:p w14:paraId="0C96A51E">
      <w:pPr>
        <w:pStyle w:val="84"/>
      </w:pPr>
      <w:r>
        <w:rPr>
          <w:rFonts w:hint="eastAsia"/>
          <w:bCs/>
        </w:rPr>
        <w:t>与《关于建立健全长江经济带船舶和港口污染防治长效机制的意见》（交水发〔2021〕27号）的相符性</w:t>
      </w:r>
    </w:p>
    <w:p w14:paraId="0A493A28">
      <w:pPr>
        <w:pStyle w:val="86"/>
      </w:pPr>
      <w:r>
        <w:rPr>
          <w:rFonts w:hint="eastAsia"/>
        </w:rPr>
        <w:t>与“交水发〔2021〕27号”文的相符性</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45"/>
        <w:gridCol w:w="3395"/>
        <w:gridCol w:w="3285"/>
        <w:gridCol w:w="1497"/>
      </w:tblGrid>
      <w:tr w14:paraId="7DBB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tblHeader/>
          <w:jc w:val="center"/>
        </w:trPr>
        <w:tc>
          <w:tcPr>
            <w:tcW w:w="518" w:type="pct"/>
            <w:vAlign w:val="center"/>
          </w:tcPr>
          <w:p w14:paraId="3648C43C">
            <w:pPr>
              <w:pStyle w:val="196"/>
              <w:rPr>
                <w:b/>
                <w:bCs/>
              </w:rPr>
            </w:pPr>
            <w:r>
              <w:rPr>
                <w:rFonts w:hint="eastAsia"/>
                <w:b/>
                <w:bCs/>
              </w:rPr>
              <w:t>条款</w:t>
            </w:r>
          </w:p>
        </w:tc>
        <w:tc>
          <w:tcPr>
            <w:tcW w:w="1860" w:type="pct"/>
            <w:vAlign w:val="center"/>
          </w:tcPr>
          <w:p w14:paraId="209CF203">
            <w:pPr>
              <w:pStyle w:val="196"/>
              <w:rPr>
                <w:b/>
                <w:bCs/>
              </w:rPr>
            </w:pPr>
            <w:r>
              <w:rPr>
                <w:rFonts w:hint="eastAsia"/>
                <w:b/>
                <w:bCs/>
              </w:rPr>
              <w:t>文件要求</w:t>
            </w:r>
          </w:p>
        </w:tc>
        <w:tc>
          <w:tcPr>
            <w:tcW w:w="1800" w:type="pct"/>
            <w:vAlign w:val="center"/>
          </w:tcPr>
          <w:p w14:paraId="3FFD2A1E">
            <w:pPr>
              <w:pStyle w:val="196"/>
              <w:rPr>
                <w:b/>
                <w:bCs/>
              </w:rPr>
            </w:pPr>
            <w:r>
              <w:rPr>
                <w:rFonts w:hint="eastAsia"/>
                <w:b/>
                <w:bCs/>
              </w:rPr>
              <w:t>本项目情况</w:t>
            </w:r>
          </w:p>
        </w:tc>
        <w:tc>
          <w:tcPr>
            <w:tcW w:w="820" w:type="pct"/>
            <w:vAlign w:val="center"/>
          </w:tcPr>
          <w:p w14:paraId="6E45903F">
            <w:pPr>
              <w:pStyle w:val="196"/>
              <w:rPr>
                <w:b/>
                <w:bCs/>
              </w:rPr>
            </w:pPr>
            <w:r>
              <w:rPr>
                <w:rFonts w:hint="eastAsia"/>
                <w:b/>
                <w:bCs/>
              </w:rPr>
              <w:t>相符性分析</w:t>
            </w:r>
          </w:p>
        </w:tc>
      </w:tr>
      <w:tr w14:paraId="3FC45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8" w:type="pct"/>
            <w:vAlign w:val="center"/>
          </w:tcPr>
          <w:p w14:paraId="2339ABBA">
            <w:pPr>
              <w:pStyle w:val="196"/>
            </w:pPr>
            <w:r>
              <w:rPr>
                <w:rFonts w:hint="eastAsia"/>
              </w:rPr>
              <w:t>第一条</w:t>
            </w:r>
          </w:p>
        </w:tc>
        <w:tc>
          <w:tcPr>
            <w:tcW w:w="1860" w:type="pct"/>
            <w:vAlign w:val="center"/>
          </w:tcPr>
          <w:p w14:paraId="767DCCB8">
            <w:pPr>
              <w:pStyle w:val="196"/>
            </w:pPr>
            <w:r>
              <w:rPr>
                <w:rFonts w:hint="eastAsia"/>
              </w:rPr>
              <w:t>严格源头管控。新、改、扩建码头工程严格按照法律法规和标准规范要求同步配置环保设施并按规定履行环保手续，同步建设岸电设施，在码头设计、建设和运营各环节管理中严格把关</w:t>
            </w:r>
          </w:p>
        </w:tc>
        <w:tc>
          <w:tcPr>
            <w:tcW w:w="1800" w:type="pct"/>
            <w:vAlign w:val="center"/>
          </w:tcPr>
          <w:p w14:paraId="532399FE">
            <w:pPr>
              <w:pStyle w:val="196"/>
            </w:pPr>
            <w:r>
              <w:rPr>
                <w:rFonts w:hint="eastAsia"/>
              </w:rPr>
              <w:t>本项目道路扬尘主要采用洒水抑尘措施；废水经收集后接管至国能涟水一期热电联产项目厂区处理，本项目岸电设施与环保设施同步建设</w:t>
            </w:r>
          </w:p>
        </w:tc>
        <w:tc>
          <w:tcPr>
            <w:tcW w:w="820" w:type="pct"/>
            <w:vAlign w:val="center"/>
          </w:tcPr>
          <w:p w14:paraId="17D77586">
            <w:pPr>
              <w:pStyle w:val="196"/>
            </w:pPr>
            <w:r>
              <w:rPr>
                <w:rFonts w:hint="eastAsia"/>
              </w:rPr>
              <w:t>符合</w:t>
            </w:r>
          </w:p>
        </w:tc>
      </w:tr>
      <w:tr w14:paraId="32D6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8" w:type="pct"/>
            <w:vAlign w:val="center"/>
          </w:tcPr>
          <w:p w14:paraId="6B4DD1A3">
            <w:pPr>
              <w:pStyle w:val="196"/>
            </w:pPr>
            <w:r>
              <w:rPr>
                <w:rFonts w:hint="eastAsia"/>
              </w:rPr>
              <w:t>第二条</w:t>
            </w:r>
          </w:p>
        </w:tc>
        <w:tc>
          <w:tcPr>
            <w:tcW w:w="1860" w:type="pct"/>
            <w:vAlign w:val="center"/>
          </w:tcPr>
          <w:p w14:paraId="23704537">
            <w:pPr>
              <w:pStyle w:val="196"/>
            </w:pPr>
            <w:r>
              <w:rPr>
                <w:rFonts w:hint="eastAsia"/>
              </w:rPr>
              <w:t>巩固污染防治总体能力。加强码头自身环保设施的维护和管理，确保稳定运行。强化干散货码头扬尘污染防治，推进港作机械新能源和清洁能源替代，推进原油、成品油码头和船舶油气回收</w:t>
            </w:r>
          </w:p>
        </w:tc>
        <w:tc>
          <w:tcPr>
            <w:tcW w:w="1800" w:type="pct"/>
            <w:vAlign w:val="center"/>
          </w:tcPr>
          <w:p w14:paraId="251C1125">
            <w:pPr>
              <w:pStyle w:val="196"/>
            </w:pPr>
            <w:r>
              <w:rPr>
                <w:rFonts w:hint="eastAsia"/>
              </w:rPr>
              <w:t>本项目码头主要货种为煤炭，在运营过程中加强码头自身环保设施的维护和管理，项目道路扬尘主要采用洒水抑尘措施，属于《排污许可证申请与核发技术规范 码头》（HJ1107-2020）中推荐可行措施，港作机械使用清洁能源电能。</w:t>
            </w:r>
          </w:p>
        </w:tc>
        <w:tc>
          <w:tcPr>
            <w:tcW w:w="820" w:type="pct"/>
            <w:vAlign w:val="center"/>
          </w:tcPr>
          <w:p w14:paraId="40CA7AD4">
            <w:pPr>
              <w:pStyle w:val="196"/>
            </w:pPr>
            <w:r>
              <w:rPr>
                <w:rFonts w:hint="eastAsia"/>
              </w:rPr>
              <w:t>符合</w:t>
            </w:r>
          </w:p>
        </w:tc>
      </w:tr>
      <w:tr w14:paraId="67C5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8" w:type="pct"/>
            <w:vAlign w:val="center"/>
          </w:tcPr>
          <w:p w14:paraId="7A8117A0">
            <w:pPr>
              <w:pStyle w:val="196"/>
            </w:pPr>
            <w:r>
              <w:rPr>
                <w:rFonts w:hint="eastAsia"/>
              </w:rPr>
              <w:t>第三条</w:t>
            </w:r>
          </w:p>
        </w:tc>
        <w:tc>
          <w:tcPr>
            <w:tcW w:w="1860" w:type="pct"/>
            <w:vAlign w:val="center"/>
          </w:tcPr>
          <w:p w14:paraId="4574478A">
            <w:pPr>
              <w:pStyle w:val="196"/>
            </w:pPr>
            <w:r>
              <w:rPr>
                <w:rFonts w:hint="eastAsia"/>
              </w:rPr>
              <w:t>加强船舶污染物接收转运处置有效衔接。严格执行内河港口船舶生活垃圾免费接收政策。</w:t>
            </w:r>
          </w:p>
        </w:tc>
        <w:tc>
          <w:tcPr>
            <w:tcW w:w="1800" w:type="pct"/>
            <w:vAlign w:val="center"/>
          </w:tcPr>
          <w:p w14:paraId="18E96110">
            <w:pPr>
              <w:pStyle w:val="196"/>
            </w:pPr>
            <w:r>
              <w:rPr>
                <w:rFonts w:hint="eastAsia"/>
              </w:rPr>
              <w:t>本项目船舶生活垃圾由国能涟水一期热电联产项目厂区保洁接</w:t>
            </w:r>
            <w:r>
              <w:rPr>
                <w:rFonts w:hint="eastAsia"/>
                <w:lang w:eastAsia="zh-CN"/>
              </w:rPr>
              <w:t>收</w:t>
            </w:r>
            <w:r>
              <w:rPr>
                <w:rFonts w:hint="eastAsia"/>
              </w:rPr>
              <w:t>，并交由环卫部门定期清理。</w:t>
            </w:r>
          </w:p>
        </w:tc>
        <w:tc>
          <w:tcPr>
            <w:tcW w:w="820" w:type="pct"/>
            <w:vAlign w:val="center"/>
          </w:tcPr>
          <w:p w14:paraId="4C3D53D1">
            <w:pPr>
              <w:pStyle w:val="196"/>
            </w:pPr>
            <w:r>
              <w:rPr>
                <w:rFonts w:hint="eastAsia"/>
              </w:rPr>
              <w:t>符合</w:t>
            </w:r>
          </w:p>
        </w:tc>
      </w:tr>
    </w:tbl>
    <w:p w14:paraId="16D44896">
      <w:pPr>
        <w:pStyle w:val="84"/>
      </w:pPr>
      <w:r>
        <w:rPr>
          <w:rFonts w:hint="eastAsia"/>
        </w:rPr>
        <w:t>与《江苏省生态环境厅关于进一步做好建设项目环评审批工作的通知》相符性分析</w:t>
      </w:r>
    </w:p>
    <w:p w14:paraId="68F1645A">
      <w:pPr>
        <w:autoSpaceDE w:val="0"/>
        <w:autoSpaceDN w:val="0"/>
        <w:adjustRightInd w:val="0"/>
        <w:snapToGrid w:val="0"/>
        <w:ind w:firstLine="480"/>
        <w:rPr>
          <w:sz w:val="21"/>
        </w:rPr>
      </w:pPr>
      <w:r>
        <w:rPr>
          <w:rFonts w:hint="eastAsia" w:ascii="宋体" w:hAnsi="宋体"/>
          <w:kern w:val="0"/>
          <w:szCs w:val="24"/>
        </w:rPr>
        <w:t>根据《江苏省生态环境厅关于进一步做好建设项目环评审批工作的通知》（苏环办〔</w:t>
      </w:r>
      <w:r>
        <w:rPr>
          <w:rFonts w:hint="eastAsia"/>
          <w:kern w:val="0"/>
          <w:szCs w:val="24"/>
        </w:rPr>
        <w:t>2019</w:t>
      </w:r>
      <w:r>
        <w:rPr>
          <w:rFonts w:hint="eastAsia" w:ascii="宋体" w:hAnsi="宋体"/>
          <w:kern w:val="0"/>
          <w:szCs w:val="24"/>
        </w:rPr>
        <w:t>〕</w:t>
      </w:r>
      <w:r>
        <w:rPr>
          <w:rFonts w:hint="eastAsia"/>
          <w:kern w:val="0"/>
          <w:szCs w:val="24"/>
        </w:rPr>
        <w:t>36</w:t>
      </w:r>
      <w:r>
        <w:rPr>
          <w:rFonts w:hint="eastAsia" w:ascii="宋体" w:hAnsi="宋体"/>
          <w:kern w:val="0"/>
          <w:szCs w:val="24"/>
        </w:rPr>
        <w:t>号）建设项目环评审批要点，本项目与相关内容相符性分析见表</w:t>
      </w:r>
      <w:r>
        <w:rPr>
          <w:rFonts w:hint="eastAsia"/>
          <w:kern w:val="0"/>
          <w:szCs w:val="24"/>
        </w:rPr>
        <w:t>1.5-16</w:t>
      </w:r>
      <w:r>
        <w:rPr>
          <w:rFonts w:hint="eastAsia" w:ascii="宋体" w:hAnsi="宋体"/>
          <w:kern w:val="0"/>
          <w:szCs w:val="24"/>
        </w:rPr>
        <w:t>。</w:t>
      </w:r>
    </w:p>
    <w:p w14:paraId="0FA3C3F0">
      <w:pPr>
        <w:pStyle w:val="86"/>
      </w:pPr>
      <w:r>
        <w:rPr>
          <w:rFonts w:hint="eastAsia"/>
        </w:rPr>
        <w:t>与《省环保厅关于进一步做好建设项目环评审批工作的通知》相符性分析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58"/>
        <w:gridCol w:w="694"/>
        <w:gridCol w:w="3788"/>
        <w:gridCol w:w="3742"/>
        <w:gridCol w:w="544"/>
      </w:tblGrid>
      <w:tr w14:paraId="1AA60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196" w:type="pct"/>
            <w:tcBorders>
              <w:top w:val="single" w:color="auto" w:sz="4" w:space="0"/>
              <w:left w:val="single" w:color="auto" w:sz="4" w:space="0"/>
              <w:bottom w:val="single" w:color="auto" w:sz="4" w:space="0"/>
              <w:right w:val="single" w:color="auto" w:sz="4" w:space="0"/>
            </w:tcBorders>
            <w:vAlign w:val="center"/>
          </w:tcPr>
          <w:p w14:paraId="18A08F9A">
            <w:pPr>
              <w:pStyle w:val="196"/>
              <w:rPr>
                <w:b/>
                <w:bCs/>
                <w:szCs w:val="21"/>
              </w:rPr>
            </w:pPr>
            <w:r>
              <w:rPr>
                <w:rFonts w:hint="eastAsia"/>
                <w:b/>
                <w:bCs/>
              </w:rPr>
              <w:t>序号</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62B1D060">
            <w:pPr>
              <w:pStyle w:val="196"/>
              <w:rPr>
                <w:b/>
                <w:bCs/>
              </w:rPr>
            </w:pPr>
            <w:r>
              <w:rPr>
                <w:rFonts w:hint="eastAsia"/>
                <w:b/>
                <w:bCs/>
              </w:rPr>
              <w:t>建设项目环评审批要点</w:t>
            </w:r>
          </w:p>
        </w:tc>
        <w:tc>
          <w:tcPr>
            <w:tcW w:w="2050" w:type="pct"/>
            <w:tcBorders>
              <w:top w:val="single" w:color="auto" w:sz="4" w:space="0"/>
              <w:left w:val="single" w:color="auto" w:sz="4" w:space="0"/>
              <w:bottom w:val="single" w:color="auto" w:sz="4" w:space="0"/>
              <w:right w:val="single" w:color="auto" w:sz="4" w:space="0"/>
            </w:tcBorders>
            <w:vAlign w:val="center"/>
          </w:tcPr>
          <w:p w14:paraId="5A93CD03">
            <w:pPr>
              <w:pStyle w:val="196"/>
              <w:rPr>
                <w:b/>
                <w:bCs/>
              </w:rPr>
            </w:pPr>
            <w:r>
              <w:rPr>
                <w:rFonts w:hint="eastAsia"/>
                <w:b/>
                <w:bCs/>
              </w:rPr>
              <w:t>相符性分析</w:t>
            </w:r>
          </w:p>
        </w:tc>
        <w:tc>
          <w:tcPr>
            <w:tcW w:w="298" w:type="pct"/>
            <w:tcBorders>
              <w:top w:val="single" w:color="auto" w:sz="4" w:space="0"/>
              <w:left w:val="single" w:color="auto" w:sz="4" w:space="0"/>
              <w:bottom w:val="single" w:color="auto" w:sz="4" w:space="0"/>
              <w:right w:val="single" w:color="auto" w:sz="4" w:space="0"/>
            </w:tcBorders>
            <w:vAlign w:val="center"/>
          </w:tcPr>
          <w:p w14:paraId="732CD9A2">
            <w:pPr>
              <w:pStyle w:val="196"/>
              <w:rPr>
                <w:b/>
                <w:bCs/>
              </w:rPr>
            </w:pPr>
            <w:r>
              <w:rPr>
                <w:rFonts w:hint="eastAsia"/>
                <w:b/>
                <w:bCs/>
              </w:rPr>
              <w:t>是否相符</w:t>
            </w:r>
          </w:p>
        </w:tc>
      </w:tr>
      <w:tr w14:paraId="18378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vMerge w:val="restart"/>
            <w:tcBorders>
              <w:top w:val="nil"/>
              <w:left w:val="single" w:color="auto" w:sz="4" w:space="0"/>
              <w:bottom w:val="single" w:color="auto" w:sz="4" w:space="0"/>
              <w:right w:val="single" w:color="auto" w:sz="4" w:space="0"/>
            </w:tcBorders>
            <w:vAlign w:val="center"/>
          </w:tcPr>
          <w:p w14:paraId="6F05740F">
            <w:pPr>
              <w:pStyle w:val="196"/>
            </w:pPr>
            <w:r>
              <w:rPr>
                <w:rFonts w:hint="eastAsia"/>
              </w:rPr>
              <w:t>1</w:t>
            </w:r>
          </w:p>
        </w:tc>
        <w:tc>
          <w:tcPr>
            <w:tcW w:w="380" w:type="pct"/>
            <w:vMerge w:val="restart"/>
            <w:tcBorders>
              <w:top w:val="nil"/>
              <w:left w:val="single" w:color="auto" w:sz="4" w:space="0"/>
              <w:bottom w:val="single" w:color="auto" w:sz="4" w:space="0"/>
              <w:right w:val="single" w:color="auto" w:sz="4" w:space="0"/>
            </w:tcBorders>
            <w:vAlign w:val="center"/>
          </w:tcPr>
          <w:p w14:paraId="3F424E72">
            <w:pPr>
              <w:pStyle w:val="196"/>
            </w:pPr>
            <w:r>
              <w:rPr>
                <w:rFonts w:hint="eastAsia"/>
              </w:rPr>
              <w:t>以下情形不予审批</w:t>
            </w:r>
          </w:p>
        </w:tc>
        <w:tc>
          <w:tcPr>
            <w:tcW w:w="2075" w:type="pct"/>
            <w:tcBorders>
              <w:top w:val="single" w:color="auto" w:sz="4" w:space="0"/>
              <w:left w:val="single" w:color="auto" w:sz="4" w:space="0"/>
              <w:bottom w:val="single" w:color="auto" w:sz="4" w:space="0"/>
              <w:right w:val="single" w:color="auto" w:sz="4" w:space="0"/>
            </w:tcBorders>
            <w:vAlign w:val="center"/>
          </w:tcPr>
          <w:p w14:paraId="6DC853F0">
            <w:pPr>
              <w:pStyle w:val="196"/>
            </w:pPr>
            <w:r>
              <w:rPr>
                <w:rFonts w:hint="eastAsia"/>
              </w:rPr>
              <w:t>建设项目类型及其选址、布局、规模等不符合环境保护法律法规和相关法定规划。</w:t>
            </w:r>
          </w:p>
        </w:tc>
        <w:tc>
          <w:tcPr>
            <w:tcW w:w="2050" w:type="pct"/>
            <w:tcBorders>
              <w:top w:val="single" w:color="auto" w:sz="4" w:space="0"/>
              <w:left w:val="single" w:color="auto" w:sz="4" w:space="0"/>
              <w:bottom w:val="single" w:color="auto" w:sz="4" w:space="0"/>
              <w:right w:val="single" w:color="auto" w:sz="4" w:space="0"/>
            </w:tcBorders>
            <w:vAlign w:val="center"/>
          </w:tcPr>
          <w:p w14:paraId="394906F0">
            <w:pPr>
              <w:pStyle w:val="196"/>
            </w:pPr>
            <w:r>
              <w:rPr>
                <w:rFonts w:hint="eastAsia"/>
              </w:rPr>
              <w:t>经过与“三线一单”及规划相符性分析可知，建设项目类型及其选址、布局、规模等均符合环境保护法律法规和相关法定规划。</w:t>
            </w:r>
          </w:p>
        </w:tc>
        <w:tc>
          <w:tcPr>
            <w:tcW w:w="298" w:type="pct"/>
            <w:tcBorders>
              <w:top w:val="single" w:color="auto" w:sz="4" w:space="0"/>
              <w:left w:val="single" w:color="auto" w:sz="4" w:space="0"/>
              <w:bottom w:val="single" w:color="auto" w:sz="4" w:space="0"/>
              <w:right w:val="single" w:color="auto" w:sz="4" w:space="0"/>
            </w:tcBorders>
            <w:vAlign w:val="center"/>
          </w:tcPr>
          <w:p w14:paraId="419BFCA1">
            <w:pPr>
              <w:pStyle w:val="196"/>
            </w:pPr>
            <w:r>
              <w:rPr>
                <w:rFonts w:hint="eastAsia"/>
              </w:rPr>
              <w:t>符合</w:t>
            </w:r>
          </w:p>
        </w:tc>
      </w:tr>
      <w:tr w14:paraId="1FF9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2503B7DF">
            <w:pPr>
              <w:pStyle w:val="196"/>
              <w:rPr>
                <w:szCs w:val="21"/>
              </w:rPr>
            </w:pPr>
          </w:p>
        </w:tc>
        <w:tc>
          <w:tcPr>
            <w:tcW w:w="0" w:type="auto"/>
            <w:vMerge w:val="continue"/>
            <w:tcBorders>
              <w:top w:val="nil"/>
              <w:left w:val="single" w:color="auto" w:sz="4" w:space="0"/>
              <w:bottom w:val="single" w:color="auto" w:sz="4" w:space="0"/>
              <w:right w:val="single" w:color="auto" w:sz="4" w:space="0"/>
            </w:tcBorders>
            <w:vAlign w:val="center"/>
          </w:tcPr>
          <w:p w14:paraId="1AB1A840">
            <w:pPr>
              <w:pStyle w:val="196"/>
              <w:rPr>
                <w:szCs w:val="21"/>
              </w:rPr>
            </w:pPr>
          </w:p>
        </w:tc>
        <w:tc>
          <w:tcPr>
            <w:tcW w:w="2075" w:type="pct"/>
            <w:tcBorders>
              <w:top w:val="single" w:color="auto" w:sz="4" w:space="0"/>
              <w:left w:val="single" w:color="auto" w:sz="4" w:space="0"/>
              <w:bottom w:val="single" w:color="auto" w:sz="4" w:space="0"/>
              <w:right w:val="single" w:color="auto" w:sz="4" w:space="0"/>
            </w:tcBorders>
            <w:vAlign w:val="center"/>
          </w:tcPr>
          <w:p w14:paraId="2C90689B">
            <w:pPr>
              <w:pStyle w:val="196"/>
            </w:pPr>
            <w:r>
              <w:rPr>
                <w:rFonts w:hint="eastAsia"/>
              </w:rPr>
              <w:t>所在区域环境质量未达到国家或者地方环境质量标准，且建设项目拟采取的措施不能满足区域环境质量改善目标管理要求。</w:t>
            </w:r>
          </w:p>
        </w:tc>
        <w:tc>
          <w:tcPr>
            <w:tcW w:w="2050" w:type="pct"/>
            <w:tcBorders>
              <w:top w:val="single" w:color="auto" w:sz="4" w:space="0"/>
              <w:left w:val="single" w:color="auto" w:sz="4" w:space="0"/>
              <w:bottom w:val="single" w:color="auto" w:sz="4" w:space="0"/>
              <w:right w:val="single" w:color="auto" w:sz="4" w:space="0"/>
            </w:tcBorders>
            <w:vAlign w:val="center"/>
          </w:tcPr>
          <w:p w14:paraId="3B09D57B">
            <w:pPr>
              <w:pStyle w:val="196"/>
            </w:pPr>
            <w:r>
              <w:rPr>
                <w:rFonts w:hint="eastAsia"/>
              </w:rPr>
              <w:t>项目所在区域属于环境空气达标区；本项目地表水环境渠西河、盐河均满足《地表水环境质量标准》（GB3838-2002）中的相应水质标准；区域声环境质量达标。</w:t>
            </w:r>
          </w:p>
        </w:tc>
        <w:tc>
          <w:tcPr>
            <w:tcW w:w="298" w:type="pct"/>
            <w:tcBorders>
              <w:top w:val="single" w:color="auto" w:sz="4" w:space="0"/>
              <w:left w:val="single" w:color="auto" w:sz="4" w:space="0"/>
              <w:bottom w:val="single" w:color="auto" w:sz="4" w:space="0"/>
              <w:right w:val="single" w:color="auto" w:sz="4" w:space="0"/>
            </w:tcBorders>
            <w:vAlign w:val="center"/>
          </w:tcPr>
          <w:p w14:paraId="034F9AFE">
            <w:pPr>
              <w:pStyle w:val="196"/>
            </w:pPr>
            <w:r>
              <w:rPr>
                <w:rFonts w:hint="eastAsia"/>
              </w:rPr>
              <w:t>符合</w:t>
            </w:r>
          </w:p>
        </w:tc>
      </w:tr>
      <w:tr w14:paraId="7ECA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4726564C">
            <w:pPr>
              <w:pStyle w:val="196"/>
              <w:rPr>
                <w:szCs w:val="21"/>
              </w:rPr>
            </w:pPr>
          </w:p>
        </w:tc>
        <w:tc>
          <w:tcPr>
            <w:tcW w:w="0" w:type="auto"/>
            <w:vMerge w:val="continue"/>
            <w:tcBorders>
              <w:top w:val="nil"/>
              <w:left w:val="single" w:color="auto" w:sz="4" w:space="0"/>
              <w:bottom w:val="single" w:color="auto" w:sz="4" w:space="0"/>
              <w:right w:val="single" w:color="auto" w:sz="4" w:space="0"/>
            </w:tcBorders>
            <w:vAlign w:val="center"/>
          </w:tcPr>
          <w:p w14:paraId="24C98AE3">
            <w:pPr>
              <w:pStyle w:val="196"/>
              <w:rPr>
                <w:szCs w:val="21"/>
              </w:rPr>
            </w:pPr>
          </w:p>
        </w:tc>
        <w:tc>
          <w:tcPr>
            <w:tcW w:w="2075" w:type="pct"/>
            <w:tcBorders>
              <w:top w:val="single" w:color="auto" w:sz="4" w:space="0"/>
              <w:left w:val="single" w:color="auto" w:sz="4" w:space="0"/>
              <w:bottom w:val="single" w:color="auto" w:sz="4" w:space="0"/>
              <w:right w:val="single" w:color="auto" w:sz="4" w:space="0"/>
            </w:tcBorders>
            <w:vAlign w:val="center"/>
          </w:tcPr>
          <w:p w14:paraId="62E1E1CE">
            <w:pPr>
              <w:pStyle w:val="196"/>
            </w:pPr>
            <w:r>
              <w:rPr>
                <w:rFonts w:hint="eastAsia"/>
              </w:rPr>
              <w:t>建设项目采取的污染防治措施无法确保污染物排放达到国家和地方排放标准，或者未采取必要措施预防和控制生态破坏。</w:t>
            </w:r>
          </w:p>
        </w:tc>
        <w:tc>
          <w:tcPr>
            <w:tcW w:w="2050" w:type="pct"/>
            <w:tcBorders>
              <w:top w:val="single" w:color="auto" w:sz="4" w:space="0"/>
              <w:left w:val="single" w:color="auto" w:sz="4" w:space="0"/>
              <w:bottom w:val="single" w:color="auto" w:sz="4" w:space="0"/>
              <w:right w:val="single" w:color="auto" w:sz="4" w:space="0"/>
            </w:tcBorders>
            <w:vAlign w:val="center"/>
          </w:tcPr>
          <w:p w14:paraId="0EA096A6">
            <w:pPr>
              <w:pStyle w:val="196"/>
            </w:pPr>
            <w:r>
              <w:rPr>
                <w:rFonts w:hint="eastAsia"/>
                <w:lang w:val="en-US"/>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r>
              <w:rPr>
                <w:rFonts w:hint="eastAsia"/>
              </w:rPr>
              <w:t>。</w:t>
            </w:r>
          </w:p>
        </w:tc>
        <w:tc>
          <w:tcPr>
            <w:tcW w:w="298" w:type="pct"/>
            <w:tcBorders>
              <w:top w:val="single" w:color="auto" w:sz="4" w:space="0"/>
              <w:left w:val="single" w:color="auto" w:sz="4" w:space="0"/>
              <w:bottom w:val="single" w:color="auto" w:sz="4" w:space="0"/>
              <w:right w:val="single" w:color="auto" w:sz="4" w:space="0"/>
            </w:tcBorders>
            <w:vAlign w:val="center"/>
          </w:tcPr>
          <w:p w14:paraId="41C0069E">
            <w:pPr>
              <w:pStyle w:val="196"/>
            </w:pPr>
            <w:r>
              <w:rPr>
                <w:rFonts w:hint="eastAsia"/>
              </w:rPr>
              <w:t>符合</w:t>
            </w:r>
          </w:p>
        </w:tc>
      </w:tr>
      <w:tr w14:paraId="400E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3FFF8932">
            <w:pPr>
              <w:pStyle w:val="196"/>
              <w:rPr>
                <w:szCs w:val="21"/>
              </w:rPr>
            </w:pPr>
          </w:p>
        </w:tc>
        <w:tc>
          <w:tcPr>
            <w:tcW w:w="0" w:type="auto"/>
            <w:vMerge w:val="continue"/>
            <w:tcBorders>
              <w:top w:val="nil"/>
              <w:left w:val="single" w:color="auto" w:sz="4" w:space="0"/>
              <w:bottom w:val="single" w:color="auto" w:sz="4" w:space="0"/>
              <w:right w:val="single" w:color="auto" w:sz="4" w:space="0"/>
            </w:tcBorders>
            <w:vAlign w:val="center"/>
          </w:tcPr>
          <w:p w14:paraId="493F264B">
            <w:pPr>
              <w:pStyle w:val="196"/>
              <w:rPr>
                <w:szCs w:val="21"/>
              </w:rPr>
            </w:pPr>
          </w:p>
        </w:tc>
        <w:tc>
          <w:tcPr>
            <w:tcW w:w="2075" w:type="pct"/>
            <w:tcBorders>
              <w:top w:val="single" w:color="auto" w:sz="4" w:space="0"/>
              <w:left w:val="single" w:color="auto" w:sz="4" w:space="0"/>
              <w:bottom w:val="single" w:color="auto" w:sz="4" w:space="0"/>
              <w:right w:val="single" w:color="auto" w:sz="4" w:space="0"/>
            </w:tcBorders>
            <w:vAlign w:val="center"/>
          </w:tcPr>
          <w:p w14:paraId="16ACF100">
            <w:pPr>
              <w:pStyle w:val="196"/>
            </w:pPr>
            <w:r>
              <w:rPr>
                <w:rFonts w:hint="eastAsia"/>
              </w:rPr>
              <w:t>改建、扩建和技术改造项目，未针对项目原有环境污染和生态破坏提出有效防</w:t>
            </w:r>
            <w:r>
              <w:rPr>
                <w:rFonts w:hint="eastAsia"/>
                <w:lang w:eastAsia="zh-CN"/>
              </w:rPr>
              <w:t>治</w:t>
            </w:r>
            <w:r>
              <w:rPr>
                <w:rFonts w:hint="eastAsia"/>
              </w:rPr>
              <w:t>措施。</w:t>
            </w:r>
          </w:p>
        </w:tc>
        <w:tc>
          <w:tcPr>
            <w:tcW w:w="2050" w:type="pct"/>
            <w:tcBorders>
              <w:top w:val="single" w:color="auto" w:sz="4" w:space="0"/>
              <w:left w:val="single" w:color="auto" w:sz="4" w:space="0"/>
              <w:bottom w:val="single" w:color="auto" w:sz="4" w:space="0"/>
              <w:right w:val="single" w:color="auto" w:sz="4" w:space="0"/>
            </w:tcBorders>
            <w:vAlign w:val="center"/>
          </w:tcPr>
          <w:p w14:paraId="03A65A1B">
            <w:pPr>
              <w:pStyle w:val="196"/>
            </w:pPr>
            <w:r>
              <w:rPr>
                <w:rFonts w:hint="eastAsia"/>
              </w:rPr>
              <w:t>本项目为国能涟水一期热电联产项目配套码头，码头属于新建项目。</w:t>
            </w:r>
          </w:p>
        </w:tc>
        <w:tc>
          <w:tcPr>
            <w:tcW w:w="298" w:type="pct"/>
            <w:tcBorders>
              <w:top w:val="single" w:color="auto" w:sz="4" w:space="0"/>
              <w:left w:val="single" w:color="auto" w:sz="4" w:space="0"/>
              <w:bottom w:val="single" w:color="auto" w:sz="4" w:space="0"/>
              <w:right w:val="single" w:color="auto" w:sz="4" w:space="0"/>
            </w:tcBorders>
            <w:vAlign w:val="center"/>
          </w:tcPr>
          <w:p w14:paraId="1FDB6DC4">
            <w:pPr>
              <w:pStyle w:val="196"/>
            </w:pPr>
            <w:r>
              <w:rPr>
                <w:rFonts w:hint="eastAsia"/>
              </w:rPr>
              <w:t>/</w:t>
            </w:r>
          </w:p>
        </w:tc>
      </w:tr>
      <w:tr w14:paraId="3C85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0F4CF355">
            <w:pPr>
              <w:pStyle w:val="196"/>
              <w:rPr>
                <w:szCs w:val="21"/>
              </w:rPr>
            </w:pPr>
          </w:p>
        </w:tc>
        <w:tc>
          <w:tcPr>
            <w:tcW w:w="0" w:type="auto"/>
            <w:vMerge w:val="continue"/>
            <w:tcBorders>
              <w:top w:val="nil"/>
              <w:left w:val="single" w:color="auto" w:sz="4" w:space="0"/>
              <w:bottom w:val="single" w:color="auto" w:sz="4" w:space="0"/>
              <w:right w:val="single" w:color="auto" w:sz="4" w:space="0"/>
            </w:tcBorders>
            <w:vAlign w:val="center"/>
          </w:tcPr>
          <w:p w14:paraId="161FC080">
            <w:pPr>
              <w:pStyle w:val="196"/>
              <w:rPr>
                <w:szCs w:val="21"/>
              </w:rPr>
            </w:pPr>
          </w:p>
        </w:tc>
        <w:tc>
          <w:tcPr>
            <w:tcW w:w="2075" w:type="pct"/>
            <w:tcBorders>
              <w:top w:val="single" w:color="auto" w:sz="4" w:space="0"/>
              <w:left w:val="single" w:color="auto" w:sz="4" w:space="0"/>
              <w:bottom w:val="single" w:color="auto" w:sz="4" w:space="0"/>
              <w:right w:val="single" w:color="auto" w:sz="4" w:space="0"/>
            </w:tcBorders>
            <w:vAlign w:val="center"/>
          </w:tcPr>
          <w:p w14:paraId="5B289FF4">
            <w:pPr>
              <w:pStyle w:val="196"/>
            </w:pPr>
            <w:r>
              <w:rPr>
                <w:rFonts w:hint="eastAsia"/>
              </w:rPr>
              <w:t>建设项目的环境影响报告书、环境影响报告表的基础资料数据明显不实，内容存在重大缺陷、遗漏，或者环境影响评价结论不明确、不合理。</w:t>
            </w:r>
          </w:p>
        </w:tc>
        <w:tc>
          <w:tcPr>
            <w:tcW w:w="2050" w:type="pct"/>
            <w:tcBorders>
              <w:top w:val="single" w:color="auto" w:sz="4" w:space="0"/>
              <w:left w:val="single" w:color="auto" w:sz="4" w:space="0"/>
              <w:bottom w:val="single" w:color="auto" w:sz="4" w:space="0"/>
              <w:right w:val="single" w:color="auto" w:sz="4" w:space="0"/>
            </w:tcBorders>
            <w:vAlign w:val="center"/>
          </w:tcPr>
          <w:p w14:paraId="408D28FC">
            <w:pPr>
              <w:pStyle w:val="196"/>
            </w:pPr>
            <w:r>
              <w:rPr>
                <w:rFonts w:hint="eastAsia"/>
              </w:rPr>
              <w:t>本次评价以企业实际提供资料为前提，核实后进行报告编制，环境影响评价结论明确。</w:t>
            </w:r>
          </w:p>
        </w:tc>
        <w:tc>
          <w:tcPr>
            <w:tcW w:w="298" w:type="pct"/>
            <w:tcBorders>
              <w:top w:val="single" w:color="auto" w:sz="4" w:space="0"/>
              <w:left w:val="single" w:color="auto" w:sz="4" w:space="0"/>
              <w:bottom w:val="single" w:color="auto" w:sz="4" w:space="0"/>
              <w:right w:val="single" w:color="auto" w:sz="4" w:space="0"/>
            </w:tcBorders>
            <w:vAlign w:val="center"/>
          </w:tcPr>
          <w:p w14:paraId="026A211E">
            <w:pPr>
              <w:pStyle w:val="196"/>
            </w:pPr>
            <w:r>
              <w:rPr>
                <w:rFonts w:hint="eastAsia"/>
              </w:rPr>
              <w:t>/</w:t>
            </w:r>
          </w:p>
        </w:tc>
      </w:tr>
      <w:tr w14:paraId="03E5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5EF56AD6">
            <w:pPr>
              <w:pStyle w:val="196"/>
            </w:pPr>
            <w:r>
              <w:rPr>
                <w:rFonts w:hint="eastAsia"/>
              </w:rPr>
              <w:t>2</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081089FC">
            <w:pPr>
              <w:pStyle w:val="196"/>
            </w:pPr>
            <w:r>
              <w:rPr>
                <w:rFonts w:hint="eastAsia"/>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050" w:type="pct"/>
            <w:tcBorders>
              <w:top w:val="single" w:color="auto" w:sz="4" w:space="0"/>
              <w:left w:val="single" w:color="auto" w:sz="4" w:space="0"/>
              <w:bottom w:val="single" w:color="auto" w:sz="4" w:space="0"/>
              <w:right w:val="single" w:color="auto" w:sz="4" w:space="0"/>
            </w:tcBorders>
            <w:vAlign w:val="center"/>
          </w:tcPr>
          <w:p w14:paraId="7D8A2DC8">
            <w:pPr>
              <w:pStyle w:val="196"/>
            </w:pPr>
            <w:r>
              <w:rPr>
                <w:rFonts w:hint="eastAsia"/>
                <w:kern w:val="0"/>
              </w:rPr>
              <w:t>本项目位于淮安市涟水县朱码街道高台村国能涟水一期热电联产项目厂区内</w:t>
            </w:r>
            <w:r>
              <w:rPr>
                <w:rFonts w:hint="eastAsia"/>
              </w:rPr>
              <w:t>，用地性质为国能涟水一期热电项目预留建设用地，不属于严格控制的行业。</w:t>
            </w:r>
          </w:p>
        </w:tc>
        <w:tc>
          <w:tcPr>
            <w:tcW w:w="298" w:type="pct"/>
            <w:tcBorders>
              <w:top w:val="single" w:color="auto" w:sz="4" w:space="0"/>
              <w:left w:val="single" w:color="auto" w:sz="4" w:space="0"/>
              <w:bottom w:val="single" w:color="auto" w:sz="4" w:space="0"/>
              <w:right w:val="single" w:color="auto" w:sz="4" w:space="0"/>
            </w:tcBorders>
            <w:vAlign w:val="center"/>
          </w:tcPr>
          <w:p w14:paraId="390B5C6D">
            <w:pPr>
              <w:pStyle w:val="196"/>
            </w:pPr>
            <w:r>
              <w:rPr>
                <w:rFonts w:hint="eastAsia"/>
              </w:rPr>
              <w:t>符合</w:t>
            </w:r>
          </w:p>
        </w:tc>
      </w:tr>
      <w:tr w14:paraId="122A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17139132">
            <w:pPr>
              <w:pStyle w:val="196"/>
            </w:pPr>
            <w:r>
              <w:rPr>
                <w:rFonts w:hint="eastAsia"/>
              </w:rPr>
              <w:t>3</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64B5E17C">
            <w:pPr>
              <w:pStyle w:val="196"/>
            </w:pPr>
            <w:r>
              <w:rPr>
                <w:rFonts w:hint="eastAsia"/>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050" w:type="pct"/>
            <w:tcBorders>
              <w:top w:val="single" w:color="auto" w:sz="4" w:space="0"/>
              <w:left w:val="single" w:color="auto" w:sz="4" w:space="0"/>
              <w:bottom w:val="single" w:color="auto" w:sz="4" w:space="0"/>
              <w:right w:val="single" w:color="auto" w:sz="4" w:space="0"/>
            </w:tcBorders>
            <w:vAlign w:val="center"/>
          </w:tcPr>
          <w:p w14:paraId="30984656">
            <w:pPr>
              <w:pStyle w:val="196"/>
            </w:pPr>
            <w:r>
              <w:rPr>
                <w:rFonts w:hint="eastAsia"/>
              </w:rPr>
              <w:t>本项目</w:t>
            </w:r>
            <w:r>
              <w:rPr>
                <w:rFonts w:hint="eastAsia"/>
                <w:bCs/>
                <w:kern w:val="0"/>
              </w:rPr>
              <w:t>总量指标在区域内平衡。</w:t>
            </w:r>
          </w:p>
        </w:tc>
        <w:tc>
          <w:tcPr>
            <w:tcW w:w="298" w:type="pct"/>
            <w:tcBorders>
              <w:top w:val="single" w:color="auto" w:sz="4" w:space="0"/>
              <w:left w:val="single" w:color="auto" w:sz="4" w:space="0"/>
              <w:bottom w:val="single" w:color="auto" w:sz="4" w:space="0"/>
              <w:right w:val="single" w:color="auto" w:sz="4" w:space="0"/>
            </w:tcBorders>
            <w:vAlign w:val="center"/>
          </w:tcPr>
          <w:p w14:paraId="5CCF277C">
            <w:pPr>
              <w:pStyle w:val="196"/>
            </w:pPr>
            <w:r>
              <w:rPr>
                <w:rFonts w:hint="eastAsia"/>
              </w:rPr>
              <w:t>符合</w:t>
            </w:r>
          </w:p>
        </w:tc>
      </w:tr>
      <w:tr w14:paraId="1914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07C3069D">
            <w:pPr>
              <w:pStyle w:val="196"/>
            </w:pPr>
            <w:r>
              <w:rPr>
                <w:rFonts w:hint="eastAsia"/>
              </w:rPr>
              <w:t>4</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5FE17147">
            <w:pPr>
              <w:pStyle w:val="196"/>
            </w:pPr>
            <w:r>
              <w:rPr>
                <w:rFonts w:hint="eastAsia"/>
              </w:rPr>
              <w:t>对环境质量现状超标的地区，项目拟采取的措施不能满足区域环境质量改善目标管理要求的，依法不予审批其环评文件。</w:t>
            </w:r>
          </w:p>
        </w:tc>
        <w:tc>
          <w:tcPr>
            <w:tcW w:w="2050" w:type="pct"/>
            <w:tcBorders>
              <w:top w:val="single" w:color="auto" w:sz="4" w:space="0"/>
              <w:left w:val="single" w:color="auto" w:sz="4" w:space="0"/>
              <w:bottom w:val="single" w:color="auto" w:sz="4" w:space="0"/>
              <w:right w:val="single" w:color="auto" w:sz="4" w:space="0"/>
            </w:tcBorders>
            <w:vAlign w:val="center"/>
          </w:tcPr>
          <w:p w14:paraId="66C38C21">
            <w:pPr>
              <w:pStyle w:val="196"/>
            </w:pPr>
            <w:r>
              <w:rPr>
                <w:rFonts w:hint="eastAsia"/>
              </w:rPr>
              <w:t>项目所在区域属于环境空气达标区；本项目地表水环境渠西河、盐河均满足《地表水环境质量标准》（GB3838-2002）中的相应水质标准；区域声环境质量达标，故满足区域环境质量改善目标管理要求。</w:t>
            </w:r>
          </w:p>
        </w:tc>
        <w:tc>
          <w:tcPr>
            <w:tcW w:w="298" w:type="pct"/>
            <w:tcBorders>
              <w:top w:val="single" w:color="auto" w:sz="4" w:space="0"/>
              <w:left w:val="single" w:color="auto" w:sz="4" w:space="0"/>
              <w:bottom w:val="single" w:color="auto" w:sz="4" w:space="0"/>
              <w:right w:val="single" w:color="auto" w:sz="4" w:space="0"/>
            </w:tcBorders>
            <w:vAlign w:val="center"/>
          </w:tcPr>
          <w:p w14:paraId="76E3B7EF">
            <w:pPr>
              <w:pStyle w:val="196"/>
            </w:pPr>
            <w:r>
              <w:rPr>
                <w:rFonts w:hint="eastAsia"/>
              </w:rPr>
              <w:t>符合</w:t>
            </w:r>
          </w:p>
        </w:tc>
      </w:tr>
      <w:tr w14:paraId="469C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39C9C4E5">
            <w:pPr>
              <w:pStyle w:val="196"/>
            </w:pPr>
            <w:r>
              <w:rPr>
                <w:rFonts w:hint="eastAsia"/>
              </w:rPr>
              <w:t>5</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0C935E36">
            <w:pPr>
              <w:pStyle w:val="196"/>
            </w:pPr>
            <w:r>
              <w:rPr>
                <w:rFonts w:hint="eastAsia"/>
              </w:rPr>
              <w:t>生态保护红线原则上按禁止开发区域的要求进行管理，严禁不符合主体功能定位的各类开发活动，严禁任意改变用途。</w:t>
            </w:r>
          </w:p>
        </w:tc>
        <w:tc>
          <w:tcPr>
            <w:tcW w:w="2050" w:type="pct"/>
            <w:tcBorders>
              <w:top w:val="single" w:color="auto" w:sz="4" w:space="0"/>
              <w:left w:val="single" w:color="auto" w:sz="4" w:space="0"/>
              <w:bottom w:val="single" w:color="auto" w:sz="4" w:space="0"/>
              <w:right w:val="single" w:color="auto" w:sz="4" w:space="0"/>
            </w:tcBorders>
            <w:vAlign w:val="center"/>
          </w:tcPr>
          <w:p w14:paraId="0C91E901">
            <w:pPr>
              <w:pStyle w:val="196"/>
            </w:pPr>
            <w:r>
              <w:rPr>
                <w:rFonts w:hint="eastAsia"/>
              </w:rPr>
              <w:t>本项目不在生态红线区域范围之内。</w:t>
            </w:r>
          </w:p>
        </w:tc>
        <w:tc>
          <w:tcPr>
            <w:tcW w:w="298" w:type="pct"/>
            <w:tcBorders>
              <w:top w:val="single" w:color="auto" w:sz="4" w:space="0"/>
              <w:left w:val="single" w:color="auto" w:sz="4" w:space="0"/>
              <w:bottom w:val="single" w:color="auto" w:sz="4" w:space="0"/>
              <w:right w:val="single" w:color="auto" w:sz="4" w:space="0"/>
            </w:tcBorders>
            <w:vAlign w:val="center"/>
          </w:tcPr>
          <w:p w14:paraId="54A4855B">
            <w:pPr>
              <w:pStyle w:val="196"/>
            </w:pPr>
            <w:r>
              <w:rPr>
                <w:rFonts w:hint="eastAsia"/>
              </w:rPr>
              <w:t>符合</w:t>
            </w:r>
          </w:p>
        </w:tc>
      </w:tr>
      <w:tr w14:paraId="24B26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0BF7DB2C">
            <w:pPr>
              <w:pStyle w:val="196"/>
            </w:pPr>
            <w:r>
              <w:rPr>
                <w:rFonts w:hint="eastAsia"/>
              </w:rPr>
              <w:t>6</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3E9FEF71">
            <w:pPr>
              <w:pStyle w:val="196"/>
            </w:pPr>
            <w:r>
              <w:rPr>
                <w:rFonts w:hint="eastAsia"/>
              </w:rPr>
              <w:t>禁止审批无法落实危险废物利用、处置途径的项目，从严审批危险废物产生量大、本地无配套利用处置能力</w:t>
            </w:r>
            <w:r>
              <w:rPr>
                <w:rFonts w:hint="eastAsia"/>
                <w:lang w:eastAsia="zh-CN"/>
              </w:rPr>
              <w:t>且</w:t>
            </w:r>
            <w:r>
              <w:rPr>
                <w:rFonts w:hint="eastAsia"/>
              </w:rPr>
              <w:t>需设区市统筹解决的项目。</w:t>
            </w:r>
          </w:p>
        </w:tc>
        <w:tc>
          <w:tcPr>
            <w:tcW w:w="2050" w:type="pct"/>
            <w:tcBorders>
              <w:top w:val="single" w:color="auto" w:sz="4" w:space="0"/>
              <w:left w:val="single" w:color="auto" w:sz="4" w:space="0"/>
              <w:bottom w:val="single" w:color="auto" w:sz="4" w:space="0"/>
              <w:right w:val="single" w:color="auto" w:sz="4" w:space="0"/>
            </w:tcBorders>
            <w:vAlign w:val="center"/>
          </w:tcPr>
          <w:p w14:paraId="18B18E55">
            <w:pPr>
              <w:pStyle w:val="196"/>
            </w:pPr>
            <w:r>
              <w:rPr>
                <w:rFonts w:hint="eastAsia"/>
              </w:rPr>
              <w:t>本项目危险废物合理合法利用、处置。固废处置率100%。</w:t>
            </w:r>
          </w:p>
        </w:tc>
        <w:tc>
          <w:tcPr>
            <w:tcW w:w="298" w:type="pct"/>
            <w:tcBorders>
              <w:top w:val="single" w:color="auto" w:sz="4" w:space="0"/>
              <w:left w:val="single" w:color="auto" w:sz="4" w:space="0"/>
              <w:bottom w:val="single" w:color="auto" w:sz="4" w:space="0"/>
              <w:right w:val="single" w:color="auto" w:sz="4" w:space="0"/>
            </w:tcBorders>
            <w:vAlign w:val="center"/>
          </w:tcPr>
          <w:p w14:paraId="6EAE02E8">
            <w:pPr>
              <w:pStyle w:val="196"/>
            </w:pPr>
            <w:r>
              <w:rPr>
                <w:rFonts w:hint="eastAsia"/>
              </w:rPr>
              <w:t>符合</w:t>
            </w:r>
          </w:p>
        </w:tc>
      </w:tr>
      <w:tr w14:paraId="7014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6B66B25A">
            <w:pPr>
              <w:pStyle w:val="196"/>
            </w:pPr>
            <w:r>
              <w:rPr>
                <w:rFonts w:hint="eastAsia"/>
              </w:rPr>
              <w:t>7</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5DD50A0C">
            <w:pPr>
              <w:pStyle w:val="196"/>
            </w:pPr>
            <w:r>
              <w:rPr>
                <w:rFonts w:hint="eastAsia"/>
              </w:rPr>
              <w:t>禁止新建、扩建法律法规和相关政策明令禁止的落后产能项目。</w:t>
            </w:r>
          </w:p>
        </w:tc>
        <w:tc>
          <w:tcPr>
            <w:tcW w:w="2050" w:type="pct"/>
            <w:vMerge w:val="restart"/>
            <w:tcBorders>
              <w:top w:val="nil"/>
              <w:left w:val="single" w:color="auto" w:sz="4" w:space="0"/>
              <w:bottom w:val="single" w:color="auto" w:sz="4" w:space="0"/>
              <w:right w:val="single" w:color="auto" w:sz="4" w:space="0"/>
            </w:tcBorders>
            <w:vAlign w:val="center"/>
          </w:tcPr>
          <w:p w14:paraId="50EF692B">
            <w:pPr>
              <w:pStyle w:val="196"/>
            </w:pPr>
            <w:r>
              <w:rPr>
                <w:rFonts w:hint="eastAsia"/>
              </w:rPr>
              <w:t>项目不属于法律法规和相关政策明令禁止的落后产能项目，不属于国家产能置换要求的过剩产能行业的项目。</w:t>
            </w:r>
          </w:p>
        </w:tc>
        <w:tc>
          <w:tcPr>
            <w:tcW w:w="298" w:type="pct"/>
            <w:vMerge w:val="restart"/>
            <w:tcBorders>
              <w:top w:val="nil"/>
              <w:left w:val="single" w:color="auto" w:sz="4" w:space="0"/>
              <w:bottom w:val="single" w:color="auto" w:sz="4" w:space="0"/>
              <w:right w:val="single" w:color="auto" w:sz="4" w:space="0"/>
            </w:tcBorders>
            <w:vAlign w:val="center"/>
          </w:tcPr>
          <w:p w14:paraId="0BA2654D">
            <w:pPr>
              <w:pStyle w:val="196"/>
            </w:pPr>
            <w:r>
              <w:rPr>
                <w:rFonts w:hint="eastAsia"/>
              </w:rPr>
              <w:t>符合</w:t>
            </w:r>
          </w:p>
        </w:tc>
      </w:tr>
      <w:tr w14:paraId="0A907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96" w:type="pct"/>
            <w:tcBorders>
              <w:top w:val="single" w:color="auto" w:sz="4" w:space="0"/>
              <w:left w:val="single" w:color="auto" w:sz="4" w:space="0"/>
              <w:bottom w:val="single" w:color="auto" w:sz="4" w:space="0"/>
              <w:right w:val="single" w:color="auto" w:sz="4" w:space="0"/>
            </w:tcBorders>
            <w:vAlign w:val="center"/>
          </w:tcPr>
          <w:p w14:paraId="6C7455D0">
            <w:pPr>
              <w:pStyle w:val="196"/>
            </w:pPr>
            <w:r>
              <w:rPr>
                <w:rFonts w:hint="eastAsia"/>
              </w:rPr>
              <w:t>8</w:t>
            </w:r>
          </w:p>
        </w:tc>
        <w:tc>
          <w:tcPr>
            <w:tcW w:w="2455" w:type="pct"/>
            <w:gridSpan w:val="2"/>
            <w:tcBorders>
              <w:top w:val="single" w:color="auto" w:sz="4" w:space="0"/>
              <w:left w:val="single" w:color="auto" w:sz="4" w:space="0"/>
              <w:bottom w:val="single" w:color="auto" w:sz="4" w:space="0"/>
              <w:right w:val="single" w:color="auto" w:sz="4" w:space="0"/>
            </w:tcBorders>
            <w:vAlign w:val="center"/>
          </w:tcPr>
          <w:p w14:paraId="460CEFB1">
            <w:pPr>
              <w:pStyle w:val="196"/>
            </w:pPr>
            <w:r>
              <w:rPr>
                <w:rFonts w:hint="eastAsia"/>
              </w:rPr>
              <w:t>禁止新建、扩建不符合国家产能置换要求的严重过剩产能行业的项目。</w:t>
            </w:r>
          </w:p>
        </w:tc>
        <w:tc>
          <w:tcPr>
            <w:tcW w:w="0" w:type="auto"/>
            <w:vMerge w:val="continue"/>
            <w:tcBorders>
              <w:top w:val="nil"/>
              <w:left w:val="single" w:color="auto" w:sz="4" w:space="0"/>
              <w:bottom w:val="single" w:color="auto" w:sz="4" w:space="0"/>
              <w:right w:val="single" w:color="auto" w:sz="4" w:space="0"/>
            </w:tcBorders>
            <w:vAlign w:val="center"/>
          </w:tcPr>
          <w:p w14:paraId="79543F20">
            <w:pPr>
              <w:pStyle w:val="196"/>
              <w:rPr>
                <w:szCs w:val="21"/>
              </w:rPr>
            </w:pPr>
          </w:p>
        </w:tc>
        <w:tc>
          <w:tcPr>
            <w:tcW w:w="0" w:type="auto"/>
            <w:vMerge w:val="continue"/>
            <w:tcBorders>
              <w:top w:val="nil"/>
              <w:left w:val="single" w:color="auto" w:sz="4" w:space="0"/>
              <w:bottom w:val="single" w:color="auto" w:sz="4" w:space="0"/>
              <w:right w:val="single" w:color="auto" w:sz="4" w:space="0"/>
            </w:tcBorders>
            <w:vAlign w:val="center"/>
          </w:tcPr>
          <w:p w14:paraId="3006A90F">
            <w:pPr>
              <w:pStyle w:val="196"/>
              <w:rPr>
                <w:szCs w:val="21"/>
              </w:rPr>
            </w:pPr>
          </w:p>
        </w:tc>
      </w:tr>
    </w:tbl>
    <w:p w14:paraId="632A3B7C">
      <w:pPr>
        <w:pStyle w:val="84"/>
      </w:pPr>
      <w:r>
        <w:rPr>
          <w:rFonts w:hint="eastAsia"/>
        </w:rPr>
        <w:t>与《江苏省水污染防治条例》相符性分析</w:t>
      </w:r>
    </w:p>
    <w:p w14:paraId="6638F9E8">
      <w:pPr>
        <w:adjustRightInd w:val="0"/>
        <w:snapToGrid w:val="0"/>
        <w:ind w:firstLine="480"/>
        <w:rPr>
          <w:kern w:val="0"/>
          <w:szCs w:val="24"/>
        </w:rPr>
      </w:pPr>
      <w:r>
        <w:rPr>
          <w:rFonts w:hint="eastAsia" w:ascii="宋体" w:hAnsi="宋体"/>
          <w:kern w:val="0"/>
          <w:szCs w:val="24"/>
        </w:rPr>
        <w:t>项目与《江苏省水污染防治条例》相符性分析详见</w:t>
      </w:r>
      <w:bookmarkStart w:id="62" w:name="_Hlk181740116"/>
      <w:r>
        <w:rPr>
          <w:rFonts w:hint="eastAsia" w:ascii="宋体" w:hAnsi="宋体"/>
          <w:kern w:val="0"/>
          <w:szCs w:val="24"/>
        </w:rPr>
        <w:t>表</w:t>
      </w:r>
      <w:r>
        <w:rPr>
          <w:rFonts w:hint="eastAsia"/>
          <w:kern w:val="0"/>
          <w:szCs w:val="24"/>
        </w:rPr>
        <w:t>1.5-17</w:t>
      </w:r>
      <w:bookmarkEnd w:id="62"/>
      <w:r>
        <w:rPr>
          <w:rFonts w:hint="eastAsia" w:ascii="宋体" w:hAnsi="宋体"/>
          <w:kern w:val="0"/>
          <w:szCs w:val="24"/>
        </w:rPr>
        <w:t>。</w:t>
      </w:r>
    </w:p>
    <w:p w14:paraId="32D82EC5">
      <w:pPr>
        <w:pStyle w:val="86"/>
      </w:pPr>
      <w:r>
        <w:rPr>
          <w:rFonts w:hint="eastAsia"/>
        </w:rPr>
        <w:t>项目建设与江苏省水污染防治条例相符性分析</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5105"/>
        <w:gridCol w:w="839"/>
      </w:tblGrid>
      <w:tr w14:paraId="7BA3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1798" w:type="pct"/>
            <w:tcBorders>
              <w:top w:val="single" w:color="auto" w:sz="4" w:space="0"/>
              <w:left w:val="single" w:color="auto" w:sz="4" w:space="0"/>
              <w:bottom w:val="single" w:color="auto" w:sz="4" w:space="0"/>
              <w:right w:val="single" w:color="auto" w:sz="4" w:space="0"/>
            </w:tcBorders>
            <w:vAlign w:val="center"/>
          </w:tcPr>
          <w:p w14:paraId="2A870E37">
            <w:pPr>
              <w:pStyle w:val="196"/>
              <w:rPr>
                <w:b/>
                <w:bCs/>
                <w:szCs w:val="21"/>
              </w:rPr>
            </w:pPr>
            <w:r>
              <w:rPr>
                <w:rFonts w:hint="eastAsia"/>
                <w:b/>
                <w:bCs/>
              </w:rPr>
              <w:t>文件要求（涉及主要内容）</w:t>
            </w:r>
          </w:p>
        </w:tc>
        <w:tc>
          <w:tcPr>
            <w:tcW w:w="2750" w:type="pct"/>
            <w:tcBorders>
              <w:top w:val="single" w:color="auto" w:sz="4" w:space="0"/>
              <w:left w:val="single" w:color="auto" w:sz="4" w:space="0"/>
              <w:bottom w:val="single" w:color="auto" w:sz="4" w:space="0"/>
              <w:right w:val="single" w:color="auto" w:sz="4" w:space="0"/>
            </w:tcBorders>
            <w:vAlign w:val="center"/>
          </w:tcPr>
          <w:p w14:paraId="1A3914DF">
            <w:pPr>
              <w:pStyle w:val="196"/>
              <w:rPr>
                <w:b/>
                <w:bCs/>
              </w:rPr>
            </w:pPr>
            <w:r>
              <w:rPr>
                <w:rFonts w:hint="eastAsia"/>
                <w:b/>
                <w:bCs/>
              </w:rPr>
              <w:t>相符性分析</w:t>
            </w:r>
          </w:p>
        </w:tc>
        <w:tc>
          <w:tcPr>
            <w:tcW w:w="452" w:type="pct"/>
            <w:tcBorders>
              <w:top w:val="single" w:color="auto" w:sz="4" w:space="0"/>
              <w:left w:val="single" w:color="auto" w:sz="4" w:space="0"/>
              <w:bottom w:val="single" w:color="auto" w:sz="4" w:space="0"/>
              <w:right w:val="single" w:color="auto" w:sz="4" w:space="0"/>
            </w:tcBorders>
            <w:vAlign w:val="center"/>
          </w:tcPr>
          <w:p w14:paraId="1AE26E07">
            <w:pPr>
              <w:pStyle w:val="196"/>
              <w:rPr>
                <w:b/>
                <w:bCs/>
              </w:rPr>
            </w:pPr>
            <w:r>
              <w:rPr>
                <w:rFonts w:hint="eastAsia"/>
                <w:b/>
                <w:bCs/>
              </w:rPr>
              <w:t>是否相符</w:t>
            </w:r>
          </w:p>
        </w:tc>
      </w:tr>
      <w:tr w14:paraId="2B05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56E8DD2E">
            <w:pPr>
              <w:pStyle w:val="196"/>
            </w:pPr>
            <w:r>
              <w:rPr>
                <w:rFonts w:hint="eastAsia"/>
                <w:shd w:val="clear" w:color="auto" w:fill="FFFFFF"/>
              </w:rPr>
              <w:t>对超过重点水污染物排放总量控制指标或者未完成水环境质量改善目标的地区，省生态环境主管部门应当会同有关部门约谈相关地区人民政府的主要负责人，并暂停审批该地区新增重点水污染物排放总量的建设项目的环境影响评价文件</w:t>
            </w:r>
            <w:r>
              <w:rPr>
                <w:rFonts w:hint="eastAsia"/>
              </w:rPr>
              <w:t>。</w:t>
            </w:r>
          </w:p>
        </w:tc>
        <w:tc>
          <w:tcPr>
            <w:tcW w:w="2750" w:type="pct"/>
            <w:tcBorders>
              <w:top w:val="single" w:color="auto" w:sz="4" w:space="0"/>
              <w:left w:val="single" w:color="auto" w:sz="4" w:space="0"/>
              <w:bottom w:val="single" w:color="auto" w:sz="4" w:space="0"/>
              <w:right w:val="single" w:color="auto" w:sz="4" w:space="0"/>
            </w:tcBorders>
            <w:vAlign w:val="center"/>
          </w:tcPr>
          <w:p w14:paraId="3E7A0F58">
            <w:pPr>
              <w:pStyle w:val="196"/>
              <w:rPr>
                <w:highlight w:val="yellow"/>
              </w:rPr>
            </w:pPr>
            <w:r>
              <w:rPr>
                <w:rFonts w:hint="eastAsia"/>
              </w:rPr>
              <w:t>本项目地表水环境渠西河、盐河均满足《地表水环境质量标准》（GB3838-2002）中的相应水质标准。</w:t>
            </w:r>
          </w:p>
        </w:tc>
        <w:tc>
          <w:tcPr>
            <w:tcW w:w="452" w:type="pct"/>
            <w:tcBorders>
              <w:top w:val="single" w:color="auto" w:sz="4" w:space="0"/>
              <w:left w:val="single" w:color="auto" w:sz="4" w:space="0"/>
              <w:bottom w:val="single" w:color="auto" w:sz="4" w:space="0"/>
              <w:right w:val="single" w:color="auto" w:sz="4" w:space="0"/>
            </w:tcBorders>
            <w:vAlign w:val="center"/>
          </w:tcPr>
          <w:p w14:paraId="6BAB7071">
            <w:pPr>
              <w:pStyle w:val="196"/>
            </w:pPr>
            <w:r>
              <w:rPr>
                <w:rFonts w:hint="eastAsia"/>
              </w:rPr>
              <w:t>相符</w:t>
            </w:r>
          </w:p>
        </w:tc>
      </w:tr>
      <w:tr w14:paraId="37DB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10AD1E85">
            <w:pPr>
              <w:pStyle w:val="196"/>
            </w:pPr>
            <w:r>
              <w:rPr>
                <w:rFonts w:hint="eastAsia"/>
                <w:shd w:val="clear" w:color="auto" w:fill="FFFFFF"/>
              </w:rPr>
              <w:t>新建、改建、扩建直接或者间接向水体排放污染物的建设项目和其他水上设施，应当依法进行环境影响评价，并符合国家和省有关生态保护红线、环境准入清单、生态环境质量和资源利用的要求</w:t>
            </w:r>
          </w:p>
        </w:tc>
        <w:tc>
          <w:tcPr>
            <w:tcW w:w="2750" w:type="pct"/>
            <w:tcBorders>
              <w:top w:val="single" w:color="auto" w:sz="4" w:space="0"/>
              <w:left w:val="single" w:color="auto" w:sz="4" w:space="0"/>
              <w:bottom w:val="single" w:color="auto" w:sz="4" w:space="0"/>
              <w:right w:val="single" w:color="auto" w:sz="4" w:space="0"/>
            </w:tcBorders>
            <w:vAlign w:val="center"/>
          </w:tcPr>
          <w:p w14:paraId="5C78920E">
            <w:pPr>
              <w:pStyle w:val="196"/>
            </w:pPr>
            <w:r>
              <w:rPr>
                <w:rFonts w:hint="eastAsia"/>
              </w:rPr>
              <w:t>本项目依法开展环评，项目布局符合江苏省生态空间管控区域规划、环境准入负面清单和生态环境、资源利用的相关要求。</w:t>
            </w:r>
          </w:p>
        </w:tc>
        <w:tc>
          <w:tcPr>
            <w:tcW w:w="452" w:type="pct"/>
            <w:tcBorders>
              <w:top w:val="single" w:color="auto" w:sz="4" w:space="0"/>
              <w:left w:val="single" w:color="auto" w:sz="4" w:space="0"/>
              <w:bottom w:val="single" w:color="auto" w:sz="4" w:space="0"/>
              <w:right w:val="single" w:color="auto" w:sz="4" w:space="0"/>
            </w:tcBorders>
            <w:vAlign w:val="center"/>
          </w:tcPr>
          <w:p w14:paraId="188816B4">
            <w:pPr>
              <w:pStyle w:val="196"/>
            </w:pPr>
            <w:r>
              <w:rPr>
                <w:rFonts w:hint="eastAsia"/>
              </w:rPr>
              <w:t>相符</w:t>
            </w:r>
          </w:p>
        </w:tc>
      </w:tr>
      <w:tr w14:paraId="507F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02C66659">
            <w:pPr>
              <w:pStyle w:val="196"/>
            </w:pPr>
            <w:r>
              <w:rPr>
                <w:rFonts w:hint="eastAsia"/>
                <w:shd w:val="clear" w:color="auto" w:fill="FFFFFF"/>
              </w:rPr>
              <w:t>在江河、湖泊新建、改建、扩建入河排污口，或者已经设置的入河排污口位置、排放方式等需要调整的，不得违反有关</w:t>
            </w:r>
            <w:r>
              <w:rPr>
                <w:rFonts w:hint="eastAsia"/>
                <w:shd w:val="clear" w:color="auto" w:fill="FFFFFF"/>
                <w:lang w:eastAsia="zh-CN"/>
              </w:rPr>
              <w:t>法律法规</w:t>
            </w:r>
            <w:r>
              <w:rPr>
                <w:rFonts w:hint="eastAsia"/>
                <w:shd w:val="clear" w:color="auto" w:fill="FFFFFF"/>
              </w:rPr>
              <w:t>禁止设置入河排污口的规定，并依法经过批准</w:t>
            </w:r>
          </w:p>
        </w:tc>
        <w:tc>
          <w:tcPr>
            <w:tcW w:w="2750" w:type="pct"/>
            <w:tcBorders>
              <w:top w:val="single" w:color="auto" w:sz="4" w:space="0"/>
              <w:left w:val="single" w:color="auto" w:sz="4" w:space="0"/>
              <w:bottom w:val="single" w:color="auto" w:sz="4" w:space="0"/>
              <w:right w:val="single" w:color="auto" w:sz="4" w:space="0"/>
            </w:tcBorders>
            <w:vAlign w:val="center"/>
          </w:tcPr>
          <w:p w14:paraId="105119FC">
            <w:pPr>
              <w:pStyle w:val="196"/>
            </w:pPr>
            <w:r>
              <w:rPr>
                <w:rFonts w:hint="eastAsia"/>
              </w:rPr>
              <w:t>本项目不设置污水入河排污口。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p>
        </w:tc>
        <w:tc>
          <w:tcPr>
            <w:tcW w:w="452" w:type="pct"/>
            <w:tcBorders>
              <w:top w:val="single" w:color="auto" w:sz="4" w:space="0"/>
              <w:left w:val="single" w:color="auto" w:sz="4" w:space="0"/>
              <w:bottom w:val="single" w:color="auto" w:sz="4" w:space="0"/>
              <w:right w:val="single" w:color="auto" w:sz="4" w:space="0"/>
            </w:tcBorders>
            <w:vAlign w:val="center"/>
          </w:tcPr>
          <w:p w14:paraId="125E8E20">
            <w:pPr>
              <w:pStyle w:val="196"/>
            </w:pPr>
            <w:r>
              <w:rPr>
                <w:rFonts w:hint="eastAsia"/>
              </w:rPr>
              <w:t>相符</w:t>
            </w:r>
          </w:p>
        </w:tc>
      </w:tr>
      <w:tr w14:paraId="5DDD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3910F8D2">
            <w:pPr>
              <w:pStyle w:val="196"/>
            </w:pPr>
            <w:r>
              <w:rPr>
                <w:rFonts w:hint="eastAsia"/>
              </w:rPr>
              <w:t>实行排污许可管理的企业事业单位和其他生产经营者经依法批准设置入河排污口的，应当按照国家有关规定和生态环境监测标准、技术规范，在厂界处、入河处设置便于采样的监测点，设置标识牌，对所排放的水污染物自行监测并保存原始监测记录</w:t>
            </w:r>
          </w:p>
        </w:tc>
        <w:tc>
          <w:tcPr>
            <w:tcW w:w="2750" w:type="pct"/>
            <w:tcBorders>
              <w:top w:val="single" w:color="auto" w:sz="4" w:space="0"/>
              <w:left w:val="single" w:color="auto" w:sz="4" w:space="0"/>
              <w:bottom w:val="single" w:color="auto" w:sz="4" w:space="0"/>
              <w:right w:val="single" w:color="auto" w:sz="4" w:space="0"/>
            </w:tcBorders>
            <w:vAlign w:val="center"/>
          </w:tcPr>
          <w:p w14:paraId="5B2669D4">
            <w:pPr>
              <w:pStyle w:val="196"/>
            </w:pPr>
            <w:r>
              <w:rPr>
                <w:rFonts w:hint="eastAsia"/>
              </w:rPr>
              <w:t>本项目不设置入河排污口。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p>
        </w:tc>
        <w:tc>
          <w:tcPr>
            <w:tcW w:w="452" w:type="pct"/>
            <w:tcBorders>
              <w:top w:val="single" w:color="auto" w:sz="4" w:space="0"/>
              <w:left w:val="single" w:color="auto" w:sz="4" w:space="0"/>
              <w:bottom w:val="single" w:color="auto" w:sz="4" w:space="0"/>
              <w:right w:val="single" w:color="auto" w:sz="4" w:space="0"/>
            </w:tcBorders>
            <w:vAlign w:val="center"/>
          </w:tcPr>
          <w:p w14:paraId="6BB6C62D">
            <w:pPr>
              <w:pStyle w:val="196"/>
            </w:pPr>
            <w:r>
              <w:rPr>
                <w:rFonts w:hint="eastAsia"/>
              </w:rPr>
              <w:t>相符</w:t>
            </w:r>
          </w:p>
        </w:tc>
      </w:tr>
      <w:tr w14:paraId="4EEC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18D8D583">
            <w:pPr>
              <w:pStyle w:val="196"/>
            </w:pPr>
            <w:r>
              <w:rPr>
                <w:rFonts w:hint="eastAsia"/>
              </w:rPr>
              <w:t>禁止在长江干支流岸线规定范围内新建、扩建化工园区和化工项目，具体范围按照国家和省有关规定执行</w:t>
            </w:r>
          </w:p>
        </w:tc>
        <w:tc>
          <w:tcPr>
            <w:tcW w:w="2750" w:type="pct"/>
            <w:tcBorders>
              <w:top w:val="single" w:color="auto" w:sz="4" w:space="0"/>
              <w:left w:val="single" w:color="auto" w:sz="4" w:space="0"/>
              <w:bottom w:val="single" w:color="auto" w:sz="4" w:space="0"/>
              <w:right w:val="single" w:color="auto" w:sz="4" w:space="0"/>
            </w:tcBorders>
            <w:vAlign w:val="center"/>
          </w:tcPr>
          <w:p w14:paraId="5183BD08">
            <w:pPr>
              <w:pStyle w:val="196"/>
            </w:pPr>
            <w:r>
              <w:rPr>
                <w:rFonts w:hint="eastAsia"/>
              </w:rPr>
              <w:t>本项目不涉及长江干支流，也不属于化工园区和化工项目。</w:t>
            </w:r>
          </w:p>
        </w:tc>
        <w:tc>
          <w:tcPr>
            <w:tcW w:w="452" w:type="pct"/>
            <w:tcBorders>
              <w:top w:val="single" w:color="auto" w:sz="4" w:space="0"/>
              <w:left w:val="single" w:color="auto" w:sz="4" w:space="0"/>
              <w:bottom w:val="single" w:color="auto" w:sz="4" w:space="0"/>
              <w:right w:val="single" w:color="auto" w:sz="4" w:space="0"/>
            </w:tcBorders>
            <w:vAlign w:val="center"/>
          </w:tcPr>
          <w:p w14:paraId="45F7CFD2">
            <w:pPr>
              <w:pStyle w:val="196"/>
            </w:pPr>
            <w:r>
              <w:rPr>
                <w:rFonts w:hint="eastAsia"/>
              </w:rPr>
              <w:t>相符</w:t>
            </w:r>
          </w:p>
        </w:tc>
      </w:tr>
      <w:tr w14:paraId="7EFC6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62B934CA">
            <w:pPr>
              <w:pStyle w:val="196"/>
            </w:pPr>
            <w:r>
              <w:rPr>
                <w:rFonts w:hint="eastAsia"/>
              </w:rPr>
              <w:t>船舶排放含油污水、生活污水，应当符合船舶污染物排放标准。船舶的残油、废油应当回收，禁止排入水体。禁止向水体倾倒船舶垃圾。不符合排放规定的船舶污染物应当交由港口、码头、装卸站或者有资质的单位接收。船舶应当按照规定设置或者改造生活污水存储设施、船舶垃圾储存容器，并正常使用，不得停止使用或者挪作他用。含油污水、残油、油泥、含有毒液体物质洗舱水等船舶污染物、废弃物不得排入船舶生活污水存储设施或者船舶垃圾储存容器；属于危险废物的，应当按照有关危险废物的管理规定进行管理。</w:t>
            </w:r>
          </w:p>
        </w:tc>
        <w:tc>
          <w:tcPr>
            <w:tcW w:w="2750" w:type="pct"/>
            <w:tcBorders>
              <w:top w:val="single" w:color="auto" w:sz="4" w:space="0"/>
              <w:left w:val="single" w:color="auto" w:sz="4" w:space="0"/>
              <w:bottom w:val="single" w:color="auto" w:sz="4" w:space="0"/>
              <w:right w:val="single" w:color="auto" w:sz="4" w:space="0"/>
            </w:tcBorders>
            <w:vAlign w:val="center"/>
          </w:tcPr>
          <w:p w14:paraId="762B06E4">
            <w:pPr>
              <w:pStyle w:val="196"/>
            </w:pPr>
            <w:r>
              <w:rPr>
                <w:rFonts w:hint="eastAsia"/>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生活垃圾按照分类要求进行分类收集；垃圾日产日清，垃圾收集区域无暴露积存垃圾。装卸作业生产的固体废物、沉淀池污泥、废含油抹布及手套委托环卫部门定期清运；含油污泥和机修废油暂存于危废仓库，委托有资质单位处置。</w:t>
            </w:r>
          </w:p>
        </w:tc>
        <w:tc>
          <w:tcPr>
            <w:tcW w:w="452" w:type="pct"/>
            <w:tcBorders>
              <w:top w:val="single" w:color="auto" w:sz="4" w:space="0"/>
              <w:left w:val="single" w:color="auto" w:sz="4" w:space="0"/>
              <w:bottom w:val="single" w:color="auto" w:sz="4" w:space="0"/>
              <w:right w:val="single" w:color="auto" w:sz="4" w:space="0"/>
            </w:tcBorders>
            <w:vAlign w:val="center"/>
          </w:tcPr>
          <w:p w14:paraId="6BB44D0A">
            <w:pPr>
              <w:pStyle w:val="196"/>
            </w:pPr>
            <w:r>
              <w:rPr>
                <w:rFonts w:hint="eastAsia"/>
              </w:rPr>
              <w:t>相符</w:t>
            </w:r>
          </w:p>
        </w:tc>
      </w:tr>
      <w:tr w14:paraId="486E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798" w:type="pct"/>
            <w:tcBorders>
              <w:top w:val="single" w:color="auto" w:sz="4" w:space="0"/>
              <w:left w:val="single" w:color="auto" w:sz="4" w:space="0"/>
              <w:bottom w:val="single" w:color="auto" w:sz="4" w:space="0"/>
              <w:right w:val="single" w:color="auto" w:sz="4" w:space="0"/>
            </w:tcBorders>
            <w:vAlign w:val="center"/>
          </w:tcPr>
          <w:p w14:paraId="35220D98">
            <w:pPr>
              <w:pStyle w:val="196"/>
            </w:pPr>
            <w:r>
              <w:rPr>
                <w:rFonts w:hint="eastAsia"/>
              </w:rPr>
              <w:t>禁止在通榆河和本省行政区域内的长江、南水北调输水干线运输剧毒化学品以及国家规定禁止通过内河运输的其他危险化学品。</w:t>
            </w:r>
          </w:p>
        </w:tc>
        <w:tc>
          <w:tcPr>
            <w:tcW w:w="2750" w:type="pct"/>
            <w:tcBorders>
              <w:top w:val="single" w:color="auto" w:sz="4" w:space="0"/>
              <w:left w:val="single" w:color="auto" w:sz="4" w:space="0"/>
              <w:bottom w:val="single" w:color="auto" w:sz="4" w:space="0"/>
              <w:right w:val="single" w:color="auto" w:sz="4" w:space="0"/>
            </w:tcBorders>
            <w:vAlign w:val="center"/>
          </w:tcPr>
          <w:p w14:paraId="76706226">
            <w:pPr>
              <w:pStyle w:val="196"/>
            </w:pPr>
            <w:r>
              <w:rPr>
                <w:rFonts w:hint="eastAsia"/>
              </w:rPr>
              <w:t>本项目不涉及通榆河及长江、南水北调输水干线。本项目运输的货物为散货煤炭，不涉及剧毒化学品和其他危险化学品。</w:t>
            </w:r>
          </w:p>
        </w:tc>
        <w:tc>
          <w:tcPr>
            <w:tcW w:w="452" w:type="pct"/>
            <w:tcBorders>
              <w:top w:val="single" w:color="auto" w:sz="4" w:space="0"/>
              <w:left w:val="single" w:color="auto" w:sz="4" w:space="0"/>
              <w:bottom w:val="single" w:color="auto" w:sz="4" w:space="0"/>
              <w:right w:val="single" w:color="auto" w:sz="4" w:space="0"/>
            </w:tcBorders>
            <w:vAlign w:val="center"/>
          </w:tcPr>
          <w:p w14:paraId="50723527">
            <w:pPr>
              <w:pStyle w:val="196"/>
            </w:pPr>
            <w:r>
              <w:rPr>
                <w:rFonts w:hint="eastAsia"/>
              </w:rPr>
              <w:t>相符</w:t>
            </w:r>
          </w:p>
        </w:tc>
      </w:tr>
    </w:tbl>
    <w:p w14:paraId="3F4F4B89">
      <w:pPr>
        <w:pStyle w:val="84"/>
      </w:pPr>
      <w:r>
        <w:rPr>
          <w:rFonts w:hint="eastAsia"/>
        </w:rPr>
        <w:t>与《关于印发江苏省港口与船舶大气污染防治工作方案的通知》（苏环办〔2022〕258号）相符性分析</w:t>
      </w:r>
    </w:p>
    <w:p w14:paraId="60118D93">
      <w:pPr>
        <w:autoSpaceDE w:val="0"/>
        <w:autoSpaceDN w:val="0"/>
        <w:adjustRightInd w:val="0"/>
        <w:snapToGrid w:val="0"/>
        <w:ind w:firstLine="480"/>
        <w:rPr>
          <w:kern w:val="0"/>
          <w:szCs w:val="24"/>
        </w:rPr>
      </w:pPr>
      <w:r>
        <w:rPr>
          <w:rFonts w:hint="eastAsia" w:ascii="宋体" w:hAnsi="宋体"/>
          <w:kern w:val="0"/>
          <w:szCs w:val="24"/>
        </w:rPr>
        <w:t>为落实国家及江苏省关于深入打好污染防治攻坚战的意见要求，深入打好蓝天保卫战，持续改善环境空气质量，江苏省生态环境厅联合省交通运输厅、江苏海事局制定了江苏省港口与船舶大气污染防治工作方案。本项目与方案相关要求的相符性分析如下表。</w:t>
      </w:r>
    </w:p>
    <w:p w14:paraId="1C713332">
      <w:pPr>
        <w:pStyle w:val="86"/>
      </w:pPr>
      <w:r>
        <w:rPr>
          <w:rFonts w:hint="eastAsia"/>
        </w:rPr>
        <w:t>项目与（苏环办〔2022〕258号）相符性分析</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7"/>
        <w:gridCol w:w="3043"/>
        <w:gridCol w:w="754"/>
      </w:tblGrid>
      <w:tr w14:paraId="3031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55" w:type="pct"/>
            <w:tcBorders>
              <w:top w:val="single" w:color="auto" w:sz="4" w:space="0"/>
              <w:left w:val="single" w:color="auto" w:sz="4" w:space="0"/>
              <w:bottom w:val="single" w:color="auto" w:sz="4" w:space="0"/>
              <w:right w:val="single" w:color="auto" w:sz="4" w:space="0"/>
            </w:tcBorders>
            <w:vAlign w:val="center"/>
          </w:tcPr>
          <w:p w14:paraId="3DC5C321">
            <w:pPr>
              <w:pStyle w:val="196"/>
              <w:rPr>
                <w:b/>
                <w:bCs/>
                <w:szCs w:val="21"/>
              </w:rPr>
            </w:pPr>
            <w:r>
              <w:rPr>
                <w:rFonts w:hint="eastAsia"/>
                <w:b/>
                <w:bCs/>
              </w:rPr>
              <w:t>文件要求（涉及主要内容）</w:t>
            </w:r>
          </w:p>
        </w:tc>
        <w:tc>
          <w:tcPr>
            <w:tcW w:w="1639" w:type="pct"/>
            <w:tcBorders>
              <w:top w:val="single" w:color="auto" w:sz="4" w:space="0"/>
              <w:left w:val="single" w:color="auto" w:sz="4" w:space="0"/>
              <w:bottom w:val="single" w:color="auto" w:sz="4" w:space="0"/>
              <w:right w:val="single" w:color="auto" w:sz="4" w:space="0"/>
            </w:tcBorders>
            <w:vAlign w:val="center"/>
          </w:tcPr>
          <w:p w14:paraId="66DBAB24">
            <w:pPr>
              <w:pStyle w:val="196"/>
              <w:rPr>
                <w:b/>
                <w:bCs/>
              </w:rPr>
            </w:pPr>
            <w:r>
              <w:rPr>
                <w:rFonts w:hint="eastAsia"/>
                <w:b/>
                <w:bCs/>
              </w:rPr>
              <w:t>相符性分析</w:t>
            </w:r>
          </w:p>
        </w:tc>
        <w:tc>
          <w:tcPr>
            <w:tcW w:w="404" w:type="pct"/>
            <w:tcBorders>
              <w:top w:val="single" w:color="auto" w:sz="4" w:space="0"/>
              <w:left w:val="single" w:color="auto" w:sz="4" w:space="0"/>
              <w:bottom w:val="single" w:color="auto" w:sz="4" w:space="0"/>
              <w:right w:val="single" w:color="auto" w:sz="4" w:space="0"/>
            </w:tcBorders>
            <w:vAlign w:val="center"/>
          </w:tcPr>
          <w:p w14:paraId="14418256">
            <w:pPr>
              <w:pStyle w:val="196"/>
              <w:rPr>
                <w:b/>
                <w:bCs/>
              </w:rPr>
            </w:pPr>
            <w:r>
              <w:rPr>
                <w:rFonts w:hint="eastAsia"/>
                <w:b/>
                <w:bCs/>
              </w:rPr>
              <w:t>是否相符</w:t>
            </w:r>
          </w:p>
        </w:tc>
      </w:tr>
      <w:tr w14:paraId="7C64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27FD040">
            <w:pPr>
              <w:pStyle w:val="196"/>
            </w:pPr>
            <w:r>
              <w:rPr>
                <w:rFonts w:hint="eastAsia"/>
              </w:rPr>
              <w:t>二、工作目标</w:t>
            </w:r>
          </w:p>
        </w:tc>
      </w:tr>
      <w:tr w14:paraId="05FBA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tcBorders>
              <w:top w:val="single" w:color="auto" w:sz="4" w:space="0"/>
              <w:left w:val="single" w:color="auto" w:sz="4" w:space="0"/>
              <w:bottom w:val="single" w:color="auto" w:sz="4" w:space="0"/>
              <w:right w:val="single" w:color="auto" w:sz="4" w:space="0"/>
            </w:tcBorders>
            <w:vAlign w:val="center"/>
          </w:tcPr>
          <w:p w14:paraId="46B465E3">
            <w:pPr>
              <w:pStyle w:val="196"/>
            </w:pPr>
            <w:r>
              <w:rPr>
                <w:rFonts w:hint="eastAsia"/>
              </w:rPr>
              <w:t>港口粉尘治理深入推进。在确保安全的前提下，全省规模以上干散货港口适宜建设的，2023年底前力争实现封闭式料仓和封闭式皮带廊道运输系统全覆盖。</w:t>
            </w:r>
          </w:p>
        </w:tc>
        <w:tc>
          <w:tcPr>
            <w:tcW w:w="1639" w:type="pct"/>
            <w:tcBorders>
              <w:top w:val="single" w:color="auto" w:sz="4" w:space="0"/>
              <w:left w:val="single" w:color="auto" w:sz="4" w:space="0"/>
              <w:bottom w:val="single" w:color="auto" w:sz="4" w:space="0"/>
              <w:right w:val="single" w:color="auto" w:sz="4" w:space="0"/>
            </w:tcBorders>
            <w:vAlign w:val="center"/>
          </w:tcPr>
          <w:p w14:paraId="11B59719">
            <w:pPr>
              <w:pStyle w:val="196"/>
            </w:pPr>
            <w:r>
              <w:rPr>
                <w:rFonts w:hint="eastAsia"/>
              </w:rPr>
              <w:t>本项目实施依托后方热电厂区堆场，该堆场全封闭；散货煤炭通过密闭皮带输送至热电厂区封闭煤场内。</w:t>
            </w:r>
          </w:p>
        </w:tc>
        <w:tc>
          <w:tcPr>
            <w:tcW w:w="404" w:type="pct"/>
            <w:tcBorders>
              <w:top w:val="single" w:color="auto" w:sz="4" w:space="0"/>
              <w:left w:val="single" w:color="auto" w:sz="4" w:space="0"/>
              <w:bottom w:val="single" w:color="auto" w:sz="4" w:space="0"/>
              <w:right w:val="single" w:color="auto" w:sz="4" w:space="0"/>
            </w:tcBorders>
            <w:vAlign w:val="center"/>
          </w:tcPr>
          <w:p w14:paraId="7E72678E">
            <w:pPr>
              <w:pStyle w:val="196"/>
            </w:pPr>
            <w:r>
              <w:rPr>
                <w:rFonts w:hint="eastAsia"/>
              </w:rPr>
              <w:t>相符</w:t>
            </w:r>
          </w:p>
        </w:tc>
      </w:tr>
      <w:tr w14:paraId="0A3D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tcBorders>
              <w:top w:val="single" w:color="auto" w:sz="4" w:space="0"/>
              <w:left w:val="single" w:color="auto" w:sz="4" w:space="0"/>
              <w:bottom w:val="single" w:color="auto" w:sz="4" w:space="0"/>
              <w:right w:val="single" w:color="auto" w:sz="4" w:space="0"/>
            </w:tcBorders>
            <w:vAlign w:val="center"/>
          </w:tcPr>
          <w:p w14:paraId="22F88D4A">
            <w:pPr>
              <w:pStyle w:val="196"/>
            </w:pPr>
            <w:r>
              <w:rPr>
                <w:rFonts w:hint="eastAsia"/>
              </w:rPr>
              <w:t>推进岸电设施建设使用。2023年底前，完成干散货码头岸电设施建设和改造工作。2025年主要港口和排放控制区内靠港船舶的岸电使用电量在2020年基础上翻一番。</w:t>
            </w:r>
          </w:p>
        </w:tc>
        <w:tc>
          <w:tcPr>
            <w:tcW w:w="1639" w:type="pct"/>
            <w:tcBorders>
              <w:top w:val="single" w:color="auto" w:sz="4" w:space="0"/>
              <w:left w:val="single" w:color="auto" w:sz="4" w:space="0"/>
              <w:bottom w:val="single" w:color="auto" w:sz="4" w:space="0"/>
              <w:right w:val="single" w:color="auto" w:sz="4" w:space="0"/>
            </w:tcBorders>
            <w:vAlign w:val="center"/>
          </w:tcPr>
          <w:p w14:paraId="34510DA0">
            <w:pPr>
              <w:pStyle w:val="196"/>
            </w:pPr>
            <w:r>
              <w:rPr>
                <w:rFonts w:hint="eastAsia"/>
              </w:rPr>
              <w:t>本项目建设岸电工程。</w:t>
            </w:r>
          </w:p>
        </w:tc>
        <w:tc>
          <w:tcPr>
            <w:tcW w:w="404" w:type="pct"/>
            <w:tcBorders>
              <w:top w:val="single" w:color="auto" w:sz="4" w:space="0"/>
              <w:left w:val="single" w:color="auto" w:sz="4" w:space="0"/>
              <w:bottom w:val="single" w:color="auto" w:sz="4" w:space="0"/>
              <w:right w:val="single" w:color="auto" w:sz="4" w:space="0"/>
            </w:tcBorders>
            <w:vAlign w:val="center"/>
          </w:tcPr>
          <w:p w14:paraId="24848061">
            <w:pPr>
              <w:pStyle w:val="196"/>
            </w:pPr>
            <w:r>
              <w:rPr>
                <w:rFonts w:hint="eastAsia"/>
              </w:rPr>
              <w:t>相符</w:t>
            </w:r>
          </w:p>
        </w:tc>
      </w:tr>
      <w:tr w14:paraId="34655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7F0D182C">
            <w:pPr>
              <w:pStyle w:val="196"/>
            </w:pPr>
            <w:r>
              <w:rPr>
                <w:rFonts w:hint="eastAsia"/>
              </w:rPr>
              <w:t>三、工作要求</w:t>
            </w:r>
          </w:p>
        </w:tc>
      </w:tr>
      <w:tr w14:paraId="32C5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tcBorders>
              <w:top w:val="single" w:color="auto" w:sz="4" w:space="0"/>
              <w:left w:val="single" w:color="auto" w:sz="4" w:space="0"/>
              <w:bottom w:val="single" w:color="auto" w:sz="4" w:space="0"/>
              <w:right w:val="single" w:color="auto" w:sz="4" w:space="0"/>
            </w:tcBorders>
            <w:vAlign w:val="center"/>
          </w:tcPr>
          <w:p w14:paraId="2E156F5C">
            <w:pPr>
              <w:pStyle w:val="196"/>
            </w:pPr>
            <w:r>
              <w:rPr>
                <w:rFonts w:hint="eastAsia"/>
              </w:rPr>
              <w:t>干散货港口码头应采取综合抑尘措施。在确保安全的前提下，全省规模以上干散货港口适宜建设的，2023年底前力争实现封闭式料仓和封闭式皮带廊道运输系统全覆盖。</w:t>
            </w:r>
          </w:p>
          <w:p w14:paraId="075DF165">
            <w:pPr>
              <w:pStyle w:val="196"/>
            </w:pPr>
            <w:r>
              <w:rPr>
                <w:rFonts w:hint="eastAsia"/>
              </w:rPr>
              <w:t>装卸作业要求：装卸船机、带斗门机、堆场堆取料设备、翻车机、装车机等应根据物流特性采用适宜的除尘抑尘方式。装船机、卸船机皮带头部设置密闭罩，装船机尾车、臂架皮带机两侧及装船机行走段皮带机、卸船机行走段皮带机设置挡风板。</w:t>
            </w:r>
          </w:p>
          <w:p w14:paraId="3A02626B">
            <w:pPr>
              <w:pStyle w:val="196"/>
            </w:pPr>
            <w:r>
              <w:rPr>
                <w:rFonts w:hint="eastAsia"/>
              </w:rPr>
              <w:t>输送作业要求：带式输送机除需要与装卸设备配套的部分外采用廊道等予以封闭，同时应考虑安全要求。建设有转接站的应在转接落料、抑尘点处设置封闭式导料槽、密闭罩、防尘帘等密闭设施，并优先采用干雾抑尘、静电除尘、布袋除尘等方式。强化转运作业扬尘污染防治，外出车辆冲洗干净后方可驶离港区。</w:t>
            </w:r>
          </w:p>
          <w:p w14:paraId="08867B97">
            <w:pPr>
              <w:pStyle w:val="196"/>
            </w:pPr>
            <w:r>
              <w:rPr>
                <w:rFonts w:hint="eastAsia"/>
              </w:rPr>
              <w:t>堆存要求：按照交通运输部发布的《港口干散货封闭式料仓工艺设计规范》（JTS/T 186—2022）要求，推进建设筒仓、穹顶</w:t>
            </w:r>
            <w:r>
              <w:rPr>
                <w:rFonts w:hint="eastAsia"/>
                <w:lang w:eastAsia="zh-CN"/>
              </w:rPr>
              <w:t>圆形</w:t>
            </w:r>
            <w:r>
              <w:rPr>
                <w:rFonts w:hint="eastAsia"/>
              </w:rPr>
              <w:t>料仓、</w:t>
            </w:r>
            <w:r>
              <w:rPr>
                <w:rFonts w:hint="eastAsia"/>
                <w:lang w:eastAsia="zh-CN"/>
              </w:rPr>
              <w:t>条形</w:t>
            </w:r>
            <w:r>
              <w:rPr>
                <w:rFonts w:hint="eastAsia"/>
              </w:rPr>
              <w:t>仓、平房仓等封闭式料仓。煤炭封闭式料仓可选用筒仓、穹顶</w:t>
            </w:r>
            <w:r>
              <w:rPr>
                <w:rFonts w:hint="eastAsia"/>
                <w:lang w:eastAsia="zh-CN"/>
              </w:rPr>
              <w:t>圆形</w:t>
            </w:r>
            <w:r>
              <w:rPr>
                <w:rFonts w:hint="eastAsia"/>
              </w:rPr>
              <w:t>料仓、条型仓等；矿石封闭式料仓可选用条型仓等；粮食封闭式料仓可选用筒仓、平房仓等；化肥封闭式料仓可采用平房仓等；水泥封闭式料仓可采用筒仓等。尚未进入封闭式料仓的物料，应根据需要对堆场设置防风抑尘网、围墙等防尘屏障。除不宜洒水降尘的货种外，鼓励规模以上港口配备固定式喷枪洒水（或</w:t>
            </w:r>
            <w:r>
              <w:rPr>
                <w:rFonts w:hint="eastAsia"/>
                <w:lang w:eastAsia="zh-CN"/>
              </w:rPr>
              <w:t>高杆</w:t>
            </w:r>
            <w:r>
              <w:rPr>
                <w:rFonts w:hint="eastAsia"/>
              </w:rPr>
              <w:t>喷雾）抑尘系统，其他可采用移动式洒水等设施。</w:t>
            </w:r>
          </w:p>
        </w:tc>
        <w:tc>
          <w:tcPr>
            <w:tcW w:w="1639" w:type="pct"/>
            <w:tcBorders>
              <w:top w:val="single" w:color="auto" w:sz="4" w:space="0"/>
              <w:left w:val="single" w:color="auto" w:sz="4" w:space="0"/>
              <w:bottom w:val="single" w:color="auto" w:sz="4" w:space="0"/>
              <w:right w:val="single" w:color="auto" w:sz="4" w:space="0"/>
            </w:tcBorders>
            <w:vAlign w:val="center"/>
          </w:tcPr>
          <w:p w14:paraId="2A4005BB">
            <w:pPr>
              <w:pStyle w:val="196"/>
            </w:pPr>
            <w:r>
              <w:rPr>
                <w:rFonts w:hint="eastAsia"/>
              </w:rPr>
              <w:t>本项目煤炭装卸采用的桥式抓斗卸煤机装有干雾抑尘装置，抓斗卸船时，落料落差低于1.5米，煤炭输送带采用密闭方式，转运站采用密闭方式且仓顶装有布袋除尘器；船舱清理采用小型推耙机，并配以人工辅助，清舱期间采用洒水抑尘，并在大风天气（不利气象条件下）停止装卸作业。本项目无汽车转运作业。</w:t>
            </w:r>
          </w:p>
        </w:tc>
        <w:tc>
          <w:tcPr>
            <w:tcW w:w="404" w:type="pct"/>
            <w:tcBorders>
              <w:top w:val="single" w:color="auto" w:sz="4" w:space="0"/>
              <w:left w:val="single" w:color="auto" w:sz="4" w:space="0"/>
              <w:bottom w:val="single" w:color="auto" w:sz="4" w:space="0"/>
              <w:right w:val="single" w:color="auto" w:sz="4" w:space="0"/>
            </w:tcBorders>
            <w:vAlign w:val="center"/>
          </w:tcPr>
          <w:p w14:paraId="7528A169">
            <w:pPr>
              <w:pStyle w:val="196"/>
            </w:pPr>
            <w:r>
              <w:rPr>
                <w:rFonts w:hint="eastAsia"/>
              </w:rPr>
              <w:t>相符</w:t>
            </w:r>
          </w:p>
        </w:tc>
      </w:tr>
      <w:tr w14:paraId="7C89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tcBorders>
              <w:top w:val="single" w:color="auto" w:sz="4" w:space="0"/>
              <w:left w:val="single" w:color="auto" w:sz="4" w:space="0"/>
              <w:bottom w:val="single" w:color="auto" w:sz="4" w:space="0"/>
              <w:right w:val="single" w:color="auto" w:sz="4" w:space="0"/>
            </w:tcBorders>
            <w:vAlign w:val="center"/>
          </w:tcPr>
          <w:p w14:paraId="50A0BAD3">
            <w:pPr>
              <w:pStyle w:val="196"/>
            </w:pPr>
            <w:r>
              <w:rPr>
                <w:rFonts w:hint="eastAsia"/>
              </w:rPr>
              <w:t>（五）强化岸电设施建设使用</w:t>
            </w:r>
          </w:p>
          <w:p w14:paraId="412C05C5">
            <w:pPr>
              <w:pStyle w:val="196"/>
            </w:pPr>
            <w:r>
              <w:rPr>
                <w:rFonts w:hint="eastAsia"/>
              </w:rPr>
              <w:t>1.推进码头岸电设施建设</w:t>
            </w:r>
          </w:p>
          <w:p w14:paraId="50E63D98">
            <w:pPr>
              <w:pStyle w:val="196"/>
            </w:pPr>
            <w:r>
              <w:rPr>
                <w:rFonts w:hint="eastAsia"/>
              </w:rPr>
              <w:t>新、改、扩建码头工程应严格执行《港口和船舶岸电管理办法》《码头岸电设施建设技术规范》等相关要求，确保码头岸电设施供电能力与靠泊船舶的用电需求相适应。港口企业应按照相关规范对岸电进行更新或升级改造，并定期组织开展岸电检测情况监督检查。2022年底前，完成沿海、沿江煤炭干散货码头、长江干线商品车滚装码头、长江干线集装箱码头岸电设施建设和改造工作。2023年底前，完成全省干散货码头岸电设施建设和改造工作。2025年底前，推动长江港口非危码头岸电覆盖率100%。</w:t>
            </w:r>
          </w:p>
          <w:p w14:paraId="2BD5C0B1">
            <w:pPr>
              <w:pStyle w:val="196"/>
            </w:pPr>
            <w:r>
              <w:rPr>
                <w:rFonts w:hint="eastAsia"/>
              </w:rPr>
              <w:t>2.强化船舶受电设施建设改造</w:t>
            </w:r>
          </w:p>
          <w:p w14:paraId="424E2349">
            <w:pPr>
              <w:pStyle w:val="196"/>
            </w:pPr>
            <w:r>
              <w:rPr>
                <w:rFonts w:hint="eastAsia"/>
              </w:rPr>
              <w:t>推进滚装船、600总吨及以上干散货船和多用途船等船舶岸电系统受电设施改造。2023年底前，基本完成内河滚装船、1200总吨及以上内河干散货船和多用途船、海进江船受电设施改造；2025年底前，基本完成600总吨及以上内河干散货船和多用途船改造工作。鼓励其他类型运输船舶（散装液体危险货物运输船舶除外）实施改造。</w:t>
            </w:r>
          </w:p>
          <w:p w14:paraId="4AAC9151">
            <w:pPr>
              <w:pStyle w:val="196"/>
            </w:pPr>
            <w:r>
              <w:rPr>
                <w:rFonts w:hint="eastAsia"/>
              </w:rPr>
              <w:t>3.提高岸电设施使用率</w:t>
            </w:r>
          </w:p>
          <w:p w14:paraId="594FBC8C">
            <w:pPr>
              <w:pStyle w:val="196"/>
            </w:pPr>
            <w:r>
              <w:rPr>
                <w:rFonts w:hint="eastAsia"/>
              </w:rPr>
              <w:t>推进船舶靠港使用岸电常态化。2023年，靠港2小时及以上且无等效替代措施情况下，长江干线集装箱船靠港岸电使用率比2020年提升80%。2025年，靠港2小时及以上且无等效替代措施情况下，1200总吨及以上的内河干散货船靠港岸电使用率比2020年提升90%；主要港口和排放控制区内靠港船舶的岸电使用电量在2020年基础上翻一番，具备岸电供电条件的码头、水上服务区岸电应用尽用。</w:t>
            </w:r>
          </w:p>
        </w:tc>
        <w:tc>
          <w:tcPr>
            <w:tcW w:w="1639" w:type="pct"/>
            <w:tcBorders>
              <w:top w:val="single" w:color="auto" w:sz="4" w:space="0"/>
              <w:left w:val="single" w:color="auto" w:sz="4" w:space="0"/>
              <w:bottom w:val="single" w:color="auto" w:sz="4" w:space="0"/>
              <w:right w:val="single" w:color="auto" w:sz="4" w:space="0"/>
            </w:tcBorders>
            <w:vAlign w:val="center"/>
          </w:tcPr>
          <w:p w14:paraId="630124D1">
            <w:pPr>
              <w:pStyle w:val="196"/>
            </w:pPr>
            <w:r>
              <w:rPr>
                <w:rFonts w:hint="eastAsia"/>
              </w:rPr>
              <w:t>本项目建设岸电工程，并推进船舶靠港使用岸电常态化，提高岸电设施使用率。</w:t>
            </w:r>
          </w:p>
        </w:tc>
        <w:tc>
          <w:tcPr>
            <w:tcW w:w="404" w:type="pct"/>
            <w:tcBorders>
              <w:top w:val="single" w:color="auto" w:sz="4" w:space="0"/>
              <w:left w:val="single" w:color="auto" w:sz="4" w:space="0"/>
              <w:bottom w:val="single" w:color="auto" w:sz="4" w:space="0"/>
              <w:right w:val="single" w:color="auto" w:sz="4" w:space="0"/>
            </w:tcBorders>
            <w:vAlign w:val="center"/>
          </w:tcPr>
          <w:p w14:paraId="3DEE5D96">
            <w:pPr>
              <w:pStyle w:val="196"/>
            </w:pPr>
            <w:r>
              <w:rPr>
                <w:rFonts w:hint="eastAsia"/>
              </w:rPr>
              <w:t>相符</w:t>
            </w:r>
          </w:p>
        </w:tc>
      </w:tr>
      <w:tr w14:paraId="7A49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5" w:type="pct"/>
            <w:tcBorders>
              <w:top w:val="single" w:color="auto" w:sz="4" w:space="0"/>
              <w:left w:val="single" w:color="auto" w:sz="4" w:space="0"/>
              <w:bottom w:val="single" w:color="auto" w:sz="4" w:space="0"/>
              <w:right w:val="single" w:color="auto" w:sz="4" w:space="0"/>
            </w:tcBorders>
            <w:vAlign w:val="center"/>
          </w:tcPr>
          <w:p w14:paraId="33ACF240">
            <w:pPr>
              <w:pStyle w:val="196"/>
            </w:pPr>
            <w:r>
              <w:rPr>
                <w:rFonts w:hint="eastAsia"/>
              </w:rPr>
              <w:t>（八）提高监测监控能力</w:t>
            </w:r>
          </w:p>
          <w:p w14:paraId="0CD64B35">
            <w:pPr>
              <w:pStyle w:val="196"/>
            </w:pPr>
            <w:r>
              <w:rPr>
                <w:rFonts w:hint="eastAsia"/>
              </w:rPr>
              <w:t>加快智慧港口建设，2022年底前，从事易起尘货种装卸的港口码头粉尘在线监测覆盖率100%。2023年底前，从事原油成品油装卸作业的港口码头已建油气回收设施在线监测覆盖率力争达100%。新建港口码头需依法安装相应的污染物排放在线监测设备。强化非现场监管能力，推进在线监测数据互联共享、分析应用。探索船舶尾气遥感遥测系统建设和船舶尾气排放在线监测设备试点。</w:t>
            </w:r>
          </w:p>
        </w:tc>
        <w:tc>
          <w:tcPr>
            <w:tcW w:w="1639" w:type="pct"/>
            <w:tcBorders>
              <w:top w:val="single" w:color="auto" w:sz="4" w:space="0"/>
              <w:left w:val="single" w:color="auto" w:sz="4" w:space="0"/>
              <w:bottom w:val="single" w:color="auto" w:sz="4" w:space="0"/>
              <w:right w:val="single" w:color="auto" w:sz="4" w:space="0"/>
            </w:tcBorders>
            <w:vAlign w:val="center"/>
          </w:tcPr>
          <w:p w14:paraId="140FEE73">
            <w:pPr>
              <w:pStyle w:val="196"/>
            </w:pPr>
            <w:r>
              <w:rPr>
                <w:rFonts w:hint="eastAsia"/>
              </w:rPr>
              <w:t>本项目不涉及原油成品油装卸。本项目建设单位将按照文件要求及相关管理部门的统一部署，建设粉尘在线监测系统，数据互联共享。</w:t>
            </w:r>
          </w:p>
        </w:tc>
        <w:tc>
          <w:tcPr>
            <w:tcW w:w="404" w:type="pct"/>
            <w:tcBorders>
              <w:top w:val="single" w:color="auto" w:sz="4" w:space="0"/>
              <w:left w:val="single" w:color="auto" w:sz="4" w:space="0"/>
              <w:bottom w:val="single" w:color="auto" w:sz="4" w:space="0"/>
              <w:right w:val="single" w:color="auto" w:sz="4" w:space="0"/>
            </w:tcBorders>
            <w:vAlign w:val="center"/>
          </w:tcPr>
          <w:p w14:paraId="423B5C1D">
            <w:pPr>
              <w:pStyle w:val="196"/>
            </w:pPr>
            <w:r>
              <w:rPr>
                <w:rFonts w:hint="eastAsia"/>
              </w:rPr>
              <w:t>相符</w:t>
            </w:r>
          </w:p>
        </w:tc>
      </w:tr>
    </w:tbl>
    <w:p w14:paraId="7328933F">
      <w:pPr>
        <w:adjustRightInd w:val="0"/>
        <w:snapToGrid w:val="0"/>
        <w:ind w:firstLine="480"/>
        <w:rPr>
          <w:rFonts w:cs="Times New Roman"/>
          <w:kern w:val="0"/>
          <w:szCs w:val="24"/>
        </w:rPr>
      </w:pPr>
      <w:r>
        <w:rPr>
          <w:rFonts w:hint="eastAsia" w:ascii="宋体" w:hAnsi="宋体"/>
          <w:kern w:val="0"/>
          <w:szCs w:val="24"/>
        </w:rPr>
        <w:t>综上，本项目建设与《关于印发江苏省港口与船舶大气污染防治工作方案的通知》（苏环办〔</w:t>
      </w:r>
      <w:r>
        <w:rPr>
          <w:rFonts w:hint="eastAsia"/>
          <w:kern w:val="0"/>
          <w:szCs w:val="24"/>
        </w:rPr>
        <w:t>2022</w:t>
      </w:r>
      <w:r>
        <w:rPr>
          <w:rFonts w:hint="eastAsia" w:ascii="宋体" w:hAnsi="宋体"/>
          <w:kern w:val="0"/>
          <w:szCs w:val="24"/>
        </w:rPr>
        <w:t>〕</w:t>
      </w:r>
      <w:r>
        <w:rPr>
          <w:rFonts w:hint="eastAsia"/>
          <w:kern w:val="0"/>
          <w:szCs w:val="24"/>
        </w:rPr>
        <w:t>258</w:t>
      </w:r>
      <w:r>
        <w:rPr>
          <w:rFonts w:hint="eastAsia" w:ascii="宋体" w:hAnsi="宋体"/>
          <w:kern w:val="0"/>
          <w:szCs w:val="24"/>
        </w:rPr>
        <w:t>号）要求相符。</w:t>
      </w:r>
    </w:p>
    <w:p w14:paraId="5A068664">
      <w:pPr>
        <w:pStyle w:val="84"/>
      </w:pPr>
      <w:r>
        <w:rPr>
          <w:rFonts w:hint="eastAsia"/>
        </w:rPr>
        <w:t>与《江苏省大气颗粒物污染防治管理办法》（省政府令第91号）相符性分析</w:t>
      </w:r>
    </w:p>
    <w:p w14:paraId="475E8631">
      <w:pPr>
        <w:pStyle w:val="93"/>
        <w:rPr>
          <w:kern w:val="0"/>
          <w:szCs w:val="24"/>
        </w:rPr>
      </w:pPr>
      <w:r>
        <w:rPr>
          <w:rFonts w:hint="eastAsia"/>
        </w:rPr>
        <w:t>《江苏省大气颗粒物污染防治管理办法》提出：港口码头、建设工地和钢铁、火电、建材等企业的物料堆放场所应当按照要求进行地面硬化，并采取密闭、围挡、遮盖、喷淋、绿化、设置防风抑尘网等措施。物料装卸可以密闭作业的应当密闭，避免作业起尘。大型煤场、物料堆放场所应当建立密闭料仓与传送装置。</w:t>
      </w:r>
    </w:p>
    <w:p w14:paraId="104ED3CE">
      <w:pPr>
        <w:pStyle w:val="93"/>
        <w:rPr>
          <w:rFonts w:cs="Times New Roman"/>
        </w:rPr>
      </w:pPr>
      <w:r>
        <w:rPr>
          <w:rFonts w:hint="eastAsia"/>
        </w:rPr>
        <w:t>本码头新建项目不涉及高污染工业项目，属于港口码头项目，提供散杂煤炭的运输服务，码头不设置物料堆场。本项目港口码头物料的卸船运输实行全过程控制，防止物料扬散，采取各类除尘、抑尘设施；抓斗卸船时，落料落差低于1.5m；码头落地的物料清扫后回用；向堆场的转运采用封闭式固定皮带，符合《江苏省大气颗粒物污染防治管理办法》（省政府令第91号）中的相关要求。</w:t>
      </w:r>
    </w:p>
    <w:p w14:paraId="3B203CAF">
      <w:pPr>
        <w:pStyle w:val="84"/>
      </w:pPr>
      <w:r>
        <w:rPr>
          <w:rFonts w:hint="eastAsia"/>
        </w:rPr>
        <w:t>与《江苏省港口粉尘综合治理专项行动实施方案》（苏交港〔2017〕11号）相符性分析</w:t>
      </w:r>
    </w:p>
    <w:p w14:paraId="5EC4DDEA">
      <w:pPr>
        <w:pStyle w:val="93"/>
      </w:pPr>
      <w:r>
        <w:rPr>
          <w:rFonts w:hint="eastAsia"/>
        </w:rPr>
        <w:t>与《江苏省港口粉尘综合治理专项行动实施方案》（苏交港〔2017〕11号）相符性分析详见表1.5-19。</w:t>
      </w:r>
    </w:p>
    <w:p w14:paraId="418239C4">
      <w:pPr>
        <w:pStyle w:val="86"/>
      </w:pPr>
      <w:r>
        <w:rPr>
          <w:rFonts w:hint="eastAsia"/>
        </w:rPr>
        <w:t>项目与苏交港〔2017〕11号的相符性</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4"/>
        <w:gridCol w:w="3155"/>
        <w:gridCol w:w="907"/>
      </w:tblGrid>
      <w:tr w14:paraId="49BF6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813" w:type="pct"/>
            <w:tcBorders>
              <w:top w:val="single" w:color="auto" w:sz="4" w:space="0"/>
              <w:left w:val="single" w:color="auto" w:sz="4" w:space="0"/>
              <w:bottom w:val="single" w:color="auto" w:sz="4" w:space="0"/>
              <w:right w:val="single" w:color="auto" w:sz="4" w:space="0"/>
            </w:tcBorders>
            <w:vAlign w:val="center"/>
          </w:tcPr>
          <w:p w14:paraId="3BEEF34A">
            <w:pPr>
              <w:pStyle w:val="196"/>
              <w:rPr>
                <w:b/>
                <w:bCs/>
                <w:szCs w:val="21"/>
              </w:rPr>
            </w:pPr>
            <w:r>
              <w:rPr>
                <w:rFonts w:hint="eastAsia"/>
                <w:b/>
                <w:bCs/>
              </w:rPr>
              <w:t>文件要求（涉及主要内容）</w:t>
            </w:r>
          </w:p>
        </w:tc>
        <w:tc>
          <w:tcPr>
            <w:tcW w:w="1699" w:type="pct"/>
            <w:tcBorders>
              <w:top w:val="single" w:color="auto" w:sz="4" w:space="0"/>
              <w:left w:val="single" w:color="auto" w:sz="4" w:space="0"/>
              <w:bottom w:val="single" w:color="auto" w:sz="4" w:space="0"/>
              <w:right w:val="single" w:color="auto" w:sz="4" w:space="0"/>
            </w:tcBorders>
            <w:vAlign w:val="center"/>
          </w:tcPr>
          <w:p w14:paraId="58F8249D">
            <w:pPr>
              <w:pStyle w:val="196"/>
              <w:rPr>
                <w:b/>
                <w:bCs/>
              </w:rPr>
            </w:pPr>
            <w:r>
              <w:rPr>
                <w:rFonts w:hint="eastAsia"/>
                <w:b/>
                <w:bCs/>
              </w:rPr>
              <w:t>相符性分析</w:t>
            </w:r>
          </w:p>
        </w:tc>
        <w:tc>
          <w:tcPr>
            <w:tcW w:w="488" w:type="pct"/>
            <w:tcBorders>
              <w:top w:val="single" w:color="auto" w:sz="4" w:space="0"/>
              <w:left w:val="single" w:color="auto" w:sz="4" w:space="0"/>
              <w:bottom w:val="single" w:color="auto" w:sz="4" w:space="0"/>
              <w:right w:val="single" w:color="auto" w:sz="4" w:space="0"/>
            </w:tcBorders>
            <w:vAlign w:val="center"/>
          </w:tcPr>
          <w:p w14:paraId="42A186DB">
            <w:pPr>
              <w:pStyle w:val="196"/>
              <w:rPr>
                <w:b/>
                <w:bCs/>
              </w:rPr>
            </w:pPr>
            <w:r>
              <w:rPr>
                <w:rFonts w:hint="eastAsia"/>
                <w:b/>
                <w:bCs/>
              </w:rPr>
              <w:t>是否相符</w:t>
            </w:r>
          </w:p>
        </w:tc>
      </w:tr>
      <w:tr w14:paraId="52F2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op w:val="single" w:color="auto" w:sz="4" w:space="0"/>
              <w:left w:val="single" w:color="auto" w:sz="4" w:space="0"/>
              <w:bottom w:val="single" w:color="auto" w:sz="4" w:space="0"/>
              <w:right w:val="single" w:color="auto" w:sz="4" w:space="0"/>
            </w:tcBorders>
            <w:vAlign w:val="center"/>
          </w:tcPr>
          <w:p w14:paraId="4F05F682">
            <w:pPr>
              <w:pStyle w:val="196"/>
              <w:jc w:val="left"/>
              <w:rPr>
                <w:rFonts w:cs="Times New Roman"/>
                <w:szCs w:val="21"/>
              </w:rPr>
            </w:pPr>
            <w:r>
              <w:rPr>
                <w:rFonts w:hint="eastAsia" w:cs="Times New Roman"/>
                <w:szCs w:val="21"/>
              </w:rPr>
              <w:t>1、堆场扬尘综合防治措施</w:t>
            </w:r>
          </w:p>
          <w:p w14:paraId="32CEB4A4">
            <w:pPr>
              <w:pStyle w:val="196"/>
              <w:rPr>
                <w:rFonts w:cs="Times New Roman"/>
                <w:szCs w:val="21"/>
              </w:rPr>
            </w:pPr>
            <w:r>
              <w:rPr>
                <w:rFonts w:hint="eastAsia" w:cs="Times New Roman"/>
                <w:szCs w:val="21"/>
              </w:rPr>
              <w:t>露天堆场应根据需要设置防风抑尘网、围墙、防护林等防尘屏障，并采取洒水抑尘、干雾抑尘、苫盖等粉尘控制措施。大型堆场应配备固定式喷枪洒水（或</w:t>
            </w:r>
            <w:r>
              <w:rPr>
                <w:rFonts w:hint="eastAsia" w:cs="Times New Roman"/>
                <w:szCs w:val="21"/>
                <w:lang w:eastAsia="zh-CN"/>
              </w:rPr>
              <w:t>高秆</w:t>
            </w:r>
            <w:r>
              <w:rPr>
                <w:rFonts w:hint="eastAsia" w:cs="Times New Roman"/>
                <w:szCs w:val="21"/>
              </w:rPr>
              <w:t>喷雾）抑尘系统，小型堆场也可采用移动式洒水（或</w:t>
            </w:r>
            <w:r>
              <w:rPr>
                <w:rFonts w:hint="eastAsia" w:cs="Times New Roman"/>
                <w:szCs w:val="21"/>
                <w:lang w:eastAsia="zh-CN"/>
              </w:rPr>
              <w:t>高秆</w:t>
            </w:r>
            <w:r>
              <w:rPr>
                <w:rFonts w:hint="eastAsia" w:cs="Times New Roman"/>
                <w:szCs w:val="21"/>
              </w:rPr>
              <w:t>喷雾）设施。防风抑尘网高度宜取堆垛高度的1.1-1.5倍，且高出堆垛部分不应小于1米，开孔率为30%</w:t>
            </w:r>
            <w:r>
              <w:rPr>
                <w:rFonts w:hint="eastAsia" w:cs="Times New Roman"/>
                <w:szCs w:val="21"/>
                <w:lang w:eastAsia="zh-CN"/>
              </w:rPr>
              <w:t>～</w:t>
            </w:r>
            <w:r>
              <w:rPr>
                <w:rFonts w:hint="eastAsia" w:cs="Times New Roman"/>
                <w:szCs w:val="21"/>
              </w:rPr>
              <w:t>40%。</w:t>
            </w:r>
          </w:p>
          <w:p w14:paraId="3EF4C222">
            <w:pPr>
              <w:pStyle w:val="196"/>
              <w:rPr>
                <w:rFonts w:cs="Times New Roman"/>
                <w:szCs w:val="21"/>
                <w:lang w:val="en-US"/>
              </w:rPr>
            </w:pPr>
            <w:r>
              <w:rPr>
                <w:rFonts w:hint="eastAsia" w:cs="Times New Roman"/>
                <w:szCs w:val="21"/>
              </w:rPr>
              <w:t>电厂等煤炭专用码头实施半封闭或封闭堆存方式，并满足安全要求。</w:t>
            </w:r>
          </w:p>
        </w:tc>
        <w:tc>
          <w:tcPr>
            <w:tcW w:w="1699" w:type="pct"/>
            <w:tcBorders>
              <w:top w:val="single" w:color="auto" w:sz="4" w:space="0"/>
              <w:left w:val="single" w:color="auto" w:sz="4" w:space="0"/>
              <w:bottom w:val="single" w:color="auto" w:sz="4" w:space="0"/>
              <w:right w:val="single" w:color="auto" w:sz="4" w:space="0"/>
            </w:tcBorders>
            <w:vAlign w:val="center"/>
          </w:tcPr>
          <w:p w14:paraId="4EC861ED">
            <w:pPr>
              <w:pStyle w:val="196"/>
              <w:rPr>
                <w:rFonts w:cs="Times New Roman"/>
                <w:szCs w:val="21"/>
              </w:rPr>
            </w:pPr>
            <w:r>
              <w:rPr>
                <w:rFonts w:hint="eastAsia" w:cs="Times New Roman"/>
                <w:szCs w:val="21"/>
              </w:rPr>
              <w:t>本项目为电厂配套码头项目，属于电厂的煤炭专用码头，项目不涉及露天堆场。本项目码头煤炭卸料后直接通过封闭输煤栈桥输送至后方电厂封闭煤场。</w:t>
            </w:r>
          </w:p>
        </w:tc>
        <w:tc>
          <w:tcPr>
            <w:tcW w:w="488" w:type="pct"/>
            <w:tcBorders>
              <w:top w:val="single" w:color="auto" w:sz="4" w:space="0"/>
              <w:left w:val="single" w:color="auto" w:sz="4" w:space="0"/>
              <w:bottom w:val="single" w:color="auto" w:sz="4" w:space="0"/>
              <w:right w:val="single" w:color="auto" w:sz="4" w:space="0"/>
            </w:tcBorders>
            <w:vAlign w:val="center"/>
          </w:tcPr>
          <w:p w14:paraId="78619730">
            <w:pPr>
              <w:pStyle w:val="196"/>
              <w:rPr>
                <w:rFonts w:cs="Times New Roman"/>
                <w:szCs w:val="21"/>
              </w:rPr>
            </w:pPr>
            <w:r>
              <w:rPr>
                <w:rFonts w:hint="eastAsia" w:cs="Times New Roman"/>
                <w:szCs w:val="21"/>
              </w:rPr>
              <w:t>相符</w:t>
            </w:r>
          </w:p>
        </w:tc>
      </w:tr>
      <w:tr w14:paraId="17B2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op w:val="single" w:color="auto" w:sz="4" w:space="0"/>
              <w:left w:val="single" w:color="auto" w:sz="4" w:space="0"/>
              <w:bottom w:val="single" w:color="auto" w:sz="4" w:space="0"/>
              <w:right w:val="single" w:color="auto" w:sz="4" w:space="0"/>
            </w:tcBorders>
            <w:vAlign w:val="center"/>
          </w:tcPr>
          <w:p w14:paraId="2929B4C8">
            <w:pPr>
              <w:pStyle w:val="196"/>
              <w:jc w:val="left"/>
              <w:rPr>
                <w:rFonts w:cs="Times New Roman"/>
                <w:szCs w:val="21"/>
              </w:rPr>
            </w:pPr>
            <w:r>
              <w:rPr>
                <w:rFonts w:hint="eastAsia" w:cs="Times New Roman"/>
                <w:szCs w:val="21"/>
              </w:rPr>
              <w:t>2、装卸设备粉尘控制措施</w:t>
            </w:r>
          </w:p>
          <w:p w14:paraId="40091826">
            <w:pPr>
              <w:pStyle w:val="196"/>
              <w:rPr>
                <w:rFonts w:cs="Times New Roman"/>
                <w:szCs w:val="21"/>
              </w:rPr>
            </w:pPr>
            <w:r>
              <w:rPr>
                <w:rFonts w:hint="eastAsia" w:cs="Times New Roman"/>
                <w:szCs w:val="21"/>
              </w:rPr>
              <w:t>装卸机械采取适用的抑尘措施，在不利气象条件下停止作业。装卸船机、带斗门机、堆场堆取料设备、翻车机、装车机等宜采用湿法除尘抑尘方式。带式输送机除需要与装卸设备配套的部分外应采用皮带罩或廊道予以封闭，同时考虑安全要求，避免火灾和烟囱效应。转接站应在转接落料、抑尘点处设置导料槽、密闭罩、防尘帘等密闭设施，并优先采用干雾抑尘、微动力除尘、静电除尘、布袋除尘等方式。煤炭筛分鼓励有条件的堆场建设专用筛分库房，筛分量较小的设置固定场地，且在防风抑尘网范围内进行，作业同时喷淋。</w:t>
            </w:r>
          </w:p>
          <w:p w14:paraId="37F04C30">
            <w:pPr>
              <w:pStyle w:val="196"/>
              <w:rPr>
                <w:rFonts w:cs="Times New Roman"/>
                <w:szCs w:val="21"/>
              </w:rPr>
            </w:pPr>
            <w:r>
              <w:rPr>
                <w:rFonts w:hint="eastAsia" w:cs="Times New Roman"/>
                <w:szCs w:val="21"/>
              </w:rPr>
              <w:t>电厂等煤炭专用码头进行封闭式作业工艺改造，采用封闭带式输送机系统替代原有的自卸汽车，采用堆取料机装卸作业替代原有单斗装载机作业等。</w:t>
            </w:r>
          </w:p>
        </w:tc>
        <w:tc>
          <w:tcPr>
            <w:tcW w:w="1699" w:type="pct"/>
            <w:tcBorders>
              <w:top w:val="single" w:color="auto" w:sz="4" w:space="0"/>
              <w:left w:val="single" w:color="auto" w:sz="4" w:space="0"/>
              <w:bottom w:val="single" w:color="auto" w:sz="4" w:space="0"/>
              <w:right w:val="single" w:color="auto" w:sz="4" w:space="0"/>
            </w:tcBorders>
            <w:vAlign w:val="center"/>
          </w:tcPr>
          <w:p w14:paraId="18A793DF">
            <w:pPr>
              <w:pStyle w:val="196"/>
              <w:rPr>
                <w:rFonts w:cs="Times New Roman"/>
                <w:szCs w:val="21"/>
              </w:rPr>
            </w:pPr>
            <w:r>
              <w:rPr>
                <w:rFonts w:hint="eastAsia" w:cs="Times New Roman"/>
                <w:szCs w:val="21"/>
              </w:rPr>
              <w:t>本项目港口码头物料的卸船运输实行全过程控制，防止物料扬散，采取各类除尘、抑尘设施；抓斗卸船时，落料落差低于1.5m；码头落地的物料清扫后回用；向堆场的转运采用封闭式固定皮带；转运站采用密闭方式且仓顶装有布袋除尘器。在运营过程中装卸时采用喷淋降尘的方式减少粉尘产生量，在吊机抓斗落料处的料斗顶端设置洒水喷嘴，作业时喷水形成水幕，抑制落料时所产生的粉尘</w:t>
            </w:r>
          </w:p>
        </w:tc>
        <w:tc>
          <w:tcPr>
            <w:tcW w:w="488" w:type="pct"/>
            <w:tcBorders>
              <w:top w:val="single" w:color="auto" w:sz="4" w:space="0"/>
              <w:left w:val="single" w:color="auto" w:sz="4" w:space="0"/>
              <w:bottom w:val="single" w:color="auto" w:sz="4" w:space="0"/>
              <w:right w:val="single" w:color="auto" w:sz="4" w:space="0"/>
            </w:tcBorders>
            <w:vAlign w:val="center"/>
          </w:tcPr>
          <w:p w14:paraId="6FE0A1F5">
            <w:pPr>
              <w:pStyle w:val="196"/>
              <w:rPr>
                <w:rFonts w:cs="Times New Roman"/>
                <w:szCs w:val="21"/>
              </w:rPr>
            </w:pPr>
            <w:r>
              <w:rPr>
                <w:rFonts w:hint="eastAsia" w:cs="Times New Roman"/>
                <w:szCs w:val="21"/>
              </w:rPr>
              <w:t>相符</w:t>
            </w:r>
          </w:p>
        </w:tc>
      </w:tr>
      <w:tr w14:paraId="3B35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3" w:type="pct"/>
            <w:tcBorders>
              <w:top w:val="single" w:color="auto" w:sz="4" w:space="0"/>
              <w:left w:val="single" w:color="auto" w:sz="4" w:space="0"/>
              <w:bottom w:val="single" w:color="auto" w:sz="4" w:space="0"/>
              <w:right w:val="single" w:color="auto" w:sz="4" w:space="0"/>
            </w:tcBorders>
            <w:vAlign w:val="center"/>
          </w:tcPr>
          <w:p w14:paraId="2972D39F">
            <w:pPr>
              <w:pStyle w:val="196"/>
              <w:jc w:val="left"/>
              <w:rPr>
                <w:rFonts w:cs="Times New Roman"/>
                <w:szCs w:val="21"/>
              </w:rPr>
            </w:pPr>
            <w:r>
              <w:rPr>
                <w:rFonts w:hint="eastAsia" w:cs="Times New Roman"/>
                <w:szCs w:val="21"/>
              </w:rPr>
              <w:t>3、汽车转运粉尘控制措施</w:t>
            </w:r>
          </w:p>
          <w:p w14:paraId="352D4BD6">
            <w:pPr>
              <w:pStyle w:val="196"/>
              <w:rPr>
                <w:rFonts w:cs="Times New Roman"/>
                <w:szCs w:val="21"/>
              </w:rPr>
            </w:pPr>
            <w:r>
              <w:rPr>
                <w:rFonts w:hint="eastAsia" w:cs="Times New Roman"/>
                <w:szCs w:val="21"/>
              </w:rPr>
              <w:t>港口散货运输车辆优先采用封闭车型，敞篷车型必须对车厢进行覆盖封闭，防止抛洒滴漏。有车辆进出的码头堆场应在港区出口处设置车辆清洗的专用场地，冲洗范围应包括车轮和车架。鼓励有条件的港口企业设置车辆自动冲洗场地，并在汽车装卸车作业点配备移动式远程射雾器进行喷雾抑尘。</w:t>
            </w:r>
          </w:p>
        </w:tc>
        <w:tc>
          <w:tcPr>
            <w:tcW w:w="1699" w:type="pct"/>
            <w:tcBorders>
              <w:top w:val="single" w:color="auto" w:sz="4" w:space="0"/>
              <w:left w:val="single" w:color="auto" w:sz="4" w:space="0"/>
              <w:bottom w:val="single" w:color="auto" w:sz="4" w:space="0"/>
              <w:right w:val="single" w:color="auto" w:sz="4" w:space="0"/>
            </w:tcBorders>
            <w:vAlign w:val="center"/>
          </w:tcPr>
          <w:p w14:paraId="25C318C0">
            <w:pPr>
              <w:pStyle w:val="196"/>
              <w:rPr>
                <w:rFonts w:cs="Times New Roman"/>
                <w:szCs w:val="21"/>
              </w:rPr>
            </w:pPr>
            <w:r>
              <w:rPr>
                <w:rFonts w:hint="eastAsia" w:cs="Times New Roman"/>
                <w:szCs w:val="21"/>
              </w:rPr>
              <w:t>本项目为电厂配套码头项目，本项目码头煤炭卸料后直接通过封闭输煤栈桥输送至后方电厂封闭煤场。不涉及散货运输车辆</w:t>
            </w:r>
          </w:p>
        </w:tc>
        <w:tc>
          <w:tcPr>
            <w:tcW w:w="488" w:type="pct"/>
            <w:tcBorders>
              <w:top w:val="single" w:color="auto" w:sz="4" w:space="0"/>
              <w:left w:val="single" w:color="auto" w:sz="4" w:space="0"/>
              <w:bottom w:val="single" w:color="auto" w:sz="4" w:space="0"/>
              <w:right w:val="single" w:color="auto" w:sz="4" w:space="0"/>
            </w:tcBorders>
            <w:vAlign w:val="center"/>
          </w:tcPr>
          <w:p w14:paraId="48994695">
            <w:pPr>
              <w:pStyle w:val="196"/>
              <w:rPr>
                <w:rFonts w:cs="Times New Roman"/>
                <w:szCs w:val="21"/>
              </w:rPr>
            </w:pPr>
            <w:r>
              <w:rPr>
                <w:rFonts w:hint="eastAsia" w:cs="Times New Roman"/>
                <w:szCs w:val="21"/>
              </w:rPr>
              <w:t>相符</w:t>
            </w:r>
          </w:p>
        </w:tc>
      </w:tr>
      <w:tr w14:paraId="0C03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3" w:type="pct"/>
            <w:tcBorders>
              <w:top w:val="single" w:color="auto" w:sz="4" w:space="0"/>
              <w:left w:val="single" w:color="auto" w:sz="4" w:space="0"/>
              <w:bottom w:val="single" w:color="auto" w:sz="4" w:space="0"/>
              <w:right w:val="single" w:color="auto" w:sz="4" w:space="0"/>
            </w:tcBorders>
            <w:vAlign w:val="center"/>
          </w:tcPr>
          <w:p w14:paraId="101DE841">
            <w:pPr>
              <w:pStyle w:val="196"/>
              <w:jc w:val="left"/>
              <w:rPr>
                <w:rFonts w:cs="Times New Roman"/>
                <w:szCs w:val="21"/>
              </w:rPr>
            </w:pPr>
            <w:r>
              <w:rPr>
                <w:rFonts w:hint="eastAsia" w:cs="Times New Roman"/>
                <w:szCs w:val="21"/>
              </w:rPr>
              <w:t>4、道路扬尘控制措施</w:t>
            </w:r>
          </w:p>
          <w:p w14:paraId="6663CB85">
            <w:pPr>
              <w:pStyle w:val="196"/>
              <w:rPr>
                <w:rFonts w:cs="Times New Roman"/>
                <w:szCs w:val="21"/>
              </w:rPr>
            </w:pPr>
            <w:r>
              <w:rPr>
                <w:rFonts w:hint="eastAsia" w:cs="Times New Roman"/>
                <w:szCs w:val="21"/>
              </w:rPr>
              <w:t>港区主干道及辅助道路进行铺装、硬化处理，并对破损路面应及时修复。鼓励有条件的企业采用钢筋混凝土道路结构并采用机械化清扫方式，并配以洒水抑尘。</w:t>
            </w:r>
          </w:p>
        </w:tc>
        <w:tc>
          <w:tcPr>
            <w:tcW w:w="1699" w:type="pct"/>
            <w:tcBorders>
              <w:top w:val="single" w:color="auto" w:sz="4" w:space="0"/>
              <w:left w:val="single" w:color="auto" w:sz="4" w:space="0"/>
              <w:bottom w:val="single" w:color="auto" w:sz="4" w:space="0"/>
              <w:right w:val="single" w:color="auto" w:sz="4" w:space="0"/>
            </w:tcBorders>
            <w:vAlign w:val="center"/>
          </w:tcPr>
          <w:p w14:paraId="1D839937">
            <w:pPr>
              <w:pStyle w:val="196"/>
              <w:rPr>
                <w:rFonts w:cs="Times New Roman"/>
                <w:szCs w:val="21"/>
              </w:rPr>
            </w:pPr>
            <w:r>
              <w:rPr>
                <w:rFonts w:hint="eastAsia"/>
              </w:rPr>
              <w:t>给水设计中考虑定期对道路冲洗，</w:t>
            </w:r>
            <w:r>
              <w:rPr>
                <w:rFonts w:hint="eastAsia"/>
                <w:spacing w:val="6"/>
              </w:rPr>
              <w:t>道路铺面结构采用现浇普通混凝土铺面结构，</w:t>
            </w:r>
            <w:r>
              <w:rPr>
                <w:rFonts w:hint="eastAsia"/>
              </w:rPr>
              <w:t>结构整体性好，耐久性高，每天定期清扫，从而有效减少码头道路扬尘。</w:t>
            </w:r>
          </w:p>
        </w:tc>
        <w:tc>
          <w:tcPr>
            <w:tcW w:w="488" w:type="pct"/>
            <w:tcBorders>
              <w:top w:val="single" w:color="auto" w:sz="4" w:space="0"/>
              <w:left w:val="single" w:color="auto" w:sz="4" w:space="0"/>
              <w:bottom w:val="single" w:color="auto" w:sz="4" w:space="0"/>
              <w:right w:val="single" w:color="auto" w:sz="4" w:space="0"/>
            </w:tcBorders>
            <w:vAlign w:val="center"/>
          </w:tcPr>
          <w:p w14:paraId="5C999C09">
            <w:pPr>
              <w:pStyle w:val="196"/>
              <w:rPr>
                <w:rFonts w:cs="Times New Roman"/>
                <w:szCs w:val="21"/>
              </w:rPr>
            </w:pPr>
            <w:r>
              <w:rPr>
                <w:rFonts w:hint="eastAsia" w:cs="Times New Roman"/>
                <w:szCs w:val="21"/>
              </w:rPr>
              <w:t>相符</w:t>
            </w:r>
          </w:p>
        </w:tc>
      </w:tr>
      <w:tr w14:paraId="0231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13" w:type="pct"/>
            <w:tcBorders>
              <w:top w:val="single" w:color="auto" w:sz="4" w:space="0"/>
              <w:left w:val="single" w:color="auto" w:sz="4" w:space="0"/>
              <w:bottom w:val="single" w:color="auto" w:sz="4" w:space="0"/>
              <w:right w:val="single" w:color="auto" w:sz="4" w:space="0"/>
            </w:tcBorders>
            <w:vAlign w:val="center"/>
          </w:tcPr>
          <w:p w14:paraId="0C25A040">
            <w:pPr>
              <w:pStyle w:val="196"/>
              <w:jc w:val="left"/>
              <w:rPr>
                <w:rFonts w:cs="Times New Roman"/>
                <w:szCs w:val="21"/>
              </w:rPr>
            </w:pPr>
            <w:r>
              <w:rPr>
                <w:rFonts w:hint="eastAsia" w:cs="Times New Roman"/>
                <w:szCs w:val="21"/>
              </w:rPr>
              <w:t>（三）加强粉尘监测监控</w:t>
            </w:r>
          </w:p>
          <w:p w14:paraId="1A817E49">
            <w:pPr>
              <w:pStyle w:val="196"/>
              <w:jc w:val="left"/>
              <w:rPr>
                <w:rFonts w:cs="Times New Roman"/>
                <w:szCs w:val="21"/>
              </w:rPr>
            </w:pPr>
            <w:r>
              <w:rPr>
                <w:rFonts w:hint="eastAsia" w:cs="Times New Roman"/>
                <w:szCs w:val="21"/>
              </w:rPr>
              <w:t>加快推进覆盖全省主要港口的粉尘监测网建设，在从事易起尘货种装卸的港口区域安装粉尘在线监测设备，监测数据按照相关技术要求接入市级环保监控平台</w:t>
            </w:r>
            <w:r>
              <w:rPr>
                <w:rFonts w:hint="eastAsia" w:cs="Times New Roman"/>
                <w:szCs w:val="21"/>
                <w:lang w:eastAsia="zh-CN"/>
              </w:rPr>
              <w:t>，与</w:t>
            </w:r>
            <w:r>
              <w:rPr>
                <w:rFonts w:hint="eastAsia" w:cs="Times New Roman"/>
                <w:szCs w:val="21"/>
              </w:rPr>
              <w:t>交通运输（港口）管理部门实时共享数据信息。</w:t>
            </w:r>
          </w:p>
        </w:tc>
        <w:tc>
          <w:tcPr>
            <w:tcW w:w="1699" w:type="pct"/>
            <w:tcBorders>
              <w:top w:val="single" w:color="auto" w:sz="4" w:space="0"/>
              <w:left w:val="single" w:color="auto" w:sz="4" w:space="0"/>
              <w:bottom w:val="single" w:color="auto" w:sz="4" w:space="0"/>
              <w:right w:val="single" w:color="auto" w:sz="4" w:space="0"/>
            </w:tcBorders>
            <w:vAlign w:val="center"/>
          </w:tcPr>
          <w:p w14:paraId="74D6717C">
            <w:pPr>
              <w:pStyle w:val="196"/>
              <w:rPr>
                <w:rFonts w:cs="Times New Roman"/>
                <w:szCs w:val="21"/>
              </w:rPr>
            </w:pPr>
            <w:r>
              <w:rPr>
                <w:rFonts w:hint="eastAsia" w:cs="Times New Roman"/>
                <w:szCs w:val="21"/>
              </w:rPr>
              <w:t>本项目建设有港口能耗在线监测系统和污染物排放在线监测系统，能够进行码头粉尘监测</w:t>
            </w:r>
          </w:p>
        </w:tc>
        <w:tc>
          <w:tcPr>
            <w:tcW w:w="488" w:type="pct"/>
            <w:tcBorders>
              <w:top w:val="single" w:color="auto" w:sz="4" w:space="0"/>
              <w:left w:val="single" w:color="auto" w:sz="4" w:space="0"/>
              <w:bottom w:val="single" w:color="auto" w:sz="4" w:space="0"/>
              <w:right w:val="single" w:color="auto" w:sz="4" w:space="0"/>
            </w:tcBorders>
            <w:vAlign w:val="center"/>
          </w:tcPr>
          <w:p w14:paraId="61CCA060">
            <w:pPr>
              <w:pStyle w:val="196"/>
              <w:rPr>
                <w:rFonts w:cs="Times New Roman"/>
                <w:szCs w:val="21"/>
              </w:rPr>
            </w:pPr>
            <w:r>
              <w:rPr>
                <w:rFonts w:hint="eastAsia" w:cs="Times New Roman"/>
                <w:szCs w:val="21"/>
              </w:rPr>
              <w:t>相符</w:t>
            </w:r>
          </w:p>
        </w:tc>
      </w:tr>
    </w:tbl>
    <w:p w14:paraId="3C2E9999">
      <w:pPr>
        <w:pStyle w:val="93"/>
        <w:rPr>
          <w:rFonts w:cs="Times New Roman"/>
        </w:rPr>
      </w:pPr>
      <w:r>
        <w:rPr>
          <w:rFonts w:hint="eastAsia"/>
        </w:rPr>
        <w:t>本项目符合《江苏省港口粉尘综合治理专项行动实施方案》中的相关要求。</w:t>
      </w:r>
    </w:p>
    <w:p w14:paraId="62C76590">
      <w:pPr>
        <w:pStyle w:val="84"/>
      </w:pPr>
      <w:r>
        <w:rPr>
          <w:rFonts w:hint="eastAsia"/>
        </w:rPr>
        <w:t>与《江苏省重点行业堆场扬尘污染防治指导意见（试行）》（苏环办〔2021〕80号）相符性分析</w:t>
      </w:r>
    </w:p>
    <w:p w14:paraId="16903422">
      <w:pPr>
        <w:pStyle w:val="93"/>
      </w:pPr>
      <w:r>
        <w:rPr>
          <w:rFonts w:hint="eastAsia"/>
        </w:rPr>
        <w:t>本项目与《江苏省重点行业堆场扬尘污染防治指导意见（试行）》（苏环办〔2021〕80号）相符性分析详见表1.5-20。</w:t>
      </w:r>
    </w:p>
    <w:p w14:paraId="352CC8A1">
      <w:pPr>
        <w:pStyle w:val="86"/>
      </w:pPr>
      <w:r>
        <w:rPr>
          <w:rFonts w:hint="eastAsia"/>
        </w:rPr>
        <w:t>项目与苏环办〔2021〕80号文相符性分析</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44"/>
        <w:gridCol w:w="3536"/>
        <w:gridCol w:w="906"/>
      </w:tblGrid>
      <w:tr w14:paraId="5B04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608" w:type="pct"/>
            <w:tcBorders>
              <w:top w:val="single" w:color="auto" w:sz="4" w:space="0"/>
              <w:left w:val="single" w:color="auto" w:sz="4" w:space="0"/>
              <w:bottom w:val="single" w:color="auto" w:sz="4" w:space="0"/>
              <w:right w:val="single" w:color="auto" w:sz="4" w:space="0"/>
            </w:tcBorders>
            <w:vAlign w:val="center"/>
          </w:tcPr>
          <w:p w14:paraId="12199EE2">
            <w:pPr>
              <w:pStyle w:val="196"/>
              <w:rPr>
                <w:b/>
                <w:bCs/>
                <w:szCs w:val="21"/>
              </w:rPr>
            </w:pPr>
            <w:r>
              <w:rPr>
                <w:rFonts w:hint="eastAsia"/>
                <w:b/>
                <w:bCs/>
              </w:rPr>
              <w:t>文件要求（涉及港口主要内容）</w:t>
            </w:r>
          </w:p>
        </w:tc>
        <w:tc>
          <w:tcPr>
            <w:tcW w:w="1904" w:type="pct"/>
            <w:tcBorders>
              <w:top w:val="single" w:color="auto" w:sz="4" w:space="0"/>
              <w:left w:val="single" w:color="auto" w:sz="4" w:space="0"/>
              <w:bottom w:val="single" w:color="auto" w:sz="4" w:space="0"/>
              <w:right w:val="single" w:color="auto" w:sz="4" w:space="0"/>
            </w:tcBorders>
            <w:vAlign w:val="center"/>
          </w:tcPr>
          <w:p w14:paraId="7BF10822">
            <w:pPr>
              <w:pStyle w:val="196"/>
              <w:rPr>
                <w:b/>
                <w:bCs/>
              </w:rPr>
            </w:pPr>
            <w:r>
              <w:rPr>
                <w:rFonts w:hint="eastAsia"/>
                <w:b/>
                <w:bCs/>
              </w:rPr>
              <w:t>相符性分析</w:t>
            </w:r>
          </w:p>
        </w:tc>
        <w:tc>
          <w:tcPr>
            <w:tcW w:w="488" w:type="pct"/>
            <w:tcBorders>
              <w:top w:val="single" w:color="auto" w:sz="4" w:space="0"/>
              <w:left w:val="single" w:color="auto" w:sz="4" w:space="0"/>
              <w:bottom w:val="single" w:color="auto" w:sz="4" w:space="0"/>
              <w:right w:val="single" w:color="auto" w:sz="4" w:space="0"/>
            </w:tcBorders>
            <w:vAlign w:val="center"/>
          </w:tcPr>
          <w:p w14:paraId="68D1FDDB">
            <w:pPr>
              <w:pStyle w:val="196"/>
              <w:rPr>
                <w:b/>
                <w:bCs/>
              </w:rPr>
            </w:pPr>
            <w:r>
              <w:rPr>
                <w:rFonts w:hint="eastAsia"/>
                <w:b/>
                <w:bCs/>
              </w:rPr>
              <w:t>是否相符</w:t>
            </w:r>
          </w:p>
        </w:tc>
      </w:tr>
      <w:tr w14:paraId="66F2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8" w:type="pct"/>
            <w:tcBorders>
              <w:top w:val="single" w:color="auto" w:sz="4" w:space="0"/>
              <w:left w:val="single" w:color="auto" w:sz="4" w:space="0"/>
              <w:bottom w:val="single" w:color="auto" w:sz="4" w:space="0"/>
              <w:right w:val="single" w:color="auto" w:sz="4" w:space="0"/>
            </w:tcBorders>
            <w:vAlign w:val="center"/>
          </w:tcPr>
          <w:p w14:paraId="5B2DCE2C">
            <w:pPr>
              <w:pStyle w:val="196"/>
              <w:jc w:val="left"/>
              <w:rPr>
                <w:rFonts w:cs="Times New Roman"/>
                <w:szCs w:val="21"/>
              </w:rPr>
            </w:pPr>
            <w:r>
              <w:rPr>
                <w:rFonts w:hint="eastAsia" w:cs="Times New Roman"/>
                <w:szCs w:val="21"/>
              </w:rPr>
              <w:t>1.物料存储环节：经营煤炭、砂石、矿建材的，应采取条仓、筒仓等封闭或者半封闭存储措施；散装水泥、超细粉应采用筒仓等封闭措施进行储存，袋装水泥、超细粉应采用库房等封闭措施进行储存，上述措施应满足安全生产要求。码头应配置流动清扫车、洒水车或喷扫两用车并配备必要的冲洗设备。块状物料采用露天堆场堆存的，应根据需要对堆场设置防风抑尘网、围墙、防护林等防尘屏障，堆垛四周应设置连续围堰，堆场的运输通道应机械吸尘、清扫。除不宜洒水降尘的货种外，露天堆场应配备喷枪洒水、</w:t>
            </w:r>
            <w:r>
              <w:rPr>
                <w:rFonts w:hint="eastAsia" w:cs="Times New Roman"/>
                <w:szCs w:val="21"/>
                <w:lang w:eastAsia="zh-CN"/>
              </w:rPr>
              <w:t>高秆</w:t>
            </w:r>
            <w:r>
              <w:rPr>
                <w:rFonts w:hint="eastAsia" w:cs="Times New Roman"/>
                <w:szCs w:val="21"/>
              </w:rPr>
              <w:t>喷雾等抑尘系统。不宜洒水降尘的货种，露天堆场应采取苫盖等粉尘控制措施。</w:t>
            </w:r>
          </w:p>
        </w:tc>
        <w:tc>
          <w:tcPr>
            <w:tcW w:w="1904" w:type="pct"/>
            <w:tcBorders>
              <w:top w:val="single" w:color="auto" w:sz="4" w:space="0"/>
              <w:left w:val="single" w:color="auto" w:sz="4" w:space="0"/>
              <w:bottom w:val="single" w:color="auto" w:sz="4" w:space="0"/>
              <w:right w:val="single" w:color="auto" w:sz="4" w:space="0"/>
            </w:tcBorders>
            <w:vAlign w:val="center"/>
          </w:tcPr>
          <w:p w14:paraId="074B50F8">
            <w:pPr>
              <w:pStyle w:val="196"/>
              <w:rPr>
                <w:rFonts w:cs="Times New Roman"/>
                <w:szCs w:val="21"/>
              </w:rPr>
            </w:pPr>
            <w:r>
              <w:rPr>
                <w:rFonts w:hint="eastAsia" w:cs="Times New Roman"/>
                <w:szCs w:val="21"/>
              </w:rPr>
              <w:t>本项目为电厂配套码头项目，属于电厂的煤炭专用码头，项目不涉及露天堆场。本项目码头煤炭卸料后直接通过封闭输煤栈桥输送至后方电厂封闭煤场。码头配备冲洗设备。</w:t>
            </w:r>
          </w:p>
        </w:tc>
        <w:tc>
          <w:tcPr>
            <w:tcW w:w="488" w:type="pct"/>
            <w:tcBorders>
              <w:top w:val="single" w:color="auto" w:sz="4" w:space="0"/>
              <w:left w:val="single" w:color="auto" w:sz="4" w:space="0"/>
              <w:bottom w:val="single" w:color="auto" w:sz="4" w:space="0"/>
              <w:right w:val="single" w:color="auto" w:sz="4" w:space="0"/>
            </w:tcBorders>
            <w:vAlign w:val="center"/>
          </w:tcPr>
          <w:p w14:paraId="6F6DEB8B">
            <w:pPr>
              <w:pStyle w:val="196"/>
              <w:rPr>
                <w:rFonts w:cs="Times New Roman"/>
                <w:szCs w:val="21"/>
              </w:rPr>
            </w:pPr>
            <w:r>
              <w:rPr>
                <w:rFonts w:hint="eastAsia" w:cs="Times New Roman"/>
                <w:szCs w:val="21"/>
              </w:rPr>
              <w:t>相符</w:t>
            </w:r>
          </w:p>
        </w:tc>
      </w:tr>
      <w:tr w14:paraId="2C5D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08" w:type="pct"/>
            <w:tcBorders>
              <w:top w:val="single" w:color="auto" w:sz="4" w:space="0"/>
              <w:left w:val="single" w:color="auto" w:sz="4" w:space="0"/>
              <w:bottom w:val="single" w:color="auto" w:sz="4" w:space="0"/>
              <w:right w:val="single" w:color="auto" w:sz="4" w:space="0"/>
            </w:tcBorders>
            <w:vAlign w:val="center"/>
          </w:tcPr>
          <w:p w14:paraId="7409B388">
            <w:pPr>
              <w:pStyle w:val="196"/>
              <w:rPr>
                <w:rFonts w:cs="Times New Roman"/>
                <w:szCs w:val="21"/>
              </w:rPr>
            </w:pPr>
            <w:r>
              <w:rPr>
                <w:rFonts w:hint="eastAsia" w:cs="Times New Roman"/>
                <w:szCs w:val="21"/>
              </w:rPr>
              <w:t>2.物料装卸、运输、输送环节：港口码头物料的装卸运输实行全过程控制，防止物料扬散，采取各类除尘、抑尘设施。装卸和输送设备应配备完善的除尘抑尘系统，提高自动化程度，优化工艺流程，尽可能减少粉尘排放。物料垛高度低于堆料机最低位高度（初始堆料）时，堆料机应处在最低位进行堆料作业。使用抓斗卸船时，落料落差不得超过1.5米。严禁直接将港口码头落地的物料清扫入河、入海。物料在进行汽车装卸运输作业时，应降低装车落料高度，控制装载量，并平整、压实、封闭或苫盖严密。装载车辆应控制车速，选择合理线路。汽车出场时应冲洗轮胎，控制并减少二次扬尘。</w:t>
            </w:r>
          </w:p>
        </w:tc>
        <w:tc>
          <w:tcPr>
            <w:tcW w:w="1904" w:type="pct"/>
            <w:tcBorders>
              <w:top w:val="single" w:color="auto" w:sz="4" w:space="0"/>
              <w:left w:val="single" w:color="auto" w:sz="4" w:space="0"/>
              <w:bottom w:val="single" w:color="auto" w:sz="4" w:space="0"/>
              <w:right w:val="single" w:color="auto" w:sz="4" w:space="0"/>
            </w:tcBorders>
            <w:vAlign w:val="center"/>
          </w:tcPr>
          <w:p w14:paraId="333959D9">
            <w:pPr>
              <w:pStyle w:val="196"/>
              <w:rPr>
                <w:rFonts w:cs="Times New Roman"/>
                <w:szCs w:val="21"/>
              </w:rPr>
            </w:pPr>
            <w:r>
              <w:rPr>
                <w:rFonts w:hint="eastAsia" w:cs="Times New Roman"/>
                <w:szCs w:val="21"/>
              </w:rPr>
              <w:t>本项目港口码头物料的卸船运输实行全过程控制，防止物料扬散，采取各类除尘、抑尘设施；抓斗卸船时，落料落差低于1.5m；码头落地的物料清扫后回用；向堆场的转运采用封闭式固定皮带；转运站采用密闭方式且仓顶装有布袋除尘器。在运营过程中装卸时采用喷淋降尘的方式减少粉尘产生量，在吊机抓斗落料处的料斗顶端设置洒水喷嘴，作业时喷水形成水幕，抑制落料时所产生的粉尘。码头不涉及装载车辆运输。</w:t>
            </w:r>
          </w:p>
        </w:tc>
        <w:tc>
          <w:tcPr>
            <w:tcW w:w="488" w:type="pct"/>
            <w:tcBorders>
              <w:top w:val="single" w:color="auto" w:sz="4" w:space="0"/>
              <w:left w:val="single" w:color="auto" w:sz="4" w:space="0"/>
              <w:bottom w:val="single" w:color="auto" w:sz="4" w:space="0"/>
              <w:right w:val="single" w:color="auto" w:sz="4" w:space="0"/>
            </w:tcBorders>
            <w:vAlign w:val="center"/>
          </w:tcPr>
          <w:p w14:paraId="3A38B3F9">
            <w:pPr>
              <w:pStyle w:val="196"/>
              <w:rPr>
                <w:rFonts w:cs="Times New Roman"/>
                <w:szCs w:val="21"/>
              </w:rPr>
            </w:pPr>
            <w:r>
              <w:rPr>
                <w:rFonts w:hint="eastAsia" w:cs="Times New Roman"/>
                <w:szCs w:val="21"/>
              </w:rPr>
              <w:t>相符</w:t>
            </w:r>
          </w:p>
        </w:tc>
      </w:tr>
    </w:tbl>
    <w:p w14:paraId="0B6D427D">
      <w:pPr>
        <w:pStyle w:val="93"/>
        <w:rPr>
          <w:kern w:val="0"/>
        </w:rPr>
      </w:pPr>
      <w:r>
        <w:rPr>
          <w:rFonts w:hint="eastAsia"/>
          <w:kern w:val="0"/>
        </w:rPr>
        <w:t>本项目符合《江苏省重点行业堆场扬尘污染防治指导意见（试行）》中的相关要求。</w:t>
      </w:r>
    </w:p>
    <w:p w14:paraId="799C5EC4">
      <w:pPr>
        <w:pStyle w:val="84"/>
      </w:pPr>
      <w:r>
        <w:rPr>
          <w:rFonts w:hint="eastAsia"/>
        </w:rPr>
        <w:t>与《关于开展新一轮港口污染防治能力提升的通知》（苏交港〔2023〕27号）相符性分析</w:t>
      </w:r>
    </w:p>
    <w:p w14:paraId="7EEC8F98">
      <w:pPr>
        <w:pStyle w:val="139"/>
        <w:ind w:firstLine="480"/>
        <w:rPr>
          <w:color w:val="auto"/>
        </w:rPr>
      </w:pPr>
      <w:r>
        <w:rPr>
          <w:rFonts w:hint="eastAsia"/>
          <w:color w:val="auto"/>
        </w:rPr>
        <w:t>本项目属于干散货码头，为后方热电项目配套码头，不涉及堆场、仓储，仅涉及物料转运。本项目与</w:t>
      </w:r>
      <w:bookmarkStart w:id="63" w:name="_Hlk182167987"/>
      <w:r>
        <w:rPr>
          <w:rFonts w:hint="eastAsia"/>
          <w:color w:val="auto"/>
        </w:rPr>
        <w:t>《省交通运输厅省生态环境厅关于开展新一轮港口污染防治能力提升工作的通知》（苏交港〔2023〕27号）</w:t>
      </w:r>
      <w:bookmarkEnd w:id="63"/>
      <w:r>
        <w:rPr>
          <w:rFonts w:hint="eastAsia"/>
          <w:color w:val="auto"/>
        </w:rPr>
        <w:t>的相符性分析见表1.5-21。</w:t>
      </w:r>
    </w:p>
    <w:p w14:paraId="544DA6F0">
      <w:pPr>
        <w:pStyle w:val="86"/>
      </w:pPr>
      <w:r>
        <w:rPr>
          <w:rFonts w:hint="eastAsia"/>
        </w:rPr>
        <w:t>项目与苏交港〔2023〕27号文相符性分析</w:t>
      </w:r>
    </w:p>
    <w:tbl>
      <w:tblPr>
        <w:tblStyle w:val="38"/>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031"/>
        <w:gridCol w:w="827"/>
        <w:gridCol w:w="3532"/>
        <w:gridCol w:w="2595"/>
        <w:gridCol w:w="746"/>
      </w:tblGrid>
      <w:tr w14:paraId="253C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blHeader/>
          <w:jc w:val="center"/>
        </w:trPr>
        <w:tc>
          <w:tcPr>
            <w:tcW w:w="3230" w:type="pct"/>
            <w:gridSpan w:val="4"/>
            <w:tcBorders>
              <w:top w:val="single" w:color="auto" w:sz="4" w:space="0"/>
              <w:left w:val="single" w:color="auto" w:sz="4" w:space="0"/>
              <w:bottom w:val="single" w:color="auto" w:sz="4" w:space="0"/>
              <w:right w:val="single" w:color="auto" w:sz="4" w:space="0"/>
            </w:tcBorders>
            <w:vAlign w:val="center"/>
          </w:tcPr>
          <w:p w14:paraId="420A349B">
            <w:pPr>
              <w:pStyle w:val="218"/>
              <w:rPr>
                <w:color w:val="auto"/>
              </w:rPr>
            </w:pPr>
            <w:r>
              <w:rPr>
                <w:rFonts w:hint="eastAsia"/>
                <w:color w:val="auto"/>
              </w:rPr>
              <w:t>文件要求（涉及港口主要内容）</w:t>
            </w:r>
          </w:p>
        </w:tc>
        <w:tc>
          <w:tcPr>
            <w:tcW w:w="1375" w:type="pct"/>
            <w:vMerge w:val="restart"/>
            <w:tcBorders>
              <w:top w:val="single" w:color="auto" w:sz="4" w:space="0"/>
              <w:left w:val="single" w:color="auto" w:sz="4" w:space="0"/>
              <w:right w:val="single" w:color="auto" w:sz="4" w:space="0"/>
            </w:tcBorders>
            <w:vAlign w:val="center"/>
          </w:tcPr>
          <w:p w14:paraId="1C90FBF9">
            <w:pPr>
              <w:pStyle w:val="218"/>
              <w:rPr>
                <w:color w:val="auto"/>
              </w:rPr>
            </w:pPr>
            <w:r>
              <w:rPr>
                <w:rFonts w:hint="eastAsia"/>
                <w:color w:val="auto"/>
              </w:rPr>
              <w:t>本项目情况</w:t>
            </w:r>
          </w:p>
        </w:tc>
        <w:tc>
          <w:tcPr>
            <w:tcW w:w="395" w:type="pct"/>
            <w:vMerge w:val="restart"/>
            <w:tcBorders>
              <w:top w:val="single" w:color="auto" w:sz="4" w:space="0"/>
              <w:left w:val="single" w:color="auto" w:sz="4" w:space="0"/>
              <w:right w:val="single" w:color="auto" w:sz="4" w:space="0"/>
            </w:tcBorders>
            <w:vAlign w:val="center"/>
          </w:tcPr>
          <w:p w14:paraId="011F34E3">
            <w:pPr>
              <w:pStyle w:val="218"/>
              <w:rPr>
                <w:color w:val="auto"/>
              </w:rPr>
            </w:pPr>
            <w:r>
              <w:rPr>
                <w:rFonts w:hint="eastAsia"/>
                <w:color w:val="auto"/>
              </w:rPr>
              <w:t>是否相符</w:t>
            </w:r>
          </w:p>
        </w:tc>
      </w:tr>
      <w:tr w14:paraId="4021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blHeader/>
          <w:jc w:val="center"/>
        </w:trPr>
        <w:tc>
          <w:tcPr>
            <w:tcW w:w="375" w:type="pct"/>
            <w:tcBorders>
              <w:top w:val="single" w:color="auto" w:sz="4" w:space="0"/>
              <w:left w:val="single" w:color="auto" w:sz="4" w:space="0"/>
              <w:bottom w:val="single" w:color="auto" w:sz="4" w:space="0"/>
              <w:right w:val="single" w:color="auto" w:sz="4" w:space="0"/>
            </w:tcBorders>
            <w:vAlign w:val="center"/>
          </w:tcPr>
          <w:p w14:paraId="1E65BEB0">
            <w:pPr>
              <w:pStyle w:val="218"/>
              <w:rPr>
                <w:color w:val="auto"/>
              </w:rPr>
            </w:pPr>
            <w:r>
              <w:rPr>
                <w:rFonts w:hint="eastAsia"/>
                <w:color w:val="auto"/>
              </w:rPr>
              <w:t>污染类型</w:t>
            </w:r>
          </w:p>
        </w:tc>
        <w:tc>
          <w:tcPr>
            <w:tcW w:w="546" w:type="pct"/>
            <w:tcBorders>
              <w:top w:val="single" w:color="auto" w:sz="4" w:space="0"/>
              <w:left w:val="single" w:color="auto" w:sz="4" w:space="0"/>
              <w:bottom w:val="single" w:color="auto" w:sz="4" w:space="0"/>
              <w:right w:val="single" w:color="auto" w:sz="4" w:space="0"/>
            </w:tcBorders>
            <w:vAlign w:val="center"/>
          </w:tcPr>
          <w:p w14:paraId="4051230B">
            <w:pPr>
              <w:pStyle w:val="218"/>
              <w:rPr>
                <w:color w:val="auto"/>
              </w:rPr>
            </w:pPr>
            <w:r>
              <w:rPr>
                <w:rFonts w:hint="eastAsia"/>
                <w:color w:val="auto"/>
              </w:rPr>
              <w:t>控制目标</w:t>
            </w:r>
          </w:p>
        </w:tc>
        <w:tc>
          <w:tcPr>
            <w:tcW w:w="438" w:type="pct"/>
            <w:tcBorders>
              <w:top w:val="single" w:color="auto" w:sz="4" w:space="0"/>
              <w:left w:val="single" w:color="auto" w:sz="4" w:space="0"/>
              <w:bottom w:val="single" w:color="auto" w:sz="4" w:space="0"/>
              <w:right w:val="single" w:color="auto" w:sz="4" w:space="0"/>
            </w:tcBorders>
            <w:vAlign w:val="center"/>
          </w:tcPr>
          <w:p w14:paraId="03BA2891">
            <w:pPr>
              <w:pStyle w:val="218"/>
              <w:rPr>
                <w:color w:val="auto"/>
              </w:rPr>
            </w:pPr>
            <w:r>
              <w:rPr>
                <w:rFonts w:hint="eastAsia"/>
                <w:color w:val="auto"/>
              </w:rPr>
              <w:t>环保设施</w:t>
            </w:r>
          </w:p>
        </w:tc>
        <w:tc>
          <w:tcPr>
            <w:tcW w:w="1871" w:type="pct"/>
            <w:tcBorders>
              <w:left w:val="single" w:color="auto" w:sz="4" w:space="0"/>
              <w:bottom w:val="single" w:color="auto" w:sz="4" w:space="0"/>
              <w:right w:val="single" w:color="auto" w:sz="4" w:space="0"/>
            </w:tcBorders>
            <w:vAlign w:val="center"/>
          </w:tcPr>
          <w:p w14:paraId="17B2EA17">
            <w:pPr>
              <w:pStyle w:val="218"/>
              <w:rPr>
                <w:color w:val="auto"/>
              </w:rPr>
            </w:pPr>
            <w:r>
              <w:rPr>
                <w:rFonts w:hint="eastAsia"/>
                <w:color w:val="auto"/>
              </w:rPr>
              <w:t>内河港口要求</w:t>
            </w:r>
          </w:p>
        </w:tc>
        <w:tc>
          <w:tcPr>
            <w:tcW w:w="1375" w:type="pct"/>
            <w:vMerge w:val="continue"/>
            <w:tcBorders>
              <w:left w:val="single" w:color="auto" w:sz="4" w:space="0"/>
              <w:bottom w:val="single" w:color="auto" w:sz="4" w:space="0"/>
              <w:right w:val="single" w:color="auto" w:sz="4" w:space="0"/>
            </w:tcBorders>
            <w:vAlign w:val="center"/>
          </w:tcPr>
          <w:p w14:paraId="45CB3CA9">
            <w:pPr>
              <w:pStyle w:val="218"/>
              <w:rPr>
                <w:color w:val="auto"/>
              </w:rPr>
            </w:pPr>
          </w:p>
        </w:tc>
        <w:tc>
          <w:tcPr>
            <w:tcW w:w="395" w:type="pct"/>
            <w:vMerge w:val="continue"/>
            <w:tcBorders>
              <w:left w:val="single" w:color="auto" w:sz="4" w:space="0"/>
              <w:bottom w:val="single" w:color="auto" w:sz="4" w:space="0"/>
              <w:right w:val="single" w:color="auto" w:sz="4" w:space="0"/>
            </w:tcBorders>
            <w:vAlign w:val="center"/>
          </w:tcPr>
          <w:p w14:paraId="20E3041A">
            <w:pPr>
              <w:pStyle w:val="218"/>
              <w:rPr>
                <w:color w:val="auto"/>
              </w:rPr>
            </w:pPr>
          </w:p>
        </w:tc>
      </w:tr>
      <w:tr w14:paraId="43D4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restart"/>
            <w:tcBorders>
              <w:top w:val="single" w:color="auto" w:sz="4" w:space="0"/>
              <w:left w:val="single" w:color="auto" w:sz="4" w:space="0"/>
              <w:right w:val="single" w:color="auto" w:sz="4" w:space="0"/>
            </w:tcBorders>
            <w:vAlign w:val="center"/>
          </w:tcPr>
          <w:p w14:paraId="4FB18321">
            <w:pPr>
              <w:pStyle w:val="218"/>
              <w:rPr>
                <w:rFonts w:cs="Times New Roman"/>
                <w:color w:val="auto"/>
                <w:lang w:val="zh-CN"/>
              </w:rPr>
            </w:pPr>
            <w:r>
              <w:rPr>
                <w:rFonts w:hint="eastAsia" w:cs="Times New Roman"/>
                <w:color w:val="auto"/>
                <w:lang w:val="zh-CN"/>
              </w:rPr>
              <w:t>扬尘</w:t>
            </w:r>
          </w:p>
        </w:tc>
        <w:tc>
          <w:tcPr>
            <w:tcW w:w="546" w:type="pct"/>
            <w:vMerge w:val="restart"/>
            <w:tcBorders>
              <w:top w:val="single" w:color="auto" w:sz="4" w:space="0"/>
              <w:left w:val="single" w:color="auto" w:sz="4" w:space="0"/>
              <w:right w:val="single" w:color="auto" w:sz="4" w:space="0"/>
            </w:tcBorders>
            <w:vAlign w:val="center"/>
          </w:tcPr>
          <w:p w14:paraId="6800672C">
            <w:pPr>
              <w:pStyle w:val="218"/>
              <w:rPr>
                <w:rFonts w:cs="Times New Roman"/>
                <w:color w:val="auto"/>
              </w:rPr>
            </w:pPr>
            <w:r>
              <w:rPr>
                <w:rFonts w:cs="Times New Roman"/>
                <w:color w:val="auto"/>
              </w:rPr>
              <w:t>港口装卸、运输及储存扬尘得到有效控制，地面无明显物料，运输过程无跑冒滴漏，现场无明显可见扬尘，实现厂界达标</w:t>
            </w:r>
          </w:p>
        </w:tc>
        <w:tc>
          <w:tcPr>
            <w:tcW w:w="438" w:type="pct"/>
            <w:tcBorders>
              <w:top w:val="single" w:color="auto" w:sz="4" w:space="0"/>
              <w:left w:val="single" w:color="auto" w:sz="4" w:space="0"/>
              <w:bottom w:val="single" w:color="auto" w:sz="4" w:space="0"/>
              <w:right w:val="single" w:color="auto" w:sz="4" w:space="0"/>
            </w:tcBorders>
            <w:vAlign w:val="center"/>
          </w:tcPr>
          <w:p w14:paraId="7282E92F">
            <w:pPr>
              <w:pStyle w:val="218"/>
              <w:rPr>
                <w:rFonts w:cs="Times New Roman"/>
                <w:color w:val="auto"/>
              </w:rPr>
            </w:pPr>
            <w:r>
              <w:rPr>
                <w:rFonts w:cs="Times New Roman"/>
                <w:color w:val="auto"/>
              </w:rPr>
              <w:t>堆场及道路硬化</w:t>
            </w:r>
          </w:p>
        </w:tc>
        <w:tc>
          <w:tcPr>
            <w:tcW w:w="1871" w:type="pct"/>
            <w:tcBorders>
              <w:top w:val="single" w:color="auto" w:sz="4" w:space="0"/>
              <w:left w:val="single" w:color="auto" w:sz="4" w:space="0"/>
              <w:bottom w:val="single" w:color="auto" w:sz="4" w:space="0"/>
              <w:right w:val="single" w:color="auto" w:sz="4" w:space="0"/>
            </w:tcBorders>
            <w:vAlign w:val="center"/>
          </w:tcPr>
          <w:p w14:paraId="2338A6FD">
            <w:pPr>
              <w:pStyle w:val="218"/>
              <w:rPr>
                <w:rFonts w:cs="Times New Roman"/>
                <w:color w:val="auto"/>
              </w:rPr>
            </w:pPr>
            <w:r>
              <w:rPr>
                <w:rFonts w:cs="Times New Roman"/>
                <w:color w:val="auto"/>
              </w:rPr>
              <w:t>（1）堆场及港区内车辆行驶道路采用</w:t>
            </w:r>
            <w:r>
              <w:rPr>
                <w:rFonts w:hint="eastAsia" w:cs="Times New Roman"/>
                <w:color w:val="auto"/>
                <w:lang w:eastAsia="zh-CN"/>
              </w:rPr>
              <w:t>联锁</w:t>
            </w:r>
            <w:r>
              <w:rPr>
                <w:rFonts w:cs="Times New Roman"/>
                <w:color w:val="auto"/>
              </w:rPr>
              <w:t>块（</w:t>
            </w:r>
            <w:r>
              <w:rPr>
                <w:rFonts w:hint="eastAsia" w:cs="Times New Roman"/>
                <w:color w:val="auto"/>
                <w:lang w:eastAsia="zh-CN"/>
              </w:rPr>
              <w:t>硫黄</w:t>
            </w:r>
            <w:r>
              <w:rPr>
                <w:rFonts w:cs="Times New Roman"/>
                <w:color w:val="auto"/>
              </w:rPr>
              <w:t>、化肥等可造成地下水污染的货种除外）、混凝土浇筑、沥青铺装等方式进行硬化，并保证场地无损坏。</w:t>
            </w:r>
          </w:p>
        </w:tc>
        <w:tc>
          <w:tcPr>
            <w:tcW w:w="1375" w:type="pct"/>
            <w:tcBorders>
              <w:top w:val="single" w:color="auto" w:sz="4" w:space="0"/>
              <w:left w:val="single" w:color="auto" w:sz="4" w:space="0"/>
              <w:bottom w:val="single" w:color="auto" w:sz="4" w:space="0"/>
              <w:right w:val="single" w:color="auto" w:sz="4" w:space="0"/>
            </w:tcBorders>
            <w:vAlign w:val="center"/>
          </w:tcPr>
          <w:p w14:paraId="4F6AF593">
            <w:pPr>
              <w:pStyle w:val="218"/>
              <w:rPr>
                <w:rFonts w:cs="Times New Roman"/>
                <w:color w:val="auto"/>
              </w:rPr>
            </w:pPr>
            <w:r>
              <w:rPr>
                <w:rFonts w:cs="Times New Roman"/>
                <w:color w:val="auto"/>
              </w:rPr>
              <w:t>本项目不涉及堆场，港区内车辆行驶道路采用混凝土浇筑进行硬化，场地无损坏。</w:t>
            </w:r>
          </w:p>
        </w:tc>
        <w:tc>
          <w:tcPr>
            <w:tcW w:w="395" w:type="pct"/>
            <w:tcBorders>
              <w:top w:val="single" w:color="auto" w:sz="4" w:space="0"/>
              <w:left w:val="single" w:color="auto" w:sz="4" w:space="0"/>
              <w:bottom w:val="single" w:color="auto" w:sz="4" w:space="0"/>
              <w:right w:val="single" w:color="auto" w:sz="4" w:space="0"/>
            </w:tcBorders>
            <w:vAlign w:val="center"/>
          </w:tcPr>
          <w:p w14:paraId="555BF50C">
            <w:pPr>
              <w:pStyle w:val="218"/>
              <w:rPr>
                <w:rFonts w:cs="Times New Roman"/>
                <w:color w:val="auto"/>
              </w:rPr>
            </w:pPr>
            <w:r>
              <w:rPr>
                <w:rFonts w:hint="eastAsia" w:cs="Times New Roman"/>
                <w:color w:val="auto"/>
              </w:rPr>
              <w:t>相符</w:t>
            </w:r>
          </w:p>
        </w:tc>
      </w:tr>
      <w:tr w14:paraId="1EA21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continue"/>
            <w:tcBorders>
              <w:left w:val="single" w:color="auto" w:sz="4" w:space="0"/>
              <w:right w:val="single" w:color="auto" w:sz="4" w:space="0"/>
            </w:tcBorders>
            <w:vAlign w:val="center"/>
          </w:tcPr>
          <w:p w14:paraId="524CC81C">
            <w:pPr>
              <w:pStyle w:val="218"/>
              <w:rPr>
                <w:rFonts w:cs="Times New Roman"/>
                <w:color w:val="auto"/>
              </w:rPr>
            </w:pPr>
          </w:p>
        </w:tc>
        <w:tc>
          <w:tcPr>
            <w:tcW w:w="546" w:type="pct"/>
            <w:vMerge w:val="continue"/>
            <w:tcBorders>
              <w:left w:val="single" w:color="auto" w:sz="4" w:space="0"/>
              <w:right w:val="single" w:color="auto" w:sz="4" w:space="0"/>
            </w:tcBorders>
            <w:vAlign w:val="center"/>
          </w:tcPr>
          <w:p w14:paraId="66A5B9B4">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7ED21EEE">
            <w:pPr>
              <w:pStyle w:val="218"/>
              <w:rPr>
                <w:rFonts w:cs="Times New Roman"/>
                <w:color w:val="auto"/>
              </w:rPr>
            </w:pPr>
            <w:r>
              <w:rPr>
                <w:rFonts w:cs="Times New Roman"/>
                <w:color w:val="auto"/>
              </w:rPr>
              <w:t>运输方式及封闭</w:t>
            </w:r>
          </w:p>
        </w:tc>
        <w:tc>
          <w:tcPr>
            <w:tcW w:w="1871" w:type="pct"/>
            <w:tcBorders>
              <w:top w:val="single" w:color="auto" w:sz="4" w:space="0"/>
              <w:left w:val="single" w:color="auto" w:sz="4" w:space="0"/>
              <w:bottom w:val="single" w:color="auto" w:sz="4" w:space="0"/>
              <w:right w:val="single" w:color="auto" w:sz="4" w:space="0"/>
            </w:tcBorders>
            <w:vAlign w:val="center"/>
          </w:tcPr>
          <w:p w14:paraId="5DF989EB">
            <w:pPr>
              <w:pStyle w:val="218"/>
              <w:rPr>
                <w:rFonts w:cs="Times New Roman"/>
                <w:color w:val="auto"/>
              </w:rPr>
            </w:pPr>
            <w:r>
              <w:rPr>
                <w:rFonts w:cs="Times New Roman"/>
                <w:color w:val="auto"/>
              </w:rPr>
              <w:t>（1）设有皮带输送系统运输的港口码头，可参考沿海、沿江要求封闭皮带机系统；（2）散货运输车辆优先采用封闭车型，敞篷车型须对车厢覆盖封闭。</w:t>
            </w:r>
          </w:p>
        </w:tc>
        <w:tc>
          <w:tcPr>
            <w:tcW w:w="1375" w:type="pct"/>
            <w:tcBorders>
              <w:top w:val="single" w:color="auto" w:sz="4" w:space="0"/>
              <w:left w:val="single" w:color="auto" w:sz="4" w:space="0"/>
              <w:bottom w:val="single" w:color="auto" w:sz="4" w:space="0"/>
              <w:right w:val="single" w:color="auto" w:sz="4" w:space="0"/>
            </w:tcBorders>
            <w:vAlign w:val="center"/>
          </w:tcPr>
          <w:p w14:paraId="492CE725">
            <w:pPr>
              <w:pStyle w:val="218"/>
              <w:rPr>
                <w:rFonts w:cs="Times New Roman"/>
                <w:color w:val="auto"/>
              </w:rPr>
            </w:pPr>
            <w:r>
              <w:rPr>
                <w:rFonts w:cs="Times New Roman"/>
                <w:color w:val="auto"/>
              </w:rPr>
              <w:t>（1）本项目皮带机输送，设置防护罩密闭运输。（2）本项目</w:t>
            </w:r>
            <w:r>
              <w:rPr>
                <w:rFonts w:hint="eastAsia" w:cs="Times New Roman"/>
                <w:color w:val="auto"/>
              </w:rPr>
              <w:t>物料不涉及</w:t>
            </w:r>
            <w:r>
              <w:rPr>
                <w:rFonts w:cs="Times New Roman"/>
                <w:color w:val="auto"/>
              </w:rPr>
              <w:t>车辆运输</w:t>
            </w:r>
          </w:p>
        </w:tc>
        <w:tc>
          <w:tcPr>
            <w:tcW w:w="395" w:type="pct"/>
            <w:tcBorders>
              <w:top w:val="single" w:color="auto" w:sz="4" w:space="0"/>
              <w:left w:val="single" w:color="auto" w:sz="4" w:space="0"/>
              <w:bottom w:val="single" w:color="auto" w:sz="4" w:space="0"/>
              <w:right w:val="single" w:color="auto" w:sz="4" w:space="0"/>
            </w:tcBorders>
            <w:vAlign w:val="center"/>
          </w:tcPr>
          <w:p w14:paraId="5AAC4A0F">
            <w:pPr>
              <w:pStyle w:val="218"/>
              <w:rPr>
                <w:rFonts w:cs="Times New Roman"/>
                <w:color w:val="auto"/>
              </w:rPr>
            </w:pPr>
            <w:r>
              <w:rPr>
                <w:rFonts w:hint="eastAsia" w:cs="Times New Roman"/>
                <w:color w:val="auto"/>
              </w:rPr>
              <w:t>相符</w:t>
            </w:r>
          </w:p>
        </w:tc>
      </w:tr>
      <w:tr w14:paraId="130F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continue"/>
            <w:tcBorders>
              <w:left w:val="single" w:color="auto" w:sz="4" w:space="0"/>
              <w:right w:val="single" w:color="auto" w:sz="4" w:space="0"/>
            </w:tcBorders>
            <w:vAlign w:val="center"/>
          </w:tcPr>
          <w:p w14:paraId="4B48687B">
            <w:pPr>
              <w:pStyle w:val="218"/>
              <w:rPr>
                <w:rFonts w:cs="Times New Roman"/>
                <w:color w:val="auto"/>
              </w:rPr>
            </w:pPr>
          </w:p>
        </w:tc>
        <w:tc>
          <w:tcPr>
            <w:tcW w:w="546" w:type="pct"/>
            <w:vMerge w:val="continue"/>
            <w:tcBorders>
              <w:left w:val="single" w:color="auto" w:sz="4" w:space="0"/>
              <w:right w:val="single" w:color="auto" w:sz="4" w:space="0"/>
            </w:tcBorders>
            <w:vAlign w:val="center"/>
          </w:tcPr>
          <w:p w14:paraId="33DD0C2E">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4228FDDA">
            <w:pPr>
              <w:pStyle w:val="218"/>
              <w:rPr>
                <w:rFonts w:cs="Times New Roman"/>
                <w:color w:val="auto"/>
              </w:rPr>
            </w:pPr>
            <w:r>
              <w:rPr>
                <w:rFonts w:cs="Times New Roman"/>
                <w:color w:val="auto"/>
              </w:rPr>
              <w:t>洒水喷淋</w:t>
            </w:r>
            <w:r>
              <w:rPr>
                <w:rFonts w:hint="eastAsia" w:cs="Times New Roman"/>
                <w:color w:val="auto"/>
              </w:rPr>
              <w:t>—</w:t>
            </w:r>
            <w:r>
              <w:rPr>
                <w:rFonts w:cs="Times New Roman"/>
                <w:color w:val="auto"/>
              </w:rPr>
              <w:t>装卸运输</w:t>
            </w:r>
          </w:p>
        </w:tc>
        <w:tc>
          <w:tcPr>
            <w:tcW w:w="1871" w:type="pct"/>
            <w:tcBorders>
              <w:top w:val="single" w:color="auto" w:sz="4" w:space="0"/>
              <w:left w:val="single" w:color="auto" w:sz="4" w:space="0"/>
              <w:bottom w:val="single" w:color="auto" w:sz="4" w:space="0"/>
              <w:right w:val="single" w:color="auto" w:sz="4" w:space="0"/>
            </w:tcBorders>
            <w:vAlign w:val="center"/>
          </w:tcPr>
          <w:p w14:paraId="399F766D">
            <w:pPr>
              <w:pStyle w:val="218"/>
              <w:rPr>
                <w:rFonts w:cs="Times New Roman"/>
                <w:color w:val="auto"/>
              </w:rPr>
            </w:pPr>
            <w:r>
              <w:rPr>
                <w:rFonts w:cs="Times New Roman"/>
                <w:color w:val="auto"/>
              </w:rPr>
              <w:t>（1）采用皮带机运输系统的，参考沿海、沿江要求：①卸船接料斗下口应设闸板、出料溜筒；②散货应通过皮带输送系统作业装船，装船机头部应可调节高度，头部应设导料软帘和喷雾压尘，喷雾射程大于1m，喷雾嘴数量、喷雾角度的参数设置，应能使喷雾覆盖落料口四周半径1m范围；③皮带机转运站应在头罩、导料槽处采用干雾抑尘、微动力除尘、静电除尘、布袋除尘等除尘方式；④皮带机落料辊筒下方应设置皮带清扫或人工清扫，设置清扫器时，下方应设接料斗和溜槽，将清扫物料转入接料皮带；（2）卸船接料斗下方对应车辆运输的，接料斗下口应设闸板、出料溜筒和喷雾压尘，喷雾射程大于1m，喷雾嘴数量、喷雾角度的参数设置，应能使喷雾覆盖接料斗上口。</w:t>
            </w:r>
          </w:p>
        </w:tc>
        <w:tc>
          <w:tcPr>
            <w:tcW w:w="1375" w:type="pct"/>
            <w:tcBorders>
              <w:top w:val="single" w:color="auto" w:sz="4" w:space="0"/>
              <w:left w:val="single" w:color="auto" w:sz="4" w:space="0"/>
              <w:bottom w:val="single" w:color="auto" w:sz="4" w:space="0"/>
              <w:right w:val="single" w:color="auto" w:sz="4" w:space="0"/>
            </w:tcBorders>
            <w:vAlign w:val="center"/>
          </w:tcPr>
          <w:p w14:paraId="358F1275">
            <w:pPr>
              <w:pStyle w:val="218"/>
              <w:rPr>
                <w:rFonts w:cs="Times New Roman"/>
                <w:color w:val="auto"/>
              </w:rPr>
            </w:pPr>
            <w:bookmarkStart w:id="64" w:name="_Hlk181740200"/>
            <w:r>
              <w:rPr>
                <w:rFonts w:cs="Times New Roman"/>
                <w:color w:val="auto"/>
              </w:rPr>
              <w:t>（1）本项目采用</w:t>
            </w:r>
            <w:r>
              <w:rPr>
                <w:rFonts w:hint="eastAsia" w:cs="Times New Roman"/>
                <w:color w:val="auto"/>
              </w:rPr>
              <w:t>封闭输煤</w:t>
            </w:r>
            <w:r>
              <w:rPr>
                <w:rFonts w:cs="Times New Roman"/>
                <w:color w:val="auto"/>
              </w:rPr>
              <w:t>皮带机</w:t>
            </w:r>
            <w:r>
              <w:rPr>
                <w:rFonts w:hint="eastAsia" w:cs="Times New Roman"/>
                <w:color w:val="auto"/>
              </w:rPr>
              <w:t>运输，货种为煤炭</w:t>
            </w:r>
            <w:r>
              <w:rPr>
                <w:rFonts w:cs="Times New Roman"/>
                <w:color w:val="auto"/>
              </w:rPr>
              <w:t>，</w:t>
            </w:r>
            <w:r>
              <w:rPr>
                <w:rFonts w:hint="eastAsia" w:cs="Times New Roman"/>
                <w:color w:val="auto"/>
              </w:rPr>
              <w:t>仅涉及物料卸船，不涉及物料装船</w:t>
            </w:r>
            <w:r>
              <w:rPr>
                <w:rFonts w:cs="Times New Roman"/>
                <w:color w:val="auto"/>
              </w:rPr>
              <w:t>。（2）</w:t>
            </w:r>
            <w:r>
              <w:rPr>
                <w:rFonts w:hint="eastAsia" w:cs="Times New Roman"/>
                <w:color w:val="auto"/>
              </w:rPr>
              <w:t>本项目港口码头物料的卸船运输实行全过程控制，防止物料扬散，采取各类除尘、抑尘设施；抓斗卸船时，落料落差低于1.5m；码头落地的物料清扫后回用；向堆场的转运采用封闭式固定皮带；转运站采用密闭方式且仓顶装有布袋除尘器。在运营过程中卸料时采用喷淋降尘的方式减少粉尘产生量，卸船接料口下口设置闸板、出料溜筒等，在吊机抓斗落料处的料斗顶端设置洒水喷嘴，作业时喷水形成水幕，抑制落料时所产生的粉尘。项目不涉及车辆运输</w:t>
            </w:r>
            <w:bookmarkEnd w:id="64"/>
          </w:p>
        </w:tc>
        <w:tc>
          <w:tcPr>
            <w:tcW w:w="395" w:type="pct"/>
            <w:tcBorders>
              <w:top w:val="single" w:color="auto" w:sz="4" w:space="0"/>
              <w:left w:val="single" w:color="auto" w:sz="4" w:space="0"/>
              <w:bottom w:val="single" w:color="auto" w:sz="4" w:space="0"/>
              <w:right w:val="single" w:color="auto" w:sz="4" w:space="0"/>
            </w:tcBorders>
            <w:vAlign w:val="center"/>
          </w:tcPr>
          <w:p w14:paraId="4CC3EAB2">
            <w:pPr>
              <w:pStyle w:val="218"/>
              <w:rPr>
                <w:rFonts w:cs="Times New Roman"/>
                <w:color w:val="auto"/>
              </w:rPr>
            </w:pPr>
            <w:r>
              <w:rPr>
                <w:rFonts w:hint="eastAsia" w:cs="Times New Roman"/>
                <w:color w:val="auto"/>
              </w:rPr>
              <w:t>相符</w:t>
            </w:r>
          </w:p>
        </w:tc>
      </w:tr>
      <w:tr w14:paraId="3F48E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continue"/>
            <w:tcBorders>
              <w:left w:val="single" w:color="auto" w:sz="4" w:space="0"/>
              <w:right w:val="single" w:color="auto" w:sz="4" w:space="0"/>
            </w:tcBorders>
            <w:vAlign w:val="center"/>
          </w:tcPr>
          <w:p w14:paraId="54C0FC5F">
            <w:pPr>
              <w:pStyle w:val="218"/>
              <w:rPr>
                <w:rFonts w:cs="Times New Roman"/>
                <w:color w:val="auto"/>
              </w:rPr>
            </w:pPr>
          </w:p>
        </w:tc>
        <w:tc>
          <w:tcPr>
            <w:tcW w:w="546" w:type="pct"/>
            <w:vMerge w:val="continue"/>
            <w:tcBorders>
              <w:left w:val="single" w:color="auto" w:sz="4" w:space="0"/>
              <w:right w:val="single" w:color="auto" w:sz="4" w:space="0"/>
            </w:tcBorders>
            <w:vAlign w:val="center"/>
          </w:tcPr>
          <w:p w14:paraId="0A9EB4DD">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058D286D">
            <w:pPr>
              <w:pStyle w:val="218"/>
              <w:rPr>
                <w:rFonts w:cs="Times New Roman"/>
                <w:color w:val="auto"/>
              </w:rPr>
            </w:pPr>
            <w:r>
              <w:rPr>
                <w:rFonts w:cs="Times New Roman"/>
                <w:color w:val="auto"/>
              </w:rPr>
              <w:t>车辆冲洗平台</w:t>
            </w:r>
          </w:p>
        </w:tc>
        <w:tc>
          <w:tcPr>
            <w:tcW w:w="1871" w:type="pct"/>
            <w:tcBorders>
              <w:top w:val="single" w:color="auto" w:sz="4" w:space="0"/>
              <w:left w:val="single" w:color="auto" w:sz="4" w:space="0"/>
              <w:bottom w:val="single" w:color="auto" w:sz="4" w:space="0"/>
              <w:right w:val="single" w:color="auto" w:sz="4" w:space="0"/>
            </w:tcBorders>
            <w:vAlign w:val="center"/>
          </w:tcPr>
          <w:p w14:paraId="1354A289">
            <w:pPr>
              <w:pStyle w:val="218"/>
              <w:rPr>
                <w:rFonts w:cs="Times New Roman"/>
                <w:color w:val="auto"/>
              </w:rPr>
            </w:pPr>
            <w:r>
              <w:rPr>
                <w:rFonts w:cs="Times New Roman"/>
                <w:color w:val="auto"/>
              </w:rPr>
              <w:t>（1）至少在厂区出口设置1套车辆冲洗平台；（2）冲洗平台应设置沉淀池，确保冲洗废水经沉淀处理后回用，不得外排。</w:t>
            </w:r>
          </w:p>
        </w:tc>
        <w:tc>
          <w:tcPr>
            <w:tcW w:w="1375" w:type="pct"/>
            <w:tcBorders>
              <w:top w:val="single" w:color="auto" w:sz="4" w:space="0"/>
              <w:left w:val="single" w:color="auto" w:sz="4" w:space="0"/>
              <w:bottom w:val="single" w:color="auto" w:sz="4" w:space="0"/>
              <w:right w:val="single" w:color="auto" w:sz="4" w:space="0"/>
            </w:tcBorders>
            <w:vAlign w:val="center"/>
          </w:tcPr>
          <w:p w14:paraId="30EC1971">
            <w:pPr>
              <w:pStyle w:val="218"/>
              <w:rPr>
                <w:rFonts w:cs="Times New Roman"/>
                <w:color w:val="auto"/>
              </w:rPr>
            </w:pPr>
            <w:r>
              <w:rPr>
                <w:rFonts w:hint="eastAsia" w:cs="Times New Roman"/>
                <w:color w:val="auto"/>
              </w:rPr>
              <w:t>本项目物料运输为封闭输煤皮带运输，不涉及车辆运输</w:t>
            </w:r>
          </w:p>
        </w:tc>
        <w:tc>
          <w:tcPr>
            <w:tcW w:w="395" w:type="pct"/>
            <w:tcBorders>
              <w:top w:val="single" w:color="auto" w:sz="4" w:space="0"/>
              <w:left w:val="single" w:color="auto" w:sz="4" w:space="0"/>
              <w:bottom w:val="single" w:color="auto" w:sz="4" w:space="0"/>
              <w:right w:val="single" w:color="auto" w:sz="4" w:space="0"/>
            </w:tcBorders>
            <w:vAlign w:val="center"/>
          </w:tcPr>
          <w:p w14:paraId="6C98DC50">
            <w:pPr>
              <w:pStyle w:val="218"/>
              <w:rPr>
                <w:rFonts w:cs="Times New Roman"/>
                <w:color w:val="auto"/>
              </w:rPr>
            </w:pPr>
            <w:r>
              <w:rPr>
                <w:rFonts w:hint="eastAsia" w:cs="Times New Roman"/>
                <w:color w:val="auto"/>
              </w:rPr>
              <w:t>相符</w:t>
            </w:r>
          </w:p>
        </w:tc>
      </w:tr>
      <w:tr w14:paraId="7123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continue"/>
            <w:tcBorders>
              <w:left w:val="single" w:color="auto" w:sz="4" w:space="0"/>
              <w:bottom w:val="single" w:color="auto" w:sz="4" w:space="0"/>
              <w:right w:val="single" w:color="auto" w:sz="4" w:space="0"/>
            </w:tcBorders>
            <w:vAlign w:val="center"/>
          </w:tcPr>
          <w:p w14:paraId="6B016942">
            <w:pPr>
              <w:pStyle w:val="218"/>
              <w:rPr>
                <w:rFonts w:cs="Times New Roman"/>
                <w:color w:val="auto"/>
              </w:rPr>
            </w:pPr>
          </w:p>
        </w:tc>
        <w:tc>
          <w:tcPr>
            <w:tcW w:w="546" w:type="pct"/>
            <w:vMerge w:val="continue"/>
            <w:tcBorders>
              <w:left w:val="single" w:color="auto" w:sz="4" w:space="0"/>
              <w:bottom w:val="single" w:color="auto" w:sz="4" w:space="0"/>
              <w:right w:val="single" w:color="auto" w:sz="4" w:space="0"/>
            </w:tcBorders>
            <w:vAlign w:val="center"/>
          </w:tcPr>
          <w:p w14:paraId="302FFCAB">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3BFCF0FB">
            <w:pPr>
              <w:pStyle w:val="218"/>
              <w:rPr>
                <w:rFonts w:cs="Times New Roman"/>
                <w:color w:val="auto"/>
              </w:rPr>
            </w:pPr>
            <w:r>
              <w:rPr>
                <w:rFonts w:cs="Times New Roman"/>
                <w:color w:val="auto"/>
              </w:rPr>
              <w:t>粉尘在线监测设备</w:t>
            </w:r>
          </w:p>
        </w:tc>
        <w:tc>
          <w:tcPr>
            <w:tcW w:w="1871" w:type="pct"/>
            <w:tcBorders>
              <w:top w:val="single" w:color="auto" w:sz="4" w:space="0"/>
              <w:left w:val="single" w:color="auto" w:sz="4" w:space="0"/>
              <w:bottom w:val="single" w:color="auto" w:sz="4" w:space="0"/>
              <w:right w:val="single" w:color="auto" w:sz="4" w:space="0"/>
            </w:tcBorders>
            <w:vAlign w:val="center"/>
          </w:tcPr>
          <w:p w14:paraId="71B5A43F">
            <w:pPr>
              <w:pStyle w:val="218"/>
              <w:rPr>
                <w:rFonts w:cs="Times New Roman"/>
                <w:color w:val="auto"/>
              </w:rPr>
            </w:pPr>
            <w:r>
              <w:rPr>
                <w:rFonts w:cs="Times New Roman"/>
                <w:color w:val="auto"/>
              </w:rPr>
              <w:t>（1）装卸易起尘货种码头应设置粉尘在线监测设备；（2）监测点数量根据码头堆场面积而定，监测点位应设置在粉尘无组织排放源下风向，同时在排放源上风向设参照点；（3）监测点位设置应符合“1+n”原则，其中“1”为厂界监测点，“n”为港区内监测点。厂界监测点的设置应满足环保部门关于环境空气质量监测的需求，符合GB3095、HJ655的相关要求；港区内监测点应设置于码头厂界范围内，且可直接监控码头堆场主要生产活动的区域。</w:t>
            </w:r>
          </w:p>
        </w:tc>
        <w:tc>
          <w:tcPr>
            <w:tcW w:w="1375" w:type="pct"/>
            <w:tcBorders>
              <w:top w:val="single" w:color="auto" w:sz="4" w:space="0"/>
              <w:left w:val="single" w:color="auto" w:sz="4" w:space="0"/>
              <w:bottom w:val="single" w:color="auto" w:sz="4" w:space="0"/>
              <w:right w:val="single" w:color="auto" w:sz="4" w:space="0"/>
            </w:tcBorders>
            <w:vAlign w:val="center"/>
          </w:tcPr>
          <w:p w14:paraId="606B07A3">
            <w:pPr>
              <w:pStyle w:val="218"/>
              <w:rPr>
                <w:rFonts w:cs="Times New Roman"/>
                <w:color w:val="auto"/>
              </w:rPr>
            </w:pPr>
            <w:r>
              <w:rPr>
                <w:rFonts w:cs="Times New Roman"/>
                <w:color w:val="auto"/>
              </w:rPr>
              <w:t>本码头需设置粉尘在线监测设备，本码头不涉及堆场，在码头西侧设置一个码头厂界监测点，同时在码头上风向设参照点。</w:t>
            </w:r>
          </w:p>
        </w:tc>
        <w:tc>
          <w:tcPr>
            <w:tcW w:w="395" w:type="pct"/>
            <w:tcBorders>
              <w:top w:val="single" w:color="auto" w:sz="4" w:space="0"/>
              <w:left w:val="single" w:color="auto" w:sz="4" w:space="0"/>
              <w:bottom w:val="single" w:color="auto" w:sz="4" w:space="0"/>
              <w:right w:val="single" w:color="auto" w:sz="4" w:space="0"/>
            </w:tcBorders>
            <w:vAlign w:val="center"/>
          </w:tcPr>
          <w:p w14:paraId="0510D0B6">
            <w:pPr>
              <w:pStyle w:val="218"/>
              <w:rPr>
                <w:rFonts w:cs="Times New Roman"/>
                <w:color w:val="auto"/>
              </w:rPr>
            </w:pPr>
            <w:r>
              <w:rPr>
                <w:rFonts w:hint="eastAsia" w:cs="Times New Roman"/>
                <w:color w:val="auto"/>
              </w:rPr>
              <w:t>相符</w:t>
            </w:r>
          </w:p>
        </w:tc>
      </w:tr>
      <w:tr w14:paraId="2037A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vAlign w:val="center"/>
          </w:tcPr>
          <w:p w14:paraId="789C5DD5">
            <w:pPr>
              <w:pStyle w:val="218"/>
              <w:rPr>
                <w:rFonts w:cs="Times New Roman"/>
                <w:color w:val="auto"/>
              </w:rPr>
            </w:pPr>
            <w:r>
              <w:rPr>
                <w:rFonts w:cs="Times New Roman"/>
                <w:color w:val="auto"/>
              </w:rPr>
              <w:t>船舶废气</w:t>
            </w:r>
          </w:p>
        </w:tc>
        <w:tc>
          <w:tcPr>
            <w:tcW w:w="546" w:type="pct"/>
            <w:tcBorders>
              <w:top w:val="single" w:color="auto" w:sz="4" w:space="0"/>
              <w:left w:val="single" w:color="auto" w:sz="4" w:space="0"/>
              <w:bottom w:val="single" w:color="auto" w:sz="4" w:space="0"/>
              <w:right w:val="single" w:color="auto" w:sz="4" w:space="0"/>
            </w:tcBorders>
            <w:vAlign w:val="center"/>
          </w:tcPr>
          <w:p w14:paraId="21C8A24D">
            <w:pPr>
              <w:pStyle w:val="218"/>
              <w:rPr>
                <w:rFonts w:cs="Times New Roman"/>
                <w:color w:val="auto"/>
              </w:rPr>
            </w:pPr>
            <w:r>
              <w:rPr>
                <w:rFonts w:cs="Times New Roman"/>
                <w:color w:val="auto"/>
              </w:rPr>
              <w:t>船舶停泊期间岸电设施得到有效利用。</w:t>
            </w:r>
          </w:p>
        </w:tc>
        <w:tc>
          <w:tcPr>
            <w:tcW w:w="438" w:type="pct"/>
            <w:tcBorders>
              <w:top w:val="single" w:color="auto" w:sz="4" w:space="0"/>
              <w:left w:val="single" w:color="auto" w:sz="4" w:space="0"/>
              <w:bottom w:val="single" w:color="auto" w:sz="4" w:space="0"/>
              <w:right w:val="single" w:color="auto" w:sz="4" w:space="0"/>
            </w:tcBorders>
            <w:vAlign w:val="center"/>
          </w:tcPr>
          <w:p w14:paraId="2907296F">
            <w:pPr>
              <w:pStyle w:val="218"/>
              <w:rPr>
                <w:rFonts w:cs="Times New Roman"/>
                <w:color w:val="auto"/>
              </w:rPr>
            </w:pPr>
            <w:r>
              <w:rPr>
                <w:rFonts w:cs="Times New Roman"/>
                <w:color w:val="auto"/>
              </w:rPr>
              <w:t>岸电设施</w:t>
            </w:r>
          </w:p>
        </w:tc>
        <w:tc>
          <w:tcPr>
            <w:tcW w:w="1871" w:type="pct"/>
            <w:tcBorders>
              <w:top w:val="single" w:color="auto" w:sz="4" w:space="0"/>
              <w:left w:val="single" w:color="auto" w:sz="4" w:space="0"/>
              <w:bottom w:val="single" w:color="auto" w:sz="4" w:space="0"/>
              <w:right w:val="single" w:color="auto" w:sz="4" w:space="0"/>
            </w:tcBorders>
            <w:vAlign w:val="center"/>
          </w:tcPr>
          <w:p w14:paraId="12CD496A">
            <w:pPr>
              <w:pStyle w:val="218"/>
              <w:rPr>
                <w:rFonts w:cs="Times New Roman"/>
                <w:color w:val="auto"/>
              </w:rPr>
            </w:pPr>
            <w:r>
              <w:rPr>
                <w:rFonts w:cs="Times New Roman"/>
                <w:color w:val="auto"/>
              </w:rPr>
              <w:t>港口均应配备岸电设施，并保证岸电设施的正常运行。</w:t>
            </w:r>
          </w:p>
        </w:tc>
        <w:tc>
          <w:tcPr>
            <w:tcW w:w="1375" w:type="pct"/>
            <w:tcBorders>
              <w:top w:val="single" w:color="auto" w:sz="4" w:space="0"/>
              <w:left w:val="single" w:color="auto" w:sz="4" w:space="0"/>
              <w:bottom w:val="single" w:color="auto" w:sz="4" w:space="0"/>
              <w:right w:val="single" w:color="auto" w:sz="4" w:space="0"/>
            </w:tcBorders>
            <w:vAlign w:val="center"/>
          </w:tcPr>
          <w:p w14:paraId="688622EC">
            <w:pPr>
              <w:pStyle w:val="218"/>
              <w:rPr>
                <w:rFonts w:cs="Times New Roman"/>
                <w:color w:val="auto"/>
              </w:rPr>
            </w:pPr>
            <w:r>
              <w:rPr>
                <w:rFonts w:cs="Times New Roman"/>
                <w:color w:val="auto"/>
              </w:rPr>
              <w:t>本码头配备岸电设施，并保证岸电设施的正常运行。</w:t>
            </w:r>
          </w:p>
        </w:tc>
        <w:tc>
          <w:tcPr>
            <w:tcW w:w="395" w:type="pct"/>
            <w:tcBorders>
              <w:top w:val="single" w:color="auto" w:sz="4" w:space="0"/>
              <w:left w:val="single" w:color="auto" w:sz="4" w:space="0"/>
              <w:bottom w:val="single" w:color="auto" w:sz="4" w:space="0"/>
              <w:right w:val="single" w:color="auto" w:sz="4" w:space="0"/>
            </w:tcBorders>
            <w:vAlign w:val="center"/>
          </w:tcPr>
          <w:p w14:paraId="7CF6B982">
            <w:pPr>
              <w:pStyle w:val="218"/>
              <w:rPr>
                <w:rFonts w:cs="Times New Roman"/>
                <w:color w:val="auto"/>
              </w:rPr>
            </w:pPr>
            <w:r>
              <w:rPr>
                <w:rFonts w:hint="eastAsia" w:cs="Times New Roman"/>
                <w:color w:val="auto"/>
              </w:rPr>
              <w:t>相符</w:t>
            </w:r>
          </w:p>
        </w:tc>
      </w:tr>
      <w:tr w14:paraId="2D8A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restart"/>
            <w:tcBorders>
              <w:top w:val="single" w:color="auto" w:sz="4" w:space="0"/>
              <w:left w:val="single" w:color="auto" w:sz="4" w:space="0"/>
              <w:right w:val="single" w:color="auto" w:sz="4" w:space="0"/>
            </w:tcBorders>
            <w:vAlign w:val="center"/>
          </w:tcPr>
          <w:p w14:paraId="112DD818">
            <w:pPr>
              <w:pStyle w:val="218"/>
              <w:rPr>
                <w:rFonts w:cs="Times New Roman"/>
                <w:color w:val="auto"/>
              </w:rPr>
            </w:pPr>
            <w:r>
              <w:rPr>
                <w:rFonts w:cs="Times New Roman"/>
                <w:color w:val="auto"/>
              </w:rPr>
              <w:t>初期雨水、冲洗废水</w:t>
            </w:r>
          </w:p>
        </w:tc>
        <w:tc>
          <w:tcPr>
            <w:tcW w:w="546" w:type="pct"/>
            <w:vMerge w:val="restart"/>
            <w:tcBorders>
              <w:top w:val="single" w:color="auto" w:sz="4" w:space="0"/>
              <w:left w:val="single" w:color="auto" w:sz="4" w:space="0"/>
              <w:right w:val="single" w:color="auto" w:sz="4" w:space="0"/>
            </w:tcBorders>
            <w:vAlign w:val="center"/>
          </w:tcPr>
          <w:p w14:paraId="26C7C76B">
            <w:pPr>
              <w:pStyle w:val="218"/>
              <w:rPr>
                <w:rFonts w:cs="Times New Roman"/>
                <w:color w:val="auto"/>
              </w:rPr>
            </w:pPr>
            <w:r>
              <w:rPr>
                <w:rFonts w:cs="Times New Roman"/>
                <w:color w:val="auto"/>
              </w:rPr>
              <w:t>初期雨水以及冲洗废水全收集和妥善处置，禁止外排。</w:t>
            </w:r>
          </w:p>
        </w:tc>
        <w:tc>
          <w:tcPr>
            <w:tcW w:w="438" w:type="pct"/>
            <w:tcBorders>
              <w:top w:val="single" w:color="auto" w:sz="4" w:space="0"/>
              <w:left w:val="single" w:color="auto" w:sz="4" w:space="0"/>
              <w:bottom w:val="single" w:color="auto" w:sz="4" w:space="0"/>
              <w:right w:val="single" w:color="auto" w:sz="4" w:space="0"/>
            </w:tcBorders>
            <w:vAlign w:val="center"/>
          </w:tcPr>
          <w:p w14:paraId="593A1E46">
            <w:pPr>
              <w:pStyle w:val="218"/>
              <w:rPr>
                <w:rFonts w:cs="Times New Roman"/>
                <w:color w:val="auto"/>
              </w:rPr>
            </w:pPr>
            <w:r>
              <w:rPr>
                <w:rFonts w:cs="Times New Roman"/>
                <w:color w:val="auto"/>
              </w:rPr>
              <w:t>集水沟</w:t>
            </w:r>
          </w:p>
        </w:tc>
        <w:tc>
          <w:tcPr>
            <w:tcW w:w="1871" w:type="pct"/>
            <w:tcBorders>
              <w:top w:val="single" w:color="auto" w:sz="4" w:space="0"/>
              <w:left w:val="single" w:color="auto" w:sz="4" w:space="0"/>
              <w:bottom w:val="single" w:color="auto" w:sz="4" w:space="0"/>
              <w:right w:val="single" w:color="auto" w:sz="4" w:space="0"/>
            </w:tcBorders>
            <w:vAlign w:val="center"/>
          </w:tcPr>
          <w:p w14:paraId="25A84B6F">
            <w:pPr>
              <w:pStyle w:val="218"/>
              <w:rPr>
                <w:rFonts w:cs="Times New Roman"/>
                <w:color w:val="auto"/>
              </w:rPr>
            </w:pPr>
            <w:r>
              <w:rPr>
                <w:rFonts w:cs="Times New Roman"/>
                <w:color w:val="auto"/>
              </w:rPr>
              <w:t>（1）港区码头面、堆场处应设置集水沟，集水沟的尺寸应与汇水面积和降雨强度等因素相适应；（2）港区码头无条件设置集水沟时，可设置明渠、导流槽等替代收集设施；（3）码头面护轮坎保持完好，无破损、缺失，避免初期雨水、冲洗废水直排。</w:t>
            </w:r>
          </w:p>
        </w:tc>
        <w:tc>
          <w:tcPr>
            <w:tcW w:w="1375" w:type="pct"/>
            <w:vMerge w:val="restart"/>
            <w:tcBorders>
              <w:top w:val="single" w:color="auto" w:sz="4" w:space="0"/>
              <w:left w:val="single" w:color="auto" w:sz="4" w:space="0"/>
              <w:right w:val="single" w:color="auto" w:sz="4" w:space="0"/>
            </w:tcBorders>
            <w:vAlign w:val="center"/>
          </w:tcPr>
          <w:p w14:paraId="4462994C">
            <w:pPr>
              <w:pStyle w:val="218"/>
              <w:rPr>
                <w:rFonts w:cs="Times New Roman"/>
                <w:color w:val="auto"/>
              </w:rPr>
            </w:pPr>
            <w:r>
              <w:rPr>
                <w:rFonts w:cs="Times New Roman"/>
                <w:color w:val="auto"/>
              </w:rPr>
              <w:t>本项目不涉及堆场，</w:t>
            </w:r>
            <w:r>
              <w:rPr>
                <w:rFonts w:hint="eastAsia" w:cs="Times New Roman"/>
                <w:color w:val="auto"/>
              </w:rPr>
              <w:t>码头设置集水沟。</w:t>
            </w:r>
            <w:r>
              <w:rPr>
                <w:rFonts w:hint="eastAsia"/>
                <w:color w:val="auto"/>
                <w:kern w:val="0"/>
              </w:rPr>
              <w:t>码头初期雨水经排水沟排入国能涟水一期热电联产项目厂区初期雨水池，容积约1500m</w:t>
            </w:r>
            <w:r>
              <w:rPr>
                <w:rFonts w:hint="eastAsia"/>
                <w:color w:val="auto"/>
                <w:kern w:val="0"/>
                <w:vertAlign w:val="superscript"/>
              </w:rPr>
              <w:t>3</w:t>
            </w:r>
            <w:r>
              <w:rPr>
                <w:rFonts w:hint="eastAsia"/>
                <w:color w:val="auto"/>
                <w:kern w:val="0"/>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w:t>
            </w:r>
          </w:p>
        </w:tc>
        <w:tc>
          <w:tcPr>
            <w:tcW w:w="395" w:type="pct"/>
            <w:tcBorders>
              <w:top w:val="single" w:color="auto" w:sz="4" w:space="0"/>
              <w:left w:val="single" w:color="auto" w:sz="4" w:space="0"/>
              <w:bottom w:val="single" w:color="auto" w:sz="4" w:space="0"/>
              <w:right w:val="single" w:color="auto" w:sz="4" w:space="0"/>
            </w:tcBorders>
            <w:vAlign w:val="center"/>
          </w:tcPr>
          <w:p w14:paraId="159FC663">
            <w:pPr>
              <w:pStyle w:val="218"/>
              <w:rPr>
                <w:rFonts w:cs="Times New Roman"/>
                <w:color w:val="auto"/>
              </w:rPr>
            </w:pPr>
            <w:r>
              <w:rPr>
                <w:rFonts w:hint="eastAsia" w:cs="Times New Roman"/>
                <w:color w:val="auto"/>
              </w:rPr>
              <w:t>相符</w:t>
            </w:r>
          </w:p>
        </w:tc>
      </w:tr>
      <w:tr w14:paraId="25AD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vMerge w:val="continue"/>
            <w:tcBorders>
              <w:left w:val="single" w:color="auto" w:sz="4" w:space="0"/>
              <w:bottom w:val="single" w:color="auto" w:sz="4" w:space="0"/>
              <w:right w:val="single" w:color="auto" w:sz="4" w:space="0"/>
            </w:tcBorders>
            <w:vAlign w:val="center"/>
          </w:tcPr>
          <w:p w14:paraId="373417C5">
            <w:pPr>
              <w:pStyle w:val="218"/>
              <w:rPr>
                <w:rFonts w:cs="Times New Roman"/>
                <w:color w:val="auto"/>
              </w:rPr>
            </w:pPr>
          </w:p>
        </w:tc>
        <w:tc>
          <w:tcPr>
            <w:tcW w:w="546" w:type="pct"/>
            <w:vMerge w:val="continue"/>
            <w:tcBorders>
              <w:left w:val="single" w:color="auto" w:sz="4" w:space="0"/>
              <w:bottom w:val="single" w:color="auto" w:sz="4" w:space="0"/>
              <w:right w:val="single" w:color="auto" w:sz="4" w:space="0"/>
            </w:tcBorders>
            <w:vAlign w:val="center"/>
          </w:tcPr>
          <w:p w14:paraId="6480BF33">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3A33F12D">
            <w:pPr>
              <w:pStyle w:val="218"/>
              <w:rPr>
                <w:rFonts w:cs="Times New Roman"/>
                <w:color w:val="auto"/>
              </w:rPr>
            </w:pPr>
            <w:r>
              <w:rPr>
                <w:rFonts w:cs="Times New Roman"/>
                <w:color w:val="auto"/>
              </w:rPr>
              <w:t>沉淀池</w:t>
            </w:r>
          </w:p>
        </w:tc>
        <w:tc>
          <w:tcPr>
            <w:tcW w:w="1871" w:type="pct"/>
            <w:tcBorders>
              <w:top w:val="single" w:color="auto" w:sz="4" w:space="0"/>
              <w:left w:val="single" w:color="auto" w:sz="4" w:space="0"/>
              <w:bottom w:val="single" w:color="auto" w:sz="4" w:space="0"/>
              <w:right w:val="single" w:color="auto" w:sz="4" w:space="0"/>
            </w:tcBorders>
            <w:vAlign w:val="center"/>
          </w:tcPr>
          <w:p w14:paraId="75B82988">
            <w:pPr>
              <w:pStyle w:val="218"/>
              <w:rPr>
                <w:rFonts w:cs="Times New Roman"/>
                <w:color w:val="auto"/>
              </w:rPr>
            </w:pPr>
            <w:r>
              <w:rPr>
                <w:rFonts w:cs="Times New Roman"/>
                <w:color w:val="auto"/>
              </w:rPr>
              <w:t>（1）集水沟下游应设置沉淀池，沉淀池有效容积应与汇水面积和降雨强度等因素相适应；（2）码头面初期雨水量由汇水面积和降雨强度公式确定；（3）初期雨水及冲洗废水优先回用。</w:t>
            </w:r>
          </w:p>
        </w:tc>
        <w:tc>
          <w:tcPr>
            <w:tcW w:w="1375" w:type="pct"/>
            <w:vMerge w:val="continue"/>
            <w:tcBorders>
              <w:left w:val="single" w:color="auto" w:sz="4" w:space="0"/>
              <w:bottom w:val="single" w:color="auto" w:sz="4" w:space="0"/>
              <w:right w:val="single" w:color="auto" w:sz="4" w:space="0"/>
            </w:tcBorders>
            <w:vAlign w:val="center"/>
          </w:tcPr>
          <w:p w14:paraId="351E2C9C">
            <w:pPr>
              <w:pStyle w:val="218"/>
              <w:rPr>
                <w:rFonts w:cs="Times New Roman"/>
                <w:color w:val="auto"/>
              </w:rPr>
            </w:pPr>
          </w:p>
        </w:tc>
        <w:tc>
          <w:tcPr>
            <w:tcW w:w="395" w:type="pct"/>
            <w:tcBorders>
              <w:top w:val="single" w:color="auto" w:sz="4" w:space="0"/>
              <w:left w:val="single" w:color="auto" w:sz="4" w:space="0"/>
              <w:bottom w:val="single" w:color="auto" w:sz="4" w:space="0"/>
              <w:right w:val="single" w:color="auto" w:sz="4" w:space="0"/>
            </w:tcBorders>
            <w:vAlign w:val="center"/>
          </w:tcPr>
          <w:p w14:paraId="61A22D38">
            <w:pPr>
              <w:pStyle w:val="218"/>
              <w:rPr>
                <w:rFonts w:cs="Times New Roman"/>
                <w:color w:val="auto"/>
              </w:rPr>
            </w:pPr>
            <w:r>
              <w:rPr>
                <w:rFonts w:hint="eastAsia" w:cs="Times New Roman"/>
                <w:color w:val="auto"/>
              </w:rPr>
              <w:t>相符</w:t>
            </w:r>
          </w:p>
        </w:tc>
      </w:tr>
      <w:tr w14:paraId="3039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vAlign w:val="center"/>
          </w:tcPr>
          <w:p w14:paraId="1111C64A">
            <w:pPr>
              <w:pStyle w:val="218"/>
              <w:rPr>
                <w:rFonts w:cs="Times New Roman"/>
                <w:color w:val="auto"/>
              </w:rPr>
            </w:pPr>
            <w:r>
              <w:rPr>
                <w:rFonts w:cs="Times New Roman"/>
                <w:color w:val="auto"/>
              </w:rPr>
              <w:t>生活垃圾</w:t>
            </w:r>
          </w:p>
        </w:tc>
        <w:tc>
          <w:tcPr>
            <w:tcW w:w="546" w:type="pct"/>
            <w:vMerge w:val="restart"/>
            <w:tcBorders>
              <w:top w:val="single" w:color="auto" w:sz="4" w:space="0"/>
              <w:left w:val="single" w:color="auto" w:sz="4" w:space="0"/>
              <w:right w:val="single" w:color="auto" w:sz="4" w:space="0"/>
            </w:tcBorders>
            <w:vAlign w:val="center"/>
          </w:tcPr>
          <w:p w14:paraId="71F0CB03">
            <w:pPr>
              <w:pStyle w:val="218"/>
              <w:rPr>
                <w:rFonts w:cs="Times New Roman"/>
                <w:color w:val="auto"/>
              </w:rPr>
            </w:pPr>
            <w:r>
              <w:rPr>
                <w:rFonts w:cs="Times New Roman"/>
                <w:color w:val="auto"/>
              </w:rPr>
              <w:t>船舶污染物的“应收尽收、应转尽转、应处尽处”，实现“船港城”协同治理</w:t>
            </w:r>
          </w:p>
        </w:tc>
        <w:tc>
          <w:tcPr>
            <w:tcW w:w="438" w:type="pct"/>
            <w:tcBorders>
              <w:top w:val="single" w:color="auto" w:sz="4" w:space="0"/>
              <w:left w:val="single" w:color="auto" w:sz="4" w:space="0"/>
              <w:bottom w:val="single" w:color="auto" w:sz="4" w:space="0"/>
              <w:right w:val="single" w:color="auto" w:sz="4" w:space="0"/>
            </w:tcBorders>
            <w:vAlign w:val="center"/>
          </w:tcPr>
          <w:p w14:paraId="3DA932E4">
            <w:pPr>
              <w:pStyle w:val="218"/>
              <w:rPr>
                <w:rFonts w:cs="Times New Roman"/>
                <w:color w:val="auto"/>
              </w:rPr>
            </w:pPr>
            <w:r>
              <w:rPr>
                <w:rFonts w:cs="Times New Roman"/>
                <w:color w:val="auto"/>
              </w:rPr>
              <w:t>垃圾接收装置</w:t>
            </w:r>
          </w:p>
        </w:tc>
        <w:tc>
          <w:tcPr>
            <w:tcW w:w="1871" w:type="pct"/>
            <w:tcBorders>
              <w:top w:val="single" w:color="auto" w:sz="4" w:space="0"/>
              <w:left w:val="single" w:color="auto" w:sz="4" w:space="0"/>
              <w:bottom w:val="single" w:color="auto" w:sz="4" w:space="0"/>
              <w:right w:val="single" w:color="auto" w:sz="4" w:space="0"/>
            </w:tcBorders>
            <w:vAlign w:val="center"/>
          </w:tcPr>
          <w:p w14:paraId="1F1237F6">
            <w:pPr>
              <w:pStyle w:val="218"/>
              <w:rPr>
                <w:rFonts w:cs="Times New Roman"/>
                <w:color w:val="auto"/>
              </w:rPr>
            </w:pPr>
            <w:r>
              <w:rPr>
                <w:rFonts w:cs="Times New Roman"/>
                <w:color w:val="auto"/>
              </w:rPr>
              <w:t>（1）船舶生活垃圾使用固定式接收装置或流动接收装置收集；（2）采取岸上固定式接收装置收集时，港口码头船舶生活垃圾桶（箱）配置数量应不低于下表的要求；</w:t>
            </w:r>
          </w:p>
          <w:p w14:paraId="18F997C2">
            <w:pPr>
              <w:pStyle w:val="218"/>
              <w:rPr>
                <w:rFonts w:cs="Times New Roman"/>
                <w:color w:val="auto"/>
              </w:rPr>
            </w:pPr>
            <w:r>
              <w:rPr>
                <w:color w:val="auto"/>
              </w:rPr>
              <w:drawing>
                <wp:inline distT="0" distB="0" distL="0" distR="0">
                  <wp:extent cx="2159635" cy="678815"/>
                  <wp:effectExtent l="0" t="0" r="0" b="6985"/>
                  <wp:docPr id="1044268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68607" name="图片 1"/>
                          <pic:cNvPicPr>
                            <a:picLocks noChangeAspect="1"/>
                          </pic:cNvPicPr>
                        </pic:nvPicPr>
                        <pic:blipFill>
                          <a:blip r:embed="rId15"/>
                          <a:stretch>
                            <a:fillRect/>
                          </a:stretch>
                        </pic:blipFill>
                        <pic:spPr>
                          <a:xfrm>
                            <a:off x="0" y="0"/>
                            <a:ext cx="2160000" cy="678959"/>
                          </a:xfrm>
                          <a:prstGeom prst="rect">
                            <a:avLst/>
                          </a:prstGeom>
                        </pic:spPr>
                      </pic:pic>
                    </a:graphicData>
                  </a:graphic>
                </wp:inline>
              </w:drawing>
            </w:r>
          </w:p>
          <w:p w14:paraId="3A3FBA94">
            <w:pPr>
              <w:pStyle w:val="218"/>
              <w:rPr>
                <w:rFonts w:cs="Times New Roman"/>
                <w:color w:val="auto"/>
              </w:rPr>
            </w:pPr>
            <w:r>
              <w:rPr>
                <w:rFonts w:cs="Times New Roman"/>
                <w:color w:val="auto"/>
              </w:rPr>
              <w:t>（3）船舶垃圾纳入市政公共转运处置体系（第三方或者环卫部门）进行清运处置，并按照“船E行”系统要求完成污染物接收确认及转运工作。</w:t>
            </w:r>
          </w:p>
        </w:tc>
        <w:tc>
          <w:tcPr>
            <w:tcW w:w="1375" w:type="pct"/>
            <w:tcBorders>
              <w:top w:val="single" w:color="auto" w:sz="4" w:space="0"/>
              <w:left w:val="single" w:color="auto" w:sz="4" w:space="0"/>
              <w:bottom w:val="single" w:color="auto" w:sz="4" w:space="0"/>
              <w:right w:val="single" w:color="auto" w:sz="4" w:space="0"/>
            </w:tcBorders>
            <w:vAlign w:val="center"/>
          </w:tcPr>
          <w:p w14:paraId="39E59615">
            <w:pPr>
              <w:pStyle w:val="218"/>
              <w:rPr>
                <w:rFonts w:cs="Times New Roman"/>
                <w:color w:val="auto"/>
              </w:rPr>
            </w:pPr>
            <w:r>
              <w:rPr>
                <w:rFonts w:cs="Times New Roman"/>
                <w:color w:val="auto"/>
              </w:rPr>
              <w:t>本项目设置船舶生活垃圾分类接收桶，接收的船舶垃圾定期由环卫处置。</w:t>
            </w:r>
          </w:p>
        </w:tc>
        <w:tc>
          <w:tcPr>
            <w:tcW w:w="395" w:type="pct"/>
            <w:tcBorders>
              <w:top w:val="single" w:color="auto" w:sz="4" w:space="0"/>
              <w:left w:val="single" w:color="auto" w:sz="4" w:space="0"/>
              <w:bottom w:val="single" w:color="auto" w:sz="4" w:space="0"/>
              <w:right w:val="single" w:color="auto" w:sz="4" w:space="0"/>
            </w:tcBorders>
            <w:vAlign w:val="center"/>
          </w:tcPr>
          <w:p w14:paraId="37BB870F">
            <w:pPr>
              <w:pStyle w:val="218"/>
              <w:rPr>
                <w:rFonts w:cs="Times New Roman"/>
                <w:color w:val="auto"/>
              </w:rPr>
            </w:pPr>
            <w:r>
              <w:rPr>
                <w:rFonts w:hint="eastAsia" w:cs="Times New Roman"/>
                <w:color w:val="auto"/>
              </w:rPr>
              <w:t>相符</w:t>
            </w:r>
          </w:p>
        </w:tc>
      </w:tr>
      <w:tr w14:paraId="118F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vAlign w:val="center"/>
          </w:tcPr>
          <w:p w14:paraId="1B689A1A">
            <w:pPr>
              <w:pStyle w:val="218"/>
              <w:rPr>
                <w:rFonts w:cs="Times New Roman"/>
                <w:color w:val="auto"/>
              </w:rPr>
            </w:pPr>
            <w:r>
              <w:rPr>
                <w:rFonts w:cs="Times New Roman"/>
                <w:color w:val="auto"/>
              </w:rPr>
              <w:t>生活废水</w:t>
            </w:r>
          </w:p>
        </w:tc>
        <w:tc>
          <w:tcPr>
            <w:tcW w:w="546" w:type="pct"/>
            <w:vMerge w:val="continue"/>
            <w:tcBorders>
              <w:left w:val="single" w:color="auto" w:sz="4" w:space="0"/>
              <w:right w:val="single" w:color="auto" w:sz="4" w:space="0"/>
            </w:tcBorders>
            <w:vAlign w:val="center"/>
          </w:tcPr>
          <w:p w14:paraId="16EC88E7">
            <w:pPr>
              <w:pStyle w:val="218"/>
              <w:rPr>
                <w:rFonts w:cs="Times New Roman"/>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0B4CB4E7">
            <w:pPr>
              <w:pStyle w:val="218"/>
              <w:rPr>
                <w:rFonts w:cs="Times New Roman"/>
                <w:color w:val="auto"/>
              </w:rPr>
            </w:pPr>
            <w:r>
              <w:rPr>
                <w:rFonts w:cs="Times New Roman"/>
                <w:color w:val="auto"/>
              </w:rPr>
              <w:t>废水接收装置</w:t>
            </w:r>
          </w:p>
        </w:tc>
        <w:tc>
          <w:tcPr>
            <w:tcW w:w="1871" w:type="pct"/>
            <w:tcBorders>
              <w:top w:val="single" w:color="auto" w:sz="4" w:space="0"/>
              <w:left w:val="single" w:color="auto" w:sz="4" w:space="0"/>
              <w:bottom w:val="single" w:color="auto" w:sz="4" w:space="0"/>
              <w:right w:val="single" w:color="auto" w:sz="4" w:space="0"/>
            </w:tcBorders>
            <w:vAlign w:val="center"/>
          </w:tcPr>
          <w:p w14:paraId="18C4B120">
            <w:pPr>
              <w:pStyle w:val="218"/>
              <w:rPr>
                <w:rFonts w:cs="Times New Roman"/>
                <w:color w:val="auto"/>
              </w:rPr>
            </w:pPr>
            <w:r>
              <w:rPr>
                <w:rFonts w:cs="Times New Roman"/>
                <w:color w:val="auto"/>
              </w:rPr>
              <w:t>（1）船舶生活污水使用固定式接收装置或流动接收装置收集；（2）采取岸上固定式接收装置收集时，港口码头船舶生活污水储存设施的容积应根据码头泊位的设计通过能力确定，并应不低于下表中的要求；</w:t>
            </w:r>
          </w:p>
          <w:p w14:paraId="4CCBDCBC">
            <w:pPr>
              <w:pStyle w:val="218"/>
              <w:rPr>
                <w:rFonts w:cs="Times New Roman"/>
                <w:color w:val="auto"/>
              </w:rPr>
            </w:pPr>
            <w:r>
              <w:rPr>
                <w:color w:val="auto"/>
              </w:rPr>
              <w:drawing>
                <wp:inline distT="0" distB="0" distL="0" distR="0">
                  <wp:extent cx="2159635" cy="285115"/>
                  <wp:effectExtent l="0" t="0" r="0" b="635"/>
                  <wp:docPr id="557354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354952" name="图片 1"/>
                          <pic:cNvPicPr>
                            <a:picLocks noChangeAspect="1"/>
                          </pic:cNvPicPr>
                        </pic:nvPicPr>
                        <pic:blipFill>
                          <a:blip r:embed="rId16"/>
                          <a:stretch>
                            <a:fillRect/>
                          </a:stretch>
                        </pic:blipFill>
                        <pic:spPr>
                          <a:xfrm>
                            <a:off x="0" y="0"/>
                            <a:ext cx="2160000" cy="285539"/>
                          </a:xfrm>
                          <a:prstGeom prst="rect">
                            <a:avLst/>
                          </a:prstGeom>
                        </pic:spPr>
                      </pic:pic>
                    </a:graphicData>
                  </a:graphic>
                </wp:inline>
              </w:drawing>
            </w:r>
          </w:p>
          <w:p w14:paraId="43DFF668">
            <w:pPr>
              <w:pStyle w:val="218"/>
              <w:rPr>
                <w:rFonts w:cs="Times New Roman"/>
                <w:color w:val="auto"/>
              </w:rPr>
            </w:pPr>
            <w:r>
              <w:rPr>
                <w:rFonts w:cs="Times New Roman"/>
                <w:color w:val="auto"/>
              </w:rPr>
              <w:t>（3）设计通过能力低于50万吨或者靠港船舶数量少、码头泊位相邻的经营企业可共用暂存装置或者污水接收车；（4）船舶生活污水可通过委托第三方转运处置、自建污水处理设施处理以及接管等方式处理，并按照“船E行”系统要求完成污染物接收确认及转运工作。</w:t>
            </w:r>
          </w:p>
        </w:tc>
        <w:tc>
          <w:tcPr>
            <w:tcW w:w="1375" w:type="pct"/>
            <w:tcBorders>
              <w:top w:val="single" w:color="auto" w:sz="4" w:space="0"/>
              <w:left w:val="single" w:color="auto" w:sz="4" w:space="0"/>
              <w:bottom w:val="single" w:color="auto" w:sz="4" w:space="0"/>
              <w:right w:val="single" w:color="auto" w:sz="4" w:space="0"/>
            </w:tcBorders>
            <w:vAlign w:val="center"/>
          </w:tcPr>
          <w:p w14:paraId="01FCD305">
            <w:pPr>
              <w:pStyle w:val="218"/>
              <w:rPr>
                <w:rFonts w:cs="Times New Roman"/>
                <w:color w:val="auto"/>
              </w:rPr>
            </w:pPr>
            <w:r>
              <w:rPr>
                <w:rFonts w:cs="Times New Roman"/>
                <w:color w:val="auto"/>
              </w:rPr>
              <w:t>本项目设计吞吐量</w:t>
            </w:r>
            <w:r>
              <w:rPr>
                <w:rFonts w:hint="eastAsia" w:cs="Times New Roman"/>
                <w:color w:val="auto"/>
              </w:rPr>
              <w:t>112</w:t>
            </w:r>
            <w:r>
              <w:rPr>
                <w:rFonts w:cs="Times New Roman"/>
                <w:color w:val="auto"/>
              </w:rPr>
              <w:t>万吨/年，设置</w:t>
            </w:r>
            <w:r>
              <w:rPr>
                <w:rFonts w:hint="eastAsia" w:cs="Times New Roman"/>
                <w:color w:val="auto"/>
              </w:rPr>
              <w:t>1</w:t>
            </w:r>
            <w:r>
              <w:rPr>
                <w:rFonts w:cs="Times New Roman"/>
                <w:color w:val="auto"/>
              </w:rPr>
              <w:t>个</w:t>
            </w:r>
            <w:r>
              <w:rPr>
                <w:rFonts w:hint="eastAsia" w:cs="Times New Roman"/>
                <w:color w:val="auto"/>
              </w:rPr>
              <w:t>10</w:t>
            </w:r>
            <w:r>
              <w:rPr>
                <w:rFonts w:cs="Times New Roman"/>
                <w:color w:val="auto"/>
              </w:rPr>
              <w:t>m</w:t>
            </w:r>
            <w:r>
              <w:rPr>
                <w:rFonts w:cs="Times New Roman"/>
                <w:color w:val="auto"/>
                <w:vertAlign w:val="superscript"/>
              </w:rPr>
              <w:t>3</w:t>
            </w:r>
            <w:r>
              <w:rPr>
                <w:rFonts w:cs="Times New Roman"/>
                <w:color w:val="auto"/>
              </w:rPr>
              <w:t>船舶生活污水收集桶，满足相关管理规定要求。项目接收船舶生活污水，暂存于船舶生活污水收集桶内，然后排入厂区污水处理站处理</w:t>
            </w:r>
            <w:r>
              <w:rPr>
                <w:rFonts w:hint="eastAsia" w:cs="Times New Roman"/>
                <w:color w:val="auto"/>
              </w:rPr>
              <w:t>后全部回用</w:t>
            </w:r>
            <w:r>
              <w:rPr>
                <w:rFonts w:cs="Times New Roman"/>
                <w:color w:val="auto"/>
              </w:rPr>
              <w:t>。</w:t>
            </w:r>
          </w:p>
        </w:tc>
        <w:tc>
          <w:tcPr>
            <w:tcW w:w="395" w:type="pct"/>
            <w:tcBorders>
              <w:top w:val="single" w:color="auto" w:sz="4" w:space="0"/>
              <w:left w:val="single" w:color="auto" w:sz="4" w:space="0"/>
              <w:bottom w:val="single" w:color="auto" w:sz="4" w:space="0"/>
              <w:right w:val="single" w:color="auto" w:sz="4" w:space="0"/>
            </w:tcBorders>
            <w:vAlign w:val="center"/>
          </w:tcPr>
          <w:p w14:paraId="5B38151F">
            <w:pPr>
              <w:pStyle w:val="218"/>
              <w:rPr>
                <w:rFonts w:cs="Times New Roman"/>
                <w:color w:val="auto"/>
              </w:rPr>
            </w:pPr>
            <w:r>
              <w:rPr>
                <w:rFonts w:hint="eastAsia" w:cs="Times New Roman"/>
                <w:color w:val="auto"/>
              </w:rPr>
              <w:t>相符</w:t>
            </w:r>
          </w:p>
        </w:tc>
      </w:tr>
      <w:tr w14:paraId="67B3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 w:type="pct"/>
            <w:tcBorders>
              <w:top w:val="single" w:color="auto" w:sz="4" w:space="0"/>
              <w:left w:val="single" w:color="auto" w:sz="4" w:space="0"/>
              <w:bottom w:val="single" w:color="auto" w:sz="4" w:space="0"/>
              <w:right w:val="single" w:color="auto" w:sz="4" w:space="0"/>
            </w:tcBorders>
            <w:vAlign w:val="center"/>
          </w:tcPr>
          <w:p w14:paraId="3C451D4F">
            <w:pPr>
              <w:pStyle w:val="218"/>
              <w:rPr>
                <w:color w:val="auto"/>
              </w:rPr>
            </w:pPr>
            <w:r>
              <w:rPr>
                <w:color w:val="auto"/>
              </w:rPr>
              <w:t>含油污水</w:t>
            </w:r>
          </w:p>
        </w:tc>
        <w:tc>
          <w:tcPr>
            <w:tcW w:w="546" w:type="pct"/>
            <w:vMerge w:val="continue"/>
            <w:tcBorders>
              <w:left w:val="single" w:color="auto" w:sz="4" w:space="0"/>
              <w:bottom w:val="single" w:color="auto" w:sz="4" w:space="0"/>
              <w:right w:val="single" w:color="auto" w:sz="4" w:space="0"/>
            </w:tcBorders>
            <w:vAlign w:val="center"/>
          </w:tcPr>
          <w:p w14:paraId="4282315F">
            <w:pPr>
              <w:pStyle w:val="218"/>
              <w:rPr>
                <w:color w:val="auto"/>
              </w:rPr>
            </w:pPr>
          </w:p>
        </w:tc>
        <w:tc>
          <w:tcPr>
            <w:tcW w:w="438" w:type="pct"/>
            <w:tcBorders>
              <w:top w:val="single" w:color="auto" w:sz="4" w:space="0"/>
              <w:left w:val="single" w:color="auto" w:sz="4" w:space="0"/>
              <w:bottom w:val="single" w:color="auto" w:sz="4" w:space="0"/>
              <w:right w:val="single" w:color="auto" w:sz="4" w:space="0"/>
            </w:tcBorders>
            <w:vAlign w:val="center"/>
          </w:tcPr>
          <w:p w14:paraId="17ACE2E7">
            <w:pPr>
              <w:pStyle w:val="218"/>
              <w:rPr>
                <w:color w:val="auto"/>
              </w:rPr>
            </w:pPr>
            <w:r>
              <w:rPr>
                <w:color w:val="auto"/>
              </w:rPr>
              <w:t>含油污水接收装置</w:t>
            </w:r>
          </w:p>
        </w:tc>
        <w:tc>
          <w:tcPr>
            <w:tcW w:w="1871" w:type="pct"/>
            <w:tcBorders>
              <w:top w:val="single" w:color="auto" w:sz="4" w:space="0"/>
              <w:left w:val="single" w:color="auto" w:sz="4" w:space="0"/>
              <w:bottom w:val="single" w:color="auto" w:sz="4" w:space="0"/>
              <w:right w:val="single" w:color="auto" w:sz="4" w:space="0"/>
            </w:tcBorders>
            <w:vAlign w:val="center"/>
          </w:tcPr>
          <w:p w14:paraId="5E898624">
            <w:pPr>
              <w:pStyle w:val="218"/>
              <w:rPr>
                <w:color w:val="auto"/>
              </w:rPr>
            </w:pPr>
            <w:r>
              <w:rPr>
                <w:color w:val="auto"/>
              </w:rPr>
              <w:t>（1）船舶含油污水使用固定式接收装置或流动接收装置收集；（2）采取岸上固定式接收装置收集时，港口码头应配置接收桶、接收罐、接收池等含油污水接收设施，其容积应不低于下表要求；</w:t>
            </w:r>
          </w:p>
          <w:p w14:paraId="5CEC0531">
            <w:pPr>
              <w:pStyle w:val="218"/>
              <w:rPr>
                <w:color w:val="auto"/>
              </w:rPr>
            </w:pPr>
            <w:r>
              <w:rPr>
                <w:color w:val="auto"/>
              </w:rPr>
              <w:drawing>
                <wp:inline distT="0" distB="0" distL="0" distR="0">
                  <wp:extent cx="2159635" cy="362585"/>
                  <wp:effectExtent l="0" t="0" r="0" b="0"/>
                  <wp:docPr id="1053660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60770" name="图片 1"/>
                          <pic:cNvPicPr>
                            <a:picLocks noChangeAspect="1"/>
                          </pic:cNvPicPr>
                        </pic:nvPicPr>
                        <pic:blipFill>
                          <a:blip r:embed="rId17"/>
                          <a:stretch>
                            <a:fillRect/>
                          </a:stretch>
                        </pic:blipFill>
                        <pic:spPr>
                          <a:xfrm>
                            <a:off x="0" y="0"/>
                            <a:ext cx="2160000" cy="362699"/>
                          </a:xfrm>
                          <a:prstGeom prst="rect">
                            <a:avLst/>
                          </a:prstGeom>
                        </pic:spPr>
                      </pic:pic>
                    </a:graphicData>
                  </a:graphic>
                </wp:inline>
              </w:drawing>
            </w:r>
          </w:p>
          <w:p w14:paraId="65901B24">
            <w:pPr>
              <w:pStyle w:val="218"/>
              <w:rPr>
                <w:color w:val="auto"/>
              </w:rPr>
            </w:pPr>
            <w:r>
              <w:rPr>
                <w:color w:val="auto"/>
              </w:rPr>
              <w:t>（3）船舶含油污水收集后应委托第三方有资质单位、自建污水处理站点处理、预处理后接管等方式进行收集处置，并按照“船E行”系统要求完成污染物接收确认及转运工作。</w:t>
            </w:r>
          </w:p>
        </w:tc>
        <w:tc>
          <w:tcPr>
            <w:tcW w:w="1375" w:type="pct"/>
            <w:tcBorders>
              <w:top w:val="single" w:color="auto" w:sz="4" w:space="0"/>
              <w:left w:val="single" w:color="auto" w:sz="4" w:space="0"/>
              <w:bottom w:val="single" w:color="auto" w:sz="4" w:space="0"/>
              <w:right w:val="single" w:color="auto" w:sz="4" w:space="0"/>
            </w:tcBorders>
            <w:vAlign w:val="center"/>
          </w:tcPr>
          <w:p w14:paraId="646E14F5">
            <w:pPr>
              <w:pStyle w:val="218"/>
              <w:rPr>
                <w:color w:val="auto"/>
              </w:rPr>
            </w:pPr>
            <w:r>
              <w:rPr>
                <w:color w:val="auto"/>
              </w:rPr>
              <w:t>本项目设计吞吐量</w:t>
            </w:r>
            <w:r>
              <w:rPr>
                <w:rFonts w:hint="eastAsia"/>
                <w:color w:val="auto"/>
              </w:rPr>
              <w:t>112</w:t>
            </w:r>
            <w:r>
              <w:rPr>
                <w:color w:val="auto"/>
              </w:rPr>
              <w:t>万吨/年，设置1个</w:t>
            </w:r>
            <w:r>
              <w:rPr>
                <w:rFonts w:hint="eastAsia"/>
                <w:color w:val="auto"/>
              </w:rPr>
              <w:t>1</w:t>
            </w:r>
            <w:r>
              <w:rPr>
                <w:color w:val="auto"/>
              </w:rPr>
              <w:t>m</w:t>
            </w:r>
            <w:r>
              <w:rPr>
                <w:color w:val="auto"/>
                <w:vertAlign w:val="superscript"/>
              </w:rPr>
              <w:t>3</w:t>
            </w:r>
            <w:r>
              <w:rPr>
                <w:color w:val="auto"/>
              </w:rPr>
              <w:t>船舶含油污水收集桶，满足相关管理要求。项目接收船舶含油污水，暂存于船舶含油污水收集桶内，</w:t>
            </w:r>
            <w:r>
              <w:rPr>
                <w:rFonts w:hint="eastAsia"/>
                <w:color w:val="auto"/>
              </w:rPr>
              <w:t>委托有资质单位处理</w:t>
            </w:r>
            <w:r>
              <w:rPr>
                <w:color w:val="auto"/>
              </w:rPr>
              <w:t>。</w:t>
            </w:r>
          </w:p>
        </w:tc>
        <w:tc>
          <w:tcPr>
            <w:tcW w:w="395" w:type="pct"/>
            <w:tcBorders>
              <w:top w:val="single" w:color="auto" w:sz="4" w:space="0"/>
              <w:left w:val="single" w:color="auto" w:sz="4" w:space="0"/>
              <w:bottom w:val="single" w:color="auto" w:sz="4" w:space="0"/>
              <w:right w:val="single" w:color="auto" w:sz="4" w:space="0"/>
            </w:tcBorders>
            <w:vAlign w:val="center"/>
          </w:tcPr>
          <w:p w14:paraId="6E26F5E2">
            <w:pPr>
              <w:pStyle w:val="218"/>
              <w:rPr>
                <w:color w:val="auto"/>
              </w:rPr>
            </w:pPr>
            <w:r>
              <w:rPr>
                <w:rFonts w:hint="eastAsia"/>
                <w:color w:val="auto"/>
              </w:rPr>
              <w:t>相符</w:t>
            </w:r>
          </w:p>
        </w:tc>
      </w:tr>
    </w:tbl>
    <w:p w14:paraId="79E98C52">
      <w:pPr>
        <w:pStyle w:val="84"/>
      </w:pPr>
      <w:r>
        <w:rPr>
          <w:rFonts w:hint="eastAsia"/>
        </w:rPr>
        <w:t>与</w:t>
      </w:r>
      <w:bookmarkStart w:id="65" w:name="_Hlk179514853"/>
      <w:r>
        <w:rPr>
          <w:rFonts w:hint="eastAsia"/>
        </w:rPr>
        <w:t>《省生态环境厅关于印发防范清淤疏浚工程对水质影响工作方案的通知》（苏环办[2021]185 号）</w:t>
      </w:r>
      <w:bookmarkEnd w:id="65"/>
      <w:r>
        <w:rPr>
          <w:rFonts w:hint="eastAsia"/>
        </w:rPr>
        <w:t>相符性分析</w:t>
      </w:r>
    </w:p>
    <w:p w14:paraId="0FB92D1D">
      <w:pPr>
        <w:pStyle w:val="139"/>
        <w:ind w:firstLine="480"/>
        <w:rPr>
          <w:color w:val="auto"/>
        </w:rPr>
      </w:pPr>
      <w:r>
        <w:rPr>
          <w:rFonts w:hint="eastAsia"/>
          <w:color w:val="auto"/>
        </w:rPr>
        <w:t>本项目在施工前按照相关要求制定了详细的施工组织方案，已完成了项目立项和初步设计，环评等工作</w:t>
      </w:r>
      <w:r>
        <w:rPr>
          <w:rFonts w:hint="eastAsia"/>
          <w:color w:val="auto"/>
          <w:lang w:eastAsia="zh-CN"/>
        </w:rPr>
        <w:t>正在进行</w:t>
      </w:r>
      <w:r>
        <w:rPr>
          <w:rFonts w:hint="eastAsia"/>
          <w:color w:val="auto"/>
        </w:rPr>
        <w:t>。项目河段及下游清水河不涉及省考断面。项目施工过程中科学建设挡水围堰，施工水下土方经现场干拌后直接外运至附近排泥场，运输车辆运输过程全程封闭。项目产生的施工废水收集后进入沉砂池，沉淀后的上清液可回用于施工场地的洒水抑尘、施工车辆的清洗等，不直接排放。具体见下表。</w:t>
      </w:r>
    </w:p>
    <w:p w14:paraId="4E0466CF">
      <w:pPr>
        <w:pStyle w:val="139"/>
        <w:ind w:firstLine="480"/>
        <w:rPr>
          <w:color w:val="auto"/>
        </w:rPr>
      </w:pPr>
    </w:p>
    <w:p w14:paraId="043DB352">
      <w:pPr>
        <w:pStyle w:val="218"/>
        <w:rPr>
          <w:color w:val="auto"/>
          <w:lang w:val="zh-CN"/>
        </w:rPr>
        <w:sectPr>
          <w:pgSz w:w="11906" w:h="16838"/>
          <w:pgMar w:top="1418" w:right="1418" w:bottom="1418" w:left="1418" w:header="851" w:footer="992" w:gutter="0"/>
          <w:cols w:space="720" w:num="1"/>
          <w:docGrid w:type="lines" w:linePitch="312" w:charSpace="0"/>
        </w:sectPr>
      </w:pPr>
    </w:p>
    <w:p w14:paraId="18B2009C">
      <w:pPr>
        <w:pStyle w:val="86"/>
      </w:pPr>
      <w:r>
        <w:rPr>
          <w:rFonts w:hint="eastAsia"/>
        </w:rPr>
        <w:t>与苏环办</w:t>
      </w:r>
      <w:r>
        <w:rPr>
          <w:rFonts w:hint="eastAsia"/>
          <w:lang w:eastAsia="zh-CN"/>
        </w:rPr>
        <w:t>〔2021〕185号</w:t>
      </w:r>
      <w:r>
        <w:rPr>
          <w:rFonts w:hint="eastAsia"/>
        </w:rPr>
        <w:t>相符性分析</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851"/>
        <w:gridCol w:w="4961"/>
        <w:gridCol w:w="6237"/>
        <w:gridCol w:w="814"/>
      </w:tblGrid>
      <w:tr w14:paraId="7B15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29" w:type="dxa"/>
            <w:vAlign w:val="center"/>
          </w:tcPr>
          <w:p w14:paraId="7FCE1186">
            <w:pPr>
              <w:pStyle w:val="218"/>
              <w:rPr>
                <w:b/>
                <w:bCs/>
                <w:color w:val="auto"/>
                <w:lang w:val="zh-CN"/>
              </w:rPr>
            </w:pPr>
            <w:r>
              <w:rPr>
                <w:b/>
                <w:bCs/>
                <w:color w:val="auto"/>
              </w:rPr>
              <w:t>主要措施</w:t>
            </w:r>
          </w:p>
        </w:tc>
        <w:tc>
          <w:tcPr>
            <w:tcW w:w="851" w:type="dxa"/>
            <w:vAlign w:val="center"/>
          </w:tcPr>
          <w:p w14:paraId="1F832C01">
            <w:pPr>
              <w:pStyle w:val="218"/>
              <w:rPr>
                <w:b/>
                <w:bCs/>
                <w:color w:val="auto"/>
                <w:lang w:val="zh-CN"/>
              </w:rPr>
            </w:pPr>
            <w:r>
              <w:rPr>
                <w:rFonts w:hint="eastAsia"/>
                <w:b/>
                <w:bCs/>
                <w:color w:val="auto"/>
                <w:lang w:val="zh-CN"/>
              </w:rPr>
              <w:t>序号</w:t>
            </w:r>
          </w:p>
        </w:tc>
        <w:tc>
          <w:tcPr>
            <w:tcW w:w="4961" w:type="dxa"/>
            <w:vAlign w:val="center"/>
          </w:tcPr>
          <w:p w14:paraId="063BF29E">
            <w:pPr>
              <w:pStyle w:val="218"/>
              <w:rPr>
                <w:b/>
                <w:bCs/>
                <w:color w:val="auto"/>
                <w:lang w:val="zh-CN"/>
              </w:rPr>
            </w:pPr>
            <w:r>
              <w:rPr>
                <w:b/>
                <w:bCs/>
                <w:color w:val="auto"/>
              </w:rPr>
              <w:t>措施要求</w:t>
            </w:r>
          </w:p>
        </w:tc>
        <w:tc>
          <w:tcPr>
            <w:tcW w:w="6237" w:type="dxa"/>
            <w:vAlign w:val="center"/>
          </w:tcPr>
          <w:p w14:paraId="44D7391E">
            <w:pPr>
              <w:pStyle w:val="218"/>
              <w:rPr>
                <w:b/>
                <w:bCs/>
                <w:color w:val="auto"/>
                <w:lang w:val="zh-CN"/>
              </w:rPr>
            </w:pPr>
            <w:r>
              <w:rPr>
                <w:b/>
                <w:bCs/>
                <w:color w:val="auto"/>
              </w:rPr>
              <w:t>相符性分析</w:t>
            </w:r>
          </w:p>
        </w:tc>
        <w:tc>
          <w:tcPr>
            <w:tcW w:w="814" w:type="dxa"/>
            <w:vAlign w:val="center"/>
          </w:tcPr>
          <w:p w14:paraId="0FB703B3">
            <w:pPr>
              <w:pStyle w:val="218"/>
              <w:rPr>
                <w:b/>
                <w:bCs/>
                <w:color w:val="auto"/>
                <w:lang w:val="zh-CN"/>
              </w:rPr>
            </w:pPr>
            <w:r>
              <w:rPr>
                <w:rFonts w:hint="eastAsia"/>
                <w:b/>
                <w:bCs/>
                <w:color w:val="auto"/>
                <w:lang w:val="zh-CN"/>
              </w:rPr>
              <w:t>是否符合</w:t>
            </w:r>
          </w:p>
        </w:tc>
      </w:tr>
      <w:tr w14:paraId="0120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09DA71EC">
            <w:pPr>
              <w:pStyle w:val="218"/>
              <w:rPr>
                <w:color w:val="auto"/>
                <w:lang w:val="zh-CN"/>
              </w:rPr>
            </w:pPr>
            <w:r>
              <w:rPr>
                <w:color w:val="auto"/>
              </w:rPr>
              <w:t>规范清淤前期管理程序</w:t>
            </w:r>
          </w:p>
        </w:tc>
        <w:tc>
          <w:tcPr>
            <w:tcW w:w="851" w:type="dxa"/>
            <w:vAlign w:val="center"/>
          </w:tcPr>
          <w:p w14:paraId="1C512D33">
            <w:pPr>
              <w:pStyle w:val="218"/>
              <w:rPr>
                <w:color w:val="auto"/>
                <w:lang w:val="zh-CN"/>
              </w:rPr>
            </w:pPr>
            <w:r>
              <w:rPr>
                <w:rFonts w:hint="eastAsia"/>
                <w:color w:val="auto"/>
                <w:lang w:val="zh-CN"/>
              </w:rPr>
              <w:t>1</w:t>
            </w:r>
          </w:p>
        </w:tc>
        <w:tc>
          <w:tcPr>
            <w:tcW w:w="4961" w:type="dxa"/>
            <w:vAlign w:val="center"/>
          </w:tcPr>
          <w:p w14:paraId="713FB56C">
            <w:pPr>
              <w:pStyle w:val="218"/>
              <w:rPr>
                <w:color w:val="auto"/>
                <w:lang w:val="zh-CN"/>
              </w:rPr>
            </w:pPr>
            <w:r>
              <w:rPr>
                <w:color w:val="auto"/>
              </w:rPr>
              <w:t>一般建设性工程建设单位施工前需按照相关要求完成项目立项、初步设计、环评、稳评、洪评等工作，需制定详细施工组织方案。按照环评批复要求，制定环境管控工作方案和突发环境事故的应急处置预案。对于工程规模较小或临时性、应急性工程，需针对环境质量状况和工程作业方法，提前制定环境保护工程措施。</w:t>
            </w:r>
          </w:p>
        </w:tc>
        <w:tc>
          <w:tcPr>
            <w:tcW w:w="6237" w:type="dxa"/>
            <w:vAlign w:val="center"/>
          </w:tcPr>
          <w:p w14:paraId="341FDD68">
            <w:pPr>
              <w:pStyle w:val="218"/>
              <w:rPr>
                <w:color w:val="auto"/>
                <w:lang w:val="zh-CN"/>
              </w:rPr>
            </w:pPr>
            <w:r>
              <w:rPr>
                <w:color w:val="auto"/>
              </w:rPr>
              <w:t>本项目施工前需完成项目立项、初步设计、环评、稳评、洪评等工作，目前处在工可编制阶段，前期</w:t>
            </w:r>
            <w:r>
              <w:rPr>
                <w:rFonts w:hint="eastAsia"/>
                <w:color w:val="auto"/>
                <w:lang w:eastAsia="zh-CN"/>
              </w:rPr>
              <w:t>环评</w:t>
            </w:r>
            <w:r>
              <w:rPr>
                <w:color w:val="auto"/>
              </w:rPr>
              <w:t>专题已完成备案，本次环评正在审批，洪评正在编制，以上专题为工可批复的前提，工可批复后取得省发改委立项批复，后续进行初步设计，工程将严格按照程序要求，办理审批手续；并在施工前制定详细的施工组织方案。报告已提出本项目施工前制定环境管控工作方案和突发环境事故的应急处置预案，必要时制定环境保护工程措施，具体见</w:t>
            </w:r>
            <w:r>
              <w:rPr>
                <w:rFonts w:hint="eastAsia"/>
                <w:color w:val="auto"/>
              </w:rPr>
              <w:t>6</w:t>
            </w:r>
            <w:r>
              <w:rPr>
                <w:color w:val="auto"/>
              </w:rPr>
              <w:t>.1.1.5和</w:t>
            </w:r>
            <w:r>
              <w:rPr>
                <w:rFonts w:hint="eastAsia"/>
                <w:color w:val="auto"/>
              </w:rPr>
              <w:t>6</w:t>
            </w:r>
            <w:r>
              <w:rPr>
                <w:color w:val="auto"/>
              </w:rPr>
              <w:t>.1.1.6小节。</w:t>
            </w:r>
          </w:p>
        </w:tc>
        <w:tc>
          <w:tcPr>
            <w:tcW w:w="814" w:type="dxa"/>
            <w:vAlign w:val="center"/>
          </w:tcPr>
          <w:p w14:paraId="457DAB48">
            <w:pPr>
              <w:pStyle w:val="218"/>
              <w:rPr>
                <w:color w:val="auto"/>
                <w:lang w:val="zh-CN"/>
              </w:rPr>
            </w:pPr>
            <w:r>
              <w:rPr>
                <w:rFonts w:hint="eastAsia"/>
                <w:color w:val="auto"/>
                <w:lang w:val="zh-CN"/>
              </w:rPr>
              <w:t>相符</w:t>
            </w:r>
          </w:p>
        </w:tc>
      </w:tr>
      <w:tr w14:paraId="676F1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383442C">
            <w:pPr>
              <w:pStyle w:val="218"/>
              <w:rPr>
                <w:color w:val="auto"/>
                <w:lang w:val="zh-CN"/>
              </w:rPr>
            </w:pPr>
          </w:p>
        </w:tc>
        <w:tc>
          <w:tcPr>
            <w:tcW w:w="851" w:type="dxa"/>
            <w:vAlign w:val="center"/>
          </w:tcPr>
          <w:p w14:paraId="3DDB4A9D">
            <w:pPr>
              <w:pStyle w:val="218"/>
              <w:rPr>
                <w:color w:val="auto"/>
                <w:lang w:val="zh-CN"/>
              </w:rPr>
            </w:pPr>
            <w:r>
              <w:rPr>
                <w:rFonts w:hint="eastAsia"/>
                <w:color w:val="auto"/>
                <w:lang w:val="zh-CN"/>
              </w:rPr>
              <w:t>2</w:t>
            </w:r>
          </w:p>
        </w:tc>
        <w:tc>
          <w:tcPr>
            <w:tcW w:w="4961" w:type="dxa"/>
            <w:vAlign w:val="center"/>
          </w:tcPr>
          <w:p w14:paraId="20CA4D4B">
            <w:pPr>
              <w:pStyle w:val="218"/>
              <w:rPr>
                <w:color w:val="auto"/>
                <w:lang w:val="zh-CN"/>
              </w:rPr>
            </w:pPr>
            <w:r>
              <w:rPr>
                <w:color w:val="auto"/>
              </w:rPr>
              <w:t>对于重点湖泊和较大骨干河道清淤前，应开展湖（河）底泥摸底</w:t>
            </w:r>
            <w:r>
              <w:rPr>
                <w:rFonts w:hint="eastAsia"/>
                <w:color w:val="auto"/>
                <w:lang w:eastAsia="zh-CN"/>
              </w:rPr>
              <w:t>调查</w:t>
            </w:r>
            <w:r>
              <w:rPr>
                <w:color w:val="auto"/>
              </w:rPr>
              <w:t>，切实掌握底泥分布特点和实际污染状况，科学确定清淤深度和土方量。合理安排生态清淤工程作业方法，确保工程能够取得较大环境效益的同时，减轻对水环境、水生态造成影响。</w:t>
            </w:r>
          </w:p>
        </w:tc>
        <w:tc>
          <w:tcPr>
            <w:tcW w:w="6237" w:type="dxa"/>
            <w:vAlign w:val="center"/>
          </w:tcPr>
          <w:p w14:paraId="0C03EB13">
            <w:pPr>
              <w:pStyle w:val="218"/>
              <w:rPr>
                <w:color w:val="auto"/>
                <w:lang w:val="zh-CN"/>
              </w:rPr>
            </w:pPr>
            <w:r>
              <w:rPr>
                <w:color w:val="auto"/>
              </w:rPr>
              <w:t>本次环评已对项目范围底泥进行了监测，本次评价还提出项目在疏浚前开展底泥监测，进行底泥摸底性调查，并纳入三同时和施工期监测计划中，具体见表7.</w:t>
            </w:r>
            <w:r>
              <w:rPr>
                <w:rFonts w:hint="eastAsia"/>
                <w:color w:val="auto"/>
              </w:rPr>
              <w:t>1</w:t>
            </w:r>
            <w:r>
              <w:rPr>
                <w:color w:val="auto"/>
              </w:rPr>
              <w:t>-1和</w:t>
            </w:r>
            <w:r>
              <w:rPr>
                <w:rFonts w:hint="eastAsia"/>
                <w:color w:val="auto"/>
              </w:rPr>
              <w:t>8.2.2</w:t>
            </w:r>
            <w:r>
              <w:rPr>
                <w:color w:val="auto"/>
              </w:rPr>
              <w:t>；本项目根据</w:t>
            </w:r>
            <w:r>
              <w:rPr>
                <w:rFonts w:hint="eastAsia"/>
                <w:color w:val="auto"/>
              </w:rPr>
              <w:t>二</w:t>
            </w:r>
            <w:r>
              <w:rPr>
                <w:color w:val="auto"/>
              </w:rPr>
              <w:t>级航道标准进行疏浚，项目采用</w:t>
            </w:r>
            <w:r>
              <w:rPr>
                <w:rFonts w:hint="eastAsia"/>
                <w:color w:val="auto"/>
              </w:rPr>
              <w:t>反铲</w:t>
            </w:r>
            <w:r>
              <w:rPr>
                <w:color w:val="auto"/>
              </w:rPr>
              <w:t>式挖泥船疏浚，减轻对水环境、水生态造成影响。</w:t>
            </w:r>
          </w:p>
        </w:tc>
        <w:tc>
          <w:tcPr>
            <w:tcW w:w="814" w:type="dxa"/>
            <w:vAlign w:val="center"/>
          </w:tcPr>
          <w:p w14:paraId="0D5DED8E">
            <w:pPr>
              <w:pStyle w:val="218"/>
              <w:rPr>
                <w:color w:val="auto"/>
                <w:lang w:val="zh-CN"/>
              </w:rPr>
            </w:pPr>
            <w:r>
              <w:rPr>
                <w:rFonts w:hint="eastAsia"/>
                <w:color w:val="auto"/>
                <w:lang w:val="zh-CN"/>
              </w:rPr>
              <w:t>相符</w:t>
            </w:r>
          </w:p>
        </w:tc>
      </w:tr>
      <w:tr w14:paraId="288E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2BB1F7DD">
            <w:pPr>
              <w:pStyle w:val="218"/>
              <w:rPr>
                <w:color w:val="auto"/>
                <w:lang w:val="zh-CN"/>
              </w:rPr>
            </w:pPr>
          </w:p>
        </w:tc>
        <w:tc>
          <w:tcPr>
            <w:tcW w:w="851" w:type="dxa"/>
            <w:vAlign w:val="center"/>
          </w:tcPr>
          <w:p w14:paraId="657EB25F">
            <w:pPr>
              <w:pStyle w:val="218"/>
              <w:rPr>
                <w:color w:val="auto"/>
                <w:lang w:val="zh-CN"/>
              </w:rPr>
            </w:pPr>
            <w:r>
              <w:rPr>
                <w:rFonts w:hint="eastAsia"/>
                <w:color w:val="auto"/>
                <w:lang w:val="zh-CN"/>
              </w:rPr>
              <w:t>3</w:t>
            </w:r>
          </w:p>
        </w:tc>
        <w:tc>
          <w:tcPr>
            <w:tcW w:w="4961" w:type="dxa"/>
            <w:vAlign w:val="center"/>
          </w:tcPr>
          <w:p w14:paraId="488DE597">
            <w:pPr>
              <w:pStyle w:val="218"/>
              <w:rPr>
                <w:color w:val="auto"/>
                <w:lang w:val="zh-CN"/>
              </w:rPr>
            </w:pPr>
            <w:r>
              <w:rPr>
                <w:color w:val="auto"/>
              </w:rPr>
              <w:t>影响国省考断面水质的治污清淤工程，应在工程实施前向省厅提前报备，并提供工程实施计划、图片资料等（包括招标合同、开工证明、清淤位置、淤泥去向、土方量、上游汇水去向、施工时限等）。若治污清淤工程将引起考核断面所在水体断流无监测数据的，应申请临时替代监测点位，其中涉及国考断面应提前三个月由设区市生态环境部门向省厅提出申请，经论证后由省厅报生态环境部审核批准；省考断面应提前两个月由设区市生态环境部门向省厅申请。为有效保障水环境质量，当地生态环境部门应会同相关行业主管部门和工程施工单位，立即编制断面水质保障应对方案，确保工程施工期间水质保持稳定。</w:t>
            </w:r>
          </w:p>
        </w:tc>
        <w:tc>
          <w:tcPr>
            <w:tcW w:w="6237" w:type="dxa"/>
            <w:vAlign w:val="center"/>
          </w:tcPr>
          <w:p w14:paraId="06ADAE19">
            <w:pPr>
              <w:pStyle w:val="218"/>
              <w:rPr>
                <w:color w:val="auto"/>
                <w:lang w:val="zh-CN"/>
              </w:rPr>
            </w:pPr>
            <w:r>
              <w:rPr>
                <w:color w:val="auto"/>
              </w:rPr>
              <w:t>本项目</w:t>
            </w:r>
            <w:r>
              <w:rPr>
                <w:rFonts w:hint="eastAsia"/>
                <w:color w:val="auto"/>
              </w:rPr>
              <w:t>盐河上下游10km范围内未有国省考水质断面</w:t>
            </w:r>
          </w:p>
        </w:tc>
        <w:tc>
          <w:tcPr>
            <w:tcW w:w="814" w:type="dxa"/>
            <w:vAlign w:val="center"/>
          </w:tcPr>
          <w:p w14:paraId="4FFC9932">
            <w:pPr>
              <w:pStyle w:val="218"/>
              <w:rPr>
                <w:color w:val="auto"/>
                <w:lang w:val="zh-CN"/>
              </w:rPr>
            </w:pPr>
            <w:r>
              <w:rPr>
                <w:rFonts w:hint="eastAsia"/>
                <w:color w:val="auto"/>
                <w:lang w:val="zh-CN"/>
              </w:rPr>
              <w:t>相符</w:t>
            </w:r>
          </w:p>
        </w:tc>
      </w:tr>
      <w:tr w14:paraId="77EC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6AF4AC90">
            <w:pPr>
              <w:pStyle w:val="218"/>
              <w:rPr>
                <w:color w:val="auto"/>
                <w:lang w:val="zh-CN"/>
              </w:rPr>
            </w:pPr>
            <w:r>
              <w:rPr>
                <w:color w:val="auto"/>
              </w:rPr>
              <w:t>强化清淤施工期间各项环境管控</w:t>
            </w:r>
          </w:p>
        </w:tc>
        <w:tc>
          <w:tcPr>
            <w:tcW w:w="851" w:type="dxa"/>
            <w:vAlign w:val="center"/>
          </w:tcPr>
          <w:p w14:paraId="478D04D3">
            <w:pPr>
              <w:pStyle w:val="218"/>
              <w:rPr>
                <w:color w:val="auto"/>
                <w:lang w:val="zh-CN"/>
              </w:rPr>
            </w:pPr>
            <w:r>
              <w:rPr>
                <w:rFonts w:hint="eastAsia"/>
                <w:color w:val="auto"/>
                <w:lang w:val="zh-CN"/>
              </w:rPr>
              <w:t>1</w:t>
            </w:r>
          </w:p>
        </w:tc>
        <w:tc>
          <w:tcPr>
            <w:tcW w:w="4961" w:type="dxa"/>
            <w:vAlign w:val="center"/>
          </w:tcPr>
          <w:p w14:paraId="07FEFDE1">
            <w:pPr>
              <w:pStyle w:val="218"/>
              <w:rPr>
                <w:color w:val="auto"/>
                <w:lang w:val="zh-CN"/>
              </w:rPr>
            </w:pPr>
            <w:r>
              <w:rPr>
                <w:color w:val="auto"/>
              </w:rPr>
              <w:t>实施生态清淤。干法清淤需科学建设挡水围堰，严禁施工淤泥沿岸露天堆放。</w:t>
            </w:r>
            <w:bookmarkStart w:id="66" w:name="_Hlk179515160"/>
            <w:r>
              <w:rPr>
                <w:color w:val="auto"/>
              </w:rPr>
              <w:t>湿法清淤需规避抓斗式方法，减少底泥扰动扩散，严控对河水的二次污染。优先选用新型环保绞吸式清淤船作业</w:t>
            </w:r>
            <w:bookmarkEnd w:id="66"/>
            <w:r>
              <w:rPr>
                <w:color w:val="auto"/>
              </w:rPr>
              <w:t>，利用环保绞刀头进行全方位封闭式清淤，挖泥区周围需设置防淤帘，减少底泥中污染物释放。严禁水冲式湿法清淤，避免大量高浓度泥水</w:t>
            </w:r>
            <w:r>
              <w:rPr>
                <w:rFonts w:hint="eastAsia"/>
                <w:color w:val="auto"/>
                <w:lang w:eastAsia="zh-CN"/>
              </w:rPr>
              <w:t>下泻</w:t>
            </w:r>
            <w:r>
              <w:rPr>
                <w:color w:val="auto"/>
              </w:rPr>
              <w:t>，造成下游水质污染。淤泥采用管路输送或汽运、船运等环节均需全程封闭，淤泥堆场需进行防渗、防漏、防雨处置。</w:t>
            </w:r>
          </w:p>
        </w:tc>
        <w:tc>
          <w:tcPr>
            <w:tcW w:w="6237" w:type="dxa"/>
            <w:vAlign w:val="center"/>
          </w:tcPr>
          <w:p w14:paraId="5C5E5171">
            <w:pPr>
              <w:pStyle w:val="218"/>
              <w:rPr>
                <w:color w:val="auto"/>
                <w:lang w:val="zh-CN"/>
              </w:rPr>
            </w:pPr>
            <w:r>
              <w:rPr>
                <w:color w:val="auto"/>
              </w:rPr>
              <w:t>本次评价提出清淤方式采用</w:t>
            </w:r>
            <w:r>
              <w:rPr>
                <w:rFonts w:hint="eastAsia"/>
                <w:color w:val="auto"/>
              </w:rPr>
              <w:t>两栖反铲式清淤船</w:t>
            </w:r>
            <w:r>
              <w:rPr>
                <w:color w:val="auto"/>
              </w:rPr>
              <w:t>疏浚；</w:t>
            </w:r>
            <w:r>
              <w:rPr>
                <w:rFonts w:hint="eastAsia"/>
                <w:color w:val="auto"/>
              </w:rPr>
              <w:t>挖出的水下土方通过泥舶转运至污泥干化场</w:t>
            </w:r>
            <w:r>
              <w:rPr>
                <w:color w:val="auto"/>
              </w:rPr>
              <w:t>。临时堆土场进行防渗、防漏和防雨处置。</w:t>
            </w:r>
          </w:p>
        </w:tc>
        <w:tc>
          <w:tcPr>
            <w:tcW w:w="814" w:type="dxa"/>
            <w:vAlign w:val="center"/>
          </w:tcPr>
          <w:p w14:paraId="29673870">
            <w:pPr>
              <w:pStyle w:val="218"/>
              <w:rPr>
                <w:color w:val="auto"/>
                <w:lang w:val="zh-CN"/>
              </w:rPr>
            </w:pPr>
            <w:r>
              <w:rPr>
                <w:rFonts w:hint="eastAsia"/>
                <w:color w:val="auto"/>
                <w:lang w:val="zh-CN"/>
              </w:rPr>
              <w:t>相符</w:t>
            </w:r>
          </w:p>
        </w:tc>
      </w:tr>
      <w:tr w14:paraId="0DBE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91D412C">
            <w:pPr>
              <w:pStyle w:val="218"/>
              <w:rPr>
                <w:color w:val="auto"/>
                <w:lang w:val="zh-CN"/>
              </w:rPr>
            </w:pPr>
          </w:p>
        </w:tc>
        <w:tc>
          <w:tcPr>
            <w:tcW w:w="851" w:type="dxa"/>
            <w:vAlign w:val="center"/>
          </w:tcPr>
          <w:p w14:paraId="525A1005">
            <w:pPr>
              <w:pStyle w:val="218"/>
              <w:rPr>
                <w:color w:val="auto"/>
                <w:lang w:val="zh-CN"/>
              </w:rPr>
            </w:pPr>
            <w:r>
              <w:rPr>
                <w:rFonts w:hint="eastAsia"/>
                <w:color w:val="auto"/>
                <w:lang w:val="zh-CN"/>
              </w:rPr>
              <w:t>2</w:t>
            </w:r>
          </w:p>
        </w:tc>
        <w:tc>
          <w:tcPr>
            <w:tcW w:w="4961" w:type="dxa"/>
            <w:vAlign w:val="center"/>
          </w:tcPr>
          <w:p w14:paraId="64258441">
            <w:pPr>
              <w:pStyle w:val="218"/>
              <w:rPr>
                <w:color w:val="auto"/>
                <w:lang w:val="zh-CN"/>
              </w:rPr>
            </w:pPr>
            <w:r>
              <w:rPr>
                <w:color w:val="auto"/>
              </w:rPr>
              <w:t>清淤船舶管理。水下施工时，禁止将污水、垃圾</w:t>
            </w:r>
            <w:r>
              <w:rPr>
                <w:rFonts w:hint="eastAsia"/>
                <w:color w:val="auto"/>
              </w:rPr>
              <w:t>和其他</w:t>
            </w:r>
            <w:r>
              <w:rPr>
                <w:color w:val="auto"/>
              </w:rPr>
              <w:t>施工机械的废油等污染物抛入水体，清淤船舶内各种阀件和油路管中可能溢出的含油废水不可直接排放，含油废水需收集到岸上，进入隔油池进行预处理，处理后产生的油污交由有资质的单位处置。</w:t>
            </w:r>
          </w:p>
        </w:tc>
        <w:tc>
          <w:tcPr>
            <w:tcW w:w="6237" w:type="dxa"/>
            <w:vAlign w:val="center"/>
          </w:tcPr>
          <w:p w14:paraId="0E4F95CC">
            <w:pPr>
              <w:pStyle w:val="218"/>
              <w:rPr>
                <w:color w:val="auto"/>
                <w:lang w:val="zh-CN"/>
              </w:rPr>
            </w:pPr>
            <w:r>
              <w:rPr>
                <w:color w:val="auto"/>
              </w:rPr>
              <w:t>施工船舶产生的生活污水和油污水</w:t>
            </w:r>
            <w:r>
              <w:rPr>
                <w:rFonts w:hint="eastAsia"/>
                <w:color w:val="auto"/>
              </w:rPr>
              <w:t>自行</w:t>
            </w:r>
            <w:r>
              <w:rPr>
                <w:color w:val="auto"/>
              </w:rPr>
              <w:t>收集上岸</w:t>
            </w:r>
            <w:r>
              <w:rPr>
                <w:rFonts w:hint="eastAsia"/>
                <w:color w:val="auto"/>
              </w:rPr>
              <w:t>处理</w:t>
            </w:r>
            <w:r>
              <w:rPr>
                <w:color w:val="auto"/>
              </w:rPr>
              <w:t>，不向施工水域排放。</w:t>
            </w:r>
          </w:p>
        </w:tc>
        <w:tc>
          <w:tcPr>
            <w:tcW w:w="814" w:type="dxa"/>
            <w:vAlign w:val="center"/>
          </w:tcPr>
          <w:p w14:paraId="1E3260F8">
            <w:pPr>
              <w:pStyle w:val="218"/>
              <w:rPr>
                <w:color w:val="auto"/>
                <w:lang w:val="zh-CN"/>
              </w:rPr>
            </w:pPr>
            <w:r>
              <w:rPr>
                <w:rFonts w:hint="eastAsia"/>
                <w:color w:val="auto"/>
                <w:lang w:val="zh-CN"/>
              </w:rPr>
              <w:t>相符</w:t>
            </w:r>
          </w:p>
        </w:tc>
      </w:tr>
      <w:tr w14:paraId="3523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6A6CD0D8">
            <w:pPr>
              <w:pStyle w:val="218"/>
              <w:rPr>
                <w:color w:val="auto"/>
                <w:lang w:val="zh-CN"/>
              </w:rPr>
            </w:pPr>
          </w:p>
        </w:tc>
        <w:tc>
          <w:tcPr>
            <w:tcW w:w="851" w:type="dxa"/>
            <w:vAlign w:val="center"/>
          </w:tcPr>
          <w:p w14:paraId="6B94ED52">
            <w:pPr>
              <w:pStyle w:val="218"/>
              <w:rPr>
                <w:color w:val="auto"/>
                <w:lang w:val="zh-CN"/>
              </w:rPr>
            </w:pPr>
            <w:r>
              <w:rPr>
                <w:rFonts w:hint="eastAsia"/>
                <w:color w:val="auto"/>
                <w:lang w:val="zh-CN"/>
              </w:rPr>
              <w:t>3</w:t>
            </w:r>
          </w:p>
        </w:tc>
        <w:tc>
          <w:tcPr>
            <w:tcW w:w="4961" w:type="dxa"/>
            <w:vAlign w:val="center"/>
          </w:tcPr>
          <w:p w14:paraId="4B61507C">
            <w:pPr>
              <w:pStyle w:val="218"/>
              <w:rPr>
                <w:color w:val="auto"/>
                <w:lang w:val="zh-CN"/>
              </w:rPr>
            </w:pPr>
            <w:r>
              <w:rPr>
                <w:color w:val="auto"/>
              </w:rPr>
              <w:t>生产生活污水管控。严格规范施工行为，及时维护和修理施工机械，避免机油的跑冒滴漏，施工期车辆、设备冲洗废水、施工人员生活污水不可直接排放。需配建隔油池、沉淀池、集水池等设施，就近接入污水管网进行收集，送污水处理厂处理。淤泥堆场的尾水需经处理后达标排放，尾水排口应设置在考核断面下游，避免对考核监测带来不利影响。</w:t>
            </w:r>
          </w:p>
        </w:tc>
        <w:tc>
          <w:tcPr>
            <w:tcW w:w="6237" w:type="dxa"/>
            <w:vAlign w:val="center"/>
          </w:tcPr>
          <w:p w14:paraId="6F597BE3">
            <w:pPr>
              <w:pStyle w:val="218"/>
              <w:rPr>
                <w:color w:val="auto"/>
                <w:lang w:val="zh-CN"/>
              </w:rPr>
            </w:pPr>
            <w:r>
              <w:rPr>
                <w:color w:val="auto"/>
              </w:rPr>
              <w:t>施工营地</w:t>
            </w:r>
            <w:r>
              <w:rPr>
                <w:rFonts w:hint="eastAsia"/>
                <w:color w:val="auto"/>
              </w:rPr>
              <w:t>依托热电项目施工营地，依托热电施工营地</w:t>
            </w:r>
            <w:r>
              <w:rPr>
                <w:color w:val="auto"/>
              </w:rPr>
              <w:t>污水处理设施，生活污水处理后回用于绿化，不直接外排。</w:t>
            </w:r>
            <w:r>
              <w:rPr>
                <w:rFonts w:hint="eastAsia"/>
                <w:color w:val="auto"/>
              </w:rPr>
              <w:t>水下土方</w:t>
            </w:r>
            <w:r>
              <w:rPr>
                <w:color w:val="auto"/>
              </w:rPr>
              <w:t>干化场排水特征污染物为SS，需经三级沉淀池后</w:t>
            </w:r>
            <w:r>
              <w:rPr>
                <w:rFonts w:hint="eastAsia"/>
                <w:color w:val="auto"/>
              </w:rPr>
              <w:t>回用于施工现场</w:t>
            </w:r>
            <w:r>
              <w:rPr>
                <w:color w:val="auto"/>
              </w:rPr>
              <w:t>。</w:t>
            </w:r>
            <w:r>
              <w:rPr>
                <w:rFonts w:hint="eastAsia"/>
                <w:color w:val="auto"/>
              </w:rPr>
              <w:t>陆域施工生活污水依托国能涟水一期热电联产项目施工生活区临时生活污水处理站进行处理，不外排。施工车辆及机械冲洗废水经沉淀池预处理后用作场地洒水抑尘，不外排。</w:t>
            </w:r>
          </w:p>
        </w:tc>
        <w:tc>
          <w:tcPr>
            <w:tcW w:w="814" w:type="dxa"/>
            <w:vAlign w:val="center"/>
          </w:tcPr>
          <w:p w14:paraId="56F2A14F">
            <w:pPr>
              <w:pStyle w:val="218"/>
              <w:rPr>
                <w:color w:val="auto"/>
                <w:lang w:val="zh-CN"/>
              </w:rPr>
            </w:pPr>
            <w:r>
              <w:rPr>
                <w:rFonts w:hint="eastAsia"/>
                <w:color w:val="auto"/>
                <w:lang w:val="zh-CN"/>
              </w:rPr>
              <w:t>相符</w:t>
            </w:r>
          </w:p>
        </w:tc>
      </w:tr>
      <w:tr w14:paraId="39F3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234045AB">
            <w:pPr>
              <w:pStyle w:val="218"/>
              <w:rPr>
                <w:color w:val="auto"/>
                <w:lang w:val="zh-CN"/>
              </w:rPr>
            </w:pPr>
          </w:p>
        </w:tc>
        <w:tc>
          <w:tcPr>
            <w:tcW w:w="851" w:type="dxa"/>
            <w:vAlign w:val="center"/>
          </w:tcPr>
          <w:p w14:paraId="73BD680A">
            <w:pPr>
              <w:pStyle w:val="218"/>
              <w:rPr>
                <w:color w:val="auto"/>
                <w:lang w:val="zh-CN"/>
              </w:rPr>
            </w:pPr>
            <w:r>
              <w:rPr>
                <w:rFonts w:hint="eastAsia"/>
                <w:color w:val="auto"/>
                <w:lang w:val="zh-CN"/>
              </w:rPr>
              <w:t>4</w:t>
            </w:r>
          </w:p>
        </w:tc>
        <w:tc>
          <w:tcPr>
            <w:tcW w:w="4961" w:type="dxa"/>
            <w:vAlign w:val="center"/>
          </w:tcPr>
          <w:p w14:paraId="444D4D4E">
            <w:pPr>
              <w:pStyle w:val="218"/>
              <w:rPr>
                <w:color w:val="auto"/>
                <w:lang w:val="zh-CN"/>
              </w:rPr>
            </w:pPr>
            <w:r>
              <w:rPr>
                <w:color w:val="auto"/>
              </w:rPr>
              <w:t>加强应急处置。建设足够容量的收集池，尤其在雨季和汛期，对可能存在的漫溢风险，做好雨水收集池的监管，降低漫溢风险。清淤船作业中一旦发生工程事故，按照保障方案要求进行应急处置。</w:t>
            </w:r>
          </w:p>
        </w:tc>
        <w:tc>
          <w:tcPr>
            <w:tcW w:w="6237" w:type="dxa"/>
            <w:vAlign w:val="center"/>
          </w:tcPr>
          <w:p w14:paraId="649B84F9">
            <w:pPr>
              <w:pStyle w:val="218"/>
              <w:rPr>
                <w:color w:val="auto"/>
                <w:lang w:val="zh-CN"/>
              </w:rPr>
            </w:pPr>
            <w:r>
              <w:rPr>
                <w:color w:val="auto"/>
              </w:rPr>
              <w:t>本次评价提出施工期设置</w:t>
            </w:r>
            <w:r>
              <w:rPr>
                <w:rFonts w:hint="eastAsia"/>
                <w:color w:val="auto"/>
              </w:rPr>
              <w:t>水下土方</w:t>
            </w:r>
            <w:r>
              <w:rPr>
                <w:color w:val="auto"/>
              </w:rPr>
              <w:t>干化场，干化场容积能够满足本项目水下方堆放，并留有一定余量，能够满足雨季使用。本次环评提出施工单位施工前需制订环境管控工作方案和突发环境事故的应急处置预案，一旦发生工程事故，按照保障方案要求进行应急处置。</w:t>
            </w:r>
          </w:p>
        </w:tc>
        <w:tc>
          <w:tcPr>
            <w:tcW w:w="814" w:type="dxa"/>
            <w:vAlign w:val="center"/>
          </w:tcPr>
          <w:p w14:paraId="3D4923EB">
            <w:pPr>
              <w:pStyle w:val="218"/>
              <w:rPr>
                <w:color w:val="auto"/>
                <w:lang w:val="zh-CN"/>
              </w:rPr>
            </w:pPr>
            <w:r>
              <w:rPr>
                <w:rFonts w:hint="eastAsia"/>
                <w:color w:val="auto"/>
                <w:lang w:val="zh-CN"/>
              </w:rPr>
              <w:t>相符</w:t>
            </w:r>
          </w:p>
        </w:tc>
      </w:tr>
      <w:tr w14:paraId="40E0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4F07858">
            <w:pPr>
              <w:pStyle w:val="218"/>
              <w:rPr>
                <w:color w:val="auto"/>
                <w:lang w:val="zh-CN"/>
              </w:rPr>
            </w:pPr>
          </w:p>
        </w:tc>
        <w:tc>
          <w:tcPr>
            <w:tcW w:w="851" w:type="dxa"/>
            <w:vAlign w:val="center"/>
          </w:tcPr>
          <w:p w14:paraId="2845B24B">
            <w:pPr>
              <w:pStyle w:val="218"/>
              <w:rPr>
                <w:color w:val="auto"/>
                <w:lang w:val="zh-CN"/>
              </w:rPr>
            </w:pPr>
            <w:r>
              <w:rPr>
                <w:rFonts w:hint="eastAsia"/>
                <w:color w:val="auto"/>
                <w:lang w:val="zh-CN"/>
              </w:rPr>
              <w:t>5</w:t>
            </w:r>
          </w:p>
        </w:tc>
        <w:tc>
          <w:tcPr>
            <w:tcW w:w="4961" w:type="dxa"/>
            <w:vAlign w:val="center"/>
          </w:tcPr>
          <w:p w14:paraId="14D5B76C">
            <w:pPr>
              <w:pStyle w:val="218"/>
              <w:rPr>
                <w:color w:val="auto"/>
                <w:lang w:val="zh-CN"/>
              </w:rPr>
            </w:pPr>
            <w:r>
              <w:rPr>
                <w:color w:val="auto"/>
              </w:rPr>
              <w:t>加强水质监测监控。建设单位需科学制定企业自行监测方案。按照有关要求在淤泥尾水排放点设置监控断面或尾水自动监测，委托第三方有资质检测单位定期对水质进行监测，及时研判施工过程对水体影响。如尾水出现不达标的情况，立即停工，优化措施，确保减少对断面水质的影响。</w:t>
            </w:r>
          </w:p>
        </w:tc>
        <w:tc>
          <w:tcPr>
            <w:tcW w:w="6237" w:type="dxa"/>
            <w:vAlign w:val="center"/>
          </w:tcPr>
          <w:p w14:paraId="65EA6B58">
            <w:pPr>
              <w:pStyle w:val="218"/>
              <w:rPr>
                <w:color w:val="auto"/>
                <w:lang w:val="zh-CN"/>
              </w:rPr>
            </w:pPr>
            <w:r>
              <w:rPr>
                <w:color w:val="auto"/>
              </w:rPr>
              <w:t>本次环评要求建设单位对</w:t>
            </w:r>
            <w:r>
              <w:rPr>
                <w:rFonts w:hint="eastAsia"/>
                <w:color w:val="auto"/>
              </w:rPr>
              <w:t>水下土方</w:t>
            </w:r>
            <w:r>
              <w:rPr>
                <w:color w:val="auto"/>
              </w:rPr>
              <w:t>干化场尾水沉淀池进行维护管理，实现</w:t>
            </w:r>
            <w:r>
              <w:rPr>
                <w:rFonts w:hint="eastAsia"/>
                <w:color w:val="auto"/>
              </w:rPr>
              <w:t>全部回用不外排</w:t>
            </w:r>
            <w:r>
              <w:rPr>
                <w:color w:val="auto"/>
              </w:rPr>
              <w:t>。</w:t>
            </w:r>
            <w:r>
              <w:rPr>
                <w:rFonts w:hint="eastAsia"/>
                <w:color w:val="auto"/>
              </w:rPr>
              <w:t>应保证</w:t>
            </w:r>
            <w:r>
              <w:rPr>
                <w:color w:val="auto"/>
              </w:rPr>
              <w:t>尾水具有足够的沉淀时间。</w:t>
            </w:r>
          </w:p>
        </w:tc>
        <w:tc>
          <w:tcPr>
            <w:tcW w:w="814" w:type="dxa"/>
            <w:vAlign w:val="center"/>
          </w:tcPr>
          <w:p w14:paraId="6D250940">
            <w:pPr>
              <w:pStyle w:val="218"/>
              <w:rPr>
                <w:color w:val="auto"/>
                <w:lang w:val="zh-CN"/>
              </w:rPr>
            </w:pPr>
            <w:r>
              <w:rPr>
                <w:rFonts w:hint="eastAsia"/>
                <w:color w:val="auto"/>
                <w:lang w:val="zh-CN"/>
              </w:rPr>
              <w:t>相符</w:t>
            </w:r>
          </w:p>
        </w:tc>
      </w:tr>
      <w:tr w14:paraId="6C7F4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0A3A4523">
            <w:pPr>
              <w:pStyle w:val="218"/>
              <w:rPr>
                <w:color w:val="auto"/>
                <w:lang w:val="zh-CN"/>
              </w:rPr>
            </w:pPr>
          </w:p>
        </w:tc>
        <w:tc>
          <w:tcPr>
            <w:tcW w:w="851" w:type="dxa"/>
            <w:vAlign w:val="center"/>
          </w:tcPr>
          <w:p w14:paraId="787B074F">
            <w:pPr>
              <w:pStyle w:val="218"/>
              <w:rPr>
                <w:color w:val="auto"/>
                <w:lang w:val="zh-CN"/>
              </w:rPr>
            </w:pPr>
            <w:r>
              <w:rPr>
                <w:rFonts w:hint="eastAsia"/>
                <w:color w:val="auto"/>
                <w:lang w:val="zh-CN"/>
              </w:rPr>
              <w:t>6</w:t>
            </w:r>
          </w:p>
        </w:tc>
        <w:tc>
          <w:tcPr>
            <w:tcW w:w="4961" w:type="dxa"/>
            <w:vAlign w:val="center"/>
          </w:tcPr>
          <w:p w14:paraId="22D4595D">
            <w:pPr>
              <w:pStyle w:val="218"/>
              <w:rPr>
                <w:color w:val="auto"/>
                <w:lang w:val="zh-CN"/>
              </w:rPr>
            </w:pPr>
            <w:r>
              <w:rPr>
                <w:color w:val="auto"/>
              </w:rPr>
              <w:t>严禁干扰国省考断面监测的行为。施工单位和相关部门要严格落实《省生态环境厅关于进一步明确生态环境监测设施保护范围的通知》要求，在河流型站点的采水口周边区域覆盖站点采水口上、下游1公里范围以及湖库型站点的采水口周边区域覆盖站点采水口500m半径水域，严禁对采水环境实施人为干扰，造成河流改道或断流或故意绕开站点采水口，导致站点失去污染监控作用等违法违规行为。杜绝出现《环境监测数据弄虚作假行为判定及处理办法》和《国家采测分离管理办法》等文件中禁止的违法违规行为。如确因突发性事件影响监测条件需暂停或替代断面监测的，要及时履行相关报批、备案、审批等手续。</w:t>
            </w:r>
          </w:p>
        </w:tc>
        <w:tc>
          <w:tcPr>
            <w:tcW w:w="6237" w:type="dxa"/>
            <w:vAlign w:val="center"/>
          </w:tcPr>
          <w:p w14:paraId="4774FB68">
            <w:pPr>
              <w:pStyle w:val="218"/>
              <w:rPr>
                <w:color w:val="auto"/>
                <w:lang w:val="zh-CN"/>
              </w:rPr>
            </w:pPr>
            <w:r>
              <w:rPr>
                <w:color w:val="auto"/>
              </w:rPr>
              <w:t>本项目</w:t>
            </w:r>
            <w:r>
              <w:rPr>
                <w:rFonts w:hint="eastAsia"/>
                <w:color w:val="auto"/>
              </w:rPr>
              <w:t>盐河上下游10km范围内未有国省考水质断面</w:t>
            </w:r>
          </w:p>
        </w:tc>
        <w:tc>
          <w:tcPr>
            <w:tcW w:w="814" w:type="dxa"/>
            <w:vAlign w:val="center"/>
          </w:tcPr>
          <w:p w14:paraId="6DDDAE94">
            <w:pPr>
              <w:pStyle w:val="218"/>
              <w:rPr>
                <w:color w:val="auto"/>
                <w:lang w:val="zh-CN"/>
              </w:rPr>
            </w:pPr>
            <w:r>
              <w:rPr>
                <w:rFonts w:hint="eastAsia"/>
                <w:color w:val="auto"/>
                <w:lang w:val="zh-CN"/>
              </w:rPr>
              <w:t>相符</w:t>
            </w:r>
          </w:p>
        </w:tc>
      </w:tr>
      <w:tr w14:paraId="4DF5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restart"/>
            <w:vAlign w:val="center"/>
          </w:tcPr>
          <w:p w14:paraId="6B28957F">
            <w:pPr>
              <w:pStyle w:val="218"/>
              <w:rPr>
                <w:color w:val="auto"/>
                <w:lang w:val="zh-CN"/>
              </w:rPr>
            </w:pPr>
            <w:r>
              <w:rPr>
                <w:color w:val="auto"/>
              </w:rPr>
              <w:t>规范淤泥临时堆场管理</w:t>
            </w:r>
          </w:p>
        </w:tc>
        <w:tc>
          <w:tcPr>
            <w:tcW w:w="851" w:type="dxa"/>
            <w:vAlign w:val="center"/>
          </w:tcPr>
          <w:p w14:paraId="0EFC27D8">
            <w:pPr>
              <w:pStyle w:val="218"/>
              <w:rPr>
                <w:color w:val="auto"/>
                <w:lang w:val="zh-CN"/>
              </w:rPr>
            </w:pPr>
            <w:r>
              <w:rPr>
                <w:rFonts w:hint="eastAsia"/>
                <w:color w:val="auto"/>
                <w:lang w:val="zh-CN"/>
              </w:rPr>
              <w:t>1</w:t>
            </w:r>
          </w:p>
        </w:tc>
        <w:tc>
          <w:tcPr>
            <w:tcW w:w="4961" w:type="dxa"/>
            <w:vAlign w:val="center"/>
          </w:tcPr>
          <w:p w14:paraId="7A9142EF">
            <w:pPr>
              <w:pStyle w:val="218"/>
              <w:rPr>
                <w:color w:val="auto"/>
                <w:lang w:val="zh-CN"/>
              </w:rPr>
            </w:pPr>
            <w:r>
              <w:rPr>
                <w:color w:val="auto"/>
              </w:rPr>
              <w:t>严格规范淤泥堆场设置。淤泥堆场应尽量设置于考核断面下游，若河道往复流频繁的原则上清淤堆场应设置在考核断面1公里范围以外。干化淤泥等堆放应远离水体，应在场地四周设置围挡，必要时进行加高加固，同时应备有防雨遮雨等设施，避免淤泥受雨水冲刷后随地表径流进入附近水体。</w:t>
            </w:r>
          </w:p>
        </w:tc>
        <w:tc>
          <w:tcPr>
            <w:tcW w:w="6237" w:type="dxa"/>
            <w:vAlign w:val="center"/>
          </w:tcPr>
          <w:p w14:paraId="31C1D73E">
            <w:pPr>
              <w:pStyle w:val="218"/>
              <w:rPr>
                <w:color w:val="auto"/>
                <w:lang w:val="zh-CN"/>
              </w:rPr>
            </w:pPr>
            <w:r>
              <w:rPr>
                <w:rFonts w:hint="eastAsia"/>
                <w:color w:val="auto"/>
              </w:rPr>
              <w:t>本项目盐河上下游10km范围内未有国省考水质断面。水下土方</w:t>
            </w:r>
            <w:r>
              <w:rPr>
                <w:color w:val="auto"/>
              </w:rPr>
              <w:t>干化场</w:t>
            </w:r>
            <w:r>
              <w:rPr>
                <w:rFonts w:hint="eastAsia"/>
                <w:color w:val="auto"/>
              </w:rPr>
              <w:t>不</w:t>
            </w:r>
            <w:r>
              <w:rPr>
                <w:color w:val="auto"/>
              </w:rPr>
              <w:t>在国省考核断面1公里范围</w:t>
            </w:r>
            <w:r>
              <w:rPr>
                <w:rFonts w:hint="eastAsia"/>
                <w:color w:val="auto"/>
              </w:rPr>
              <w:t>内</w:t>
            </w:r>
            <w:r>
              <w:rPr>
                <w:color w:val="auto"/>
              </w:rPr>
              <w:t>，尾水</w:t>
            </w:r>
            <w:r>
              <w:rPr>
                <w:rFonts w:hint="eastAsia"/>
                <w:color w:val="auto"/>
              </w:rPr>
              <w:t>全部回用不外排。水下土方</w:t>
            </w:r>
            <w:r>
              <w:rPr>
                <w:color w:val="auto"/>
              </w:rPr>
              <w:t>干化场使用前铺设复合土工膜、并在四周设置围堰；干化场一端围堰开排水口，排水口下游设置沉淀池收集干化场排水，防止</w:t>
            </w:r>
            <w:r>
              <w:rPr>
                <w:rFonts w:hint="eastAsia"/>
                <w:color w:val="auto"/>
              </w:rPr>
              <w:t>水下土方</w:t>
            </w:r>
            <w:r>
              <w:rPr>
                <w:color w:val="auto"/>
              </w:rPr>
              <w:t>被雨水冲刷随地表径流进入附近水体。</w:t>
            </w:r>
          </w:p>
        </w:tc>
        <w:tc>
          <w:tcPr>
            <w:tcW w:w="814" w:type="dxa"/>
            <w:vAlign w:val="center"/>
          </w:tcPr>
          <w:p w14:paraId="746B2848">
            <w:pPr>
              <w:pStyle w:val="218"/>
              <w:rPr>
                <w:color w:val="auto"/>
                <w:lang w:val="zh-CN"/>
              </w:rPr>
            </w:pPr>
            <w:r>
              <w:rPr>
                <w:rFonts w:hint="eastAsia"/>
                <w:color w:val="auto"/>
                <w:lang w:val="zh-CN"/>
              </w:rPr>
              <w:t>相符</w:t>
            </w:r>
          </w:p>
        </w:tc>
      </w:tr>
      <w:tr w14:paraId="54BA8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Merge w:val="continue"/>
            <w:vAlign w:val="center"/>
          </w:tcPr>
          <w:p w14:paraId="567C8FB8">
            <w:pPr>
              <w:pStyle w:val="218"/>
              <w:rPr>
                <w:color w:val="auto"/>
                <w:lang w:val="zh-CN"/>
              </w:rPr>
            </w:pPr>
          </w:p>
        </w:tc>
        <w:tc>
          <w:tcPr>
            <w:tcW w:w="851" w:type="dxa"/>
            <w:vAlign w:val="center"/>
          </w:tcPr>
          <w:p w14:paraId="03A261B6">
            <w:pPr>
              <w:pStyle w:val="218"/>
              <w:rPr>
                <w:color w:val="auto"/>
                <w:lang w:val="zh-CN"/>
              </w:rPr>
            </w:pPr>
            <w:r>
              <w:rPr>
                <w:rFonts w:hint="eastAsia"/>
                <w:color w:val="auto"/>
                <w:lang w:val="zh-CN"/>
              </w:rPr>
              <w:t>2</w:t>
            </w:r>
          </w:p>
        </w:tc>
        <w:tc>
          <w:tcPr>
            <w:tcW w:w="4961" w:type="dxa"/>
            <w:vAlign w:val="center"/>
          </w:tcPr>
          <w:p w14:paraId="078B2AC2">
            <w:pPr>
              <w:pStyle w:val="218"/>
              <w:rPr>
                <w:color w:val="auto"/>
                <w:lang w:val="zh-CN"/>
              </w:rPr>
            </w:pPr>
            <w:r>
              <w:rPr>
                <w:color w:val="auto"/>
              </w:rPr>
              <w:t>严格规范淤泥管理程序。根据《固体废物鉴别导则》《土壤环境质量建设用地土壤污染风险管控标准（试行）》和《土壤环境质量农用地土壤污染风险管控标准（试行）》中风险筛选值和管制值的要求，对淤泥进行鉴定和监测，如不能满足淤泥去向对应的风险管控标准，应合理利用、妥善处置；属于危险废物的，及时送交资质单位处置，不得用于农用地填埋，避免对土壤造成二次污染。</w:t>
            </w:r>
          </w:p>
        </w:tc>
        <w:tc>
          <w:tcPr>
            <w:tcW w:w="6237" w:type="dxa"/>
            <w:vAlign w:val="center"/>
          </w:tcPr>
          <w:p w14:paraId="00F40B54">
            <w:pPr>
              <w:pStyle w:val="218"/>
              <w:rPr>
                <w:color w:val="auto"/>
                <w:lang w:val="zh-CN"/>
              </w:rPr>
            </w:pPr>
            <w:r>
              <w:rPr>
                <w:color w:val="auto"/>
              </w:rPr>
              <w:t>根据对</w:t>
            </w:r>
            <w:r>
              <w:rPr>
                <w:rFonts w:hint="eastAsia"/>
                <w:color w:val="auto"/>
              </w:rPr>
              <w:t>港池附近</w:t>
            </w:r>
            <w:r>
              <w:rPr>
                <w:color w:val="auto"/>
              </w:rPr>
              <w:t>底泥监测结果，项目疏浚淤泥满足《土壤环境质量农用地土壤污染风险管控标准（试行）》（GB15618-2018）筛选值标准，以及《土壤环境质量建设用地土壤污染风险管控标准（试行）》（GB36600-2018）中标准。本次评价提出规划实施阶段对底泥进行监测，并采取合适的措施，并纳入施工期监测计划中。施工期间如发现底泥超标，需对疏浚底泥进行鉴定和监测，如不能满足</w:t>
            </w:r>
            <w:r>
              <w:rPr>
                <w:rFonts w:hint="eastAsia"/>
                <w:color w:val="auto"/>
              </w:rPr>
              <w:t>水下土方</w:t>
            </w:r>
            <w:r>
              <w:rPr>
                <w:color w:val="auto"/>
              </w:rPr>
              <w:t>去向对应的风险管控标准，应合理利用、妥善处置；属于危险废物的，及时送交资质单位处置，不得用于农用地填埋，避免对土壤造成二次污染。</w:t>
            </w:r>
          </w:p>
        </w:tc>
        <w:tc>
          <w:tcPr>
            <w:tcW w:w="814" w:type="dxa"/>
            <w:vAlign w:val="center"/>
          </w:tcPr>
          <w:p w14:paraId="2D63477F">
            <w:pPr>
              <w:pStyle w:val="218"/>
              <w:rPr>
                <w:color w:val="auto"/>
                <w:lang w:val="zh-CN"/>
              </w:rPr>
            </w:pPr>
            <w:r>
              <w:rPr>
                <w:rFonts w:hint="eastAsia"/>
                <w:color w:val="auto"/>
                <w:lang w:val="zh-CN"/>
              </w:rPr>
              <w:t>相符</w:t>
            </w:r>
          </w:p>
        </w:tc>
      </w:tr>
    </w:tbl>
    <w:p w14:paraId="13AE27FF">
      <w:pPr>
        <w:pStyle w:val="218"/>
        <w:rPr>
          <w:color w:val="auto"/>
          <w:lang w:val="zh-CN"/>
        </w:rPr>
      </w:pPr>
    </w:p>
    <w:p w14:paraId="03EF1AD3">
      <w:pPr>
        <w:ind w:firstLine="480"/>
        <w:rPr>
          <w:lang w:val="zh-CN"/>
        </w:rPr>
        <w:sectPr>
          <w:pgSz w:w="16838" w:h="11906" w:orient="landscape"/>
          <w:pgMar w:top="1418" w:right="1418" w:bottom="1418" w:left="1418" w:header="851" w:footer="992" w:gutter="0"/>
          <w:cols w:space="720" w:num="1"/>
          <w:docGrid w:type="lines" w:linePitch="326" w:charSpace="0"/>
        </w:sectPr>
      </w:pPr>
    </w:p>
    <w:p w14:paraId="2A2A32D7">
      <w:pPr>
        <w:pStyle w:val="139"/>
        <w:ind w:firstLine="480"/>
        <w:rPr>
          <w:color w:val="auto"/>
        </w:rPr>
      </w:pPr>
      <w:r>
        <w:rPr>
          <w:rFonts w:hint="eastAsia"/>
          <w:color w:val="auto"/>
        </w:rPr>
        <w:t>因此，本项目的建设总体符合《省生态环境厅关于印发防范清淤疏浚工程对水质影响工作方案的通知》（苏环办[2021]185 号）相关要求。</w:t>
      </w:r>
    </w:p>
    <w:p w14:paraId="2FED2218">
      <w:pPr>
        <w:pStyle w:val="84"/>
      </w:pPr>
      <w:r>
        <w:rPr>
          <w:rFonts w:hint="eastAsia"/>
        </w:rPr>
        <w:t>《江苏省“十四五”生态环境保护规划》</w:t>
      </w:r>
    </w:p>
    <w:p w14:paraId="3741D134">
      <w:pPr>
        <w:pStyle w:val="93"/>
      </w:pPr>
      <w:r>
        <w:rPr>
          <w:rFonts w:hint="eastAsia"/>
        </w:rPr>
        <w:t>根据《江苏省“十四五”生态环境保护规划》：推进港口码头仓库料场封闭管理，全面完成抑尘设施建设和物料输送系统封闭改造。加强船舶废水排放监管。加快完善沿江、沿海与内河港口码头船舶污染物接收、转运及处置设施建设，推进船舶生活污水、生活垃圾与城市环卫公共处理系统的有效衔接，加快建立船舶污染物“船－港－城”一体化处理模式，落实船舶污染接收、转运、处置联合监管机制。推进船舶生活污水存储设施改造和船舶垃圾储存容器规范配备，严控船舶含油废水、生活污水、化学品洗舱水违规排放。强化长江、淮河等水上危险化学品运输环境风险防范，严厉打击化学品非法水上运输。</w:t>
      </w:r>
    </w:p>
    <w:p w14:paraId="7303939A">
      <w:pPr>
        <w:pStyle w:val="93"/>
      </w:pPr>
      <w:r>
        <w:rPr>
          <w:rFonts w:hint="eastAsia"/>
          <w:kern w:val="0"/>
        </w:rPr>
        <w:t>本项目为国能涟水一期热电联产项目配套码头，码头不设物料堆场，物料存储</w:t>
      </w:r>
      <w:r>
        <w:rPr>
          <w:rFonts w:hint="eastAsia"/>
        </w:rPr>
        <w:t>依托后方热电项目厂区封闭煤场。本项目港口码头物料的卸船运输实行全过程控制，防止物料扬散，采取各类除尘、抑尘设施；抓斗卸船时，落料落差低于1.5m；码头落地的物料清扫后回用；向堆场的转运采用封闭式固定皮带。在运营过程中装卸时采用喷淋降尘的方式减少粉尘产生量，在吊机抓斗落料处的料斗顶端设置洒水喷嘴，作业时喷水形成水幕，抑制落料时所产生的粉尘；给水设计中考虑定期对道路冲洗，道路铺面结构采用现浇普通混凝土铺面结构，结构整体性好，耐久性高，每天定期清扫，从而有效减少码头道路扬尘。</w:t>
      </w:r>
    </w:p>
    <w:p w14:paraId="6B42615F">
      <w:pPr>
        <w:pStyle w:val="93"/>
      </w:pPr>
      <w:r>
        <w:rPr>
          <w:rFonts w:hint="eastAsia"/>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生活垃圾按照分类要求进行分类收集；垃圾日产日清，垃圾收集区域无暴露积存垃圾。装卸作业生产的固体废物、沉淀池污泥、废含油抹布及手套委托环卫部门定期清运；含油污泥和机修废油暂存于危废仓库，委托有资质单位处置。</w:t>
      </w:r>
    </w:p>
    <w:p w14:paraId="6C9E5F0A">
      <w:pPr>
        <w:pStyle w:val="84"/>
      </w:pPr>
      <w:r>
        <w:rPr>
          <w:rFonts w:hint="eastAsia"/>
        </w:rPr>
        <w:t>《关于用更加严格举措切实加强船舶水污染防治的实施意见》（苏污防攻坚指办〔2019〕70号</w:t>
      </w:r>
      <w:r>
        <w:rPr>
          <w:rFonts w:hint="eastAsia"/>
          <w:lang w:eastAsia="zh-CN"/>
        </w:rPr>
        <w:t>）</w:t>
      </w:r>
    </w:p>
    <w:p w14:paraId="12B0E145">
      <w:pPr>
        <w:pStyle w:val="93"/>
      </w:pPr>
      <w:r>
        <w:rPr>
          <w:rFonts w:hint="eastAsia"/>
        </w:rPr>
        <w:t>根据《关于用更加严格举措切实加强船舶水污染防治的实施意见》（苏污防攻坚指办〔2019〕70号）：加快推进港口码头船舶污染物接收设施建设、落实港口码头经营企业船舶污染物的接收责任、全面提升船舶污染物接收的公共服务保障能力、开展航运企业和船舶落实水污染防治情况大排查、加强船舶生活污水防污设施的监督检查、对重点港口码头实现现场驻点管理、明确船舶及港口码头和执法部门的规范要求、对400总吨以上货运船舶生活污水防治精准法律、切实加大船舶水污染违法违规行为的惩处力度。</w:t>
      </w:r>
    </w:p>
    <w:p w14:paraId="26BED76E">
      <w:pPr>
        <w:pStyle w:val="93"/>
        <w:rPr>
          <w:kern w:val="0"/>
        </w:rPr>
      </w:pPr>
      <w:r>
        <w:rPr>
          <w:rFonts w:hint="eastAsia"/>
          <w:kern w:val="0"/>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kern w:val="0"/>
          <w:vertAlign w:val="superscript"/>
        </w:rPr>
        <w:t>3</w:t>
      </w:r>
      <w:r>
        <w:rPr>
          <w:rFonts w:hint="eastAsia"/>
          <w:kern w:val="0"/>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生活垃圾按照分类要求进行分类收集；垃圾日产日清，垃圾收集区域无暴露积存垃圾。装卸作业生产的固体废物、沉淀池污泥、废含油抹布及手套委托环卫部门定期清运；含油污泥和机修废油暂存于危废仓库，委托有资质单位处置。</w:t>
      </w:r>
    </w:p>
    <w:p w14:paraId="6BB9240B">
      <w:pPr>
        <w:pStyle w:val="93"/>
        <w:rPr>
          <w:kern w:val="0"/>
        </w:rPr>
      </w:pPr>
      <w:r>
        <w:rPr>
          <w:rFonts w:hint="eastAsia"/>
          <w:kern w:val="0"/>
        </w:rPr>
        <w:t>故本项目符合《关于用更严格举措切实加强船舶水污染防治的实施意见》（苏污防攻坚指办〔2019〕70号）相关要求。</w:t>
      </w:r>
    </w:p>
    <w:p w14:paraId="4F9FFE37">
      <w:pPr>
        <w:pStyle w:val="93"/>
        <w:sectPr>
          <w:pgSz w:w="11906" w:h="16838"/>
          <w:pgMar w:top="1418" w:right="1418" w:bottom="1418" w:left="1418" w:header="851" w:footer="992" w:gutter="0"/>
          <w:cols w:space="720" w:num="1"/>
          <w:docGrid w:type="lines" w:linePitch="326" w:charSpace="0"/>
        </w:sectPr>
      </w:pPr>
    </w:p>
    <w:p w14:paraId="228FAFF5">
      <w:pPr>
        <w:pStyle w:val="82"/>
      </w:pPr>
      <w:r>
        <w:rPr>
          <w:rFonts w:hint="eastAsia"/>
        </w:rPr>
        <w:t>初步判定结果</w:t>
      </w:r>
    </w:p>
    <w:p w14:paraId="7D5DFEC0">
      <w:pPr>
        <w:pStyle w:val="93"/>
      </w:pPr>
      <w:r>
        <w:rPr>
          <w:rFonts w:hint="eastAsia"/>
        </w:rPr>
        <w:t>通过初步筛查，本项目符合国家产业政策，淮安市总体规划，区域港口和航道规划，与“三线一单”、区域生态环境分区管控要求基本相符，在本项目用地手续办理完成后，可符合当地土地利用总体规划。</w:t>
      </w:r>
    </w:p>
    <w:p w14:paraId="1A030729">
      <w:pPr>
        <w:pStyle w:val="80"/>
      </w:pPr>
      <w:bookmarkStart w:id="67" w:name="_Toc182171800"/>
      <w:r>
        <w:rPr>
          <w:rFonts w:hint="eastAsia"/>
        </w:rPr>
        <w:t>环境影响报告主要结论</w:t>
      </w:r>
      <w:bookmarkEnd w:id="67"/>
    </w:p>
    <w:p w14:paraId="013669AB">
      <w:pPr>
        <w:pStyle w:val="93"/>
      </w:pPr>
      <w:r>
        <w:rPr>
          <w:rFonts w:hint="eastAsia"/>
        </w:rPr>
        <w:t>综上，提出本项目环境影响评价总结论：</w:t>
      </w:r>
    </w:p>
    <w:p w14:paraId="1F807A53">
      <w:pPr>
        <w:pStyle w:val="93"/>
      </w:pPr>
      <w:r>
        <w:rPr>
          <w:rFonts w:hint="eastAsia"/>
        </w:rPr>
        <w:t>（1）项目符合当前国家产业政策。</w:t>
      </w:r>
    </w:p>
    <w:p w14:paraId="1EE17448">
      <w:pPr>
        <w:pStyle w:val="93"/>
      </w:pPr>
      <w:r>
        <w:rPr>
          <w:rFonts w:hint="eastAsia"/>
        </w:rPr>
        <w:t>（2）项目符合淮安市城市总体规划，区域港口和航道规划，与“三线一单”、区域生态环境分区管控要求相符。</w:t>
      </w:r>
    </w:p>
    <w:p w14:paraId="4A36C0FD">
      <w:pPr>
        <w:pStyle w:val="93"/>
      </w:pPr>
      <w:r>
        <w:rPr>
          <w:rFonts w:hint="eastAsia"/>
        </w:rPr>
        <w:t>（3）在本项目用地手续办理完成后，可符合当地土地利用总体规划。</w:t>
      </w:r>
    </w:p>
    <w:p w14:paraId="31968F67">
      <w:pPr>
        <w:pStyle w:val="93"/>
      </w:pPr>
      <w:r>
        <w:rPr>
          <w:rFonts w:hint="eastAsia"/>
        </w:rPr>
        <w:t>（4）项目拟采取的各项环保措施合理可靠，排放的污染物能够满足国家和地方规定的排放标准，可做到长期稳定达标排放。</w:t>
      </w:r>
    </w:p>
    <w:p w14:paraId="78082A59">
      <w:pPr>
        <w:pStyle w:val="93"/>
      </w:pPr>
      <w:r>
        <w:rPr>
          <w:rFonts w:hint="eastAsia"/>
        </w:rPr>
        <w:t>（5）本项目落实各项环保措施后能够维持当地环境质量，不降低当地环境功能。</w:t>
      </w:r>
    </w:p>
    <w:p w14:paraId="6C4D808E">
      <w:pPr>
        <w:pStyle w:val="93"/>
      </w:pPr>
      <w:r>
        <w:rPr>
          <w:rFonts w:hint="eastAsia"/>
        </w:rPr>
        <w:t>（6）本项目废气均为无组织排放，燃煤输送均采用封闭输煤皮带运输，设有洒水降尘、插入式除尘器等措施，废气污染物排放符合《江苏省大气污染物综合排放标准》（DB324041-2021）要求。</w:t>
      </w:r>
    </w:p>
    <w:p w14:paraId="7449BAE6">
      <w:pPr>
        <w:pStyle w:val="93"/>
      </w:pPr>
      <w:r>
        <w:rPr>
          <w:rFonts w:hint="eastAsia"/>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生活垃圾按照分类要求进行分类收集；垃圾日产日清，垃圾收集区域无暴露积存垃圾。装卸作业生产的固体废物、沉淀池污泥、废含油抹布及手套委托环卫部门定期清运；含油污泥和机修废油暂存于危废仓库，委托有资质单位处置。</w:t>
      </w:r>
    </w:p>
    <w:p w14:paraId="4B93F860">
      <w:pPr>
        <w:pStyle w:val="93"/>
      </w:pPr>
      <w:r>
        <w:rPr>
          <w:rFonts w:hint="eastAsia"/>
        </w:rPr>
        <w:t>（7）项目经制定环境风险应急预案，采取有效的事故防范和减缓措施后，环境风险水平可以接受。</w:t>
      </w:r>
    </w:p>
    <w:p w14:paraId="68C692F7">
      <w:pPr>
        <w:ind w:firstLine="883"/>
        <w:rPr>
          <w:b/>
          <w:bCs/>
          <w:sz w:val="44"/>
          <w:szCs w:val="44"/>
        </w:rPr>
        <w:sectPr>
          <w:pgSz w:w="11906" w:h="16838"/>
          <w:pgMar w:top="1418" w:right="1418" w:bottom="1418" w:left="1418" w:header="851" w:footer="992" w:gutter="0"/>
          <w:cols w:space="720" w:num="1"/>
          <w:docGrid w:type="lines" w:linePitch="312" w:charSpace="0"/>
        </w:sectPr>
      </w:pPr>
    </w:p>
    <w:p w14:paraId="1A35596F">
      <w:pPr>
        <w:pStyle w:val="76"/>
      </w:pPr>
      <w:bookmarkStart w:id="68" w:name="_Toc182171801"/>
      <w:r>
        <w:rPr>
          <w:rFonts w:hint="eastAsia" w:ascii="宋体" w:hAnsi="宋体"/>
        </w:rPr>
        <w:t>总则</w:t>
      </w:r>
      <w:bookmarkEnd w:id="68"/>
    </w:p>
    <w:p w14:paraId="0BB4B73E">
      <w:pPr>
        <w:pStyle w:val="80"/>
      </w:pPr>
      <w:bookmarkStart w:id="69" w:name="_Toc182171802"/>
      <w:r>
        <w:rPr>
          <w:rFonts w:hint="eastAsia"/>
        </w:rPr>
        <w:t>编制依据</w:t>
      </w:r>
      <w:bookmarkEnd w:id="69"/>
    </w:p>
    <w:p w14:paraId="2EE676AE">
      <w:pPr>
        <w:pStyle w:val="82"/>
      </w:pPr>
      <w:r>
        <w:rPr>
          <w:rFonts w:hint="eastAsia"/>
        </w:rPr>
        <w:t>国家法律法规和文件</w:t>
      </w:r>
    </w:p>
    <w:p w14:paraId="5A63AAAE">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《中华人民共和国环境保护法》（</w:t>
      </w:r>
      <w:bookmarkStart w:id="432" w:name="_GoBack"/>
      <w:r>
        <w:rPr>
          <w:rFonts w:hint="eastAsia"/>
          <w:kern w:val="0"/>
          <w:szCs w:val="24"/>
        </w:rPr>
        <w:t>2015</w:t>
      </w:r>
      <w:r>
        <w:rPr>
          <w:rFonts w:hint="eastAsia" w:ascii="宋体" w:hAnsi="宋体"/>
          <w:kern w:val="0"/>
          <w:szCs w:val="24"/>
        </w:rPr>
        <w:t>年</w:t>
      </w:r>
      <w:r>
        <w:rPr>
          <w:rFonts w:hint="eastAsia"/>
          <w:kern w:val="0"/>
          <w:szCs w:val="24"/>
        </w:rPr>
        <w:t>01</w:t>
      </w:r>
      <w:r>
        <w:rPr>
          <w:rFonts w:hint="eastAsia" w:ascii="宋体" w:hAnsi="宋体"/>
          <w:kern w:val="0"/>
          <w:szCs w:val="24"/>
        </w:rPr>
        <w:t>月</w:t>
      </w:r>
      <w:r>
        <w:rPr>
          <w:rFonts w:hint="eastAsia"/>
          <w:kern w:val="0"/>
          <w:szCs w:val="24"/>
        </w:rPr>
        <w:t>01</w:t>
      </w:r>
      <w:r>
        <w:rPr>
          <w:rFonts w:hint="eastAsia" w:ascii="宋体" w:hAnsi="宋体"/>
          <w:kern w:val="0"/>
          <w:szCs w:val="24"/>
        </w:rPr>
        <w:t>日</w:t>
      </w:r>
      <w:bookmarkEnd w:id="432"/>
      <w:r>
        <w:rPr>
          <w:rFonts w:hint="eastAsia" w:ascii="宋体" w:hAnsi="宋体"/>
          <w:kern w:val="0"/>
          <w:szCs w:val="24"/>
        </w:rPr>
        <w:t>实施）；</w:t>
      </w:r>
    </w:p>
    <w:p w14:paraId="3C97BB44">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《中华人民共和国大气污染防治法》（</w:t>
      </w:r>
      <w:r>
        <w:rPr>
          <w:rFonts w:hint="eastAsia"/>
          <w:kern w:val="0"/>
          <w:szCs w:val="24"/>
        </w:rPr>
        <w:t>2018</w:t>
      </w:r>
      <w:r>
        <w:rPr>
          <w:rFonts w:hint="eastAsia" w:ascii="宋体" w:hAnsi="宋体"/>
          <w:kern w:val="0"/>
          <w:szCs w:val="24"/>
        </w:rPr>
        <w:t>年</w:t>
      </w:r>
      <w:r>
        <w:rPr>
          <w:rFonts w:hint="eastAsia"/>
          <w:kern w:val="0"/>
          <w:szCs w:val="24"/>
        </w:rPr>
        <w:t>10</w:t>
      </w:r>
      <w:r>
        <w:rPr>
          <w:rFonts w:hint="eastAsia" w:ascii="宋体" w:hAnsi="宋体"/>
          <w:kern w:val="0"/>
          <w:szCs w:val="24"/>
        </w:rPr>
        <w:t>月</w:t>
      </w:r>
      <w:r>
        <w:rPr>
          <w:rFonts w:hint="eastAsia"/>
          <w:kern w:val="0"/>
          <w:szCs w:val="24"/>
        </w:rPr>
        <w:t>26</w:t>
      </w:r>
      <w:r>
        <w:rPr>
          <w:rFonts w:hint="eastAsia" w:ascii="宋体" w:hAnsi="宋体"/>
          <w:kern w:val="0"/>
          <w:szCs w:val="24"/>
        </w:rPr>
        <w:t>日起施行）；</w:t>
      </w:r>
    </w:p>
    <w:p w14:paraId="23F7E251">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《中华人民共和国固体废物污染环境防治法》（</w:t>
      </w:r>
      <w:r>
        <w:rPr>
          <w:rFonts w:hint="eastAsia"/>
          <w:kern w:val="0"/>
          <w:szCs w:val="24"/>
        </w:rPr>
        <w:t>2020</w:t>
      </w:r>
      <w:r>
        <w:rPr>
          <w:rFonts w:hint="eastAsia" w:ascii="宋体" w:hAnsi="宋体"/>
          <w:kern w:val="0"/>
          <w:szCs w:val="24"/>
        </w:rPr>
        <w:t>年</w:t>
      </w:r>
      <w:r>
        <w:rPr>
          <w:rFonts w:hint="eastAsia"/>
          <w:kern w:val="0"/>
          <w:szCs w:val="24"/>
        </w:rPr>
        <w:t>04</w:t>
      </w:r>
      <w:r>
        <w:rPr>
          <w:rFonts w:hint="eastAsia" w:ascii="宋体" w:hAnsi="宋体"/>
          <w:kern w:val="0"/>
          <w:szCs w:val="24"/>
        </w:rPr>
        <w:t>月</w:t>
      </w:r>
      <w:r>
        <w:rPr>
          <w:rFonts w:hint="eastAsia"/>
          <w:kern w:val="0"/>
          <w:szCs w:val="24"/>
        </w:rPr>
        <w:t>29</w:t>
      </w:r>
      <w:r>
        <w:rPr>
          <w:rFonts w:hint="eastAsia" w:ascii="宋体" w:hAnsi="宋体"/>
          <w:kern w:val="0"/>
          <w:szCs w:val="24"/>
        </w:rPr>
        <w:t>日修正，</w:t>
      </w:r>
      <w:r>
        <w:rPr>
          <w:rFonts w:hint="eastAsia"/>
          <w:kern w:val="0"/>
          <w:szCs w:val="24"/>
        </w:rPr>
        <w:t>2020</w:t>
      </w:r>
      <w:r>
        <w:rPr>
          <w:rFonts w:hint="eastAsia" w:ascii="宋体" w:hAnsi="宋体"/>
          <w:kern w:val="0"/>
          <w:szCs w:val="24"/>
        </w:rPr>
        <w:t>年</w:t>
      </w:r>
      <w:r>
        <w:rPr>
          <w:rFonts w:hint="eastAsia"/>
          <w:kern w:val="0"/>
          <w:szCs w:val="24"/>
        </w:rPr>
        <w:t>9</w:t>
      </w:r>
      <w:r>
        <w:rPr>
          <w:rFonts w:hint="eastAsia" w:ascii="宋体" w:hAnsi="宋体"/>
          <w:kern w:val="0"/>
          <w:szCs w:val="24"/>
        </w:rPr>
        <w:t>月</w:t>
      </w:r>
      <w:r>
        <w:rPr>
          <w:rFonts w:hint="eastAsia"/>
          <w:kern w:val="0"/>
          <w:szCs w:val="24"/>
        </w:rPr>
        <w:t>1</w:t>
      </w:r>
      <w:r>
        <w:rPr>
          <w:rFonts w:hint="eastAsia" w:ascii="宋体" w:hAnsi="宋体"/>
          <w:kern w:val="0"/>
          <w:szCs w:val="24"/>
        </w:rPr>
        <w:t>日起实施）；</w:t>
      </w:r>
    </w:p>
    <w:p w14:paraId="77B20342">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《中华人民共和国水污染防治法》（</w:t>
      </w:r>
      <w:r>
        <w:rPr>
          <w:rFonts w:hint="eastAsia"/>
          <w:kern w:val="0"/>
          <w:szCs w:val="24"/>
        </w:rPr>
        <w:t>2018</w:t>
      </w:r>
      <w:r>
        <w:rPr>
          <w:rFonts w:hint="eastAsia" w:ascii="宋体" w:hAnsi="宋体"/>
          <w:kern w:val="0"/>
          <w:szCs w:val="24"/>
        </w:rPr>
        <w:t>年</w:t>
      </w:r>
      <w:r>
        <w:rPr>
          <w:rFonts w:hint="eastAsia"/>
          <w:kern w:val="0"/>
          <w:szCs w:val="24"/>
        </w:rPr>
        <w:t>1</w:t>
      </w:r>
      <w:r>
        <w:rPr>
          <w:rFonts w:hint="eastAsia" w:ascii="宋体" w:hAnsi="宋体"/>
          <w:kern w:val="0"/>
          <w:szCs w:val="24"/>
        </w:rPr>
        <w:t>月</w:t>
      </w:r>
      <w:r>
        <w:rPr>
          <w:rFonts w:hint="eastAsia"/>
          <w:kern w:val="0"/>
          <w:szCs w:val="24"/>
        </w:rPr>
        <w:t>1</w:t>
      </w:r>
      <w:r>
        <w:rPr>
          <w:rFonts w:hint="eastAsia" w:ascii="宋体" w:hAnsi="宋体"/>
          <w:kern w:val="0"/>
          <w:szCs w:val="24"/>
        </w:rPr>
        <w:t>日起实施）；</w:t>
      </w:r>
    </w:p>
    <w:p w14:paraId="0333DFE9">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《中华人民共和国环境噪声污染防治法》（</w:t>
      </w:r>
      <w:r>
        <w:rPr>
          <w:rFonts w:hint="eastAsia"/>
          <w:kern w:val="0"/>
          <w:szCs w:val="24"/>
        </w:rPr>
        <w:t>2022</w:t>
      </w:r>
      <w:r>
        <w:rPr>
          <w:rFonts w:hint="eastAsia" w:ascii="宋体" w:hAnsi="宋体"/>
          <w:kern w:val="0"/>
          <w:szCs w:val="24"/>
        </w:rPr>
        <w:t>年</w:t>
      </w:r>
      <w:r>
        <w:rPr>
          <w:rFonts w:hint="eastAsia"/>
          <w:kern w:val="0"/>
          <w:szCs w:val="24"/>
        </w:rPr>
        <w:t>6</w:t>
      </w:r>
      <w:r>
        <w:rPr>
          <w:rFonts w:hint="eastAsia" w:ascii="宋体" w:hAnsi="宋体"/>
          <w:kern w:val="0"/>
          <w:szCs w:val="24"/>
        </w:rPr>
        <w:t>月</w:t>
      </w:r>
      <w:r>
        <w:rPr>
          <w:rFonts w:hint="eastAsia"/>
          <w:kern w:val="0"/>
          <w:szCs w:val="24"/>
        </w:rPr>
        <w:t>5</w:t>
      </w:r>
      <w:r>
        <w:rPr>
          <w:rFonts w:hint="eastAsia" w:ascii="宋体" w:hAnsi="宋体"/>
          <w:kern w:val="0"/>
          <w:szCs w:val="24"/>
        </w:rPr>
        <w:t>日起实施）；</w:t>
      </w:r>
    </w:p>
    <w:p w14:paraId="78219487">
      <w:pPr>
        <w:widowControl w:val="0"/>
        <w:numPr>
          <w:ilvl w:val="0"/>
          <w:numId w:val="6"/>
        </w:numPr>
        <w:adjustRightInd w:val="0"/>
        <w:snapToGrid w:val="0"/>
        <w:ind w:firstLine="480"/>
        <w:jc w:val="both"/>
        <w:rPr>
          <w:kern w:val="0"/>
          <w:szCs w:val="24"/>
        </w:rPr>
      </w:pPr>
      <w:r>
        <w:rPr>
          <w:rFonts w:hint="eastAsia" w:ascii="宋体" w:hAnsi="宋体"/>
          <w:kern w:val="0"/>
          <w:szCs w:val="24"/>
        </w:rPr>
        <w:t>《中华人民共和国环境影响评价法》（</w:t>
      </w:r>
      <w:r>
        <w:rPr>
          <w:rFonts w:hint="eastAsia"/>
          <w:kern w:val="0"/>
          <w:szCs w:val="24"/>
        </w:rPr>
        <w:t>2018</w:t>
      </w:r>
      <w:r>
        <w:rPr>
          <w:rFonts w:hint="eastAsia" w:ascii="宋体" w:hAnsi="宋体"/>
          <w:kern w:val="0"/>
          <w:szCs w:val="24"/>
        </w:rPr>
        <w:t>年</w:t>
      </w:r>
      <w:r>
        <w:rPr>
          <w:rFonts w:hint="eastAsia"/>
          <w:kern w:val="0"/>
          <w:szCs w:val="24"/>
        </w:rPr>
        <w:t>12</w:t>
      </w:r>
      <w:r>
        <w:rPr>
          <w:rFonts w:hint="eastAsia" w:ascii="宋体" w:hAnsi="宋体"/>
          <w:kern w:val="0"/>
          <w:szCs w:val="24"/>
        </w:rPr>
        <w:t>月</w:t>
      </w:r>
      <w:r>
        <w:rPr>
          <w:rFonts w:hint="eastAsia"/>
          <w:kern w:val="0"/>
          <w:szCs w:val="24"/>
        </w:rPr>
        <w:t>29</w:t>
      </w:r>
      <w:r>
        <w:rPr>
          <w:rFonts w:hint="eastAsia" w:ascii="宋体" w:hAnsi="宋体"/>
          <w:kern w:val="0"/>
          <w:szCs w:val="24"/>
        </w:rPr>
        <w:t>日修正）；</w:t>
      </w:r>
    </w:p>
    <w:p w14:paraId="3B4C09AA">
      <w:pPr>
        <w:widowControl w:val="0"/>
        <w:numPr>
          <w:ilvl w:val="0"/>
          <w:numId w:val="6"/>
        </w:numPr>
        <w:adjustRightInd w:val="0"/>
        <w:snapToGrid w:val="0"/>
        <w:ind w:firstLine="480"/>
        <w:jc w:val="both"/>
        <w:rPr>
          <w:kern w:val="0"/>
          <w:szCs w:val="24"/>
        </w:rPr>
      </w:pPr>
      <w:r>
        <w:rPr>
          <w:rFonts w:hint="eastAsia" w:ascii="宋体" w:hAnsi="宋体"/>
          <w:kern w:val="0"/>
          <w:szCs w:val="24"/>
        </w:rPr>
        <w:t>《建设项目环境保护管理条例》（</w:t>
      </w:r>
      <w:r>
        <w:rPr>
          <w:rFonts w:hint="eastAsia"/>
          <w:kern w:val="0"/>
          <w:szCs w:val="24"/>
        </w:rPr>
        <w:t>2017</w:t>
      </w:r>
      <w:r>
        <w:rPr>
          <w:rFonts w:hint="eastAsia" w:ascii="宋体" w:hAnsi="宋体"/>
          <w:kern w:val="0"/>
          <w:szCs w:val="24"/>
        </w:rPr>
        <w:t>年</w:t>
      </w:r>
      <w:r>
        <w:rPr>
          <w:rFonts w:hint="eastAsia"/>
          <w:kern w:val="0"/>
          <w:szCs w:val="24"/>
        </w:rPr>
        <w:t>7</w:t>
      </w:r>
      <w:r>
        <w:rPr>
          <w:rFonts w:hint="eastAsia" w:ascii="宋体" w:hAnsi="宋体"/>
          <w:kern w:val="0"/>
          <w:szCs w:val="24"/>
        </w:rPr>
        <w:t>月</w:t>
      </w:r>
      <w:r>
        <w:rPr>
          <w:rFonts w:hint="eastAsia"/>
          <w:kern w:val="0"/>
          <w:szCs w:val="24"/>
        </w:rPr>
        <w:t>16</w:t>
      </w:r>
      <w:r>
        <w:rPr>
          <w:rFonts w:hint="eastAsia" w:ascii="宋体" w:hAnsi="宋体"/>
          <w:kern w:val="0"/>
          <w:szCs w:val="24"/>
        </w:rPr>
        <w:t>日修正）；</w:t>
      </w:r>
    </w:p>
    <w:p w14:paraId="6F1B8AA8">
      <w:pPr>
        <w:widowControl w:val="0"/>
        <w:numPr>
          <w:ilvl w:val="0"/>
          <w:numId w:val="6"/>
        </w:numPr>
        <w:adjustRightInd w:val="0"/>
        <w:snapToGrid w:val="0"/>
        <w:ind w:firstLine="480"/>
        <w:jc w:val="both"/>
        <w:rPr>
          <w:kern w:val="0"/>
          <w:szCs w:val="24"/>
        </w:rPr>
      </w:pPr>
      <w:r>
        <w:rPr>
          <w:rFonts w:hint="eastAsia" w:ascii="宋体" w:hAnsi="宋体"/>
          <w:kern w:val="0"/>
          <w:szCs w:val="24"/>
        </w:rPr>
        <w:t>《建设项目环境影响评价分类管理名录》（</w:t>
      </w:r>
      <w:r>
        <w:rPr>
          <w:rFonts w:hint="eastAsia"/>
          <w:kern w:val="0"/>
          <w:szCs w:val="24"/>
        </w:rPr>
        <w:t>2021</w:t>
      </w:r>
      <w:r>
        <w:rPr>
          <w:rFonts w:hint="eastAsia" w:ascii="宋体" w:hAnsi="宋体"/>
          <w:kern w:val="0"/>
          <w:szCs w:val="24"/>
        </w:rPr>
        <w:t>版）；</w:t>
      </w:r>
    </w:p>
    <w:p w14:paraId="0EA34F50">
      <w:pPr>
        <w:widowControl w:val="0"/>
        <w:numPr>
          <w:ilvl w:val="0"/>
          <w:numId w:val="6"/>
        </w:numPr>
        <w:adjustRightInd w:val="0"/>
        <w:snapToGrid w:val="0"/>
        <w:ind w:firstLine="480"/>
        <w:jc w:val="both"/>
        <w:rPr>
          <w:kern w:val="0"/>
          <w:szCs w:val="24"/>
        </w:rPr>
      </w:pPr>
      <w:r>
        <w:rPr>
          <w:rFonts w:hint="eastAsia" w:ascii="宋体" w:hAnsi="宋体"/>
          <w:kern w:val="0"/>
          <w:szCs w:val="24"/>
        </w:rPr>
        <w:t>《产业结构调整指导目录（</w:t>
      </w:r>
      <w:r>
        <w:rPr>
          <w:rFonts w:hint="eastAsia"/>
          <w:kern w:val="0"/>
          <w:szCs w:val="24"/>
        </w:rPr>
        <w:t>2024</w:t>
      </w:r>
      <w:r>
        <w:rPr>
          <w:rFonts w:hint="eastAsia" w:ascii="宋体" w:hAnsi="宋体"/>
          <w:kern w:val="0"/>
          <w:szCs w:val="24"/>
        </w:rPr>
        <w:t>年本）》；</w:t>
      </w:r>
    </w:p>
    <w:p w14:paraId="2A266257">
      <w:pPr>
        <w:widowControl w:val="0"/>
        <w:numPr>
          <w:ilvl w:val="0"/>
          <w:numId w:val="6"/>
        </w:numPr>
        <w:adjustRightInd w:val="0"/>
        <w:snapToGrid w:val="0"/>
        <w:ind w:firstLine="480"/>
        <w:jc w:val="both"/>
        <w:rPr>
          <w:kern w:val="0"/>
          <w:szCs w:val="24"/>
        </w:rPr>
      </w:pPr>
      <w:r>
        <w:rPr>
          <w:rFonts w:hint="eastAsia" w:ascii="宋体" w:hAnsi="宋体"/>
          <w:kern w:val="0"/>
          <w:szCs w:val="24"/>
        </w:rPr>
        <w:t>《国家危险废物名录（</w:t>
      </w:r>
      <w:r>
        <w:rPr>
          <w:rFonts w:hint="eastAsia"/>
          <w:kern w:val="0"/>
          <w:szCs w:val="24"/>
        </w:rPr>
        <w:t>2021</w:t>
      </w:r>
      <w:r>
        <w:rPr>
          <w:rFonts w:hint="eastAsia" w:ascii="宋体" w:hAnsi="宋体"/>
          <w:kern w:val="0"/>
          <w:szCs w:val="24"/>
        </w:rPr>
        <w:t>年版）》（</w:t>
      </w:r>
      <w:r>
        <w:rPr>
          <w:rFonts w:hint="eastAsia"/>
          <w:kern w:val="0"/>
          <w:szCs w:val="24"/>
        </w:rPr>
        <w:t>2021</w:t>
      </w:r>
      <w:r>
        <w:rPr>
          <w:rFonts w:hint="eastAsia" w:ascii="宋体" w:hAnsi="宋体"/>
          <w:kern w:val="0"/>
          <w:szCs w:val="24"/>
        </w:rPr>
        <w:t>年</w:t>
      </w:r>
      <w:r>
        <w:rPr>
          <w:rFonts w:hint="eastAsia"/>
          <w:kern w:val="0"/>
          <w:szCs w:val="24"/>
        </w:rPr>
        <w:t>1</w:t>
      </w:r>
      <w:r>
        <w:rPr>
          <w:rFonts w:hint="eastAsia" w:ascii="宋体" w:hAnsi="宋体"/>
          <w:kern w:val="0"/>
          <w:szCs w:val="24"/>
        </w:rPr>
        <w:t>月</w:t>
      </w:r>
      <w:r>
        <w:rPr>
          <w:rFonts w:hint="eastAsia"/>
          <w:kern w:val="0"/>
          <w:szCs w:val="24"/>
        </w:rPr>
        <w:t>1</w:t>
      </w:r>
      <w:r>
        <w:rPr>
          <w:rFonts w:hint="eastAsia" w:ascii="宋体" w:hAnsi="宋体"/>
          <w:kern w:val="0"/>
          <w:szCs w:val="24"/>
        </w:rPr>
        <w:t>日施行）；</w:t>
      </w:r>
    </w:p>
    <w:p w14:paraId="1D9778E0">
      <w:pPr>
        <w:adjustRightInd w:val="0"/>
        <w:snapToGrid w:val="0"/>
        <w:ind w:firstLine="480"/>
        <w:rPr>
          <w:kern w:val="0"/>
          <w:szCs w:val="24"/>
        </w:rPr>
      </w:pPr>
      <w:r>
        <w:rPr>
          <w:rFonts w:hint="eastAsia" w:ascii="宋体" w:hAnsi="宋体"/>
          <w:kern w:val="0"/>
          <w:szCs w:val="24"/>
        </w:rPr>
        <w:t>（</w:t>
      </w:r>
      <w:r>
        <w:rPr>
          <w:rFonts w:hint="eastAsia"/>
          <w:kern w:val="0"/>
          <w:szCs w:val="24"/>
        </w:rPr>
        <w:t>11</w:t>
      </w:r>
      <w:r>
        <w:rPr>
          <w:rFonts w:hint="eastAsia" w:ascii="宋体" w:hAnsi="宋体"/>
          <w:kern w:val="0"/>
          <w:szCs w:val="24"/>
        </w:rPr>
        <w:t>）《危险化学品安全管理条例》（国务院第</w:t>
      </w:r>
      <w:r>
        <w:rPr>
          <w:rFonts w:hint="eastAsia"/>
          <w:kern w:val="0"/>
          <w:szCs w:val="24"/>
        </w:rPr>
        <w:t>645</w:t>
      </w:r>
      <w:r>
        <w:rPr>
          <w:rFonts w:hint="eastAsia" w:ascii="宋体" w:hAnsi="宋体"/>
          <w:kern w:val="0"/>
          <w:szCs w:val="24"/>
        </w:rPr>
        <w:t>号令）；</w:t>
      </w:r>
    </w:p>
    <w:p w14:paraId="5704F7F9">
      <w:pPr>
        <w:adjustRightInd w:val="0"/>
        <w:snapToGrid w:val="0"/>
        <w:ind w:firstLine="480"/>
        <w:rPr>
          <w:kern w:val="0"/>
          <w:szCs w:val="24"/>
        </w:rPr>
      </w:pPr>
      <w:r>
        <w:rPr>
          <w:rFonts w:hint="eastAsia" w:ascii="宋体" w:hAnsi="宋体"/>
          <w:kern w:val="0"/>
          <w:szCs w:val="24"/>
        </w:rPr>
        <w:t>（</w:t>
      </w:r>
      <w:r>
        <w:rPr>
          <w:rFonts w:hint="eastAsia"/>
          <w:kern w:val="0"/>
          <w:szCs w:val="24"/>
        </w:rPr>
        <w:t>12</w:t>
      </w:r>
      <w:r>
        <w:rPr>
          <w:rFonts w:hint="eastAsia" w:ascii="宋体" w:hAnsi="宋体"/>
          <w:kern w:val="0"/>
          <w:szCs w:val="24"/>
        </w:rPr>
        <w:t>）《中华人民共和国港口法》（</w:t>
      </w:r>
      <w:r>
        <w:rPr>
          <w:rFonts w:hint="eastAsia"/>
          <w:kern w:val="0"/>
          <w:szCs w:val="24"/>
        </w:rPr>
        <w:t>2015</w:t>
      </w:r>
      <w:r>
        <w:rPr>
          <w:rFonts w:hint="eastAsia" w:ascii="宋体" w:hAnsi="宋体"/>
          <w:kern w:val="0"/>
          <w:szCs w:val="24"/>
        </w:rPr>
        <w:t>年</w:t>
      </w:r>
      <w:r>
        <w:rPr>
          <w:rFonts w:hint="eastAsia"/>
          <w:kern w:val="0"/>
          <w:szCs w:val="24"/>
        </w:rPr>
        <w:t>4</w:t>
      </w:r>
      <w:r>
        <w:rPr>
          <w:rFonts w:hint="eastAsia" w:ascii="宋体" w:hAnsi="宋体"/>
          <w:kern w:val="0"/>
          <w:szCs w:val="24"/>
        </w:rPr>
        <w:t>月</w:t>
      </w:r>
      <w:r>
        <w:rPr>
          <w:rFonts w:hint="eastAsia"/>
          <w:kern w:val="0"/>
          <w:szCs w:val="24"/>
        </w:rPr>
        <w:t>24</w:t>
      </w:r>
      <w:r>
        <w:rPr>
          <w:rFonts w:hint="eastAsia" w:ascii="宋体" w:hAnsi="宋体"/>
          <w:kern w:val="0"/>
          <w:szCs w:val="24"/>
        </w:rPr>
        <w:t>日修订）；</w:t>
      </w:r>
    </w:p>
    <w:p w14:paraId="74A9FA0C">
      <w:pPr>
        <w:adjustRightInd w:val="0"/>
        <w:snapToGrid w:val="0"/>
        <w:ind w:firstLine="480"/>
        <w:rPr>
          <w:kern w:val="0"/>
          <w:szCs w:val="24"/>
        </w:rPr>
      </w:pPr>
      <w:r>
        <w:rPr>
          <w:rFonts w:hint="eastAsia" w:ascii="宋体" w:hAnsi="宋体"/>
          <w:kern w:val="0"/>
          <w:szCs w:val="24"/>
        </w:rPr>
        <w:t>（</w:t>
      </w:r>
      <w:r>
        <w:rPr>
          <w:rFonts w:hint="eastAsia"/>
          <w:kern w:val="0"/>
          <w:szCs w:val="24"/>
        </w:rPr>
        <w:t>13</w:t>
      </w:r>
      <w:r>
        <w:rPr>
          <w:rFonts w:hint="eastAsia" w:ascii="宋体" w:hAnsi="宋体"/>
          <w:kern w:val="0"/>
          <w:szCs w:val="24"/>
        </w:rPr>
        <w:t>）《关于切实加强风险防范严格环境影响评价管理的通知》（环发</w:t>
      </w:r>
      <w:r>
        <w:rPr>
          <w:rFonts w:hint="eastAsia" w:ascii="宋体" w:hAnsi="宋体"/>
          <w:szCs w:val="24"/>
        </w:rPr>
        <w:t>〔</w:t>
      </w:r>
      <w:r>
        <w:rPr>
          <w:rFonts w:hint="eastAsia"/>
          <w:kern w:val="0"/>
          <w:szCs w:val="24"/>
        </w:rPr>
        <w:t>2012</w:t>
      </w:r>
      <w:r>
        <w:rPr>
          <w:rFonts w:hint="eastAsia" w:ascii="宋体" w:hAnsi="宋体"/>
          <w:szCs w:val="24"/>
        </w:rPr>
        <w:t>〕</w:t>
      </w:r>
      <w:r>
        <w:rPr>
          <w:rFonts w:hint="eastAsia"/>
          <w:kern w:val="0"/>
          <w:szCs w:val="24"/>
        </w:rPr>
        <w:t>98</w:t>
      </w:r>
      <w:r>
        <w:rPr>
          <w:rFonts w:hint="eastAsia" w:ascii="宋体" w:hAnsi="宋体"/>
          <w:kern w:val="0"/>
          <w:szCs w:val="24"/>
        </w:rPr>
        <w:t>号）；</w:t>
      </w:r>
    </w:p>
    <w:p w14:paraId="37EAA275">
      <w:pPr>
        <w:adjustRightInd w:val="0"/>
        <w:snapToGrid w:val="0"/>
        <w:ind w:firstLine="480"/>
        <w:rPr>
          <w:kern w:val="0"/>
          <w:szCs w:val="24"/>
        </w:rPr>
      </w:pPr>
      <w:r>
        <w:rPr>
          <w:rFonts w:hint="eastAsia" w:ascii="宋体" w:hAnsi="宋体"/>
          <w:kern w:val="0"/>
          <w:szCs w:val="24"/>
        </w:rPr>
        <w:t>（</w:t>
      </w:r>
      <w:r>
        <w:rPr>
          <w:rFonts w:hint="eastAsia"/>
          <w:kern w:val="0"/>
          <w:szCs w:val="24"/>
        </w:rPr>
        <w:t>14</w:t>
      </w:r>
      <w:r>
        <w:rPr>
          <w:rFonts w:hint="eastAsia" w:ascii="宋体" w:hAnsi="宋体"/>
          <w:kern w:val="0"/>
          <w:szCs w:val="24"/>
        </w:rPr>
        <w:t>）《关于加强污染源环境监管信息公开工作的通知》（环发</w:t>
      </w:r>
      <w:r>
        <w:rPr>
          <w:rFonts w:hint="eastAsia" w:ascii="宋体" w:hAnsi="宋体"/>
          <w:szCs w:val="24"/>
        </w:rPr>
        <w:t>〔</w:t>
      </w:r>
      <w:r>
        <w:rPr>
          <w:rFonts w:hint="eastAsia"/>
          <w:kern w:val="0"/>
          <w:szCs w:val="24"/>
        </w:rPr>
        <w:t>2013</w:t>
      </w:r>
      <w:r>
        <w:rPr>
          <w:rFonts w:hint="eastAsia" w:ascii="宋体" w:hAnsi="宋体"/>
          <w:szCs w:val="24"/>
        </w:rPr>
        <w:t>〕</w:t>
      </w:r>
      <w:r>
        <w:rPr>
          <w:rFonts w:hint="eastAsia"/>
          <w:kern w:val="0"/>
          <w:szCs w:val="24"/>
        </w:rPr>
        <w:t>74</w:t>
      </w:r>
      <w:r>
        <w:rPr>
          <w:rFonts w:hint="eastAsia" w:ascii="宋体" w:hAnsi="宋体"/>
          <w:kern w:val="0"/>
          <w:szCs w:val="24"/>
        </w:rPr>
        <w:t>号）；</w:t>
      </w:r>
    </w:p>
    <w:p w14:paraId="3F674556">
      <w:pPr>
        <w:adjustRightInd w:val="0"/>
        <w:snapToGrid w:val="0"/>
        <w:ind w:firstLine="480"/>
        <w:rPr>
          <w:kern w:val="0"/>
          <w:szCs w:val="24"/>
        </w:rPr>
      </w:pPr>
      <w:r>
        <w:rPr>
          <w:rFonts w:hint="eastAsia" w:ascii="宋体" w:hAnsi="宋体"/>
          <w:kern w:val="0"/>
          <w:szCs w:val="24"/>
        </w:rPr>
        <w:t>（</w:t>
      </w:r>
      <w:r>
        <w:rPr>
          <w:rFonts w:hint="eastAsia"/>
          <w:kern w:val="0"/>
          <w:szCs w:val="24"/>
        </w:rPr>
        <w:t>15</w:t>
      </w:r>
      <w:r>
        <w:rPr>
          <w:rFonts w:hint="eastAsia" w:ascii="宋体" w:hAnsi="宋体"/>
          <w:kern w:val="0"/>
          <w:szCs w:val="24"/>
        </w:rPr>
        <w:t>）《关于执行大气污染物特别排放限值的公告》（</w:t>
      </w:r>
      <w:r>
        <w:rPr>
          <w:rFonts w:hint="eastAsia" w:ascii="宋体" w:hAnsi="宋体"/>
          <w:kern w:val="0"/>
          <w:szCs w:val="24"/>
          <w:lang w:eastAsia="zh-CN"/>
        </w:rPr>
        <w:t>生态环境部</w:t>
      </w:r>
      <w:r>
        <w:rPr>
          <w:rFonts w:hint="eastAsia" w:ascii="宋体" w:hAnsi="宋体"/>
          <w:kern w:val="0"/>
          <w:szCs w:val="24"/>
        </w:rPr>
        <w:t>公告</w:t>
      </w:r>
      <w:r>
        <w:rPr>
          <w:rFonts w:hint="eastAsia"/>
          <w:kern w:val="0"/>
          <w:szCs w:val="24"/>
        </w:rPr>
        <w:t>2013</w:t>
      </w:r>
      <w:r>
        <w:rPr>
          <w:rFonts w:hint="eastAsia" w:ascii="宋体" w:hAnsi="宋体"/>
          <w:kern w:val="0"/>
          <w:szCs w:val="24"/>
        </w:rPr>
        <w:t>年第</w:t>
      </w:r>
      <w:r>
        <w:rPr>
          <w:rFonts w:hint="eastAsia"/>
          <w:kern w:val="0"/>
          <w:szCs w:val="24"/>
        </w:rPr>
        <w:t>14</w:t>
      </w:r>
      <w:r>
        <w:rPr>
          <w:rFonts w:hint="eastAsia" w:ascii="宋体" w:hAnsi="宋体"/>
          <w:kern w:val="0"/>
          <w:szCs w:val="24"/>
        </w:rPr>
        <w:t>号）；</w:t>
      </w:r>
    </w:p>
    <w:p w14:paraId="77DBBE1E">
      <w:pPr>
        <w:adjustRightInd w:val="0"/>
        <w:snapToGrid w:val="0"/>
        <w:ind w:firstLine="480"/>
        <w:rPr>
          <w:kern w:val="0"/>
          <w:szCs w:val="24"/>
        </w:rPr>
      </w:pPr>
      <w:r>
        <w:rPr>
          <w:rFonts w:hint="eastAsia" w:ascii="宋体" w:hAnsi="宋体"/>
          <w:kern w:val="0"/>
          <w:szCs w:val="24"/>
        </w:rPr>
        <w:t>（</w:t>
      </w:r>
      <w:r>
        <w:rPr>
          <w:rFonts w:hint="eastAsia"/>
          <w:kern w:val="0"/>
          <w:szCs w:val="24"/>
        </w:rPr>
        <w:t>16</w:t>
      </w:r>
      <w:r>
        <w:rPr>
          <w:rFonts w:hint="eastAsia" w:ascii="宋体" w:hAnsi="宋体"/>
          <w:kern w:val="0"/>
          <w:szCs w:val="24"/>
        </w:rPr>
        <w:t>）《建设项目危险废物环境影响评价指南》（</w:t>
      </w:r>
      <w:r>
        <w:rPr>
          <w:rFonts w:hint="eastAsia"/>
          <w:kern w:val="0"/>
          <w:szCs w:val="24"/>
        </w:rPr>
        <w:t>2017年第43</w:t>
      </w:r>
      <w:r>
        <w:rPr>
          <w:rFonts w:hint="eastAsia" w:ascii="宋体" w:hAnsi="宋体"/>
          <w:kern w:val="0"/>
          <w:szCs w:val="24"/>
        </w:rPr>
        <w:t>号公告）；</w:t>
      </w:r>
    </w:p>
    <w:p w14:paraId="441988D9">
      <w:pPr>
        <w:adjustRightInd w:val="0"/>
        <w:snapToGrid w:val="0"/>
        <w:ind w:firstLine="480"/>
        <w:rPr>
          <w:kern w:val="0"/>
          <w:szCs w:val="24"/>
        </w:rPr>
      </w:pPr>
      <w:r>
        <w:rPr>
          <w:rFonts w:hint="eastAsia" w:ascii="宋体" w:hAnsi="宋体"/>
          <w:kern w:val="0"/>
          <w:szCs w:val="24"/>
        </w:rPr>
        <w:t>（</w:t>
      </w:r>
      <w:r>
        <w:rPr>
          <w:rFonts w:hint="eastAsia"/>
          <w:kern w:val="0"/>
          <w:szCs w:val="24"/>
        </w:rPr>
        <w:t>17</w:t>
      </w:r>
      <w:r>
        <w:rPr>
          <w:rFonts w:hint="eastAsia" w:ascii="宋体" w:hAnsi="宋体"/>
          <w:kern w:val="0"/>
          <w:szCs w:val="24"/>
        </w:rPr>
        <w:t>）《中华人民共和国内河交通安全管理条例（2019修正）》（2019年3月2日）；</w:t>
      </w:r>
    </w:p>
    <w:p w14:paraId="22A3C1BA">
      <w:pPr>
        <w:adjustRightInd w:val="0"/>
        <w:snapToGrid w:val="0"/>
        <w:ind w:firstLine="480"/>
        <w:rPr>
          <w:kern w:val="0"/>
          <w:szCs w:val="24"/>
        </w:rPr>
      </w:pPr>
      <w:r>
        <w:rPr>
          <w:rFonts w:hint="eastAsia" w:ascii="宋体" w:hAnsi="宋体"/>
          <w:kern w:val="0"/>
          <w:szCs w:val="24"/>
        </w:rPr>
        <w:t>（</w:t>
      </w:r>
      <w:r>
        <w:rPr>
          <w:rFonts w:hint="eastAsia"/>
          <w:kern w:val="0"/>
          <w:szCs w:val="24"/>
        </w:rPr>
        <w:t>18</w:t>
      </w:r>
      <w:r>
        <w:rPr>
          <w:rFonts w:hint="eastAsia" w:ascii="宋体" w:hAnsi="宋体"/>
          <w:kern w:val="0"/>
          <w:szCs w:val="24"/>
        </w:rPr>
        <w:t>）《中华人民共和国航道管理条例》（</w:t>
      </w:r>
      <w:r>
        <w:rPr>
          <w:rFonts w:hint="eastAsia"/>
          <w:kern w:val="0"/>
          <w:szCs w:val="24"/>
        </w:rPr>
        <w:t>2008</w:t>
      </w:r>
      <w:r>
        <w:rPr>
          <w:rFonts w:hint="eastAsia" w:ascii="宋体" w:hAnsi="宋体"/>
          <w:kern w:val="0"/>
          <w:szCs w:val="24"/>
        </w:rPr>
        <w:t>年</w:t>
      </w:r>
      <w:r>
        <w:rPr>
          <w:rFonts w:hint="eastAsia"/>
          <w:kern w:val="0"/>
          <w:szCs w:val="24"/>
        </w:rPr>
        <w:t>12</w:t>
      </w:r>
      <w:r>
        <w:rPr>
          <w:rFonts w:hint="eastAsia" w:ascii="宋体" w:hAnsi="宋体"/>
          <w:kern w:val="0"/>
          <w:szCs w:val="24"/>
        </w:rPr>
        <w:t>月</w:t>
      </w:r>
      <w:r>
        <w:rPr>
          <w:rFonts w:hint="eastAsia"/>
          <w:kern w:val="0"/>
          <w:szCs w:val="24"/>
        </w:rPr>
        <w:t>28</w:t>
      </w:r>
      <w:r>
        <w:rPr>
          <w:rFonts w:hint="eastAsia" w:ascii="宋体" w:hAnsi="宋体"/>
          <w:kern w:val="0"/>
          <w:szCs w:val="24"/>
        </w:rPr>
        <w:t>日修订）；</w:t>
      </w:r>
    </w:p>
    <w:p w14:paraId="7F4BCEB0">
      <w:pPr>
        <w:adjustRightInd w:val="0"/>
        <w:snapToGrid w:val="0"/>
        <w:ind w:firstLine="480"/>
        <w:rPr>
          <w:kern w:val="0"/>
          <w:szCs w:val="24"/>
        </w:rPr>
      </w:pPr>
      <w:r>
        <w:rPr>
          <w:rFonts w:hint="eastAsia" w:ascii="宋体" w:hAnsi="宋体"/>
          <w:kern w:val="0"/>
          <w:szCs w:val="24"/>
        </w:rPr>
        <w:t>（</w:t>
      </w:r>
      <w:r>
        <w:rPr>
          <w:rFonts w:hint="eastAsia"/>
          <w:kern w:val="0"/>
          <w:szCs w:val="24"/>
        </w:rPr>
        <w:t>19</w:t>
      </w:r>
      <w:r>
        <w:rPr>
          <w:rFonts w:hint="eastAsia" w:ascii="宋体" w:hAnsi="宋体"/>
          <w:kern w:val="0"/>
          <w:szCs w:val="24"/>
        </w:rPr>
        <w:t>）《港口（码头）溢油应急计划编制指南》（</w:t>
      </w:r>
      <w:r>
        <w:rPr>
          <w:rFonts w:hint="eastAsia"/>
          <w:kern w:val="0"/>
          <w:szCs w:val="24"/>
        </w:rPr>
        <w:t>2001</w:t>
      </w:r>
      <w:r>
        <w:rPr>
          <w:rFonts w:hint="eastAsia" w:ascii="宋体" w:hAnsi="宋体"/>
          <w:kern w:val="0"/>
          <w:szCs w:val="24"/>
        </w:rPr>
        <w:t>年</w:t>
      </w:r>
      <w:r>
        <w:rPr>
          <w:rFonts w:hint="eastAsia"/>
          <w:kern w:val="0"/>
          <w:szCs w:val="24"/>
        </w:rPr>
        <w:t>8</w:t>
      </w:r>
      <w:r>
        <w:rPr>
          <w:rFonts w:hint="eastAsia" w:ascii="宋体" w:hAnsi="宋体"/>
          <w:kern w:val="0"/>
          <w:szCs w:val="24"/>
        </w:rPr>
        <w:t>月中国海事局颁布）；</w:t>
      </w:r>
    </w:p>
    <w:p w14:paraId="1A453924">
      <w:pPr>
        <w:adjustRightInd w:val="0"/>
        <w:snapToGrid w:val="0"/>
        <w:ind w:firstLine="480"/>
        <w:rPr>
          <w:kern w:val="0"/>
          <w:szCs w:val="24"/>
        </w:rPr>
      </w:pPr>
      <w:r>
        <w:rPr>
          <w:rFonts w:hint="eastAsia" w:ascii="宋体" w:hAnsi="宋体"/>
          <w:kern w:val="0"/>
          <w:szCs w:val="24"/>
        </w:rPr>
        <w:t>（</w:t>
      </w:r>
      <w:r>
        <w:rPr>
          <w:rFonts w:hint="eastAsia"/>
          <w:kern w:val="0"/>
          <w:szCs w:val="24"/>
        </w:rPr>
        <w:t>20</w:t>
      </w:r>
      <w:r>
        <w:rPr>
          <w:rFonts w:hint="eastAsia" w:ascii="宋体" w:hAnsi="宋体"/>
          <w:kern w:val="0"/>
          <w:szCs w:val="24"/>
        </w:rPr>
        <w:t>）《港口码头水上污染事故应急防备能力要求》（</w:t>
      </w:r>
      <w:r>
        <w:rPr>
          <w:rFonts w:hint="eastAsia"/>
          <w:kern w:val="0"/>
          <w:szCs w:val="24"/>
        </w:rPr>
        <w:t>JT/T451-2017</w:t>
      </w:r>
      <w:r>
        <w:rPr>
          <w:rFonts w:hint="eastAsia" w:ascii="宋体" w:hAnsi="宋体"/>
          <w:kern w:val="0"/>
          <w:szCs w:val="24"/>
        </w:rPr>
        <w:t>）；</w:t>
      </w:r>
    </w:p>
    <w:p w14:paraId="6CADCFA6">
      <w:pPr>
        <w:adjustRightInd w:val="0"/>
        <w:snapToGrid w:val="0"/>
        <w:ind w:firstLine="480"/>
        <w:rPr>
          <w:kern w:val="0"/>
          <w:szCs w:val="24"/>
        </w:rPr>
      </w:pPr>
      <w:r>
        <w:rPr>
          <w:rFonts w:hint="eastAsia" w:ascii="宋体" w:hAnsi="宋体"/>
          <w:kern w:val="0"/>
          <w:szCs w:val="24"/>
        </w:rPr>
        <w:t>（</w:t>
      </w:r>
      <w:r>
        <w:rPr>
          <w:rFonts w:hint="eastAsia"/>
          <w:kern w:val="0"/>
          <w:szCs w:val="24"/>
        </w:rPr>
        <w:t>21</w:t>
      </w:r>
      <w:r>
        <w:rPr>
          <w:rFonts w:hint="eastAsia" w:ascii="宋体" w:hAnsi="宋体"/>
          <w:kern w:val="0"/>
          <w:szCs w:val="24"/>
        </w:rPr>
        <w:t>）《水上溢油环境风险评估技术导则》（</w:t>
      </w:r>
      <w:r>
        <w:rPr>
          <w:rFonts w:hint="eastAsia"/>
          <w:kern w:val="0"/>
          <w:szCs w:val="24"/>
        </w:rPr>
        <w:t>JT/T1143-2017</w:t>
      </w:r>
      <w:r>
        <w:rPr>
          <w:rFonts w:hint="eastAsia" w:ascii="宋体" w:hAnsi="宋体"/>
          <w:kern w:val="0"/>
          <w:szCs w:val="24"/>
        </w:rPr>
        <w:t>）；</w:t>
      </w:r>
    </w:p>
    <w:p w14:paraId="63040EA3">
      <w:pPr>
        <w:adjustRightInd w:val="0"/>
        <w:snapToGrid w:val="0"/>
        <w:ind w:firstLine="480"/>
        <w:rPr>
          <w:kern w:val="0"/>
          <w:szCs w:val="24"/>
        </w:rPr>
      </w:pPr>
      <w:r>
        <w:rPr>
          <w:rFonts w:hint="eastAsia" w:ascii="宋体" w:hAnsi="宋体"/>
          <w:kern w:val="0"/>
          <w:szCs w:val="24"/>
        </w:rPr>
        <w:t>（</w:t>
      </w:r>
      <w:r>
        <w:rPr>
          <w:rFonts w:hint="eastAsia"/>
          <w:kern w:val="0"/>
          <w:szCs w:val="24"/>
        </w:rPr>
        <w:t>22</w:t>
      </w:r>
      <w:r>
        <w:rPr>
          <w:rFonts w:hint="eastAsia" w:ascii="宋体" w:hAnsi="宋体"/>
          <w:kern w:val="0"/>
          <w:szCs w:val="24"/>
        </w:rPr>
        <w:t>）《船舶溢油应急能力评估导则》（</w:t>
      </w:r>
      <w:r>
        <w:rPr>
          <w:rFonts w:hint="eastAsia"/>
          <w:kern w:val="0"/>
          <w:szCs w:val="24"/>
        </w:rPr>
        <w:t>JT/T877-2013</w:t>
      </w:r>
      <w:r>
        <w:rPr>
          <w:rFonts w:hint="eastAsia" w:ascii="宋体" w:hAnsi="宋体"/>
          <w:kern w:val="0"/>
          <w:szCs w:val="24"/>
        </w:rPr>
        <w:t>）；</w:t>
      </w:r>
    </w:p>
    <w:p w14:paraId="2DB25C75">
      <w:pPr>
        <w:adjustRightInd w:val="0"/>
        <w:snapToGrid w:val="0"/>
        <w:ind w:firstLine="480"/>
        <w:rPr>
          <w:kern w:val="0"/>
          <w:szCs w:val="24"/>
        </w:rPr>
      </w:pPr>
      <w:r>
        <w:rPr>
          <w:rFonts w:hint="eastAsia" w:ascii="宋体" w:hAnsi="宋体"/>
          <w:kern w:val="0"/>
          <w:szCs w:val="24"/>
        </w:rPr>
        <w:t>（</w:t>
      </w:r>
      <w:r>
        <w:rPr>
          <w:rFonts w:hint="eastAsia"/>
          <w:kern w:val="0"/>
          <w:szCs w:val="24"/>
        </w:rPr>
        <w:t>23</w:t>
      </w:r>
      <w:r>
        <w:rPr>
          <w:rFonts w:hint="eastAsia" w:ascii="宋体" w:hAnsi="宋体"/>
          <w:kern w:val="0"/>
          <w:szCs w:val="24"/>
        </w:rPr>
        <w:t>）《水运工程环境保护设计规范》（</w:t>
      </w:r>
      <w:r>
        <w:rPr>
          <w:rFonts w:hint="eastAsia"/>
          <w:kern w:val="0"/>
          <w:szCs w:val="24"/>
        </w:rPr>
        <w:t>JTS 149-2018</w:t>
      </w:r>
      <w:r>
        <w:rPr>
          <w:rFonts w:hint="eastAsia" w:ascii="宋体" w:hAnsi="宋体"/>
          <w:kern w:val="0"/>
          <w:szCs w:val="24"/>
        </w:rPr>
        <w:t>）；</w:t>
      </w:r>
    </w:p>
    <w:p w14:paraId="2E91B4CB">
      <w:pPr>
        <w:adjustRightInd w:val="0"/>
        <w:snapToGrid w:val="0"/>
        <w:ind w:firstLine="480"/>
        <w:rPr>
          <w:kern w:val="0"/>
          <w:szCs w:val="24"/>
        </w:rPr>
      </w:pPr>
      <w:r>
        <w:rPr>
          <w:rFonts w:hint="eastAsia" w:ascii="宋体" w:hAnsi="宋体"/>
          <w:kern w:val="0"/>
          <w:szCs w:val="24"/>
        </w:rPr>
        <w:t>（</w:t>
      </w:r>
      <w:r>
        <w:rPr>
          <w:rFonts w:hint="eastAsia"/>
          <w:kern w:val="0"/>
          <w:szCs w:val="24"/>
        </w:rPr>
        <w:t>24</w:t>
      </w:r>
      <w:r>
        <w:rPr>
          <w:rFonts w:hint="eastAsia" w:ascii="宋体" w:hAnsi="宋体"/>
          <w:kern w:val="0"/>
          <w:szCs w:val="24"/>
        </w:rPr>
        <w:t>）《关于加强水上污染应急工作的指导意见》（交海发</w:t>
      </w:r>
      <w:r>
        <w:rPr>
          <w:rFonts w:hint="eastAsia" w:ascii="宋体" w:hAnsi="宋体"/>
          <w:szCs w:val="24"/>
        </w:rPr>
        <w:t>〔</w:t>
      </w:r>
      <w:r>
        <w:rPr>
          <w:rFonts w:hint="eastAsia"/>
          <w:kern w:val="0"/>
          <w:szCs w:val="24"/>
        </w:rPr>
        <w:t>2010</w:t>
      </w:r>
      <w:r>
        <w:rPr>
          <w:rFonts w:hint="eastAsia" w:ascii="宋体" w:hAnsi="宋体"/>
          <w:szCs w:val="24"/>
        </w:rPr>
        <w:t>〕</w:t>
      </w:r>
      <w:r>
        <w:rPr>
          <w:rFonts w:hint="eastAsia"/>
          <w:kern w:val="0"/>
          <w:szCs w:val="24"/>
        </w:rPr>
        <w:t>366</w:t>
      </w:r>
      <w:r>
        <w:rPr>
          <w:rFonts w:hint="eastAsia" w:ascii="宋体" w:hAnsi="宋体"/>
          <w:kern w:val="0"/>
          <w:szCs w:val="24"/>
        </w:rPr>
        <w:t>号）；</w:t>
      </w:r>
    </w:p>
    <w:p w14:paraId="26D1A3BE">
      <w:pPr>
        <w:adjustRightInd w:val="0"/>
        <w:snapToGrid w:val="0"/>
        <w:ind w:firstLine="480"/>
        <w:rPr>
          <w:sz w:val="21"/>
        </w:rPr>
      </w:pPr>
      <w:r>
        <w:rPr>
          <w:rFonts w:hint="eastAsia" w:ascii="宋体" w:hAnsi="宋体"/>
          <w:kern w:val="0"/>
          <w:szCs w:val="24"/>
        </w:rPr>
        <w:t>（</w:t>
      </w:r>
      <w:r>
        <w:rPr>
          <w:rFonts w:hint="eastAsia"/>
          <w:kern w:val="0"/>
          <w:szCs w:val="24"/>
        </w:rPr>
        <w:t>25</w:t>
      </w:r>
      <w:r>
        <w:rPr>
          <w:rFonts w:hint="eastAsia" w:ascii="宋体" w:hAnsi="宋体"/>
          <w:kern w:val="0"/>
          <w:szCs w:val="24"/>
        </w:rPr>
        <w:t>）《船舶水污染物内河港口岸上接收设施设计指南》（</w:t>
      </w:r>
      <w:r>
        <w:rPr>
          <w:rFonts w:hint="eastAsia"/>
          <w:kern w:val="0"/>
          <w:szCs w:val="24"/>
        </w:rPr>
        <w:t>JTS/T175-2019</w:t>
      </w:r>
      <w:r>
        <w:rPr>
          <w:rFonts w:hint="eastAsia" w:ascii="宋体" w:hAnsi="宋体"/>
          <w:kern w:val="0"/>
          <w:szCs w:val="24"/>
        </w:rPr>
        <w:t>）。</w:t>
      </w:r>
    </w:p>
    <w:p w14:paraId="53837B40">
      <w:pPr>
        <w:pStyle w:val="82"/>
      </w:pPr>
      <w:r>
        <w:rPr>
          <w:rFonts w:hint="eastAsia"/>
        </w:rPr>
        <w:t>地方性法规和文件</w:t>
      </w:r>
    </w:p>
    <w:p w14:paraId="761C2E2C">
      <w:pPr>
        <w:adjustRightInd w:val="0"/>
        <w:snapToGrid w:val="0"/>
        <w:ind w:firstLine="480"/>
        <w:rPr>
          <w:szCs w:val="24"/>
        </w:rPr>
      </w:pPr>
      <w:r>
        <w:rPr>
          <w:rFonts w:hint="eastAsia" w:ascii="宋体" w:hAnsi="宋体"/>
          <w:szCs w:val="24"/>
        </w:rPr>
        <w:t>（</w:t>
      </w:r>
      <w:r>
        <w:rPr>
          <w:rFonts w:hint="eastAsia"/>
          <w:szCs w:val="24"/>
        </w:rPr>
        <w:t>1</w:t>
      </w:r>
      <w:r>
        <w:rPr>
          <w:rFonts w:hint="eastAsia" w:ascii="宋体" w:hAnsi="宋体"/>
          <w:szCs w:val="24"/>
        </w:rPr>
        <w:t>）《</w:t>
      </w:r>
      <w:r>
        <w:rPr>
          <w:rFonts w:hint="eastAsia" w:ascii="宋体" w:hAnsi="宋体"/>
          <w:szCs w:val="24"/>
          <w:lang w:eastAsia="zh-CN"/>
        </w:rPr>
        <w:t>江苏省环境噪声污染防治条例</w:t>
      </w:r>
      <w:r>
        <w:rPr>
          <w:rFonts w:hint="eastAsia" w:ascii="宋体" w:hAnsi="宋体"/>
          <w:szCs w:val="24"/>
        </w:rPr>
        <w:t>》（</w:t>
      </w:r>
      <w:r>
        <w:rPr>
          <w:rFonts w:hint="eastAsia"/>
          <w:szCs w:val="24"/>
        </w:rPr>
        <w:t>2018</w:t>
      </w:r>
      <w:r>
        <w:rPr>
          <w:rFonts w:hint="eastAsia" w:ascii="宋体" w:hAnsi="宋体"/>
          <w:szCs w:val="24"/>
        </w:rPr>
        <w:t>年</w:t>
      </w:r>
      <w:r>
        <w:rPr>
          <w:rFonts w:hint="eastAsia"/>
          <w:szCs w:val="24"/>
        </w:rPr>
        <w:t>3</w:t>
      </w:r>
      <w:r>
        <w:rPr>
          <w:rFonts w:hint="eastAsia" w:ascii="宋体" w:hAnsi="宋体"/>
          <w:szCs w:val="24"/>
        </w:rPr>
        <w:t>月</w:t>
      </w:r>
      <w:r>
        <w:rPr>
          <w:rFonts w:hint="eastAsia"/>
          <w:szCs w:val="24"/>
        </w:rPr>
        <w:t>28</w:t>
      </w:r>
      <w:r>
        <w:rPr>
          <w:rFonts w:hint="eastAsia" w:ascii="宋体" w:hAnsi="宋体"/>
          <w:szCs w:val="24"/>
        </w:rPr>
        <w:t>日）；</w:t>
      </w:r>
    </w:p>
    <w:p w14:paraId="32244BB7">
      <w:pPr>
        <w:adjustRightInd w:val="0"/>
        <w:snapToGrid w:val="0"/>
        <w:ind w:firstLine="480"/>
        <w:rPr>
          <w:szCs w:val="24"/>
        </w:rPr>
      </w:pPr>
      <w:r>
        <w:rPr>
          <w:rFonts w:hint="eastAsia" w:ascii="宋体" w:hAnsi="宋体"/>
          <w:szCs w:val="24"/>
        </w:rPr>
        <w:t>（</w:t>
      </w:r>
      <w:r>
        <w:rPr>
          <w:rFonts w:hint="eastAsia"/>
          <w:szCs w:val="24"/>
        </w:rPr>
        <w:t>2</w:t>
      </w:r>
      <w:r>
        <w:rPr>
          <w:rFonts w:hint="eastAsia" w:ascii="宋体" w:hAnsi="宋体"/>
          <w:szCs w:val="24"/>
        </w:rPr>
        <w:t>）《江苏省大气污染防治条例（修正）》（</w:t>
      </w:r>
      <w:r>
        <w:rPr>
          <w:rFonts w:hint="eastAsia"/>
          <w:szCs w:val="24"/>
        </w:rPr>
        <w:t>2018</w:t>
      </w:r>
      <w:r>
        <w:rPr>
          <w:rFonts w:hint="eastAsia" w:ascii="宋体" w:hAnsi="宋体"/>
          <w:szCs w:val="24"/>
        </w:rPr>
        <w:t>年</w:t>
      </w:r>
      <w:r>
        <w:rPr>
          <w:rFonts w:hint="eastAsia"/>
          <w:szCs w:val="24"/>
        </w:rPr>
        <w:t>3</w:t>
      </w:r>
      <w:r>
        <w:rPr>
          <w:rFonts w:hint="eastAsia" w:ascii="宋体" w:hAnsi="宋体"/>
          <w:szCs w:val="24"/>
        </w:rPr>
        <w:t>月</w:t>
      </w:r>
      <w:r>
        <w:rPr>
          <w:rFonts w:hint="eastAsia"/>
          <w:szCs w:val="24"/>
        </w:rPr>
        <w:t>28</w:t>
      </w:r>
      <w:r>
        <w:rPr>
          <w:rFonts w:hint="eastAsia" w:ascii="宋体" w:hAnsi="宋体"/>
          <w:szCs w:val="24"/>
        </w:rPr>
        <w:t>日）；</w:t>
      </w:r>
    </w:p>
    <w:p w14:paraId="35797D87">
      <w:pPr>
        <w:adjustRightInd w:val="0"/>
        <w:snapToGrid w:val="0"/>
        <w:ind w:firstLine="480"/>
        <w:rPr>
          <w:sz w:val="21"/>
        </w:rPr>
      </w:pPr>
      <w:r>
        <w:rPr>
          <w:rFonts w:hint="eastAsia" w:ascii="宋体" w:hAnsi="宋体"/>
          <w:szCs w:val="24"/>
        </w:rPr>
        <w:t>（</w:t>
      </w:r>
      <w:r>
        <w:rPr>
          <w:rFonts w:hint="eastAsia"/>
          <w:szCs w:val="24"/>
        </w:rPr>
        <w:t>3</w:t>
      </w:r>
      <w:r>
        <w:rPr>
          <w:rFonts w:hint="eastAsia" w:ascii="宋体" w:hAnsi="宋体"/>
          <w:szCs w:val="24"/>
        </w:rPr>
        <w:t>）《江苏省水污染防治条例》（江苏省第十三届人民代表大会常务委员会第十九次会议审议通过，</w:t>
      </w:r>
      <w:r>
        <w:rPr>
          <w:rFonts w:hint="eastAsia"/>
          <w:szCs w:val="24"/>
        </w:rPr>
        <w:t>2021</w:t>
      </w:r>
      <w:r>
        <w:rPr>
          <w:rFonts w:hint="eastAsia" w:ascii="宋体" w:hAnsi="宋体"/>
          <w:szCs w:val="24"/>
        </w:rPr>
        <w:t>年</w:t>
      </w:r>
      <w:r>
        <w:rPr>
          <w:rFonts w:hint="eastAsia"/>
          <w:szCs w:val="24"/>
        </w:rPr>
        <w:t>5</w:t>
      </w:r>
      <w:r>
        <w:rPr>
          <w:rFonts w:hint="eastAsia" w:ascii="宋体" w:hAnsi="宋体"/>
          <w:szCs w:val="24"/>
        </w:rPr>
        <w:t>月</w:t>
      </w:r>
      <w:r>
        <w:rPr>
          <w:rFonts w:hint="eastAsia"/>
          <w:szCs w:val="24"/>
        </w:rPr>
        <w:t>1</w:t>
      </w:r>
      <w:r>
        <w:rPr>
          <w:rFonts w:hint="eastAsia" w:ascii="宋体" w:hAnsi="宋体"/>
          <w:szCs w:val="24"/>
        </w:rPr>
        <w:t>日起实施）；</w:t>
      </w:r>
    </w:p>
    <w:p w14:paraId="10D179EA">
      <w:pPr>
        <w:adjustRightInd w:val="0"/>
        <w:snapToGrid w:val="0"/>
        <w:ind w:firstLine="480"/>
        <w:rPr>
          <w:szCs w:val="24"/>
        </w:rPr>
      </w:pPr>
      <w:r>
        <w:rPr>
          <w:rFonts w:hint="eastAsia" w:ascii="宋体" w:hAnsi="宋体"/>
          <w:szCs w:val="24"/>
        </w:rPr>
        <w:t>（</w:t>
      </w:r>
      <w:r>
        <w:rPr>
          <w:rFonts w:hint="eastAsia"/>
          <w:szCs w:val="24"/>
        </w:rPr>
        <w:t>4</w:t>
      </w:r>
      <w:r>
        <w:rPr>
          <w:rFonts w:hint="eastAsia" w:ascii="宋体" w:hAnsi="宋体"/>
          <w:szCs w:val="24"/>
        </w:rPr>
        <w:t>）《江苏省固体废物污染环境防治条例（第二次修正）》（</w:t>
      </w:r>
      <w:r>
        <w:rPr>
          <w:rFonts w:hint="eastAsia"/>
          <w:szCs w:val="24"/>
        </w:rPr>
        <w:t>2017</w:t>
      </w:r>
      <w:r>
        <w:rPr>
          <w:rFonts w:hint="eastAsia" w:ascii="宋体" w:hAnsi="宋体"/>
          <w:szCs w:val="24"/>
        </w:rPr>
        <w:t>年</w:t>
      </w:r>
      <w:r>
        <w:rPr>
          <w:rFonts w:hint="eastAsia"/>
          <w:szCs w:val="24"/>
        </w:rPr>
        <w:t>6</w:t>
      </w:r>
      <w:r>
        <w:rPr>
          <w:rFonts w:hint="eastAsia" w:ascii="宋体" w:hAnsi="宋体"/>
          <w:szCs w:val="24"/>
        </w:rPr>
        <w:t>月</w:t>
      </w:r>
      <w:r>
        <w:rPr>
          <w:rFonts w:hint="eastAsia"/>
          <w:szCs w:val="24"/>
        </w:rPr>
        <w:t>3</w:t>
      </w:r>
      <w:r>
        <w:rPr>
          <w:rFonts w:hint="eastAsia" w:ascii="宋体" w:hAnsi="宋体"/>
          <w:szCs w:val="24"/>
        </w:rPr>
        <w:t>日）；</w:t>
      </w:r>
    </w:p>
    <w:p w14:paraId="4F3EBFA1">
      <w:pPr>
        <w:adjustRightInd w:val="0"/>
        <w:snapToGrid w:val="0"/>
        <w:ind w:firstLine="480"/>
        <w:rPr>
          <w:kern w:val="0"/>
          <w:szCs w:val="24"/>
        </w:rPr>
      </w:pPr>
      <w:r>
        <w:rPr>
          <w:rFonts w:hint="eastAsia" w:ascii="宋体" w:hAnsi="宋体"/>
          <w:szCs w:val="24"/>
        </w:rPr>
        <w:t>（</w:t>
      </w:r>
      <w:r>
        <w:rPr>
          <w:rFonts w:hint="eastAsia"/>
          <w:szCs w:val="24"/>
        </w:rPr>
        <w:t>5</w:t>
      </w:r>
      <w:r>
        <w:rPr>
          <w:rFonts w:hint="eastAsia" w:ascii="宋体" w:hAnsi="宋体"/>
          <w:szCs w:val="24"/>
        </w:rPr>
        <w:t>）</w:t>
      </w:r>
      <w:r>
        <w:rPr>
          <w:rFonts w:hint="eastAsia" w:ascii="宋体" w:hAnsi="宋体"/>
          <w:kern w:val="0"/>
          <w:szCs w:val="24"/>
        </w:rPr>
        <w:t>《江苏省干线航道网规划（</w:t>
      </w:r>
      <w:r>
        <w:rPr>
          <w:rFonts w:hint="eastAsia"/>
          <w:kern w:val="0"/>
          <w:szCs w:val="24"/>
        </w:rPr>
        <w:t>2017</w:t>
      </w:r>
      <w:r>
        <w:rPr>
          <w:rFonts w:hint="eastAsia"/>
          <w:kern w:val="0"/>
          <w:szCs w:val="24"/>
          <w:lang w:eastAsia="zh-CN"/>
        </w:rPr>
        <w:t>—</w:t>
      </w:r>
      <w:r>
        <w:rPr>
          <w:rFonts w:hint="eastAsia"/>
          <w:kern w:val="0"/>
          <w:szCs w:val="24"/>
        </w:rPr>
        <w:t>2035</w:t>
      </w:r>
      <w:r>
        <w:rPr>
          <w:rFonts w:hint="eastAsia" w:ascii="宋体" w:hAnsi="宋体"/>
          <w:kern w:val="0"/>
          <w:szCs w:val="24"/>
        </w:rPr>
        <w:t>年）》；</w:t>
      </w:r>
    </w:p>
    <w:p w14:paraId="354A511D">
      <w:pPr>
        <w:adjustRightInd w:val="0"/>
        <w:snapToGrid w:val="0"/>
        <w:ind w:firstLine="480"/>
        <w:rPr>
          <w:szCs w:val="24"/>
        </w:rPr>
      </w:pPr>
      <w:r>
        <w:rPr>
          <w:rFonts w:hint="eastAsia" w:ascii="宋体" w:hAnsi="宋体"/>
          <w:szCs w:val="24"/>
        </w:rPr>
        <w:t>（</w:t>
      </w:r>
      <w:r>
        <w:rPr>
          <w:rFonts w:hint="eastAsia"/>
          <w:szCs w:val="24"/>
        </w:rPr>
        <w:t>6</w:t>
      </w:r>
      <w:r>
        <w:rPr>
          <w:rFonts w:hint="eastAsia" w:ascii="宋体" w:hAnsi="宋体"/>
          <w:szCs w:val="24"/>
        </w:rPr>
        <w:t>）《关于修改江苏省固体废物污染环境防治条例等二十六件地方性法规的决定》（江苏省人民代表大会常务委员会第</w:t>
      </w:r>
      <w:r>
        <w:rPr>
          <w:rFonts w:hint="eastAsia"/>
          <w:szCs w:val="24"/>
        </w:rPr>
        <w:t>58</w:t>
      </w:r>
      <w:r>
        <w:rPr>
          <w:rFonts w:hint="eastAsia" w:ascii="宋体" w:hAnsi="宋体"/>
          <w:szCs w:val="24"/>
        </w:rPr>
        <w:t>号，</w:t>
      </w:r>
      <w:r>
        <w:rPr>
          <w:rFonts w:hint="eastAsia"/>
          <w:szCs w:val="24"/>
        </w:rPr>
        <w:t>2017</w:t>
      </w:r>
      <w:r>
        <w:rPr>
          <w:rFonts w:hint="eastAsia" w:ascii="宋体" w:hAnsi="宋体"/>
          <w:szCs w:val="24"/>
        </w:rPr>
        <w:t>年</w:t>
      </w:r>
      <w:r>
        <w:rPr>
          <w:rFonts w:hint="eastAsia"/>
          <w:szCs w:val="24"/>
        </w:rPr>
        <w:t>9</w:t>
      </w:r>
      <w:r>
        <w:rPr>
          <w:rFonts w:hint="eastAsia" w:ascii="宋体" w:hAnsi="宋体"/>
          <w:szCs w:val="24"/>
        </w:rPr>
        <w:t>月</w:t>
      </w:r>
      <w:r>
        <w:rPr>
          <w:rFonts w:hint="eastAsia"/>
          <w:szCs w:val="24"/>
        </w:rPr>
        <w:t>1</w:t>
      </w:r>
      <w:r>
        <w:rPr>
          <w:rFonts w:hint="eastAsia" w:ascii="宋体" w:hAnsi="宋体"/>
          <w:szCs w:val="24"/>
        </w:rPr>
        <w:t>日）；</w:t>
      </w:r>
    </w:p>
    <w:p w14:paraId="7F16A644">
      <w:pPr>
        <w:adjustRightInd w:val="0"/>
        <w:snapToGrid w:val="0"/>
        <w:ind w:firstLine="480"/>
        <w:rPr>
          <w:szCs w:val="24"/>
        </w:rPr>
      </w:pPr>
      <w:r>
        <w:rPr>
          <w:rFonts w:hint="eastAsia" w:ascii="宋体" w:hAnsi="宋体"/>
          <w:szCs w:val="24"/>
        </w:rPr>
        <w:t>（</w:t>
      </w:r>
      <w:r>
        <w:rPr>
          <w:rFonts w:hint="eastAsia"/>
          <w:szCs w:val="24"/>
        </w:rPr>
        <w:t>7</w:t>
      </w:r>
      <w:r>
        <w:rPr>
          <w:rFonts w:hint="eastAsia" w:ascii="宋体" w:hAnsi="宋体"/>
          <w:szCs w:val="24"/>
        </w:rPr>
        <w:t>）</w:t>
      </w:r>
      <w:r>
        <w:rPr>
          <w:rFonts w:hint="eastAsia" w:ascii="宋体" w:hAnsi="宋体"/>
          <w:kern w:val="0"/>
          <w:szCs w:val="24"/>
        </w:rPr>
        <w:t>《江苏省</w:t>
      </w:r>
      <w:r>
        <w:rPr>
          <w:rFonts w:hint="eastAsia"/>
          <w:kern w:val="0"/>
          <w:szCs w:val="24"/>
        </w:rPr>
        <w:t>“</w:t>
      </w:r>
      <w:r>
        <w:rPr>
          <w:rFonts w:hint="eastAsia" w:ascii="宋体" w:hAnsi="宋体"/>
          <w:kern w:val="0"/>
          <w:szCs w:val="24"/>
        </w:rPr>
        <w:t>十四五</w:t>
      </w:r>
      <w:r>
        <w:rPr>
          <w:rFonts w:hint="eastAsia"/>
          <w:kern w:val="0"/>
          <w:szCs w:val="24"/>
        </w:rPr>
        <w:t>”</w:t>
      </w:r>
      <w:r>
        <w:rPr>
          <w:rFonts w:hint="eastAsia" w:ascii="宋体" w:hAnsi="宋体"/>
          <w:kern w:val="0"/>
          <w:szCs w:val="24"/>
        </w:rPr>
        <w:t>生态环境保护规划》</w:t>
      </w:r>
      <w:r>
        <w:rPr>
          <w:rFonts w:hint="eastAsia" w:ascii="宋体" w:hAnsi="宋体"/>
          <w:szCs w:val="24"/>
        </w:rPr>
        <w:t>；</w:t>
      </w:r>
    </w:p>
    <w:p w14:paraId="22F56BA7">
      <w:pPr>
        <w:adjustRightInd w:val="0"/>
        <w:snapToGrid w:val="0"/>
        <w:ind w:firstLine="480"/>
        <w:rPr>
          <w:szCs w:val="24"/>
        </w:rPr>
      </w:pPr>
      <w:r>
        <w:rPr>
          <w:rFonts w:hint="eastAsia" w:ascii="宋体" w:hAnsi="宋体"/>
          <w:szCs w:val="24"/>
        </w:rPr>
        <w:t>（</w:t>
      </w:r>
      <w:r>
        <w:rPr>
          <w:rFonts w:hint="eastAsia"/>
          <w:szCs w:val="24"/>
        </w:rPr>
        <w:t>8</w:t>
      </w:r>
      <w:r>
        <w:rPr>
          <w:rFonts w:hint="eastAsia" w:ascii="宋体" w:hAnsi="宋体"/>
          <w:szCs w:val="24"/>
        </w:rPr>
        <w:t>）《江苏省内河水域船舶污染防治条例》（</w:t>
      </w:r>
      <w:r>
        <w:rPr>
          <w:rFonts w:hint="eastAsia"/>
          <w:szCs w:val="24"/>
        </w:rPr>
        <w:t>2018</w:t>
      </w:r>
      <w:r>
        <w:rPr>
          <w:rFonts w:hint="eastAsia" w:ascii="宋体" w:hAnsi="宋体"/>
          <w:szCs w:val="24"/>
        </w:rPr>
        <w:t>年修正）；</w:t>
      </w:r>
    </w:p>
    <w:p w14:paraId="3C2F9D57">
      <w:pPr>
        <w:adjustRightInd w:val="0"/>
        <w:snapToGrid w:val="0"/>
        <w:ind w:firstLine="480"/>
        <w:rPr>
          <w:szCs w:val="24"/>
        </w:rPr>
      </w:pPr>
      <w:r>
        <w:rPr>
          <w:rFonts w:hint="eastAsia" w:ascii="宋体" w:hAnsi="宋体"/>
          <w:szCs w:val="24"/>
        </w:rPr>
        <w:t>（</w:t>
      </w:r>
      <w:r>
        <w:rPr>
          <w:rFonts w:hint="eastAsia"/>
          <w:szCs w:val="24"/>
        </w:rPr>
        <w:t>9</w:t>
      </w:r>
      <w:r>
        <w:rPr>
          <w:rFonts w:hint="eastAsia" w:ascii="宋体" w:hAnsi="宋体"/>
          <w:szCs w:val="24"/>
        </w:rPr>
        <w:t>）《江苏省渔业管理条例》（</w:t>
      </w:r>
      <w:r>
        <w:rPr>
          <w:rFonts w:hint="eastAsia"/>
          <w:szCs w:val="24"/>
        </w:rPr>
        <w:t>2020</w:t>
      </w:r>
      <w:r>
        <w:rPr>
          <w:rFonts w:hint="eastAsia" w:ascii="宋体" w:hAnsi="宋体"/>
          <w:szCs w:val="24"/>
        </w:rPr>
        <w:t>年修正）；</w:t>
      </w:r>
    </w:p>
    <w:p w14:paraId="09B3EAE0">
      <w:pPr>
        <w:adjustRightInd w:val="0"/>
        <w:snapToGrid w:val="0"/>
        <w:ind w:firstLine="480"/>
        <w:rPr>
          <w:szCs w:val="24"/>
        </w:rPr>
      </w:pPr>
      <w:r>
        <w:rPr>
          <w:rFonts w:hint="eastAsia" w:ascii="宋体" w:hAnsi="宋体"/>
          <w:szCs w:val="24"/>
        </w:rPr>
        <w:t>（</w:t>
      </w:r>
      <w:r>
        <w:rPr>
          <w:rFonts w:hint="eastAsia"/>
          <w:szCs w:val="24"/>
        </w:rPr>
        <w:t>10</w:t>
      </w:r>
      <w:r>
        <w:rPr>
          <w:rFonts w:hint="eastAsia" w:ascii="宋体" w:hAnsi="宋体"/>
          <w:szCs w:val="24"/>
        </w:rPr>
        <w:t>）《关于执行大气污染物特别排放限值的通告》（江苏省生态环境厅，</w:t>
      </w:r>
      <w:r>
        <w:rPr>
          <w:rFonts w:hint="eastAsia"/>
          <w:szCs w:val="24"/>
        </w:rPr>
        <w:t>2018.7.23</w:t>
      </w:r>
      <w:r>
        <w:rPr>
          <w:rFonts w:hint="eastAsia" w:ascii="宋体" w:hAnsi="宋体"/>
          <w:szCs w:val="24"/>
        </w:rPr>
        <w:t>）；</w:t>
      </w:r>
    </w:p>
    <w:p w14:paraId="564645CD">
      <w:pPr>
        <w:adjustRightInd w:val="0"/>
        <w:snapToGrid w:val="0"/>
        <w:ind w:firstLine="480"/>
        <w:rPr>
          <w:szCs w:val="24"/>
        </w:rPr>
      </w:pPr>
      <w:r>
        <w:rPr>
          <w:rFonts w:hint="eastAsia" w:ascii="宋体" w:hAnsi="宋体"/>
          <w:szCs w:val="24"/>
        </w:rPr>
        <w:t>（</w:t>
      </w:r>
      <w:r>
        <w:rPr>
          <w:rFonts w:hint="eastAsia"/>
          <w:szCs w:val="24"/>
        </w:rPr>
        <w:t>11</w:t>
      </w:r>
      <w:r>
        <w:rPr>
          <w:rFonts w:hint="eastAsia" w:ascii="宋体" w:hAnsi="宋体"/>
          <w:szCs w:val="24"/>
        </w:rPr>
        <w:t>）《省政府关于印发江苏省生态空间管控区域规划的通知》（苏政发〔</w:t>
      </w:r>
      <w:r>
        <w:rPr>
          <w:rFonts w:hint="eastAsia"/>
          <w:szCs w:val="24"/>
        </w:rPr>
        <w:t>2020</w:t>
      </w:r>
      <w:r>
        <w:rPr>
          <w:rFonts w:hint="eastAsia" w:ascii="宋体" w:hAnsi="宋体"/>
          <w:szCs w:val="24"/>
        </w:rPr>
        <w:t>〕</w:t>
      </w:r>
      <w:r>
        <w:rPr>
          <w:rFonts w:hint="eastAsia"/>
          <w:szCs w:val="24"/>
        </w:rPr>
        <w:t>1</w:t>
      </w:r>
      <w:r>
        <w:rPr>
          <w:rFonts w:hint="eastAsia" w:ascii="宋体" w:hAnsi="宋体"/>
          <w:szCs w:val="24"/>
        </w:rPr>
        <w:t>号）；</w:t>
      </w:r>
    </w:p>
    <w:p w14:paraId="60F0ACAD">
      <w:pPr>
        <w:adjustRightInd w:val="0"/>
        <w:snapToGrid w:val="0"/>
        <w:ind w:firstLine="480"/>
        <w:rPr>
          <w:szCs w:val="24"/>
        </w:rPr>
      </w:pPr>
      <w:r>
        <w:rPr>
          <w:rFonts w:hint="eastAsia" w:ascii="宋体" w:hAnsi="宋体"/>
          <w:szCs w:val="24"/>
        </w:rPr>
        <w:t>（</w:t>
      </w:r>
      <w:r>
        <w:rPr>
          <w:rFonts w:hint="eastAsia"/>
          <w:szCs w:val="24"/>
        </w:rPr>
        <w:t>12</w:t>
      </w:r>
      <w:r>
        <w:rPr>
          <w:rFonts w:hint="eastAsia" w:ascii="宋体" w:hAnsi="宋体"/>
          <w:szCs w:val="24"/>
        </w:rPr>
        <w:t>）《江苏省政府关于印发江苏省主体功能区规划的通知》（苏政发〔</w:t>
      </w:r>
      <w:r>
        <w:rPr>
          <w:rFonts w:hint="eastAsia"/>
          <w:szCs w:val="24"/>
        </w:rPr>
        <w:t>2014</w:t>
      </w:r>
      <w:r>
        <w:rPr>
          <w:rFonts w:hint="eastAsia" w:ascii="宋体" w:hAnsi="宋体"/>
          <w:szCs w:val="24"/>
        </w:rPr>
        <w:t>〕</w:t>
      </w:r>
      <w:r>
        <w:rPr>
          <w:rFonts w:hint="eastAsia"/>
          <w:szCs w:val="24"/>
        </w:rPr>
        <w:t>20</w:t>
      </w:r>
      <w:r>
        <w:rPr>
          <w:rFonts w:hint="eastAsia" w:ascii="宋体" w:hAnsi="宋体"/>
          <w:szCs w:val="24"/>
        </w:rPr>
        <w:t>号）；</w:t>
      </w:r>
    </w:p>
    <w:p w14:paraId="0C1D5592">
      <w:pPr>
        <w:adjustRightInd w:val="0"/>
        <w:snapToGrid w:val="0"/>
        <w:ind w:firstLine="480"/>
        <w:rPr>
          <w:szCs w:val="24"/>
        </w:rPr>
      </w:pPr>
      <w:r>
        <w:rPr>
          <w:rFonts w:hint="eastAsia" w:ascii="宋体" w:hAnsi="宋体"/>
          <w:szCs w:val="24"/>
        </w:rPr>
        <w:t>（</w:t>
      </w:r>
      <w:r>
        <w:rPr>
          <w:rFonts w:hint="eastAsia"/>
          <w:szCs w:val="24"/>
        </w:rPr>
        <w:t>13</w:t>
      </w:r>
      <w:r>
        <w:rPr>
          <w:rFonts w:hint="eastAsia" w:ascii="宋体" w:hAnsi="宋体"/>
          <w:szCs w:val="24"/>
        </w:rPr>
        <w:t>）《江苏省国家级生态保护红线规划》（苏政发〔</w:t>
      </w:r>
      <w:r>
        <w:rPr>
          <w:rFonts w:hint="eastAsia"/>
          <w:szCs w:val="24"/>
        </w:rPr>
        <w:t>2018</w:t>
      </w:r>
      <w:r>
        <w:rPr>
          <w:rFonts w:hint="eastAsia" w:ascii="宋体" w:hAnsi="宋体"/>
          <w:szCs w:val="24"/>
        </w:rPr>
        <w:t>〕</w:t>
      </w:r>
      <w:r>
        <w:rPr>
          <w:rFonts w:hint="eastAsia"/>
          <w:szCs w:val="24"/>
        </w:rPr>
        <w:t>74</w:t>
      </w:r>
      <w:r>
        <w:rPr>
          <w:rFonts w:hint="eastAsia" w:ascii="宋体" w:hAnsi="宋体"/>
          <w:szCs w:val="24"/>
        </w:rPr>
        <w:t>号）；</w:t>
      </w:r>
    </w:p>
    <w:p w14:paraId="5C688B05">
      <w:pPr>
        <w:adjustRightInd w:val="0"/>
        <w:snapToGrid w:val="0"/>
        <w:ind w:firstLine="480"/>
        <w:rPr>
          <w:szCs w:val="24"/>
        </w:rPr>
      </w:pPr>
      <w:r>
        <w:rPr>
          <w:rFonts w:hint="eastAsia" w:ascii="宋体" w:hAnsi="宋体"/>
          <w:szCs w:val="24"/>
        </w:rPr>
        <w:t>（</w:t>
      </w:r>
      <w:r>
        <w:rPr>
          <w:rFonts w:hint="eastAsia"/>
          <w:szCs w:val="24"/>
        </w:rPr>
        <w:t>14</w:t>
      </w:r>
      <w:r>
        <w:rPr>
          <w:rFonts w:hint="eastAsia" w:ascii="宋体" w:hAnsi="宋体"/>
          <w:szCs w:val="24"/>
        </w:rPr>
        <w:t>）《省政府关于印发江苏省“三线一单”生态环境分区管控方案的通知》（苏政发〔</w:t>
      </w:r>
      <w:r>
        <w:rPr>
          <w:rFonts w:hint="eastAsia"/>
          <w:szCs w:val="24"/>
        </w:rPr>
        <w:t>2020</w:t>
      </w:r>
      <w:r>
        <w:rPr>
          <w:rFonts w:hint="eastAsia" w:ascii="宋体" w:hAnsi="宋体"/>
          <w:szCs w:val="24"/>
        </w:rPr>
        <w:t>〕</w:t>
      </w:r>
      <w:r>
        <w:rPr>
          <w:rFonts w:hint="eastAsia"/>
          <w:szCs w:val="24"/>
        </w:rPr>
        <w:t>49</w:t>
      </w:r>
      <w:r>
        <w:rPr>
          <w:rFonts w:hint="eastAsia" w:ascii="宋体" w:hAnsi="宋体"/>
          <w:szCs w:val="24"/>
        </w:rPr>
        <w:t>号）；</w:t>
      </w:r>
    </w:p>
    <w:p w14:paraId="31AA1582">
      <w:pPr>
        <w:adjustRightInd w:val="0"/>
        <w:snapToGrid w:val="0"/>
        <w:ind w:firstLine="480"/>
        <w:rPr>
          <w:szCs w:val="24"/>
        </w:rPr>
      </w:pPr>
      <w:r>
        <w:rPr>
          <w:rFonts w:hint="eastAsia" w:ascii="宋体" w:hAnsi="宋体"/>
          <w:szCs w:val="24"/>
        </w:rPr>
        <w:t>（</w:t>
      </w:r>
      <w:r>
        <w:rPr>
          <w:rFonts w:hint="eastAsia"/>
          <w:szCs w:val="24"/>
        </w:rPr>
        <w:t>15</w:t>
      </w:r>
      <w:r>
        <w:rPr>
          <w:rFonts w:hint="eastAsia" w:ascii="宋体" w:hAnsi="宋体"/>
          <w:szCs w:val="24"/>
        </w:rPr>
        <w:t>）《省政府关于印发江苏省生态空间管控区域管理办法的通知》（苏政发〔</w:t>
      </w:r>
      <w:r>
        <w:rPr>
          <w:rFonts w:hint="eastAsia"/>
          <w:szCs w:val="24"/>
        </w:rPr>
        <w:t>2021</w:t>
      </w:r>
      <w:r>
        <w:rPr>
          <w:rFonts w:hint="eastAsia" w:ascii="宋体" w:hAnsi="宋体"/>
          <w:szCs w:val="24"/>
        </w:rPr>
        <w:t>〕</w:t>
      </w:r>
      <w:r>
        <w:rPr>
          <w:rFonts w:hint="eastAsia"/>
          <w:szCs w:val="24"/>
        </w:rPr>
        <w:t>3</w:t>
      </w:r>
      <w:r>
        <w:rPr>
          <w:rFonts w:hint="eastAsia" w:ascii="宋体" w:hAnsi="宋体"/>
          <w:szCs w:val="24"/>
        </w:rPr>
        <w:t>号，</w:t>
      </w:r>
      <w:r>
        <w:rPr>
          <w:rFonts w:hint="eastAsia"/>
          <w:szCs w:val="24"/>
        </w:rPr>
        <w:t>2021</w:t>
      </w:r>
      <w:r>
        <w:rPr>
          <w:rFonts w:hint="eastAsia" w:ascii="宋体" w:hAnsi="宋体"/>
          <w:szCs w:val="24"/>
        </w:rPr>
        <w:t>年</w:t>
      </w:r>
      <w:r>
        <w:rPr>
          <w:rFonts w:hint="eastAsia"/>
          <w:szCs w:val="24"/>
        </w:rPr>
        <w:t>1</w:t>
      </w:r>
      <w:r>
        <w:rPr>
          <w:rFonts w:hint="eastAsia" w:ascii="宋体" w:hAnsi="宋体"/>
          <w:szCs w:val="24"/>
        </w:rPr>
        <w:t>月</w:t>
      </w:r>
      <w:r>
        <w:rPr>
          <w:rFonts w:hint="eastAsia"/>
          <w:szCs w:val="24"/>
        </w:rPr>
        <w:t>6</w:t>
      </w:r>
      <w:r>
        <w:rPr>
          <w:rFonts w:hint="eastAsia" w:ascii="宋体" w:hAnsi="宋体"/>
          <w:szCs w:val="24"/>
        </w:rPr>
        <w:t>日）；</w:t>
      </w:r>
    </w:p>
    <w:p w14:paraId="6507FC22">
      <w:pPr>
        <w:adjustRightInd w:val="0"/>
        <w:snapToGrid w:val="0"/>
        <w:ind w:firstLine="480"/>
        <w:rPr>
          <w:szCs w:val="24"/>
        </w:rPr>
      </w:pPr>
      <w:r>
        <w:rPr>
          <w:rFonts w:hint="eastAsia" w:ascii="宋体" w:hAnsi="宋体"/>
          <w:szCs w:val="24"/>
        </w:rPr>
        <w:t>（</w:t>
      </w:r>
      <w:r>
        <w:rPr>
          <w:rFonts w:hint="eastAsia"/>
          <w:szCs w:val="24"/>
        </w:rPr>
        <w:t>16</w:t>
      </w:r>
      <w:r>
        <w:rPr>
          <w:rFonts w:hint="eastAsia" w:ascii="宋体" w:hAnsi="宋体"/>
          <w:szCs w:val="24"/>
        </w:rPr>
        <w:t>）《省政府办公厅关于印发江苏省生态空间管控区域监督管理办法的通知》（苏政办发〔</w:t>
      </w:r>
      <w:r>
        <w:rPr>
          <w:rFonts w:hint="eastAsia"/>
          <w:szCs w:val="24"/>
        </w:rPr>
        <w:t>2021</w:t>
      </w:r>
      <w:r>
        <w:rPr>
          <w:rFonts w:hint="eastAsia" w:ascii="宋体" w:hAnsi="宋体"/>
          <w:szCs w:val="24"/>
        </w:rPr>
        <w:t>〕</w:t>
      </w:r>
      <w:r>
        <w:rPr>
          <w:rFonts w:hint="eastAsia"/>
          <w:szCs w:val="24"/>
        </w:rPr>
        <w:t>20</w:t>
      </w:r>
      <w:r>
        <w:rPr>
          <w:rFonts w:hint="eastAsia" w:ascii="宋体" w:hAnsi="宋体"/>
          <w:szCs w:val="24"/>
        </w:rPr>
        <w:t>号，</w:t>
      </w:r>
      <w:r>
        <w:rPr>
          <w:rFonts w:hint="eastAsia"/>
          <w:szCs w:val="24"/>
        </w:rPr>
        <w:t>2021</w:t>
      </w:r>
      <w:r>
        <w:rPr>
          <w:rFonts w:hint="eastAsia" w:ascii="宋体" w:hAnsi="宋体"/>
          <w:szCs w:val="24"/>
        </w:rPr>
        <w:t>年</w:t>
      </w:r>
      <w:r>
        <w:rPr>
          <w:rFonts w:hint="eastAsia"/>
          <w:szCs w:val="24"/>
        </w:rPr>
        <w:t>3</w:t>
      </w:r>
      <w:r>
        <w:rPr>
          <w:rFonts w:hint="eastAsia" w:ascii="宋体" w:hAnsi="宋体"/>
          <w:szCs w:val="24"/>
        </w:rPr>
        <w:t>月</w:t>
      </w:r>
      <w:r>
        <w:rPr>
          <w:rFonts w:hint="eastAsia"/>
          <w:szCs w:val="24"/>
        </w:rPr>
        <w:t>26</w:t>
      </w:r>
      <w:r>
        <w:rPr>
          <w:rFonts w:hint="eastAsia" w:ascii="宋体" w:hAnsi="宋体"/>
          <w:szCs w:val="24"/>
        </w:rPr>
        <w:t>日）；</w:t>
      </w:r>
    </w:p>
    <w:p w14:paraId="59B5CE5D">
      <w:pPr>
        <w:adjustRightInd w:val="0"/>
        <w:snapToGrid w:val="0"/>
        <w:ind w:firstLine="480"/>
        <w:rPr>
          <w:szCs w:val="24"/>
        </w:rPr>
      </w:pPr>
      <w:r>
        <w:rPr>
          <w:rFonts w:hint="eastAsia" w:ascii="宋体" w:hAnsi="宋体"/>
          <w:szCs w:val="24"/>
        </w:rPr>
        <w:t>（</w:t>
      </w:r>
      <w:r>
        <w:rPr>
          <w:rFonts w:hint="eastAsia"/>
          <w:szCs w:val="24"/>
        </w:rPr>
        <w:t>17</w:t>
      </w:r>
      <w:r>
        <w:rPr>
          <w:rFonts w:hint="eastAsia" w:ascii="宋体" w:hAnsi="宋体"/>
          <w:szCs w:val="24"/>
        </w:rPr>
        <w:t>）《江苏省人民代表大会常务委员会关于加强饮用水源地保护的决定》（第十届人民代表大会常务委员会第三十五次会议于</w:t>
      </w:r>
      <w:r>
        <w:rPr>
          <w:rFonts w:hint="eastAsia"/>
          <w:szCs w:val="24"/>
        </w:rPr>
        <w:t>2008</w:t>
      </w:r>
      <w:r>
        <w:rPr>
          <w:rFonts w:hint="eastAsia" w:ascii="宋体" w:hAnsi="宋体"/>
          <w:szCs w:val="24"/>
        </w:rPr>
        <w:t>年</w:t>
      </w:r>
      <w:r>
        <w:rPr>
          <w:rFonts w:hint="eastAsia"/>
          <w:szCs w:val="24"/>
        </w:rPr>
        <w:t>1</w:t>
      </w:r>
      <w:r>
        <w:rPr>
          <w:rFonts w:hint="eastAsia" w:ascii="宋体" w:hAnsi="宋体"/>
          <w:szCs w:val="24"/>
        </w:rPr>
        <w:t>月</w:t>
      </w:r>
      <w:r>
        <w:rPr>
          <w:rFonts w:hint="eastAsia"/>
          <w:szCs w:val="24"/>
        </w:rPr>
        <w:t>19</w:t>
      </w:r>
      <w:r>
        <w:rPr>
          <w:rFonts w:hint="eastAsia" w:ascii="宋体" w:hAnsi="宋体"/>
          <w:szCs w:val="24"/>
        </w:rPr>
        <w:t>日通过，</w:t>
      </w:r>
      <w:r>
        <w:rPr>
          <w:rFonts w:hint="eastAsia"/>
          <w:szCs w:val="24"/>
        </w:rPr>
        <w:t>2008</w:t>
      </w:r>
      <w:r>
        <w:rPr>
          <w:rFonts w:hint="eastAsia" w:ascii="宋体" w:hAnsi="宋体"/>
          <w:szCs w:val="24"/>
        </w:rPr>
        <w:t>年</w:t>
      </w:r>
      <w:r>
        <w:rPr>
          <w:rFonts w:hint="eastAsia"/>
          <w:szCs w:val="24"/>
        </w:rPr>
        <w:t>3</w:t>
      </w:r>
      <w:r>
        <w:rPr>
          <w:rFonts w:hint="eastAsia" w:ascii="宋体" w:hAnsi="宋体"/>
          <w:szCs w:val="24"/>
        </w:rPr>
        <w:t>月</w:t>
      </w:r>
      <w:r>
        <w:rPr>
          <w:rFonts w:hint="eastAsia"/>
          <w:szCs w:val="24"/>
        </w:rPr>
        <w:t>22</w:t>
      </w:r>
      <w:r>
        <w:rPr>
          <w:rFonts w:hint="eastAsia" w:ascii="宋体" w:hAnsi="宋体"/>
          <w:szCs w:val="24"/>
        </w:rPr>
        <w:t>日起施行）；</w:t>
      </w:r>
    </w:p>
    <w:p w14:paraId="2EBAB282">
      <w:pPr>
        <w:adjustRightInd w:val="0"/>
        <w:snapToGrid w:val="0"/>
        <w:ind w:firstLine="480"/>
        <w:rPr>
          <w:szCs w:val="24"/>
        </w:rPr>
      </w:pPr>
      <w:r>
        <w:rPr>
          <w:rFonts w:hint="eastAsia" w:ascii="宋体" w:hAnsi="宋体"/>
          <w:szCs w:val="24"/>
        </w:rPr>
        <w:t>（</w:t>
      </w:r>
      <w:r>
        <w:rPr>
          <w:rFonts w:hint="eastAsia"/>
          <w:szCs w:val="24"/>
        </w:rPr>
        <w:t>18</w:t>
      </w:r>
      <w:r>
        <w:rPr>
          <w:rFonts w:hint="eastAsia" w:ascii="宋体" w:hAnsi="宋体"/>
          <w:szCs w:val="24"/>
        </w:rPr>
        <w:t>）《省生态环境厅</w:t>
      </w:r>
      <w:r>
        <w:rPr>
          <w:rFonts w:hint="eastAsia"/>
          <w:szCs w:val="24"/>
        </w:rPr>
        <w:t xml:space="preserve"> </w:t>
      </w:r>
      <w:r>
        <w:rPr>
          <w:rFonts w:hint="eastAsia" w:ascii="宋体" w:hAnsi="宋体"/>
          <w:szCs w:val="24"/>
        </w:rPr>
        <w:t>省水利厅关于印发〈江苏省地表水（环境）功能区划（</w:t>
      </w:r>
      <w:r>
        <w:rPr>
          <w:rFonts w:hint="eastAsia"/>
          <w:szCs w:val="24"/>
        </w:rPr>
        <w:t>2021—2030</w:t>
      </w:r>
      <w:r>
        <w:rPr>
          <w:rFonts w:hint="eastAsia" w:ascii="宋体" w:hAnsi="宋体"/>
          <w:szCs w:val="24"/>
        </w:rPr>
        <w:t>年）〉的通知》（苏环办〔</w:t>
      </w:r>
      <w:r>
        <w:rPr>
          <w:rFonts w:hint="eastAsia"/>
          <w:szCs w:val="24"/>
        </w:rPr>
        <w:t>2022</w:t>
      </w:r>
      <w:r>
        <w:rPr>
          <w:rFonts w:hint="eastAsia" w:ascii="宋体" w:hAnsi="宋体"/>
          <w:szCs w:val="24"/>
        </w:rPr>
        <w:t>〕</w:t>
      </w:r>
      <w:r>
        <w:rPr>
          <w:rFonts w:hint="eastAsia"/>
          <w:szCs w:val="24"/>
        </w:rPr>
        <w:t>82</w:t>
      </w:r>
      <w:r>
        <w:rPr>
          <w:rFonts w:hint="eastAsia" w:ascii="宋体" w:hAnsi="宋体"/>
          <w:szCs w:val="24"/>
        </w:rPr>
        <w:t>号）；</w:t>
      </w:r>
    </w:p>
    <w:p w14:paraId="4B5EEE35">
      <w:pPr>
        <w:adjustRightInd w:val="0"/>
        <w:snapToGrid w:val="0"/>
        <w:ind w:firstLine="480"/>
        <w:rPr>
          <w:szCs w:val="24"/>
        </w:rPr>
      </w:pPr>
      <w:r>
        <w:rPr>
          <w:rFonts w:hint="eastAsia" w:ascii="宋体" w:hAnsi="宋体"/>
          <w:szCs w:val="24"/>
        </w:rPr>
        <w:t>（19）《江苏省环境空气质量功能区划分》（江苏省环境保护局，</w:t>
      </w:r>
      <w:r>
        <w:rPr>
          <w:rFonts w:hint="eastAsia"/>
          <w:szCs w:val="24"/>
        </w:rPr>
        <w:t>1998</w:t>
      </w:r>
      <w:r>
        <w:rPr>
          <w:rFonts w:hint="eastAsia" w:ascii="宋体" w:hAnsi="宋体"/>
          <w:szCs w:val="24"/>
        </w:rPr>
        <w:t>年</w:t>
      </w:r>
      <w:r>
        <w:rPr>
          <w:rFonts w:hint="eastAsia"/>
          <w:szCs w:val="24"/>
        </w:rPr>
        <w:t>9</w:t>
      </w:r>
      <w:r>
        <w:rPr>
          <w:rFonts w:hint="eastAsia" w:ascii="宋体" w:hAnsi="宋体"/>
          <w:szCs w:val="24"/>
        </w:rPr>
        <w:t>月）；</w:t>
      </w:r>
    </w:p>
    <w:p w14:paraId="13E53DF3">
      <w:pPr>
        <w:adjustRightInd w:val="0"/>
        <w:snapToGrid w:val="0"/>
        <w:ind w:firstLine="480"/>
        <w:rPr>
          <w:szCs w:val="24"/>
        </w:rPr>
      </w:pPr>
      <w:r>
        <w:rPr>
          <w:rFonts w:hint="eastAsia" w:ascii="宋体" w:hAnsi="宋体"/>
          <w:szCs w:val="24"/>
        </w:rPr>
        <w:t>（</w:t>
      </w:r>
      <w:r>
        <w:rPr>
          <w:rFonts w:hint="eastAsia"/>
          <w:szCs w:val="24"/>
        </w:rPr>
        <w:t>20</w:t>
      </w:r>
      <w:r>
        <w:rPr>
          <w:rFonts w:hint="eastAsia" w:ascii="宋体" w:hAnsi="宋体"/>
          <w:szCs w:val="24"/>
        </w:rPr>
        <w:t>）《关于印发江苏省港口粉尘综合治理专项行动实施方案的通知》（江苏省交通运输厅、环境保护厅，</w:t>
      </w:r>
      <w:r>
        <w:rPr>
          <w:rFonts w:hint="eastAsia"/>
          <w:szCs w:val="24"/>
        </w:rPr>
        <w:t>2017</w:t>
      </w:r>
      <w:r>
        <w:rPr>
          <w:rFonts w:hint="eastAsia" w:ascii="宋体" w:hAnsi="宋体"/>
          <w:szCs w:val="24"/>
        </w:rPr>
        <w:t>年</w:t>
      </w:r>
      <w:r>
        <w:rPr>
          <w:rFonts w:hint="eastAsia"/>
          <w:szCs w:val="24"/>
        </w:rPr>
        <w:t>4</w:t>
      </w:r>
      <w:r>
        <w:rPr>
          <w:rFonts w:hint="eastAsia" w:ascii="宋体" w:hAnsi="宋体"/>
          <w:szCs w:val="24"/>
        </w:rPr>
        <w:t>月</w:t>
      </w:r>
      <w:r>
        <w:rPr>
          <w:rFonts w:hint="eastAsia"/>
          <w:szCs w:val="24"/>
        </w:rPr>
        <w:t>7</w:t>
      </w:r>
      <w:r>
        <w:rPr>
          <w:rFonts w:hint="eastAsia" w:ascii="宋体" w:hAnsi="宋体"/>
          <w:szCs w:val="24"/>
        </w:rPr>
        <w:t>日）；</w:t>
      </w:r>
    </w:p>
    <w:p w14:paraId="5C864CD2">
      <w:pPr>
        <w:adjustRightInd w:val="0"/>
        <w:snapToGrid w:val="0"/>
        <w:ind w:firstLine="480"/>
        <w:rPr>
          <w:szCs w:val="24"/>
        </w:rPr>
      </w:pPr>
      <w:r>
        <w:rPr>
          <w:rFonts w:hint="eastAsia" w:ascii="宋体" w:hAnsi="宋体"/>
          <w:szCs w:val="24"/>
        </w:rPr>
        <w:t>（</w:t>
      </w:r>
      <w:r>
        <w:rPr>
          <w:rFonts w:hint="eastAsia"/>
          <w:szCs w:val="24"/>
        </w:rPr>
        <w:t>21</w:t>
      </w:r>
      <w:r>
        <w:rPr>
          <w:rFonts w:hint="eastAsia" w:ascii="宋体" w:hAnsi="宋体"/>
          <w:szCs w:val="24"/>
        </w:rPr>
        <w:t>）《关于印发江苏省重点行业堆场污染防治指导意见（试行）的通知》（江苏省生态环境厅，</w:t>
      </w:r>
      <w:r>
        <w:rPr>
          <w:rFonts w:hint="eastAsia"/>
          <w:szCs w:val="24"/>
        </w:rPr>
        <w:t>2021</w:t>
      </w:r>
      <w:r>
        <w:rPr>
          <w:rFonts w:hint="eastAsia" w:ascii="宋体" w:hAnsi="宋体"/>
          <w:szCs w:val="24"/>
        </w:rPr>
        <w:t>年</w:t>
      </w:r>
      <w:r>
        <w:rPr>
          <w:rFonts w:hint="eastAsia"/>
          <w:szCs w:val="24"/>
        </w:rPr>
        <w:t>3</w:t>
      </w:r>
      <w:r>
        <w:rPr>
          <w:rFonts w:hint="eastAsia" w:ascii="宋体" w:hAnsi="宋体"/>
          <w:szCs w:val="24"/>
        </w:rPr>
        <w:t>月</w:t>
      </w:r>
      <w:r>
        <w:rPr>
          <w:rFonts w:hint="eastAsia"/>
          <w:szCs w:val="24"/>
        </w:rPr>
        <w:t>10</w:t>
      </w:r>
      <w:r>
        <w:rPr>
          <w:rFonts w:hint="eastAsia" w:ascii="宋体" w:hAnsi="宋体"/>
          <w:szCs w:val="24"/>
        </w:rPr>
        <w:t>日）；</w:t>
      </w:r>
    </w:p>
    <w:p w14:paraId="273E0150">
      <w:pPr>
        <w:adjustRightInd w:val="0"/>
        <w:snapToGrid w:val="0"/>
        <w:ind w:firstLine="480"/>
        <w:rPr>
          <w:rFonts w:hint="eastAsia" w:ascii="宋体" w:hAnsi="宋体"/>
          <w:szCs w:val="24"/>
        </w:rPr>
      </w:pPr>
      <w:r>
        <w:rPr>
          <w:rFonts w:hint="eastAsia" w:ascii="宋体" w:hAnsi="宋体"/>
          <w:szCs w:val="24"/>
        </w:rPr>
        <w:t>（</w:t>
      </w:r>
      <w:r>
        <w:rPr>
          <w:rFonts w:hint="eastAsia"/>
          <w:szCs w:val="24"/>
        </w:rPr>
        <w:t>22</w:t>
      </w:r>
      <w:r>
        <w:rPr>
          <w:rFonts w:hint="eastAsia" w:ascii="宋体" w:hAnsi="宋体"/>
          <w:szCs w:val="24"/>
        </w:rPr>
        <w:t>）《关于印发〈江苏省排污口设置及规范化整治管理办法</w:t>
      </w:r>
      <w:r>
        <w:rPr>
          <w:rFonts w:hint="eastAsia" w:ascii="宋体" w:hAnsi="宋体"/>
          <w:szCs w:val="24"/>
          <w:lang w:eastAsia="zh-CN"/>
        </w:rPr>
        <w:t>〉的</w:t>
      </w:r>
      <w:r>
        <w:rPr>
          <w:rFonts w:hint="eastAsia" w:ascii="宋体" w:hAnsi="宋体"/>
          <w:szCs w:val="24"/>
        </w:rPr>
        <w:t>通知》（苏环控〔</w:t>
      </w:r>
      <w:r>
        <w:rPr>
          <w:rFonts w:hint="eastAsia"/>
          <w:szCs w:val="24"/>
        </w:rPr>
        <w:t>97</w:t>
      </w:r>
      <w:r>
        <w:rPr>
          <w:rFonts w:hint="eastAsia" w:ascii="宋体" w:hAnsi="宋体"/>
          <w:szCs w:val="24"/>
        </w:rPr>
        <w:t>〕</w:t>
      </w:r>
      <w:r>
        <w:rPr>
          <w:rFonts w:hint="eastAsia"/>
          <w:szCs w:val="24"/>
        </w:rPr>
        <w:t>122</w:t>
      </w:r>
      <w:r>
        <w:rPr>
          <w:rFonts w:hint="eastAsia" w:ascii="宋体" w:hAnsi="宋体"/>
          <w:szCs w:val="24"/>
        </w:rPr>
        <w:t>号）；</w:t>
      </w:r>
    </w:p>
    <w:p w14:paraId="0186D7E0">
      <w:pPr>
        <w:adjustRightInd w:val="0"/>
        <w:snapToGrid w:val="0"/>
        <w:ind w:firstLine="480"/>
        <w:rPr>
          <w:kern w:val="0"/>
          <w:szCs w:val="24"/>
        </w:rPr>
      </w:pPr>
      <w:r>
        <w:rPr>
          <w:rFonts w:hint="eastAsia" w:ascii="宋体" w:hAnsi="宋体"/>
          <w:szCs w:val="24"/>
        </w:rPr>
        <w:t>（23）</w:t>
      </w:r>
      <w:r>
        <w:rPr>
          <w:rFonts w:hint="eastAsia" w:ascii="宋体" w:hAnsi="宋体"/>
          <w:kern w:val="0"/>
          <w:szCs w:val="24"/>
        </w:rPr>
        <w:t>《关于印发淮安市港口和船舶污染物接收、转运及处置设施建设方案的通知》</w:t>
      </w:r>
      <w:r>
        <w:rPr>
          <w:rFonts w:hint="eastAsia"/>
          <w:kern w:val="0"/>
          <w:szCs w:val="24"/>
        </w:rPr>
        <w:t>（</w:t>
      </w:r>
      <w:r>
        <w:rPr>
          <w:rFonts w:hint="eastAsia" w:ascii="宋体" w:hAnsi="宋体"/>
          <w:kern w:val="0"/>
          <w:szCs w:val="24"/>
        </w:rPr>
        <w:t>淮政办发〔</w:t>
      </w:r>
      <w:r>
        <w:rPr>
          <w:rFonts w:hint="eastAsia"/>
          <w:kern w:val="0"/>
          <w:szCs w:val="24"/>
        </w:rPr>
        <w:t>2016</w:t>
      </w:r>
      <w:r>
        <w:rPr>
          <w:rFonts w:hint="eastAsia" w:ascii="宋体" w:hAnsi="宋体"/>
          <w:szCs w:val="24"/>
        </w:rPr>
        <w:t>〕</w:t>
      </w:r>
      <w:r>
        <w:rPr>
          <w:rFonts w:hint="eastAsia"/>
          <w:kern w:val="0"/>
          <w:szCs w:val="24"/>
        </w:rPr>
        <w:t>154</w:t>
      </w:r>
      <w:r>
        <w:rPr>
          <w:rFonts w:hint="eastAsia" w:ascii="宋体" w:hAnsi="宋体"/>
          <w:kern w:val="0"/>
          <w:szCs w:val="24"/>
        </w:rPr>
        <w:t>号</w:t>
      </w:r>
      <w:r>
        <w:rPr>
          <w:rFonts w:hint="eastAsia"/>
          <w:kern w:val="0"/>
          <w:szCs w:val="24"/>
        </w:rPr>
        <w:t>）</w:t>
      </w:r>
      <w:r>
        <w:rPr>
          <w:rFonts w:hint="eastAsia" w:ascii="宋体" w:hAnsi="宋体"/>
          <w:kern w:val="0"/>
          <w:szCs w:val="24"/>
        </w:rPr>
        <w:t>；</w:t>
      </w:r>
    </w:p>
    <w:p w14:paraId="10C5188E">
      <w:pPr>
        <w:adjustRightInd w:val="0"/>
        <w:snapToGrid w:val="0"/>
        <w:ind w:firstLine="480"/>
        <w:rPr>
          <w:szCs w:val="24"/>
        </w:rPr>
      </w:pPr>
      <w:r>
        <w:rPr>
          <w:rFonts w:hint="eastAsia" w:ascii="宋体" w:hAnsi="宋体"/>
          <w:szCs w:val="24"/>
        </w:rPr>
        <w:t>（</w:t>
      </w:r>
      <w:r>
        <w:rPr>
          <w:rFonts w:hint="eastAsia"/>
          <w:szCs w:val="24"/>
        </w:rPr>
        <w:t>24</w:t>
      </w:r>
      <w:r>
        <w:rPr>
          <w:rFonts w:hint="eastAsia" w:ascii="宋体" w:hAnsi="宋体"/>
          <w:szCs w:val="24"/>
        </w:rPr>
        <w:t>）《省生态环境厅关于进一步做好建设项目环评审批工作的通知》（</w:t>
      </w:r>
      <w:r>
        <w:rPr>
          <w:rFonts w:hint="eastAsia"/>
          <w:szCs w:val="24"/>
        </w:rPr>
        <w:t>2019年2月2日</w:t>
      </w:r>
      <w:r>
        <w:rPr>
          <w:rFonts w:hint="eastAsia" w:ascii="宋体" w:hAnsi="宋体"/>
          <w:szCs w:val="24"/>
        </w:rPr>
        <w:t>）；</w:t>
      </w:r>
    </w:p>
    <w:p w14:paraId="744BC5CA">
      <w:pPr>
        <w:adjustRightInd w:val="0"/>
        <w:snapToGrid w:val="0"/>
        <w:ind w:firstLine="480"/>
        <w:rPr>
          <w:szCs w:val="24"/>
        </w:rPr>
      </w:pPr>
      <w:r>
        <w:rPr>
          <w:rFonts w:hint="eastAsia" w:ascii="宋体" w:hAnsi="宋体"/>
          <w:szCs w:val="24"/>
        </w:rPr>
        <w:t>（</w:t>
      </w:r>
      <w:r>
        <w:rPr>
          <w:rFonts w:hint="eastAsia"/>
          <w:szCs w:val="24"/>
        </w:rPr>
        <w:t>26</w:t>
      </w:r>
      <w:r>
        <w:rPr>
          <w:rFonts w:hint="eastAsia" w:ascii="宋体" w:hAnsi="宋体"/>
          <w:szCs w:val="24"/>
        </w:rPr>
        <w:t>）《省交通运输厅省发展改革委省水利厅关于印发江苏省沿江砂石码头布局方案的通知》（苏交计〔</w:t>
      </w:r>
      <w:r>
        <w:rPr>
          <w:rFonts w:hint="eastAsia"/>
          <w:szCs w:val="24"/>
        </w:rPr>
        <w:t>2019</w:t>
      </w:r>
      <w:r>
        <w:rPr>
          <w:rFonts w:hint="eastAsia" w:ascii="宋体" w:hAnsi="宋体"/>
          <w:szCs w:val="24"/>
        </w:rPr>
        <w:t>〕</w:t>
      </w:r>
      <w:r>
        <w:rPr>
          <w:rFonts w:hint="eastAsia"/>
          <w:szCs w:val="24"/>
        </w:rPr>
        <w:t>75</w:t>
      </w:r>
      <w:r>
        <w:rPr>
          <w:rFonts w:hint="eastAsia" w:ascii="宋体" w:hAnsi="宋体"/>
          <w:szCs w:val="24"/>
        </w:rPr>
        <w:t>号）；</w:t>
      </w:r>
    </w:p>
    <w:p w14:paraId="19EFDE28">
      <w:pPr>
        <w:adjustRightInd w:val="0"/>
        <w:snapToGrid w:val="0"/>
        <w:ind w:firstLine="480"/>
        <w:rPr>
          <w:szCs w:val="24"/>
        </w:rPr>
      </w:pPr>
      <w:r>
        <w:rPr>
          <w:rFonts w:hint="eastAsia" w:ascii="宋体" w:hAnsi="宋体"/>
          <w:szCs w:val="24"/>
        </w:rPr>
        <w:t>（</w:t>
      </w:r>
      <w:r>
        <w:rPr>
          <w:rFonts w:hint="eastAsia"/>
          <w:szCs w:val="24"/>
        </w:rPr>
        <w:t>27</w:t>
      </w:r>
      <w:r>
        <w:rPr>
          <w:rFonts w:hint="eastAsia" w:ascii="宋体" w:hAnsi="宋体"/>
          <w:szCs w:val="24"/>
        </w:rPr>
        <w:t>）《省交通运输厅省生态环境厅关于进一步推动全省内河港口码头环保问题整改的通知》（苏交计〔</w:t>
      </w:r>
      <w:r>
        <w:rPr>
          <w:rFonts w:hint="eastAsia"/>
          <w:szCs w:val="24"/>
        </w:rPr>
        <w:t>2020</w:t>
      </w:r>
      <w:r>
        <w:rPr>
          <w:rFonts w:hint="eastAsia" w:ascii="宋体" w:hAnsi="宋体"/>
          <w:szCs w:val="24"/>
        </w:rPr>
        <w:t>〕</w:t>
      </w:r>
      <w:r>
        <w:rPr>
          <w:rFonts w:hint="eastAsia"/>
          <w:szCs w:val="24"/>
        </w:rPr>
        <w:t>142</w:t>
      </w:r>
      <w:r>
        <w:rPr>
          <w:rFonts w:hint="eastAsia" w:ascii="宋体" w:hAnsi="宋体"/>
          <w:szCs w:val="24"/>
        </w:rPr>
        <w:t>号）；</w:t>
      </w:r>
    </w:p>
    <w:p w14:paraId="222A5D1B">
      <w:pPr>
        <w:adjustRightInd w:val="0"/>
        <w:snapToGrid w:val="0"/>
        <w:ind w:firstLine="480"/>
        <w:rPr>
          <w:szCs w:val="24"/>
        </w:rPr>
      </w:pPr>
      <w:r>
        <w:rPr>
          <w:rFonts w:hint="eastAsia" w:ascii="宋体" w:hAnsi="宋体"/>
          <w:szCs w:val="24"/>
        </w:rPr>
        <w:t>（</w:t>
      </w:r>
      <w:r>
        <w:rPr>
          <w:rFonts w:hint="eastAsia"/>
          <w:szCs w:val="24"/>
        </w:rPr>
        <w:t>28</w:t>
      </w:r>
      <w:r>
        <w:rPr>
          <w:rFonts w:hint="eastAsia" w:ascii="宋体" w:hAnsi="宋体"/>
          <w:szCs w:val="24"/>
        </w:rPr>
        <w:t>）《省生态环境厅关于进一步加强建设项目环评审批和服务工作的指导意见》（苏环办〔</w:t>
      </w:r>
      <w:r>
        <w:rPr>
          <w:rFonts w:hint="eastAsia"/>
          <w:szCs w:val="24"/>
        </w:rPr>
        <w:t>2020</w:t>
      </w:r>
      <w:r>
        <w:rPr>
          <w:rFonts w:hint="eastAsia" w:ascii="宋体" w:hAnsi="宋体"/>
          <w:szCs w:val="24"/>
        </w:rPr>
        <w:t>〕</w:t>
      </w:r>
      <w:r>
        <w:rPr>
          <w:rFonts w:hint="eastAsia"/>
          <w:szCs w:val="24"/>
        </w:rPr>
        <w:t>225</w:t>
      </w:r>
      <w:r>
        <w:rPr>
          <w:rFonts w:hint="eastAsia" w:ascii="宋体" w:hAnsi="宋体"/>
          <w:szCs w:val="24"/>
        </w:rPr>
        <w:t>号）；</w:t>
      </w:r>
    </w:p>
    <w:p w14:paraId="4E428D9B">
      <w:pPr>
        <w:adjustRightInd w:val="0"/>
        <w:snapToGrid w:val="0"/>
        <w:ind w:firstLine="480"/>
        <w:rPr>
          <w:szCs w:val="24"/>
        </w:rPr>
      </w:pPr>
      <w:r>
        <w:rPr>
          <w:rFonts w:hint="eastAsia" w:ascii="宋体" w:hAnsi="宋体"/>
          <w:szCs w:val="24"/>
        </w:rPr>
        <w:t>（</w:t>
      </w:r>
      <w:r>
        <w:rPr>
          <w:rFonts w:hint="eastAsia"/>
          <w:szCs w:val="24"/>
        </w:rPr>
        <w:t>29</w:t>
      </w:r>
      <w:r>
        <w:rPr>
          <w:rFonts w:hint="eastAsia" w:ascii="宋体" w:hAnsi="宋体"/>
          <w:szCs w:val="24"/>
        </w:rPr>
        <w:t>）《关于印发江苏省港口与船舶大气污染防治工作方案的通知》（苏环办〔</w:t>
      </w:r>
      <w:r>
        <w:rPr>
          <w:rFonts w:hint="eastAsia"/>
          <w:szCs w:val="24"/>
        </w:rPr>
        <w:t>2022</w:t>
      </w:r>
      <w:r>
        <w:rPr>
          <w:rFonts w:hint="eastAsia" w:ascii="宋体" w:hAnsi="宋体"/>
          <w:szCs w:val="24"/>
        </w:rPr>
        <w:t>〕</w:t>
      </w:r>
      <w:r>
        <w:rPr>
          <w:rFonts w:hint="eastAsia"/>
          <w:szCs w:val="24"/>
        </w:rPr>
        <w:t>258</w:t>
      </w:r>
      <w:r>
        <w:rPr>
          <w:rFonts w:hint="eastAsia" w:ascii="宋体" w:hAnsi="宋体"/>
          <w:szCs w:val="24"/>
        </w:rPr>
        <w:t>号）；</w:t>
      </w:r>
    </w:p>
    <w:p w14:paraId="6A3F4102">
      <w:pPr>
        <w:adjustRightInd w:val="0"/>
        <w:snapToGrid w:val="0"/>
        <w:ind w:firstLine="480"/>
        <w:rPr>
          <w:kern w:val="0"/>
          <w:szCs w:val="24"/>
        </w:rPr>
      </w:pPr>
      <w:r>
        <w:rPr>
          <w:rFonts w:hint="eastAsia" w:ascii="宋体" w:hAnsi="宋体"/>
          <w:kern w:val="0"/>
          <w:szCs w:val="24"/>
        </w:rPr>
        <w:t>（</w:t>
      </w:r>
      <w:r>
        <w:rPr>
          <w:rFonts w:hint="eastAsia"/>
          <w:kern w:val="0"/>
          <w:szCs w:val="24"/>
        </w:rPr>
        <w:t>30</w:t>
      </w:r>
      <w:r>
        <w:rPr>
          <w:rFonts w:hint="eastAsia" w:ascii="宋体" w:hAnsi="宋体"/>
          <w:kern w:val="0"/>
          <w:szCs w:val="24"/>
        </w:rPr>
        <w:t>）《十四五生态保护监管规划》（苏环办〔</w:t>
      </w:r>
      <w:r>
        <w:rPr>
          <w:rFonts w:hint="eastAsia"/>
          <w:kern w:val="0"/>
          <w:szCs w:val="24"/>
        </w:rPr>
        <w:t>2022</w:t>
      </w:r>
      <w:r>
        <w:rPr>
          <w:rFonts w:hint="eastAsia" w:ascii="宋体" w:hAnsi="宋体"/>
          <w:kern w:val="0"/>
          <w:szCs w:val="24"/>
        </w:rPr>
        <w:t>〕</w:t>
      </w:r>
      <w:r>
        <w:rPr>
          <w:rFonts w:hint="eastAsia"/>
          <w:kern w:val="0"/>
          <w:szCs w:val="24"/>
        </w:rPr>
        <w:t>258</w:t>
      </w:r>
      <w:r>
        <w:rPr>
          <w:rFonts w:hint="eastAsia" w:ascii="宋体" w:hAnsi="宋体"/>
          <w:kern w:val="0"/>
          <w:szCs w:val="24"/>
        </w:rPr>
        <w:t>号）；</w:t>
      </w:r>
    </w:p>
    <w:p w14:paraId="17ADD16E">
      <w:pPr>
        <w:adjustRightInd w:val="0"/>
        <w:snapToGrid w:val="0"/>
        <w:ind w:firstLine="480"/>
        <w:rPr>
          <w:kern w:val="0"/>
          <w:szCs w:val="24"/>
        </w:rPr>
      </w:pPr>
      <w:r>
        <w:rPr>
          <w:rFonts w:hint="eastAsia" w:ascii="宋体" w:hAnsi="宋体"/>
          <w:kern w:val="0"/>
          <w:szCs w:val="24"/>
        </w:rPr>
        <w:t>（</w:t>
      </w:r>
      <w:r>
        <w:rPr>
          <w:rFonts w:hint="eastAsia"/>
          <w:kern w:val="0"/>
          <w:szCs w:val="24"/>
        </w:rPr>
        <w:t>31</w:t>
      </w:r>
      <w:r>
        <w:rPr>
          <w:rFonts w:hint="eastAsia" w:ascii="宋体" w:hAnsi="宋体"/>
          <w:kern w:val="0"/>
          <w:szCs w:val="24"/>
        </w:rPr>
        <w:t>）《江苏省“十四五”生态环境保护规划》（苏政办发〔</w:t>
      </w:r>
      <w:r>
        <w:rPr>
          <w:rFonts w:hint="eastAsia"/>
          <w:kern w:val="0"/>
          <w:szCs w:val="24"/>
        </w:rPr>
        <w:t>2021</w:t>
      </w:r>
      <w:r>
        <w:rPr>
          <w:rFonts w:hint="eastAsia" w:ascii="宋体" w:hAnsi="宋体"/>
          <w:kern w:val="0"/>
          <w:szCs w:val="24"/>
        </w:rPr>
        <w:t>〕</w:t>
      </w:r>
      <w:r>
        <w:rPr>
          <w:rFonts w:hint="eastAsia"/>
          <w:kern w:val="0"/>
          <w:szCs w:val="24"/>
        </w:rPr>
        <w:t>84</w:t>
      </w:r>
      <w:r>
        <w:rPr>
          <w:rFonts w:hint="eastAsia" w:ascii="宋体" w:hAnsi="宋体"/>
          <w:kern w:val="0"/>
          <w:szCs w:val="24"/>
        </w:rPr>
        <w:t>号）；</w:t>
      </w:r>
    </w:p>
    <w:p w14:paraId="02482B6D">
      <w:pPr>
        <w:adjustRightInd w:val="0"/>
        <w:snapToGrid w:val="0"/>
        <w:ind w:firstLine="480"/>
        <w:rPr>
          <w:kern w:val="0"/>
          <w:szCs w:val="24"/>
        </w:rPr>
      </w:pPr>
      <w:r>
        <w:rPr>
          <w:rFonts w:hint="eastAsia" w:ascii="宋体" w:hAnsi="宋体"/>
          <w:kern w:val="0"/>
          <w:szCs w:val="24"/>
        </w:rPr>
        <w:t>（</w:t>
      </w:r>
      <w:r>
        <w:rPr>
          <w:rFonts w:hint="eastAsia"/>
          <w:kern w:val="0"/>
          <w:szCs w:val="24"/>
        </w:rPr>
        <w:t>32</w:t>
      </w:r>
      <w:r>
        <w:rPr>
          <w:rFonts w:hint="eastAsia" w:ascii="宋体" w:hAnsi="宋体"/>
          <w:kern w:val="0"/>
          <w:szCs w:val="24"/>
        </w:rPr>
        <w:t>）《江苏省港口岸线管理办法（</w:t>
      </w:r>
      <w:r>
        <w:rPr>
          <w:rFonts w:hint="eastAsia"/>
          <w:kern w:val="0"/>
          <w:szCs w:val="24"/>
        </w:rPr>
        <w:t>2017</w:t>
      </w:r>
      <w:r>
        <w:rPr>
          <w:rFonts w:hint="eastAsia" w:ascii="宋体" w:hAnsi="宋体"/>
          <w:kern w:val="0"/>
          <w:szCs w:val="24"/>
        </w:rPr>
        <w:t>）》；</w:t>
      </w:r>
    </w:p>
    <w:p w14:paraId="25B6AC7F">
      <w:pPr>
        <w:adjustRightInd w:val="0"/>
        <w:snapToGrid w:val="0"/>
        <w:ind w:firstLine="480"/>
        <w:rPr>
          <w:kern w:val="0"/>
          <w:szCs w:val="24"/>
        </w:rPr>
      </w:pPr>
      <w:r>
        <w:rPr>
          <w:rFonts w:hint="eastAsia" w:ascii="宋体" w:hAnsi="宋体"/>
          <w:kern w:val="0"/>
          <w:szCs w:val="24"/>
        </w:rPr>
        <w:t>（</w:t>
      </w:r>
      <w:r>
        <w:rPr>
          <w:rFonts w:hint="eastAsia"/>
          <w:kern w:val="0"/>
          <w:szCs w:val="24"/>
        </w:rPr>
        <w:t>33</w:t>
      </w:r>
      <w:r>
        <w:rPr>
          <w:rFonts w:hint="eastAsia" w:ascii="宋体" w:hAnsi="宋体"/>
          <w:kern w:val="0"/>
          <w:szCs w:val="24"/>
        </w:rPr>
        <w:t>）《关于用更加严格举措切实加强船舶水污染防治的实施意见》</w:t>
      </w:r>
      <w:r>
        <w:rPr>
          <w:rFonts w:hint="eastAsia"/>
          <w:kern w:val="0"/>
          <w:szCs w:val="24"/>
        </w:rPr>
        <w:t>（</w:t>
      </w:r>
      <w:r>
        <w:rPr>
          <w:rFonts w:hint="eastAsia" w:ascii="宋体" w:hAnsi="宋体"/>
          <w:kern w:val="0"/>
          <w:szCs w:val="24"/>
        </w:rPr>
        <w:t>苏污防攻坚指办〔</w:t>
      </w:r>
      <w:r>
        <w:rPr>
          <w:rFonts w:hint="eastAsia"/>
          <w:kern w:val="0"/>
          <w:szCs w:val="24"/>
        </w:rPr>
        <w:t>2019</w:t>
      </w:r>
      <w:r>
        <w:rPr>
          <w:rFonts w:hint="eastAsia" w:ascii="宋体" w:hAnsi="宋体"/>
          <w:kern w:val="0"/>
          <w:szCs w:val="24"/>
        </w:rPr>
        <w:t>〕</w:t>
      </w:r>
      <w:r>
        <w:rPr>
          <w:rFonts w:hint="eastAsia"/>
          <w:kern w:val="0"/>
          <w:szCs w:val="24"/>
        </w:rPr>
        <w:t>70</w:t>
      </w:r>
      <w:r>
        <w:rPr>
          <w:rFonts w:hint="eastAsia" w:ascii="宋体" w:hAnsi="宋体"/>
          <w:kern w:val="0"/>
          <w:szCs w:val="24"/>
        </w:rPr>
        <w:t>号</w:t>
      </w:r>
      <w:r>
        <w:rPr>
          <w:rFonts w:hint="eastAsia"/>
          <w:kern w:val="0"/>
          <w:szCs w:val="24"/>
        </w:rPr>
        <w:t>）</w:t>
      </w:r>
      <w:r>
        <w:rPr>
          <w:rFonts w:hint="eastAsia" w:ascii="宋体" w:hAnsi="宋体"/>
          <w:kern w:val="0"/>
          <w:szCs w:val="24"/>
        </w:rPr>
        <w:t>；</w:t>
      </w:r>
    </w:p>
    <w:p w14:paraId="6C044AF2">
      <w:pPr>
        <w:adjustRightInd w:val="0"/>
        <w:snapToGrid w:val="0"/>
        <w:ind w:firstLine="480"/>
        <w:rPr>
          <w:szCs w:val="24"/>
        </w:rPr>
      </w:pPr>
      <w:r>
        <w:rPr>
          <w:rFonts w:hint="eastAsia" w:ascii="宋体" w:hAnsi="宋体"/>
          <w:szCs w:val="24"/>
        </w:rPr>
        <w:t>（</w:t>
      </w:r>
      <w:r>
        <w:rPr>
          <w:rFonts w:hint="eastAsia"/>
          <w:szCs w:val="24"/>
        </w:rPr>
        <w:t>34</w:t>
      </w:r>
      <w:r>
        <w:rPr>
          <w:rFonts w:hint="eastAsia" w:ascii="宋体" w:hAnsi="宋体"/>
          <w:szCs w:val="24"/>
        </w:rPr>
        <w:t>）《关于印发〈淮安市环境管控单元生态环境准入清单〉的通知》（淮环发〔</w:t>
      </w:r>
      <w:r>
        <w:rPr>
          <w:rFonts w:hint="eastAsia"/>
          <w:szCs w:val="24"/>
        </w:rPr>
        <w:t>2020</w:t>
      </w:r>
      <w:r>
        <w:rPr>
          <w:rFonts w:hint="eastAsia" w:ascii="宋体" w:hAnsi="宋体"/>
          <w:szCs w:val="24"/>
        </w:rPr>
        <w:t>〕</w:t>
      </w:r>
      <w:r>
        <w:rPr>
          <w:rFonts w:hint="eastAsia"/>
          <w:szCs w:val="24"/>
        </w:rPr>
        <w:t>264</w:t>
      </w:r>
      <w:r>
        <w:rPr>
          <w:rFonts w:hint="eastAsia" w:ascii="宋体" w:hAnsi="宋体"/>
          <w:szCs w:val="24"/>
        </w:rPr>
        <w:t>号）；</w:t>
      </w:r>
    </w:p>
    <w:p w14:paraId="7BBC0957">
      <w:pPr>
        <w:adjustRightInd w:val="0"/>
        <w:snapToGrid w:val="0"/>
        <w:ind w:firstLine="480"/>
        <w:rPr>
          <w:kern w:val="0"/>
          <w:szCs w:val="24"/>
        </w:rPr>
      </w:pPr>
      <w:r>
        <w:rPr>
          <w:rFonts w:hint="eastAsia" w:ascii="宋体" w:hAnsi="宋体"/>
          <w:kern w:val="0"/>
          <w:szCs w:val="24"/>
        </w:rPr>
        <w:t>（</w:t>
      </w:r>
      <w:r>
        <w:rPr>
          <w:rFonts w:hint="eastAsia"/>
          <w:kern w:val="0"/>
          <w:szCs w:val="24"/>
        </w:rPr>
        <w:t>35</w:t>
      </w:r>
      <w:r>
        <w:rPr>
          <w:rFonts w:hint="eastAsia" w:ascii="宋体" w:hAnsi="宋体"/>
          <w:kern w:val="0"/>
          <w:szCs w:val="24"/>
        </w:rPr>
        <w:t>）《淮安市城市总体规划（</w:t>
      </w:r>
      <w:r>
        <w:rPr>
          <w:rFonts w:hint="eastAsia"/>
          <w:kern w:val="0"/>
          <w:szCs w:val="24"/>
        </w:rPr>
        <w:t>2009-2030</w:t>
      </w:r>
      <w:r>
        <w:rPr>
          <w:rFonts w:hint="eastAsia" w:ascii="宋体" w:hAnsi="宋体"/>
          <w:kern w:val="0"/>
          <w:szCs w:val="24"/>
        </w:rPr>
        <w:t>）》（苏政复〔</w:t>
      </w:r>
      <w:r>
        <w:rPr>
          <w:rFonts w:hint="eastAsia"/>
          <w:kern w:val="0"/>
          <w:szCs w:val="24"/>
        </w:rPr>
        <w:t>2011</w:t>
      </w:r>
      <w:r>
        <w:rPr>
          <w:rFonts w:hint="eastAsia" w:ascii="宋体" w:hAnsi="宋体"/>
          <w:kern w:val="0"/>
          <w:szCs w:val="24"/>
        </w:rPr>
        <w:t>〕</w:t>
      </w:r>
      <w:r>
        <w:rPr>
          <w:rFonts w:hint="eastAsia"/>
          <w:kern w:val="0"/>
          <w:szCs w:val="24"/>
        </w:rPr>
        <w:t>50</w:t>
      </w:r>
      <w:r>
        <w:rPr>
          <w:rFonts w:hint="eastAsia" w:ascii="宋体" w:hAnsi="宋体"/>
          <w:kern w:val="0"/>
          <w:szCs w:val="24"/>
        </w:rPr>
        <w:t>号文）；</w:t>
      </w:r>
    </w:p>
    <w:p w14:paraId="77BF504E">
      <w:pPr>
        <w:adjustRightInd w:val="0"/>
        <w:snapToGrid w:val="0"/>
        <w:ind w:firstLine="480"/>
        <w:rPr>
          <w:kern w:val="0"/>
          <w:szCs w:val="24"/>
        </w:rPr>
      </w:pPr>
      <w:r>
        <w:rPr>
          <w:rFonts w:hint="eastAsia" w:ascii="宋体" w:hAnsi="宋体"/>
          <w:kern w:val="0"/>
          <w:szCs w:val="24"/>
        </w:rPr>
        <w:t>（</w:t>
      </w:r>
      <w:r>
        <w:rPr>
          <w:rFonts w:hint="eastAsia"/>
          <w:kern w:val="0"/>
          <w:szCs w:val="24"/>
        </w:rPr>
        <w:t>36</w:t>
      </w:r>
      <w:r>
        <w:rPr>
          <w:rFonts w:hint="eastAsia" w:ascii="宋体" w:hAnsi="宋体"/>
          <w:kern w:val="0"/>
          <w:szCs w:val="24"/>
        </w:rPr>
        <w:t>）《涟水县“十四五”生态环境保护规划》；</w:t>
      </w:r>
    </w:p>
    <w:p w14:paraId="0178AA5D">
      <w:pPr>
        <w:adjustRightInd w:val="0"/>
        <w:snapToGrid w:val="0"/>
        <w:ind w:firstLine="480"/>
        <w:rPr>
          <w:kern w:val="0"/>
          <w:szCs w:val="24"/>
        </w:rPr>
      </w:pPr>
      <w:r>
        <w:rPr>
          <w:rFonts w:hint="eastAsia" w:ascii="宋体" w:hAnsi="宋体"/>
          <w:kern w:val="0"/>
          <w:szCs w:val="24"/>
        </w:rPr>
        <w:t>（</w:t>
      </w:r>
      <w:r>
        <w:rPr>
          <w:rFonts w:hint="eastAsia"/>
          <w:kern w:val="0"/>
          <w:szCs w:val="24"/>
        </w:rPr>
        <w:t>37</w:t>
      </w:r>
      <w:r>
        <w:rPr>
          <w:rFonts w:hint="eastAsia" w:ascii="宋体" w:hAnsi="宋体"/>
          <w:kern w:val="0"/>
          <w:szCs w:val="24"/>
        </w:rPr>
        <w:t>）《涟水县国土空间规划（2021</w:t>
      </w:r>
      <w:r>
        <w:rPr>
          <w:rFonts w:hint="eastAsia" w:ascii="宋体" w:hAnsi="宋体"/>
          <w:kern w:val="0"/>
          <w:szCs w:val="24"/>
          <w:lang w:eastAsia="zh-CN"/>
        </w:rPr>
        <w:t>—</w:t>
      </w:r>
      <w:r>
        <w:rPr>
          <w:rFonts w:hint="eastAsia" w:ascii="宋体" w:hAnsi="宋体"/>
          <w:kern w:val="0"/>
          <w:szCs w:val="24"/>
        </w:rPr>
        <w:t>2035年）》。</w:t>
      </w:r>
    </w:p>
    <w:p w14:paraId="7B580B75">
      <w:pPr>
        <w:pStyle w:val="82"/>
      </w:pPr>
      <w:r>
        <w:rPr>
          <w:rFonts w:hint="eastAsia"/>
        </w:rPr>
        <w:t>技术规范</w:t>
      </w:r>
    </w:p>
    <w:p w14:paraId="7BBC87AA">
      <w:pPr>
        <w:pStyle w:val="93"/>
      </w:pPr>
      <w:r>
        <w:rPr>
          <w:rFonts w:hint="eastAsia" w:ascii="宋体" w:hAnsi="宋体"/>
        </w:rPr>
        <w:t>（</w:t>
      </w:r>
      <w:r>
        <w:rPr>
          <w:rFonts w:hint="eastAsia"/>
        </w:rPr>
        <w:t>1</w:t>
      </w:r>
      <w:r>
        <w:rPr>
          <w:rFonts w:hint="eastAsia" w:ascii="宋体" w:hAnsi="宋体"/>
        </w:rPr>
        <w:t>）《环境影响评价技术导则</w:t>
      </w:r>
      <w:r>
        <w:rPr>
          <w:rFonts w:hint="eastAsia"/>
        </w:rPr>
        <w:t xml:space="preserve"> </w:t>
      </w:r>
      <w:r>
        <w:rPr>
          <w:rFonts w:hint="eastAsia" w:ascii="宋体" w:hAnsi="宋体"/>
        </w:rPr>
        <w:t>总纲》（</w:t>
      </w:r>
      <w:r>
        <w:rPr>
          <w:rFonts w:hint="eastAsia"/>
        </w:rPr>
        <w:t>HJ2.1-2016</w:t>
      </w:r>
      <w:r>
        <w:rPr>
          <w:rFonts w:hint="eastAsia" w:ascii="宋体" w:hAnsi="宋体"/>
        </w:rPr>
        <w:t>）；</w:t>
      </w:r>
    </w:p>
    <w:p w14:paraId="0AAD8C9B">
      <w:pPr>
        <w:pStyle w:val="93"/>
      </w:pPr>
      <w:r>
        <w:rPr>
          <w:rFonts w:hint="eastAsia" w:ascii="宋体" w:hAnsi="宋体"/>
        </w:rPr>
        <w:t>（</w:t>
      </w:r>
      <w:r>
        <w:rPr>
          <w:rFonts w:hint="eastAsia"/>
        </w:rPr>
        <w:t>2</w:t>
      </w:r>
      <w:r>
        <w:rPr>
          <w:rFonts w:hint="eastAsia" w:ascii="宋体" w:hAnsi="宋体"/>
        </w:rPr>
        <w:t>）《环境影响评价技术导则</w:t>
      </w:r>
      <w:r>
        <w:rPr>
          <w:rFonts w:hint="eastAsia"/>
        </w:rPr>
        <w:t xml:space="preserve"> </w:t>
      </w:r>
      <w:r>
        <w:rPr>
          <w:rFonts w:hint="eastAsia" w:ascii="宋体" w:hAnsi="宋体"/>
        </w:rPr>
        <w:t>大气环境》（</w:t>
      </w:r>
      <w:r>
        <w:rPr>
          <w:rFonts w:hint="eastAsia"/>
        </w:rPr>
        <w:t>HJ2.2-2018</w:t>
      </w:r>
      <w:r>
        <w:rPr>
          <w:rFonts w:hint="eastAsia" w:ascii="宋体" w:hAnsi="宋体"/>
        </w:rPr>
        <w:t>）；</w:t>
      </w:r>
    </w:p>
    <w:p w14:paraId="3EF7D5EC">
      <w:pPr>
        <w:pStyle w:val="93"/>
      </w:pPr>
      <w:r>
        <w:rPr>
          <w:rFonts w:hint="eastAsia" w:ascii="宋体" w:hAnsi="宋体"/>
        </w:rPr>
        <w:t>（</w:t>
      </w:r>
      <w:r>
        <w:rPr>
          <w:rFonts w:hint="eastAsia"/>
        </w:rPr>
        <w:t>3</w:t>
      </w:r>
      <w:r>
        <w:rPr>
          <w:rFonts w:hint="eastAsia" w:ascii="宋体" w:hAnsi="宋体"/>
        </w:rPr>
        <w:t>）《环境影响评价技术导则</w:t>
      </w:r>
      <w:r>
        <w:rPr>
          <w:rFonts w:hint="eastAsia"/>
        </w:rPr>
        <w:t xml:space="preserve"> </w:t>
      </w:r>
      <w:r>
        <w:rPr>
          <w:rFonts w:hint="eastAsia" w:ascii="宋体" w:hAnsi="宋体"/>
        </w:rPr>
        <w:t>地表水环境》（</w:t>
      </w:r>
      <w:r>
        <w:rPr>
          <w:rFonts w:hint="eastAsia"/>
        </w:rPr>
        <w:t>HJ2.3-2018</w:t>
      </w:r>
      <w:r>
        <w:rPr>
          <w:rFonts w:hint="eastAsia" w:ascii="宋体" w:hAnsi="宋体"/>
        </w:rPr>
        <w:t>）；</w:t>
      </w:r>
    </w:p>
    <w:p w14:paraId="44D6A0BE">
      <w:pPr>
        <w:pStyle w:val="93"/>
      </w:pPr>
      <w:r>
        <w:rPr>
          <w:rFonts w:hint="eastAsia"/>
        </w:rPr>
        <w:t>（4）《环境影响评价技术导则 声环境》（HJ2.4-2021）；</w:t>
      </w:r>
    </w:p>
    <w:p w14:paraId="78E162F9">
      <w:pPr>
        <w:pStyle w:val="93"/>
      </w:pPr>
      <w:r>
        <w:rPr>
          <w:rFonts w:hint="eastAsia"/>
        </w:rPr>
        <w:t>（5）《环境影响评价技术导则 地下水环境》（HJ610-2016）；</w:t>
      </w:r>
    </w:p>
    <w:p w14:paraId="799EF55F">
      <w:pPr>
        <w:pStyle w:val="93"/>
      </w:pPr>
      <w:r>
        <w:rPr>
          <w:rFonts w:hint="eastAsia"/>
        </w:rPr>
        <w:t>（6）《环境影响评价技术导则 生态影响》（HJ19-2022）；</w:t>
      </w:r>
    </w:p>
    <w:p w14:paraId="623834B9">
      <w:pPr>
        <w:pStyle w:val="93"/>
      </w:pPr>
      <w:r>
        <w:rPr>
          <w:rFonts w:hint="eastAsia"/>
        </w:rPr>
        <w:t>（7）《环境影响评价技术导则 土壤环境（试行）》（HJ964-2018）；</w:t>
      </w:r>
    </w:p>
    <w:p w14:paraId="214B76C0">
      <w:pPr>
        <w:pStyle w:val="93"/>
      </w:pPr>
      <w:r>
        <w:rPr>
          <w:rFonts w:hint="eastAsia"/>
        </w:rPr>
        <w:t>（8）《建设项目环境风险评价技术导则》（HJ169-2018）；</w:t>
      </w:r>
    </w:p>
    <w:p w14:paraId="6717598C">
      <w:pPr>
        <w:pStyle w:val="93"/>
      </w:pPr>
      <w:r>
        <w:rPr>
          <w:rFonts w:hint="eastAsia"/>
        </w:rPr>
        <w:t>（9）《水运工程建设项目环境影响评价指南》（JTS/T 105-2021）；</w:t>
      </w:r>
    </w:p>
    <w:p w14:paraId="05D339BD">
      <w:pPr>
        <w:pStyle w:val="93"/>
      </w:pPr>
      <w:r>
        <w:rPr>
          <w:rFonts w:hint="eastAsia"/>
        </w:rPr>
        <w:t>（10）《水运工程环境保护设计规范》（JTS 149-2018）及修订单；</w:t>
      </w:r>
    </w:p>
    <w:p w14:paraId="135AAE07">
      <w:pPr>
        <w:pStyle w:val="93"/>
      </w:pPr>
      <w:r>
        <w:rPr>
          <w:rFonts w:hint="eastAsia"/>
        </w:rPr>
        <w:t>（11）《水运工程混凝土结构设计规范》（JTS151-2011）；</w:t>
      </w:r>
    </w:p>
    <w:p w14:paraId="18D2F605">
      <w:pPr>
        <w:pStyle w:val="93"/>
      </w:pPr>
      <w:r>
        <w:rPr>
          <w:rFonts w:hint="eastAsia" w:ascii="宋体" w:hAnsi="宋体"/>
        </w:rPr>
        <w:t>（</w:t>
      </w:r>
      <w:r>
        <w:rPr>
          <w:rFonts w:hint="eastAsia"/>
        </w:rPr>
        <w:t>12</w:t>
      </w:r>
      <w:r>
        <w:rPr>
          <w:rFonts w:hint="eastAsia" w:ascii="宋体" w:hAnsi="宋体"/>
        </w:rPr>
        <w:t>）《河港总体设计规范》</w:t>
      </w:r>
      <w:r>
        <w:rPr>
          <w:rFonts w:hint="eastAsia"/>
        </w:rPr>
        <w:t>（JTS 166</w:t>
      </w:r>
      <w:r>
        <w:rPr>
          <w:rFonts w:hint="eastAsia" w:ascii="宋体" w:hAnsi="宋体"/>
        </w:rPr>
        <w:t>—</w:t>
      </w:r>
      <w:r>
        <w:rPr>
          <w:rFonts w:hint="eastAsia"/>
        </w:rPr>
        <w:t>2020</w:t>
      </w:r>
      <w:r>
        <w:rPr>
          <w:rFonts w:hint="eastAsia"/>
          <w:lang w:eastAsia="zh-CN"/>
        </w:rPr>
        <w:t>）</w:t>
      </w:r>
      <w:r>
        <w:rPr>
          <w:rFonts w:hint="eastAsia" w:ascii="宋体" w:hAnsi="宋体"/>
        </w:rPr>
        <w:t>；</w:t>
      </w:r>
    </w:p>
    <w:p w14:paraId="7034EF7C">
      <w:pPr>
        <w:pStyle w:val="93"/>
      </w:pPr>
      <w:r>
        <w:rPr>
          <w:rFonts w:hint="eastAsia" w:ascii="宋体" w:hAnsi="宋体"/>
        </w:rPr>
        <w:t>（</w:t>
      </w:r>
      <w:r>
        <w:rPr>
          <w:rFonts w:hint="eastAsia"/>
        </w:rPr>
        <w:t>13</w:t>
      </w:r>
      <w:r>
        <w:rPr>
          <w:rFonts w:hint="eastAsia" w:ascii="宋体" w:hAnsi="宋体"/>
        </w:rPr>
        <w:t>）《建设项目竣工环境保护验收技术规范</w:t>
      </w:r>
      <w:r>
        <w:rPr>
          <w:rFonts w:hint="eastAsia"/>
        </w:rPr>
        <w:t xml:space="preserve"> </w:t>
      </w:r>
      <w:r>
        <w:rPr>
          <w:rFonts w:hint="eastAsia" w:ascii="宋体" w:hAnsi="宋体"/>
        </w:rPr>
        <w:t>港口》（</w:t>
      </w:r>
      <w:r>
        <w:rPr>
          <w:rFonts w:hint="eastAsia"/>
        </w:rPr>
        <w:t>HJ436-2008</w:t>
      </w:r>
      <w:r>
        <w:rPr>
          <w:rFonts w:hint="eastAsia" w:ascii="宋体" w:hAnsi="宋体"/>
        </w:rPr>
        <w:t>）；</w:t>
      </w:r>
    </w:p>
    <w:p w14:paraId="39D467CD">
      <w:pPr>
        <w:pStyle w:val="93"/>
      </w:pPr>
      <w:r>
        <w:rPr>
          <w:rFonts w:hint="eastAsia" w:ascii="宋体" w:hAnsi="宋体"/>
        </w:rPr>
        <w:t>（</w:t>
      </w:r>
      <w:r>
        <w:rPr>
          <w:rFonts w:hint="eastAsia"/>
        </w:rPr>
        <w:t>14</w:t>
      </w:r>
      <w:r>
        <w:rPr>
          <w:rFonts w:hint="eastAsia" w:ascii="宋体" w:hAnsi="宋体"/>
        </w:rPr>
        <w:t>）《港口码头水上污染事故应急防备能力要求》（</w:t>
      </w:r>
      <w:r>
        <w:rPr>
          <w:rFonts w:hint="eastAsia"/>
        </w:rPr>
        <w:t>JT/T 451-2017</w:t>
      </w:r>
      <w:r>
        <w:rPr>
          <w:rFonts w:hint="eastAsia" w:ascii="宋体" w:hAnsi="宋体"/>
        </w:rPr>
        <w:t>）；</w:t>
      </w:r>
    </w:p>
    <w:p w14:paraId="249EF1C6">
      <w:pPr>
        <w:pStyle w:val="93"/>
      </w:pPr>
      <w:r>
        <w:rPr>
          <w:rFonts w:hint="eastAsia" w:ascii="宋体" w:hAnsi="宋体"/>
        </w:rPr>
        <w:t>（</w:t>
      </w:r>
      <w:r>
        <w:rPr>
          <w:rFonts w:hint="eastAsia"/>
        </w:rPr>
        <w:t>15</w:t>
      </w:r>
      <w:r>
        <w:rPr>
          <w:rFonts w:hint="eastAsia" w:ascii="宋体" w:hAnsi="宋体"/>
        </w:rPr>
        <w:t>）《水上溢油环境风险评估技术导则》（</w:t>
      </w:r>
      <w:r>
        <w:rPr>
          <w:rFonts w:hint="eastAsia"/>
        </w:rPr>
        <w:t>JT/T1143-2017</w:t>
      </w:r>
      <w:r>
        <w:rPr>
          <w:rFonts w:hint="eastAsia" w:ascii="宋体" w:hAnsi="宋体"/>
        </w:rPr>
        <w:t>）；</w:t>
      </w:r>
    </w:p>
    <w:p w14:paraId="00AE0BA8">
      <w:pPr>
        <w:pStyle w:val="93"/>
      </w:pPr>
      <w:r>
        <w:rPr>
          <w:rFonts w:hint="eastAsia"/>
        </w:rPr>
        <w:t>（16）《排污许可证申请与核发技术规范 码头》（HJ 1107-2020）；</w:t>
      </w:r>
    </w:p>
    <w:p w14:paraId="3001CD87">
      <w:pPr>
        <w:pStyle w:val="93"/>
      </w:pPr>
      <w:r>
        <w:rPr>
          <w:rFonts w:hint="eastAsia"/>
        </w:rPr>
        <w:t>（17）《煤炭矿石码头粉尘控制设计规范》（JTS156-2015）；</w:t>
      </w:r>
    </w:p>
    <w:p w14:paraId="50366EF0">
      <w:pPr>
        <w:pStyle w:val="93"/>
      </w:pPr>
      <w:r>
        <w:rPr>
          <w:rFonts w:hint="eastAsia"/>
        </w:rPr>
        <w:t>（18）《危险废物识别标志设置技术规范》（HJ1276-2022）；</w:t>
      </w:r>
    </w:p>
    <w:p w14:paraId="534AC9B0">
      <w:pPr>
        <w:pStyle w:val="93"/>
      </w:pPr>
      <w:r>
        <w:rPr>
          <w:rFonts w:hint="eastAsia"/>
        </w:rPr>
        <w:t>（19）《污染源源强核算技术指南 准则》（HJ884-2018）；</w:t>
      </w:r>
    </w:p>
    <w:p w14:paraId="772834A8">
      <w:pPr>
        <w:pStyle w:val="93"/>
        <w:rPr>
          <w:szCs w:val="24"/>
          <w:lang w:val="en-US"/>
        </w:rPr>
      </w:pPr>
      <w:r>
        <w:rPr>
          <w:rFonts w:hint="eastAsia"/>
        </w:rPr>
        <w:t>（20）《船舶溢油应急能力评估导则》（JT/T877-2013）。</w:t>
      </w:r>
    </w:p>
    <w:p w14:paraId="5C791B6C">
      <w:pPr>
        <w:pStyle w:val="82"/>
      </w:pPr>
      <w:r>
        <w:rPr>
          <w:rFonts w:hint="eastAsia"/>
        </w:rPr>
        <w:t>项目相关文件</w:t>
      </w:r>
    </w:p>
    <w:p w14:paraId="2D1DEAF5">
      <w:pPr>
        <w:adjustRightInd w:val="0"/>
        <w:snapToGrid w:val="0"/>
        <w:ind w:firstLine="480"/>
        <w:rPr>
          <w:kern w:val="0"/>
          <w:szCs w:val="24"/>
        </w:rPr>
      </w:pPr>
      <w:r>
        <w:rPr>
          <w:rFonts w:hint="eastAsia" w:ascii="宋体" w:hAnsi="宋体"/>
          <w:kern w:val="0"/>
          <w:szCs w:val="24"/>
        </w:rPr>
        <w:t>（</w:t>
      </w:r>
      <w:r>
        <w:rPr>
          <w:rFonts w:hint="eastAsia"/>
          <w:kern w:val="0"/>
          <w:szCs w:val="24"/>
        </w:rPr>
        <w:t>1</w:t>
      </w:r>
      <w:r>
        <w:rPr>
          <w:rFonts w:hint="eastAsia" w:ascii="宋体" w:hAnsi="宋体"/>
          <w:kern w:val="0"/>
          <w:szCs w:val="24"/>
        </w:rPr>
        <w:t>）《淮安港总体规划（</w:t>
      </w:r>
      <w:r>
        <w:rPr>
          <w:rFonts w:hint="eastAsia"/>
          <w:kern w:val="0"/>
          <w:szCs w:val="24"/>
        </w:rPr>
        <w:t>2020</w:t>
      </w:r>
      <w:r>
        <w:rPr>
          <w:rFonts w:hint="eastAsia"/>
          <w:kern w:val="0"/>
          <w:szCs w:val="24"/>
          <w:lang w:eastAsia="zh-CN"/>
        </w:rPr>
        <w:t>—</w:t>
      </w:r>
      <w:r>
        <w:rPr>
          <w:rFonts w:hint="eastAsia"/>
          <w:kern w:val="0"/>
          <w:szCs w:val="24"/>
        </w:rPr>
        <w:t>2035</w:t>
      </w:r>
      <w:r>
        <w:rPr>
          <w:rFonts w:hint="eastAsia" w:ascii="宋体" w:hAnsi="宋体"/>
          <w:kern w:val="0"/>
          <w:szCs w:val="24"/>
        </w:rPr>
        <w:t>年）》；</w:t>
      </w:r>
    </w:p>
    <w:p w14:paraId="6FCB81FB">
      <w:pPr>
        <w:adjustRightInd w:val="0"/>
        <w:snapToGrid w:val="0"/>
        <w:ind w:firstLine="480"/>
        <w:rPr>
          <w:kern w:val="0"/>
          <w:szCs w:val="24"/>
        </w:rPr>
      </w:pPr>
      <w:r>
        <w:rPr>
          <w:rFonts w:hint="eastAsia" w:ascii="宋体" w:hAnsi="宋体"/>
          <w:kern w:val="0"/>
          <w:szCs w:val="24"/>
        </w:rPr>
        <w:t>（</w:t>
      </w:r>
      <w:r>
        <w:rPr>
          <w:rFonts w:hint="eastAsia"/>
          <w:kern w:val="0"/>
          <w:szCs w:val="24"/>
        </w:rPr>
        <w:t>2</w:t>
      </w:r>
      <w:r>
        <w:rPr>
          <w:rFonts w:hint="eastAsia" w:ascii="宋体" w:hAnsi="宋体"/>
          <w:kern w:val="0"/>
          <w:szCs w:val="24"/>
        </w:rPr>
        <w:t>）《淮安港总体规划（</w:t>
      </w:r>
      <w:r>
        <w:rPr>
          <w:rFonts w:hint="eastAsia"/>
          <w:kern w:val="0"/>
          <w:szCs w:val="24"/>
        </w:rPr>
        <w:t>2020</w:t>
      </w:r>
      <w:r>
        <w:rPr>
          <w:rFonts w:hint="eastAsia"/>
          <w:kern w:val="0"/>
          <w:szCs w:val="24"/>
          <w:lang w:eastAsia="zh-CN"/>
        </w:rPr>
        <w:t>—</w:t>
      </w:r>
      <w:r>
        <w:rPr>
          <w:rFonts w:hint="eastAsia"/>
          <w:kern w:val="0"/>
          <w:szCs w:val="24"/>
        </w:rPr>
        <w:t>2035</w:t>
      </w:r>
      <w:r>
        <w:rPr>
          <w:rFonts w:hint="eastAsia" w:ascii="宋体" w:hAnsi="宋体"/>
          <w:kern w:val="0"/>
          <w:szCs w:val="24"/>
        </w:rPr>
        <w:t>年）环境影响报告书》及审查意见（苏环审</w:t>
      </w:r>
      <w:r>
        <w:rPr>
          <w:rFonts w:hint="eastAsia"/>
          <w:kern w:val="0"/>
          <w:szCs w:val="24"/>
        </w:rPr>
        <w:t>〔2020〕16</w:t>
      </w:r>
      <w:r>
        <w:rPr>
          <w:rFonts w:hint="eastAsia" w:ascii="宋体" w:hAnsi="宋体"/>
          <w:kern w:val="0"/>
          <w:szCs w:val="24"/>
        </w:rPr>
        <w:t>号）；</w:t>
      </w:r>
    </w:p>
    <w:p w14:paraId="6D46773D">
      <w:pPr>
        <w:adjustRightInd w:val="0"/>
        <w:snapToGrid w:val="0"/>
        <w:ind w:firstLine="480"/>
        <w:rPr>
          <w:kern w:val="0"/>
          <w:szCs w:val="24"/>
        </w:rPr>
      </w:pPr>
      <w:r>
        <w:rPr>
          <w:rFonts w:hint="eastAsia" w:ascii="宋体" w:hAnsi="宋体"/>
          <w:kern w:val="0"/>
          <w:szCs w:val="24"/>
        </w:rPr>
        <w:t>（</w:t>
      </w:r>
      <w:r>
        <w:rPr>
          <w:rFonts w:hint="eastAsia"/>
          <w:kern w:val="0"/>
          <w:szCs w:val="24"/>
        </w:rPr>
        <w:t>5</w:t>
      </w:r>
      <w:r>
        <w:rPr>
          <w:rFonts w:hint="eastAsia" w:ascii="宋体" w:hAnsi="宋体"/>
          <w:kern w:val="0"/>
          <w:szCs w:val="24"/>
        </w:rPr>
        <w:t>）《淮安港涟水港区薛行作业区国能涟水一期热电联产项目配套码头工程工程可行性研究报告》（中交武汉港湾工程设计研究院有限公司，</w:t>
      </w:r>
      <w:r>
        <w:rPr>
          <w:rFonts w:hint="eastAsia"/>
          <w:kern w:val="0"/>
          <w:szCs w:val="24"/>
        </w:rPr>
        <w:t xml:space="preserve">2023 </w:t>
      </w:r>
      <w:r>
        <w:rPr>
          <w:rFonts w:hint="eastAsia" w:ascii="宋体" w:hAnsi="宋体"/>
          <w:kern w:val="0"/>
          <w:szCs w:val="24"/>
        </w:rPr>
        <w:t>年</w:t>
      </w:r>
      <w:r>
        <w:rPr>
          <w:rFonts w:hint="eastAsia"/>
          <w:kern w:val="0"/>
          <w:szCs w:val="24"/>
        </w:rPr>
        <w:t xml:space="preserve">3 </w:t>
      </w:r>
      <w:r>
        <w:rPr>
          <w:rFonts w:hint="eastAsia" w:ascii="宋体" w:hAnsi="宋体"/>
          <w:kern w:val="0"/>
          <w:szCs w:val="24"/>
        </w:rPr>
        <w:t>月）；</w:t>
      </w:r>
    </w:p>
    <w:p w14:paraId="43593F25">
      <w:pPr>
        <w:adjustRightInd w:val="0"/>
        <w:snapToGrid w:val="0"/>
        <w:ind w:firstLine="480"/>
        <w:rPr>
          <w:kern w:val="0"/>
          <w:szCs w:val="24"/>
        </w:rPr>
      </w:pPr>
      <w:r>
        <w:rPr>
          <w:rFonts w:hint="eastAsia" w:ascii="宋体" w:hAnsi="宋体"/>
          <w:kern w:val="0"/>
          <w:szCs w:val="24"/>
        </w:rPr>
        <w:t>（</w:t>
      </w:r>
      <w:r>
        <w:rPr>
          <w:rFonts w:hint="eastAsia"/>
          <w:kern w:val="0"/>
          <w:szCs w:val="24"/>
        </w:rPr>
        <w:t>6</w:t>
      </w:r>
      <w:r>
        <w:rPr>
          <w:rFonts w:hint="eastAsia" w:ascii="宋体" w:hAnsi="宋体"/>
          <w:kern w:val="0"/>
          <w:szCs w:val="24"/>
        </w:rPr>
        <w:t>）《淮安港涟水港区薛行作业区国能涟水一期热电联产项目配套码头工程航道通航条件影响评价报告》（</w:t>
      </w:r>
      <w:r>
        <w:rPr>
          <w:rFonts w:hint="eastAsia"/>
          <w:kern w:val="0"/>
          <w:szCs w:val="24"/>
        </w:rPr>
        <w:t>2022</w:t>
      </w:r>
      <w:r>
        <w:rPr>
          <w:rFonts w:hint="eastAsia" w:ascii="宋体" w:hAnsi="宋体"/>
          <w:kern w:val="0"/>
          <w:szCs w:val="24"/>
        </w:rPr>
        <w:t>年</w:t>
      </w:r>
      <w:r>
        <w:rPr>
          <w:rFonts w:hint="eastAsia"/>
          <w:kern w:val="0"/>
          <w:szCs w:val="24"/>
        </w:rPr>
        <w:t>9</w:t>
      </w:r>
      <w:r>
        <w:rPr>
          <w:rFonts w:hint="eastAsia" w:ascii="宋体" w:hAnsi="宋体"/>
          <w:kern w:val="0"/>
          <w:szCs w:val="24"/>
        </w:rPr>
        <w:t>月）；</w:t>
      </w:r>
    </w:p>
    <w:p w14:paraId="51D83C24">
      <w:pPr>
        <w:adjustRightInd w:val="0"/>
        <w:snapToGrid w:val="0"/>
        <w:ind w:firstLine="480"/>
        <w:rPr>
          <w:kern w:val="0"/>
          <w:szCs w:val="24"/>
        </w:rPr>
      </w:pPr>
      <w:r>
        <w:rPr>
          <w:rFonts w:hint="eastAsia" w:ascii="宋体" w:hAnsi="宋体"/>
          <w:kern w:val="0"/>
          <w:szCs w:val="24"/>
        </w:rPr>
        <w:t>（</w:t>
      </w:r>
      <w:r>
        <w:rPr>
          <w:rFonts w:hint="eastAsia"/>
          <w:kern w:val="0"/>
          <w:szCs w:val="24"/>
        </w:rPr>
        <w:t>7</w:t>
      </w:r>
      <w:r>
        <w:rPr>
          <w:rFonts w:hint="eastAsia" w:ascii="宋体" w:hAnsi="宋体"/>
          <w:kern w:val="0"/>
          <w:szCs w:val="24"/>
        </w:rPr>
        <w:t>）《淮安港涟水港区薛行作业区国能涟水一期热电联产项目配套码头工程通航安全技术分析报告》（中交武汉港湾工程设计研究院有限公司，</w:t>
      </w:r>
      <w:r>
        <w:rPr>
          <w:rFonts w:hint="eastAsia"/>
          <w:kern w:val="0"/>
          <w:szCs w:val="24"/>
        </w:rPr>
        <w:t>2023</w:t>
      </w:r>
      <w:r>
        <w:rPr>
          <w:rFonts w:hint="eastAsia" w:ascii="宋体" w:hAnsi="宋体"/>
          <w:kern w:val="0"/>
          <w:szCs w:val="24"/>
        </w:rPr>
        <w:t>年</w:t>
      </w:r>
      <w:r>
        <w:rPr>
          <w:rFonts w:hint="eastAsia"/>
          <w:kern w:val="0"/>
          <w:szCs w:val="24"/>
        </w:rPr>
        <w:t>2</w:t>
      </w:r>
      <w:r>
        <w:rPr>
          <w:rFonts w:hint="eastAsia" w:ascii="宋体" w:hAnsi="宋体"/>
          <w:kern w:val="0"/>
          <w:szCs w:val="24"/>
        </w:rPr>
        <w:t>月）；</w:t>
      </w:r>
    </w:p>
    <w:p w14:paraId="6F8818C7">
      <w:pPr>
        <w:adjustRightInd w:val="0"/>
        <w:snapToGrid w:val="0"/>
        <w:ind w:firstLine="480"/>
        <w:rPr>
          <w:kern w:val="0"/>
          <w:szCs w:val="24"/>
        </w:rPr>
      </w:pPr>
      <w:r>
        <w:rPr>
          <w:rFonts w:hint="eastAsia" w:ascii="宋体" w:hAnsi="宋体"/>
          <w:kern w:val="0"/>
          <w:szCs w:val="24"/>
        </w:rPr>
        <w:t>（</w:t>
      </w:r>
      <w:r>
        <w:rPr>
          <w:rFonts w:hint="eastAsia"/>
          <w:kern w:val="0"/>
          <w:szCs w:val="24"/>
        </w:rPr>
        <w:t>8</w:t>
      </w:r>
      <w:r>
        <w:rPr>
          <w:rFonts w:hint="eastAsia" w:ascii="宋体" w:hAnsi="宋体"/>
          <w:kern w:val="0"/>
          <w:szCs w:val="24"/>
        </w:rPr>
        <w:t>）建设单位提供的其他资料。</w:t>
      </w:r>
    </w:p>
    <w:p w14:paraId="532B731E">
      <w:pPr>
        <w:pStyle w:val="80"/>
      </w:pPr>
      <w:bookmarkStart w:id="70" w:name="_Toc182171803"/>
      <w:r>
        <w:rPr>
          <w:rFonts w:hint="eastAsia"/>
        </w:rPr>
        <w:t>评价目的及评价原则</w:t>
      </w:r>
      <w:bookmarkEnd w:id="70"/>
    </w:p>
    <w:p w14:paraId="44EC243C">
      <w:pPr>
        <w:pStyle w:val="82"/>
      </w:pPr>
      <w:r>
        <w:rPr>
          <w:rFonts w:hint="eastAsia"/>
        </w:rPr>
        <w:t>评价目的</w:t>
      </w:r>
    </w:p>
    <w:p w14:paraId="3236DF93">
      <w:pPr>
        <w:adjustRightInd w:val="0"/>
        <w:snapToGrid w:val="0"/>
        <w:ind w:firstLine="480"/>
        <w:rPr>
          <w:szCs w:val="24"/>
        </w:rPr>
      </w:pPr>
      <w:r>
        <w:rPr>
          <w:rFonts w:hint="eastAsia" w:ascii="宋体" w:hAnsi="宋体"/>
          <w:szCs w:val="24"/>
        </w:rPr>
        <w:t>根据项目的环境特征和污染特征，分析拟采用污染防治措施的效果，必要时提出优化调整方案；在污染物达标排放和满足排放总量控制的前提下，分析预测项目建成后对周围环境可能造成的影响及其影响范围和程度；提出避免和减少污染的环境保护对策和措施；论证拟建项目的环境可行性，为项目的设计和管理提供科学依据。</w:t>
      </w:r>
    </w:p>
    <w:p w14:paraId="7E2BD2B4">
      <w:pPr>
        <w:pStyle w:val="82"/>
      </w:pPr>
      <w:r>
        <w:rPr>
          <w:rFonts w:hint="eastAsia"/>
        </w:rPr>
        <w:t>评价原则</w:t>
      </w:r>
    </w:p>
    <w:p w14:paraId="723F4E74">
      <w:pPr>
        <w:adjustRightInd w:val="0"/>
        <w:snapToGrid w:val="0"/>
        <w:ind w:firstLine="480"/>
        <w:rPr>
          <w:szCs w:val="24"/>
        </w:rPr>
      </w:pPr>
      <w:r>
        <w:rPr>
          <w:rFonts w:hint="eastAsia" w:ascii="宋体" w:hAnsi="宋体"/>
          <w:szCs w:val="24"/>
        </w:rPr>
        <w:t>项目遵循以下原则开展环境影响评价工作：</w:t>
      </w:r>
    </w:p>
    <w:p w14:paraId="01B1BD24">
      <w:pPr>
        <w:adjustRightInd w:val="0"/>
        <w:snapToGrid w:val="0"/>
        <w:ind w:firstLine="480"/>
        <w:rPr>
          <w:szCs w:val="24"/>
        </w:rPr>
      </w:pPr>
      <w:r>
        <w:rPr>
          <w:rFonts w:hint="eastAsia"/>
          <w:szCs w:val="24"/>
        </w:rPr>
        <w:t>1</w:t>
      </w:r>
      <w:r>
        <w:rPr>
          <w:rFonts w:hint="eastAsia" w:ascii="宋体" w:hAnsi="宋体"/>
          <w:szCs w:val="24"/>
        </w:rPr>
        <w:t>、依法评价原则</w:t>
      </w:r>
    </w:p>
    <w:p w14:paraId="1AB1D171">
      <w:pPr>
        <w:adjustRightInd w:val="0"/>
        <w:snapToGrid w:val="0"/>
        <w:ind w:firstLine="480"/>
        <w:rPr>
          <w:szCs w:val="24"/>
        </w:rPr>
      </w:pPr>
      <w:r>
        <w:rPr>
          <w:rFonts w:hint="eastAsia" w:ascii="宋体" w:hAnsi="宋体"/>
          <w:szCs w:val="24"/>
        </w:rPr>
        <w:t>贯彻执行我国环境保护相关法律法规、标准、政策和规划等，优化项目建设，服务环境管理。</w:t>
      </w:r>
    </w:p>
    <w:p w14:paraId="32BC9AD8">
      <w:pPr>
        <w:adjustRightInd w:val="0"/>
        <w:snapToGrid w:val="0"/>
        <w:ind w:firstLine="480"/>
        <w:rPr>
          <w:szCs w:val="24"/>
        </w:rPr>
      </w:pPr>
      <w:r>
        <w:rPr>
          <w:rFonts w:hint="eastAsia"/>
          <w:szCs w:val="24"/>
        </w:rPr>
        <w:t>2</w:t>
      </w:r>
      <w:r>
        <w:rPr>
          <w:rFonts w:hint="eastAsia" w:ascii="宋体" w:hAnsi="宋体"/>
          <w:szCs w:val="24"/>
        </w:rPr>
        <w:t>、科学评价原则</w:t>
      </w:r>
    </w:p>
    <w:p w14:paraId="088D2331">
      <w:pPr>
        <w:adjustRightInd w:val="0"/>
        <w:snapToGrid w:val="0"/>
        <w:ind w:firstLine="480"/>
        <w:rPr>
          <w:szCs w:val="24"/>
        </w:rPr>
      </w:pPr>
      <w:r>
        <w:rPr>
          <w:rFonts w:hint="eastAsia" w:ascii="宋体" w:hAnsi="宋体"/>
          <w:szCs w:val="24"/>
        </w:rPr>
        <w:t>规范环境影响评价方法，科学分析项目建设对环境质量的影响。</w:t>
      </w:r>
    </w:p>
    <w:p w14:paraId="298BD6A9">
      <w:pPr>
        <w:adjustRightInd w:val="0"/>
        <w:snapToGrid w:val="0"/>
        <w:ind w:firstLine="480"/>
        <w:rPr>
          <w:szCs w:val="24"/>
        </w:rPr>
      </w:pPr>
      <w:r>
        <w:rPr>
          <w:rFonts w:hint="eastAsia"/>
          <w:szCs w:val="24"/>
        </w:rPr>
        <w:t>3</w:t>
      </w:r>
      <w:r>
        <w:rPr>
          <w:rFonts w:hint="eastAsia" w:ascii="宋体" w:hAnsi="宋体"/>
          <w:szCs w:val="24"/>
        </w:rPr>
        <w:t>、突出重点</w:t>
      </w:r>
    </w:p>
    <w:p w14:paraId="74B6CC49">
      <w:pPr>
        <w:adjustRightInd w:val="0"/>
        <w:snapToGrid w:val="0"/>
        <w:ind w:firstLine="480"/>
        <w:rPr>
          <w:szCs w:val="24"/>
        </w:rPr>
      </w:pPr>
      <w:r>
        <w:rPr>
          <w:rFonts w:hint="eastAsia" w:ascii="宋体" w:hAnsi="宋体"/>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23C803E2">
      <w:pPr>
        <w:pStyle w:val="82"/>
      </w:pPr>
      <w:r>
        <w:rPr>
          <w:rFonts w:hint="eastAsia"/>
        </w:rPr>
        <w:t>环境影响识别与评价因子</w:t>
      </w:r>
    </w:p>
    <w:p w14:paraId="4B49B637">
      <w:pPr>
        <w:adjustRightInd w:val="0"/>
        <w:snapToGrid w:val="0"/>
        <w:ind w:firstLine="480"/>
        <w:rPr>
          <w:szCs w:val="24"/>
        </w:rPr>
      </w:pPr>
      <w:r>
        <w:rPr>
          <w:rFonts w:hint="eastAsia" w:ascii="宋体" w:hAnsi="宋体"/>
          <w:szCs w:val="24"/>
        </w:rPr>
        <w:t>根据本项目的生产规律和污染物排放特征及建设项目所在地</w:t>
      </w:r>
      <w:r>
        <w:rPr>
          <w:rFonts w:hint="eastAsia" w:ascii="宋体" w:hAnsi="宋体"/>
          <w:szCs w:val="24"/>
          <w:lang w:eastAsia="zh-CN"/>
        </w:rPr>
        <w:t>区的</w:t>
      </w:r>
      <w:r>
        <w:rPr>
          <w:rFonts w:hint="eastAsia" w:ascii="宋体" w:hAnsi="宋体"/>
          <w:szCs w:val="24"/>
        </w:rPr>
        <w:t>环境状况，采用矩阵法对可能受该工程影响的环境要素进行识别筛选，筛选结果见表</w:t>
      </w:r>
      <w:r>
        <w:rPr>
          <w:rFonts w:hint="eastAsia"/>
          <w:szCs w:val="24"/>
        </w:rPr>
        <w:t>2.2-1</w:t>
      </w:r>
      <w:r>
        <w:rPr>
          <w:rFonts w:hint="eastAsia" w:ascii="宋体" w:hAnsi="宋体"/>
          <w:szCs w:val="24"/>
        </w:rPr>
        <w:t>。</w:t>
      </w:r>
    </w:p>
    <w:p w14:paraId="65E02FE6">
      <w:pPr>
        <w:pStyle w:val="86"/>
      </w:pPr>
      <w:r>
        <w:rPr>
          <w:rFonts w:hint="eastAsia"/>
        </w:rPr>
        <w:t>环境影响要素识别表</w:t>
      </w:r>
    </w:p>
    <w:tbl>
      <w:tblPr>
        <w:tblStyle w:val="38"/>
        <w:tblW w:w="4998" w:type="pct"/>
        <w:tblInd w:w="98" w:type="dxa"/>
        <w:tblLayout w:type="autofit"/>
        <w:tblCellMar>
          <w:top w:w="0" w:type="dxa"/>
          <w:left w:w="10" w:type="dxa"/>
          <w:bottom w:w="0" w:type="dxa"/>
          <w:right w:w="10" w:type="dxa"/>
        </w:tblCellMar>
      </w:tblPr>
      <w:tblGrid>
        <w:gridCol w:w="1147"/>
        <w:gridCol w:w="1709"/>
        <w:gridCol w:w="1418"/>
        <w:gridCol w:w="1336"/>
        <w:gridCol w:w="1153"/>
        <w:gridCol w:w="1159"/>
        <w:gridCol w:w="1139"/>
        <w:gridCol w:w="26"/>
      </w:tblGrid>
      <w:tr w14:paraId="49A546FE">
        <w:tblPrEx>
          <w:tblCellMar>
            <w:top w:w="0" w:type="dxa"/>
            <w:left w:w="10" w:type="dxa"/>
            <w:bottom w:w="0" w:type="dxa"/>
            <w:right w:w="10" w:type="dxa"/>
          </w:tblCellMar>
        </w:tblPrEx>
        <w:trPr>
          <w:gridAfter w:val="1"/>
          <w:wAfter w:w="26" w:type="dxa"/>
          <w:trHeight w:val="57" w:hRule="atLeast"/>
        </w:trPr>
        <w:tc>
          <w:tcPr>
            <w:tcW w:w="1576" w:type="pct"/>
            <w:gridSpan w:val="2"/>
            <w:vMerge w:val="restart"/>
            <w:tcBorders>
              <w:top w:val="single" w:color="auto" w:sz="4" w:space="0"/>
              <w:left w:val="single" w:color="auto" w:sz="4" w:space="0"/>
              <w:bottom w:val="single" w:color="auto" w:sz="4" w:space="0"/>
              <w:right w:val="single" w:color="auto" w:sz="4" w:space="0"/>
            </w:tcBorders>
            <w:vAlign w:val="center"/>
          </w:tcPr>
          <w:p w14:paraId="649A752D">
            <w:pPr>
              <w:pStyle w:val="196"/>
              <w:rPr>
                <w:szCs w:val="21"/>
              </w:rPr>
            </w:pPr>
            <w:r>
              <w:rPr>
                <w:rFonts w:hint="eastAsia"/>
              </w:rPr>
              <w:t>类别</w:t>
            </w:r>
          </w:p>
        </w:tc>
        <w:tc>
          <w:tcPr>
            <w:tcW w:w="2155" w:type="pct"/>
            <w:gridSpan w:val="3"/>
            <w:tcBorders>
              <w:top w:val="single" w:color="auto" w:sz="4" w:space="0"/>
              <w:left w:val="nil"/>
              <w:bottom w:val="single" w:color="auto" w:sz="4" w:space="0"/>
              <w:right w:val="single" w:color="auto" w:sz="4" w:space="0"/>
            </w:tcBorders>
            <w:vAlign w:val="center"/>
          </w:tcPr>
          <w:p w14:paraId="148E2B66">
            <w:pPr>
              <w:pStyle w:val="196"/>
            </w:pPr>
            <w:r>
              <w:rPr>
                <w:rFonts w:hint="eastAsia"/>
              </w:rPr>
              <w:t>自然环境</w:t>
            </w:r>
          </w:p>
        </w:tc>
        <w:tc>
          <w:tcPr>
            <w:tcW w:w="1267" w:type="pct"/>
            <w:gridSpan w:val="2"/>
            <w:tcBorders>
              <w:top w:val="single" w:color="auto" w:sz="4" w:space="0"/>
              <w:left w:val="nil"/>
              <w:bottom w:val="single" w:color="auto" w:sz="4" w:space="0"/>
              <w:right w:val="single" w:color="auto" w:sz="4" w:space="0"/>
            </w:tcBorders>
            <w:vAlign w:val="center"/>
          </w:tcPr>
          <w:p w14:paraId="2D2398AF">
            <w:pPr>
              <w:pStyle w:val="196"/>
            </w:pPr>
            <w:r>
              <w:rPr>
                <w:rFonts w:hint="eastAsia"/>
              </w:rPr>
              <w:t>生态环境</w:t>
            </w:r>
          </w:p>
        </w:tc>
      </w:tr>
      <w:tr w14:paraId="492838CA">
        <w:tblPrEx>
          <w:tblCellMar>
            <w:top w:w="0" w:type="dxa"/>
            <w:left w:w="10" w:type="dxa"/>
            <w:bottom w:w="0" w:type="dxa"/>
            <w:right w:w="10" w:type="dxa"/>
          </w:tblCellMar>
        </w:tblPrEx>
        <w:trPr>
          <w:gridAfter w:val="1"/>
          <w:wAfter w:w="26" w:type="dxa"/>
          <w:trHeight w:val="312" w:hRule="atLeast"/>
        </w:trPr>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64A15ACF">
            <w:pPr>
              <w:pStyle w:val="196"/>
              <w:rPr>
                <w:szCs w:val="21"/>
              </w:rPr>
            </w:pPr>
          </w:p>
        </w:tc>
        <w:tc>
          <w:tcPr>
            <w:tcW w:w="782" w:type="pct"/>
            <w:vMerge w:val="restart"/>
            <w:tcBorders>
              <w:top w:val="nil"/>
              <w:left w:val="nil"/>
              <w:bottom w:val="single" w:color="auto" w:sz="4" w:space="0"/>
              <w:right w:val="single" w:color="auto" w:sz="4" w:space="0"/>
            </w:tcBorders>
            <w:vAlign w:val="center"/>
          </w:tcPr>
          <w:p w14:paraId="1D259D8E">
            <w:pPr>
              <w:pStyle w:val="196"/>
            </w:pPr>
            <w:r>
              <w:rPr>
                <w:rFonts w:hint="eastAsia"/>
              </w:rPr>
              <w:t>环境空气</w:t>
            </w:r>
          </w:p>
        </w:tc>
        <w:tc>
          <w:tcPr>
            <w:tcW w:w="737" w:type="pct"/>
            <w:vMerge w:val="restart"/>
            <w:tcBorders>
              <w:top w:val="nil"/>
              <w:left w:val="nil"/>
              <w:bottom w:val="single" w:color="auto" w:sz="4" w:space="0"/>
              <w:right w:val="single" w:color="auto" w:sz="4" w:space="0"/>
            </w:tcBorders>
            <w:vAlign w:val="center"/>
          </w:tcPr>
          <w:p w14:paraId="471A08B5">
            <w:pPr>
              <w:pStyle w:val="196"/>
            </w:pPr>
            <w:r>
              <w:rPr>
                <w:rFonts w:hint="eastAsia"/>
              </w:rPr>
              <w:t>地表水环境</w:t>
            </w:r>
          </w:p>
        </w:tc>
        <w:tc>
          <w:tcPr>
            <w:tcW w:w="636" w:type="pct"/>
            <w:vMerge w:val="restart"/>
            <w:tcBorders>
              <w:top w:val="single" w:color="auto" w:sz="4" w:space="0"/>
              <w:left w:val="nil"/>
              <w:bottom w:val="single" w:color="auto" w:sz="4" w:space="0"/>
              <w:right w:val="single" w:color="auto" w:sz="4" w:space="0"/>
            </w:tcBorders>
            <w:vAlign w:val="center"/>
          </w:tcPr>
          <w:p w14:paraId="4CCCE377">
            <w:pPr>
              <w:pStyle w:val="196"/>
            </w:pPr>
            <w:r>
              <w:rPr>
                <w:rFonts w:hint="eastAsia"/>
              </w:rPr>
              <w:t>声环境</w:t>
            </w:r>
          </w:p>
        </w:tc>
        <w:tc>
          <w:tcPr>
            <w:tcW w:w="639" w:type="pct"/>
            <w:vMerge w:val="restart"/>
            <w:tcBorders>
              <w:top w:val="single" w:color="auto" w:sz="4" w:space="0"/>
              <w:left w:val="nil"/>
              <w:bottom w:val="single" w:color="auto" w:sz="4" w:space="0"/>
              <w:right w:val="single" w:color="auto" w:sz="4" w:space="0"/>
            </w:tcBorders>
            <w:vAlign w:val="center"/>
          </w:tcPr>
          <w:p w14:paraId="6B3F32A8">
            <w:pPr>
              <w:pStyle w:val="196"/>
            </w:pPr>
            <w:r>
              <w:rPr>
                <w:rFonts w:hint="eastAsia"/>
              </w:rPr>
              <w:t>陆生生态</w:t>
            </w:r>
          </w:p>
        </w:tc>
        <w:tc>
          <w:tcPr>
            <w:tcW w:w="628" w:type="pct"/>
            <w:vMerge w:val="restart"/>
            <w:tcBorders>
              <w:top w:val="single" w:color="auto" w:sz="4" w:space="0"/>
              <w:left w:val="nil"/>
              <w:bottom w:val="nil"/>
              <w:right w:val="single" w:color="auto" w:sz="4" w:space="0"/>
            </w:tcBorders>
            <w:vAlign w:val="center"/>
          </w:tcPr>
          <w:p w14:paraId="72873C7B">
            <w:pPr>
              <w:pStyle w:val="196"/>
            </w:pPr>
            <w:r>
              <w:rPr>
                <w:rFonts w:hint="eastAsia"/>
              </w:rPr>
              <w:t>水生生态</w:t>
            </w:r>
          </w:p>
        </w:tc>
      </w:tr>
      <w:tr w14:paraId="78D8DFC4">
        <w:tblPrEx>
          <w:tblCellMar>
            <w:top w:w="0" w:type="dxa"/>
            <w:left w:w="10" w:type="dxa"/>
            <w:bottom w:w="0" w:type="dxa"/>
            <w:right w:w="10" w:type="dxa"/>
          </w:tblCellMar>
        </w:tblPrEx>
        <w:trPr>
          <w:trHeight w:val="312" w:hRule="atLeast"/>
        </w:trPr>
        <w:tc>
          <w:tcPr>
            <w:tcW w:w="0" w:type="auto"/>
            <w:gridSpan w:val="2"/>
            <w:vMerge w:val="continue"/>
            <w:tcBorders>
              <w:top w:val="single" w:color="auto" w:sz="4" w:space="0"/>
              <w:left w:val="single" w:color="auto" w:sz="4" w:space="0"/>
              <w:bottom w:val="single" w:color="auto" w:sz="4" w:space="0"/>
              <w:right w:val="single" w:color="auto" w:sz="4" w:space="0"/>
            </w:tcBorders>
            <w:vAlign w:val="center"/>
          </w:tcPr>
          <w:p w14:paraId="27176BD6">
            <w:pPr>
              <w:pStyle w:val="196"/>
              <w:rPr>
                <w:szCs w:val="21"/>
              </w:rPr>
            </w:pPr>
          </w:p>
        </w:tc>
        <w:tc>
          <w:tcPr>
            <w:tcW w:w="0" w:type="auto"/>
            <w:vMerge w:val="continue"/>
            <w:tcBorders>
              <w:top w:val="nil"/>
              <w:left w:val="nil"/>
              <w:bottom w:val="single" w:color="auto" w:sz="4" w:space="0"/>
              <w:right w:val="single" w:color="auto" w:sz="4" w:space="0"/>
            </w:tcBorders>
            <w:vAlign w:val="center"/>
          </w:tcPr>
          <w:p w14:paraId="4890AB09">
            <w:pPr>
              <w:pStyle w:val="196"/>
              <w:rPr>
                <w:szCs w:val="21"/>
              </w:rPr>
            </w:pPr>
          </w:p>
        </w:tc>
        <w:tc>
          <w:tcPr>
            <w:tcW w:w="0" w:type="auto"/>
            <w:vMerge w:val="continue"/>
            <w:tcBorders>
              <w:top w:val="nil"/>
              <w:left w:val="nil"/>
              <w:bottom w:val="single" w:color="auto" w:sz="4" w:space="0"/>
              <w:right w:val="single" w:color="auto" w:sz="4" w:space="0"/>
            </w:tcBorders>
            <w:vAlign w:val="center"/>
          </w:tcPr>
          <w:p w14:paraId="70FE5E3F">
            <w:pPr>
              <w:pStyle w:val="196"/>
              <w:rPr>
                <w:szCs w:val="21"/>
              </w:rPr>
            </w:pPr>
          </w:p>
        </w:tc>
        <w:tc>
          <w:tcPr>
            <w:tcW w:w="0" w:type="auto"/>
            <w:vMerge w:val="continue"/>
            <w:tcBorders>
              <w:top w:val="single" w:color="auto" w:sz="4" w:space="0"/>
              <w:left w:val="nil"/>
              <w:bottom w:val="single" w:color="auto" w:sz="4" w:space="0"/>
              <w:right w:val="single" w:color="auto" w:sz="4" w:space="0"/>
            </w:tcBorders>
            <w:vAlign w:val="center"/>
          </w:tcPr>
          <w:p w14:paraId="697278E4">
            <w:pPr>
              <w:pStyle w:val="196"/>
              <w:rPr>
                <w:szCs w:val="21"/>
              </w:rPr>
            </w:pPr>
          </w:p>
        </w:tc>
        <w:tc>
          <w:tcPr>
            <w:tcW w:w="0" w:type="auto"/>
            <w:vMerge w:val="continue"/>
            <w:tcBorders>
              <w:top w:val="single" w:color="auto" w:sz="4" w:space="0"/>
              <w:left w:val="nil"/>
              <w:bottom w:val="single" w:color="auto" w:sz="4" w:space="0"/>
              <w:right w:val="single" w:color="auto" w:sz="4" w:space="0"/>
            </w:tcBorders>
            <w:vAlign w:val="center"/>
          </w:tcPr>
          <w:p w14:paraId="6794B325">
            <w:pPr>
              <w:pStyle w:val="196"/>
              <w:rPr>
                <w:szCs w:val="21"/>
              </w:rPr>
            </w:pPr>
          </w:p>
        </w:tc>
        <w:tc>
          <w:tcPr>
            <w:tcW w:w="0" w:type="auto"/>
            <w:vMerge w:val="continue"/>
            <w:tcBorders>
              <w:top w:val="single" w:color="auto" w:sz="4" w:space="0"/>
              <w:left w:val="nil"/>
              <w:bottom w:val="nil"/>
              <w:right w:val="single" w:color="auto" w:sz="4" w:space="0"/>
            </w:tcBorders>
            <w:vAlign w:val="center"/>
          </w:tcPr>
          <w:p w14:paraId="4EA976FF">
            <w:pPr>
              <w:pStyle w:val="196"/>
              <w:rPr>
                <w:szCs w:val="21"/>
              </w:rPr>
            </w:pPr>
          </w:p>
        </w:tc>
        <w:tc>
          <w:tcPr>
            <w:tcW w:w="0" w:type="auto"/>
            <w:vAlign w:val="center"/>
          </w:tcPr>
          <w:p w14:paraId="5646E555">
            <w:pPr>
              <w:pStyle w:val="196"/>
            </w:pPr>
          </w:p>
        </w:tc>
      </w:tr>
      <w:tr w14:paraId="05C1026C">
        <w:tblPrEx>
          <w:tblCellMar>
            <w:top w:w="0" w:type="dxa"/>
            <w:left w:w="10" w:type="dxa"/>
            <w:bottom w:w="0" w:type="dxa"/>
            <w:right w:w="10" w:type="dxa"/>
          </w:tblCellMar>
        </w:tblPrEx>
        <w:trPr>
          <w:trHeight w:val="57" w:hRule="atLeast"/>
        </w:trPr>
        <w:tc>
          <w:tcPr>
            <w:tcW w:w="633" w:type="pct"/>
            <w:vMerge w:val="restart"/>
            <w:tcBorders>
              <w:top w:val="nil"/>
              <w:left w:val="single" w:color="auto" w:sz="4" w:space="0"/>
              <w:bottom w:val="single" w:color="auto" w:sz="4" w:space="0"/>
              <w:right w:val="single" w:color="auto" w:sz="4" w:space="0"/>
            </w:tcBorders>
            <w:vAlign w:val="center"/>
          </w:tcPr>
          <w:p w14:paraId="330D6601">
            <w:pPr>
              <w:pStyle w:val="196"/>
              <w:rPr>
                <w:bCs/>
                <w:szCs w:val="21"/>
              </w:rPr>
            </w:pPr>
            <w:r>
              <w:rPr>
                <w:rFonts w:hint="eastAsia"/>
                <w:bCs/>
              </w:rPr>
              <w:t>施工期</w:t>
            </w:r>
          </w:p>
        </w:tc>
        <w:tc>
          <w:tcPr>
            <w:tcW w:w="943" w:type="pct"/>
            <w:tcBorders>
              <w:top w:val="single" w:color="auto" w:sz="4" w:space="0"/>
              <w:left w:val="nil"/>
              <w:bottom w:val="single" w:color="auto" w:sz="4" w:space="0"/>
              <w:right w:val="single" w:color="auto" w:sz="4" w:space="0"/>
            </w:tcBorders>
            <w:vAlign w:val="center"/>
          </w:tcPr>
          <w:p w14:paraId="240EFB53">
            <w:pPr>
              <w:pStyle w:val="196"/>
              <w:rPr>
                <w:bCs/>
              </w:rPr>
            </w:pPr>
            <w:r>
              <w:rPr>
                <w:rFonts w:hint="eastAsia"/>
                <w:bCs/>
              </w:rPr>
              <w:t>废气</w:t>
            </w:r>
          </w:p>
        </w:tc>
        <w:tc>
          <w:tcPr>
            <w:tcW w:w="782" w:type="pct"/>
            <w:tcBorders>
              <w:top w:val="single" w:color="auto" w:sz="4" w:space="0"/>
              <w:left w:val="nil"/>
              <w:bottom w:val="single" w:color="auto" w:sz="4" w:space="0"/>
              <w:right w:val="single" w:color="auto" w:sz="4" w:space="0"/>
            </w:tcBorders>
            <w:vAlign w:val="center"/>
          </w:tcPr>
          <w:p w14:paraId="6DCC5326">
            <w:pPr>
              <w:pStyle w:val="196"/>
              <w:rPr>
                <w:bCs/>
              </w:rPr>
            </w:pPr>
            <w:r>
              <w:rPr>
                <w:rFonts w:hint="eastAsia"/>
                <w:bCs/>
              </w:rPr>
              <w:t>-1D</w:t>
            </w:r>
          </w:p>
        </w:tc>
        <w:tc>
          <w:tcPr>
            <w:tcW w:w="737" w:type="pct"/>
            <w:tcBorders>
              <w:top w:val="single" w:color="auto" w:sz="4" w:space="0"/>
              <w:left w:val="nil"/>
              <w:bottom w:val="single" w:color="auto" w:sz="4" w:space="0"/>
              <w:right w:val="single" w:color="auto" w:sz="4" w:space="0"/>
            </w:tcBorders>
            <w:vAlign w:val="center"/>
          </w:tcPr>
          <w:p w14:paraId="529EDB41">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334E2F98">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5984B209">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52AED89D">
            <w:pPr>
              <w:pStyle w:val="196"/>
              <w:rPr>
                <w:bCs/>
              </w:rPr>
            </w:pPr>
            <w:r>
              <w:rPr>
                <w:rFonts w:hint="eastAsia"/>
                <w:bCs/>
              </w:rPr>
              <w:t>/</w:t>
            </w:r>
          </w:p>
        </w:tc>
        <w:tc>
          <w:tcPr>
            <w:tcW w:w="0" w:type="auto"/>
            <w:vAlign w:val="center"/>
          </w:tcPr>
          <w:p w14:paraId="18B8D49B">
            <w:pPr>
              <w:pStyle w:val="196"/>
              <w:rPr>
                <w:rFonts w:eastAsia="Times New Roman"/>
                <w:sz w:val="20"/>
                <w:szCs w:val="20"/>
              </w:rPr>
            </w:pPr>
          </w:p>
        </w:tc>
      </w:tr>
      <w:tr w14:paraId="20E20D5D">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5886A0FB">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3FDA9C6B">
            <w:pPr>
              <w:pStyle w:val="196"/>
              <w:rPr>
                <w:bCs/>
              </w:rPr>
            </w:pPr>
            <w:r>
              <w:rPr>
                <w:rFonts w:hint="eastAsia"/>
                <w:bCs/>
              </w:rPr>
              <w:t>废水</w:t>
            </w:r>
          </w:p>
        </w:tc>
        <w:tc>
          <w:tcPr>
            <w:tcW w:w="782" w:type="pct"/>
            <w:tcBorders>
              <w:top w:val="single" w:color="auto" w:sz="4" w:space="0"/>
              <w:left w:val="nil"/>
              <w:bottom w:val="single" w:color="auto" w:sz="4" w:space="0"/>
              <w:right w:val="single" w:color="auto" w:sz="4" w:space="0"/>
            </w:tcBorders>
            <w:vAlign w:val="center"/>
          </w:tcPr>
          <w:p w14:paraId="40AF898A">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293C56B7">
            <w:pPr>
              <w:pStyle w:val="196"/>
              <w:rPr>
                <w:bCs/>
              </w:rPr>
            </w:pPr>
            <w:r>
              <w:rPr>
                <w:rFonts w:hint="eastAsia"/>
                <w:bCs/>
              </w:rPr>
              <w:t>-1D</w:t>
            </w:r>
          </w:p>
        </w:tc>
        <w:tc>
          <w:tcPr>
            <w:tcW w:w="636" w:type="pct"/>
            <w:tcBorders>
              <w:top w:val="single" w:color="auto" w:sz="4" w:space="0"/>
              <w:left w:val="nil"/>
              <w:bottom w:val="single" w:color="auto" w:sz="4" w:space="0"/>
              <w:right w:val="single" w:color="auto" w:sz="4" w:space="0"/>
            </w:tcBorders>
            <w:vAlign w:val="center"/>
          </w:tcPr>
          <w:p w14:paraId="0AD76D52">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0589972B">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0A78FED4">
            <w:pPr>
              <w:pStyle w:val="196"/>
              <w:rPr>
                <w:bCs/>
              </w:rPr>
            </w:pPr>
            <w:r>
              <w:rPr>
                <w:rFonts w:hint="eastAsia"/>
                <w:bCs/>
              </w:rPr>
              <w:t>-1D</w:t>
            </w:r>
          </w:p>
        </w:tc>
        <w:tc>
          <w:tcPr>
            <w:tcW w:w="0" w:type="auto"/>
            <w:vAlign w:val="center"/>
          </w:tcPr>
          <w:p w14:paraId="5ED4B2F3">
            <w:pPr>
              <w:pStyle w:val="196"/>
              <w:rPr>
                <w:rFonts w:eastAsia="Times New Roman"/>
                <w:sz w:val="20"/>
                <w:szCs w:val="20"/>
              </w:rPr>
            </w:pPr>
          </w:p>
        </w:tc>
      </w:tr>
      <w:tr w14:paraId="4AA37B92">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1B2770A5">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531924D6">
            <w:pPr>
              <w:pStyle w:val="196"/>
              <w:rPr>
                <w:bCs/>
              </w:rPr>
            </w:pPr>
            <w:r>
              <w:rPr>
                <w:rFonts w:hint="eastAsia"/>
                <w:bCs/>
              </w:rPr>
              <w:t>噪声</w:t>
            </w:r>
          </w:p>
        </w:tc>
        <w:tc>
          <w:tcPr>
            <w:tcW w:w="782" w:type="pct"/>
            <w:tcBorders>
              <w:top w:val="single" w:color="auto" w:sz="4" w:space="0"/>
              <w:left w:val="nil"/>
              <w:bottom w:val="single" w:color="auto" w:sz="4" w:space="0"/>
              <w:right w:val="single" w:color="auto" w:sz="4" w:space="0"/>
            </w:tcBorders>
            <w:vAlign w:val="center"/>
          </w:tcPr>
          <w:p w14:paraId="06A6F6BE">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4E549810">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1E5A6AC4">
            <w:pPr>
              <w:pStyle w:val="196"/>
              <w:rPr>
                <w:bCs/>
              </w:rPr>
            </w:pPr>
            <w:r>
              <w:rPr>
                <w:rFonts w:hint="eastAsia"/>
                <w:bCs/>
              </w:rPr>
              <w:t>-1D</w:t>
            </w:r>
          </w:p>
        </w:tc>
        <w:tc>
          <w:tcPr>
            <w:tcW w:w="639" w:type="pct"/>
            <w:tcBorders>
              <w:top w:val="single" w:color="auto" w:sz="4" w:space="0"/>
              <w:left w:val="nil"/>
              <w:bottom w:val="single" w:color="auto" w:sz="4" w:space="0"/>
              <w:right w:val="single" w:color="auto" w:sz="4" w:space="0"/>
            </w:tcBorders>
            <w:vAlign w:val="center"/>
          </w:tcPr>
          <w:p w14:paraId="0DBEA996">
            <w:pPr>
              <w:pStyle w:val="196"/>
              <w:rPr>
                <w:bCs/>
              </w:rPr>
            </w:pPr>
          </w:p>
        </w:tc>
        <w:tc>
          <w:tcPr>
            <w:tcW w:w="628" w:type="pct"/>
            <w:tcBorders>
              <w:top w:val="single" w:color="auto" w:sz="4" w:space="0"/>
              <w:left w:val="nil"/>
              <w:bottom w:val="single" w:color="auto" w:sz="4" w:space="0"/>
              <w:right w:val="single" w:color="auto" w:sz="4" w:space="0"/>
            </w:tcBorders>
            <w:vAlign w:val="center"/>
          </w:tcPr>
          <w:p w14:paraId="667CA4CD">
            <w:pPr>
              <w:pStyle w:val="196"/>
              <w:rPr>
                <w:bCs/>
              </w:rPr>
            </w:pPr>
            <w:r>
              <w:rPr>
                <w:rFonts w:hint="eastAsia"/>
                <w:bCs/>
              </w:rPr>
              <w:t>/</w:t>
            </w:r>
          </w:p>
        </w:tc>
        <w:tc>
          <w:tcPr>
            <w:tcW w:w="0" w:type="auto"/>
            <w:vAlign w:val="center"/>
          </w:tcPr>
          <w:p w14:paraId="56CB26FC">
            <w:pPr>
              <w:pStyle w:val="196"/>
              <w:rPr>
                <w:rFonts w:eastAsia="Times New Roman"/>
                <w:sz w:val="20"/>
                <w:szCs w:val="20"/>
              </w:rPr>
            </w:pPr>
          </w:p>
        </w:tc>
      </w:tr>
      <w:tr w14:paraId="16B6D2DD">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7CC86AB3">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2FB24CFD">
            <w:pPr>
              <w:pStyle w:val="196"/>
              <w:rPr>
                <w:bCs/>
              </w:rPr>
            </w:pPr>
            <w:r>
              <w:rPr>
                <w:rFonts w:hint="eastAsia"/>
                <w:bCs/>
              </w:rPr>
              <w:t>固废</w:t>
            </w:r>
          </w:p>
        </w:tc>
        <w:tc>
          <w:tcPr>
            <w:tcW w:w="782" w:type="pct"/>
            <w:tcBorders>
              <w:top w:val="single" w:color="auto" w:sz="4" w:space="0"/>
              <w:left w:val="nil"/>
              <w:bottom w:val="single" w:color="auto" w:sz="4" w:space="0"/>
              <w:right w:val="single" w:color="auto" w:sz="4" w:space="0"/>
            </w:tcBorders>
            <w:vAlign w:val="center"/>
          </w:tcPr>
          <w:p w14:paraId="66405867">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4D8C6718">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1E5BF157">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4846667B">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4FD64849">
            <w:pPr>
              <w:pStyle w:val="196"/>
              <w:rPr>
                <w:bCs/>
              </w:rPr>
            </w:pPr>
            <w:r>
              <w:rPr>
                <w:rFonts w:hint="eastAsia"/>
                <w:bCs/>
              </w:rPr>
              <w:t>/</w:t>
            </w:r>
          </w:p>
        </w:tc>
        <w:tc>
          <w:tcPr>
            <w:tcW w:w="0" w:type="auto"/>
            <w:vAlign w:val="center"/>
          </w:tcPr>
          <w:p w14:paraId="6A9FFCEC">
            <w:pPr>
              <w:pStyle w:val="196"/>
              <w:rPr>
                <w:rFonts w:eastAsia="Times New Roman"/>
                <w:sz w:val="20"/>
                <w:szCs w:val="20"/>
              </w:rPr>
            </w:pPr>
          </w:p>
        </w:tc>
      </w:tr>
      <w:tr w14:paraId="5D173799">
        <w:tblPrEx>
          <w:tblCellMar>
            <w:top w:w="0" w:type="dxa"/>
            <w:left w:w="10" w:type="dxa"/>
            <w:bottom w:w="0" w:type="dxa"/>
            <w:right w:w="10" w:type="dxa"/>
          </w:tblCellMar>
        </w:tblPrEx>
        <w:trPr>
          <w:trHeight w:val="57" w:hRule="atLeast"/>
        </w:trPr>
        <w:tc>
          <w:tcPr>
            <w:tcW w:w="633" w:type="pct"/>
            <w:vMerge w:val="restart"/>
            <w:tcBorders>
              <w:top w:val="nil"/>
              <w:left w:val="single" w:color="auto" w:sz="4" w:space="0"/>
              <w:bottom w:val="single" w:color="auto" w:sz="4" w:space="0"/>
              <w:right w:val="single" w:color="auto" w:sz="4" w:space="0"/>
            </w:tcBorders>
            <w:vAlign w:val="center"/>
          </w:tcPr>
          <w:p w14:paraId="7EC415B0">
            <w:pPr>
              <w:pStyle w:val="196"/>
              <w:rPr>
                <w:bCs/>
              </w:rPr>
            </w:pPr>
            <w:r>
              <w:rPr>
                <w:rFonts w:hint="eastAsia"/>
                <w:bCs/>
              </w:rPr>
              <w:t>运营期</w:t>
            </w:r>
          </w:p>
        </w:tc>
        <w:tc>
          <w:tcPr>
            <w:tcW w:w="943" w:type="pct"/>
            <w:tcBorders>
              <w:top w:val="single" w:color="auto" w:sz="4" w:space="0"/>
              <w:left w:val="nil"/>
              <w:bottom w:val="single" w:color="auto" w:sz="4" w:space="0"/>
              <w:right w:val="single" w:color="auto" w:sz="4" w:space="0"/>
            </w:tcBorders>
            <w:vAlign w:val="center"/>
          </w:tcPr>
          <w:p w14:paraId="438103FD">
            <w:pPr>
              <w:pStyle w:val="196"/>
              <w:rPr>
                <w:bCs/>
              </w:rPr>
            </w:pPr>
            <w:r>
              <w:rPr>
                <w:rFonts w:hint="eastAsia"/>
                <w:bCs/>
              </w:rPr>
              <w:t>废气</w:t>
            </w:r>
          </w:p>
        </w:tc>
        <w:tc>
          <w:tcPr>
            <w:tcW w:w="782" w:type="pct"/>
            <w:tcBorders>
              <w:top w:val="single" w:color="auto" w:sz="4" w:space="0"/>
              <w:left w:val="nil"/>
              <w:bottom w:val="single" w:color="auto" w:sz="4" w:space="0"/>
              <w:right w:val="single" w:color="auto" w:sz="4" w:space="0"/>
            </w:tcBorders>
            <w:vAlign w:val="center"/>
          </w:tcPr>
          <w:p w14:paraId="4782CEE9">
            <w:pPr>
              <w:pStyle w:val="196"/>
              <w:rPr>
                <w:bCs/>
              </w:rPr>
            </w:pPr>
            <w:r>
              <w:rPr>
                <w:rFonts w:hint="eastAsia"/>
                <w:bCs/>
              </w:rPr>
              <w:t>-1C</w:t>
            </w:r>
          </w:p>
        </w:tc>
        <w:tc>
          <w:tcPr>
            <w:tcW w:w="737" w:type="pct"/>
            <w:tcBorders>
              <w:top w:val="single" w:color="auto" w:sz="4" w:space="0"/>
              <w:left w:val="nil"/>
              <w:bottom w:val="single" w:color="auto" w:sz="4" w:space="0"/>
              <w:right w:val="single" w:color="auto" w:sz="4" w:space="0"/>
            </w:tcBorders>
            <w:vAlign w:val="center"/>
          </w:tcPr>
          <w:p w14:paraId="00489DDC">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7CDCB2E5">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39C80151">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48E74788">
            <w:pPr>
              <w:pStyle w:val="196"/>
              <w:rPr>
                <w:bCs/>
              </w:rPr>
            </w:pPr>
            <w:r>
              <w:rPr>
                <w:rFonts w:hint="eastAsia"/>
                <w:bCs/>
              </w:rPr>
              <w:t>/</w:t>
            </w:r>
          </w:p>
        </w:tc>
        <w:tc>
          <w:tcPr>
            <w:tcW w:w="0" w:type="auto"/>
            <w:vAlign w:val="center"/>
          </w:tcPr>
          <w:p w14:paraId="6BB014B4">
            <w:pPr>
              <w:pStyle w:val="196"/>
              <w:rPr>
                <w:rFonts w:eastAsia="Times New Roman"/>
                <w:sz w:val="20"/>
                <w:szCs w:val="20"/>
              </w:rPr>
            </w:pPr>
          </w:p>
        </w:tc>
      </w:tr>
      <w:tr w14:paraId="5ECB7B70">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5EBCCC4F">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0BF6E9D7">
            <w:pPr>
              <w:pStyle w:val="196"/>
              <w:rPr>
                <w:bCs/>
              </w:rPr>
            </w:pPr>
            <w:r>
              <w:rPr>
                <w:rFonts w:hint="eastAsia"/>
                <w:bCs/>
              </w:rPr>
              <w:t>废水</w:t>
            </w:r>
          </w:p>
        </w:tc>
        <w:tc>
          <w:tcPr>
            <w:tcW w:w="782" w:type="pct"/>
            <w:tcBorders>
              <w:top w:val="single" w:color="auto" w:sz="4" w:space="0"/>
              <w:left w:val="nil"/>
              <w:bottom w:val="single" w:color="auto" w:sz="4" w:space="0"/>
              <w:right w:val="single" w:color="auto" w:sz="4" w:space="0"/>
            </w:tcBorders>
            <w:vAlign w:val="center"/>
          </w:tcPr>
          <w:p w14:paraId="1A75893E">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2A1EC27A">
            <w:pPr>
              <w:pStyle w:val="196"/>
              <w:rPr>
                <w:bCs/>
              </w:rPr>
            </w:pPr>
            <w:r>
              <w:rPr>
                <w:rFonts w:hint="eastAsia"/>
                <w:bCs/>
              </w:rPr>
              <w:t>-1C</w:t>
            </w:r>
          </w:p>
        </w:tc>
        <w:tc>
          <w:tcPr>
            <w:tcW w:w="636" w:type="pct"/>
            <w:tcBorders>
              <w:top w:val="single" w:color="auto" w:sz="4" w:space="0"/>
              <w:left w:val="nil"/>
              <w:bottom w:val="single" w:color="auto" w:sz="4" w:space="0"/>
              <w:right w:val="single" w:color="auto" w:sz="4" w:space="0"/>
            </w:tcBorders>
            <w:vAlign w:val="center"/>
          </w:tcPr>
          <w:p w14:paraId="79178993">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1705C2A4">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5308D954">
            <w:pPr>
              <w:pStyle w:val="196"/>
              <w:rPr>
                <w:bCs/>
              </w:rPr>
            </w:pPr>
            <w:r>
              <w:rPr>
                <w:rFonts w:hint="eastAsia"/>
                <w:bCs/>
              </w:rPr>
              <w:t>-1C</w:t>
            </w:r>
          </w:p>
        </w:tc>
        <w:tc>
          <w:tcPr>
            <w:tcW w:w="0" w:type="auto"/>
            <w:vAlign w:val="center"/>
          </w:tcPr>
          <w:p w14:paraId="15865DDC">
            <w:pPr>
              <w:pStyle w:val="196"/>
              <w:rPr>
                <w:rFonts w:eastAsia="Times New Roman"/>
                <w:sz w:val="20"/>
                <w:szCs w:val="20"/>
              </w:rPr>
            </w:pPr>
          </w:p>
        </w:tc>
      </w:tr>
      <w:tr w14:paraId="7229CF2B">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3F4B7292">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4C7720AF">
            <w:pPr>
              <w:pStyle w:val="196"/>
              <w:rPr>
                <w:bCs/>
              </w:rPr>
            </w:pPr>
            <w:r>
              <w:rPr>
                <w:rFonts w:hint="eastAsia"/>
                <w:bCs/>
              </w:rPr>
              <w:t>噪声</w:t>
            </w:r>
          </w:p>
        </w:tc>
        <w:tc>
          <w:tcPr>
            <w:tcW w:w="782" w:type="pct"/>
            <w:tcBorders>
              <w:top w:val="single" w:color="auto" w:sz="4" w:space="0"/>
              <w:left w:val="nil"/>
              <w:bottom w:val="single" w:color="auto" w:sz="4" w:space="0"/>
              <w:right w:val="single" w:color="auto" w:sz="4" w:space="0"/>
            </w:tcBorders>
            <w:vAlign w:val="center"/>
          </w:tcPr>
          <w:p w14:paraId="112DA4A8">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1F1274A9">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221230A4">
            <w:pPr>
              <w:pStyle w:val="196"/>
              <w:rPr>
                <w:bCs/>
              </w:rPr>
            </w:pPr>
            <w:r>
              <w:rPr>
                <w:rFonts w:hint="eastAsia"/>
                <w:bCs/>
              </w:rPr>
              <w:t>-1C</w:t>
            </w:r>
          </w:p>
        </w:tc>
        <w:tc>
          <w:tcPr>
            <w:tcW w:w="639" w:type="pct"/>
            <w:tcBorders>
              <w:top w:val="single" w:color="auto" w:sz="4" w:space="0"/>
              <w:left w:val="nil"/>
              <w:bottom w:val="single" w:color="auto" w:sz="4" w:space="0"/>
              <w:right w:val="single" w:color="auto" w:sz="4" w:space="0"/>
            </w:tcBorders>
            <w:vAlign w:val="center"/>
          </w:tcPr>
          <w:p w14:paraId="2EE0D4BA">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024DB28C">
            <w:pPr>
              <w:pStyle w:val="196"/>
              <w:rPr>
                <w:bCs/>
              </w:rPr>
            </w:pPr>
            <w:r>
              <w:rPr>
                <w:rFonts w:hint="eastAsia"/>
                <w:bCs/>
              </w:rPr>
              <w:t>/</w:t>
            </w:r>
          </w:p>
        </w:tc>
        <w:tc>
          <w:tcPr>
            <w:tcW w:w="0" w:type="auto"/>
            <w:vAlign w:val="center"/>
          </w:tcPr>
          <w:p w14:paraId="79C76991">
            <w:pPr>
              <w:pStyle w:val="196"/>
              <w:rPr>
                <w:rFonts w:eastAsia="Times New Roman"/>
                <w:sz w:val="20"/>
                <w:szCs w:val="20"/>
              </w:rPr>
            </w:pPr>
          </w:p>
        </w:tc>
      </w:tr>
      <w:tr w14:paraId="4846462D">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48FDA054">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44FC8C29">
            <w:pPr>
              <w:pStyle w:val="196"/>
              <w:rPr>
                <w:bCs/>
              </w:rPr>
            </w:pPr>
            <w:r>
              <w:rPr>
                <w:rFonts w:hint="eastAsia"/>
                <w:bCs/>
              </w:rPr>
              <w:t>固废</w:t>
            </w:r>
          </w:p>
        </w:tc>
        <w:tc>
          <w:tcPr>
            <w:tcW w:w="782" w:type="pct"/>
            <w:tcBorders>
              <w:top w:val="single" w:color="auto" w:sz="4" w:space="0"/>
              <w:left w:val="nil"/>
              <w:bottom w:val="single" w:color="auto" w:sz="4" w:space="0"/>
              <w:right w:val="single" w:color="auto" w:sz="4" w:space="0"/>
            </w:tcBorders>
            <w:vAlign w:val="center"/>
          </w:tcPr>
          <w:p w14:paraId="2799CBF9">
            <w:pPr>
              <w:pStyle w:val="196"/>
              <w:rPr>
                <w:bCs/>
              </w:rPr>
            </w:pPr>
            <w:r>
              <w:rPr>
                <w:rFonts w:hint="eastAsia"/>
                <w:bCs/>
              </w:rPr>
              <w:t>/</w:t>
            </w:r>
          </w:p>
        </w:tc>
        <w:tc>
          <w:tcPr>
            <w:tcW w:w="737" w:type="pct"/>
            <w:tcBorders>
              <w:top w:val="single" w:color="auto" w:sz="4" w:space="0"/>
              <w:left w:val="nil"/>
              <w:bottom w:val="single" w:color="auto" w:sz="4" w:space="0"/>
              <w:right w:val="single" w:color="auto" w:sz="4" w:space="0"/>
            </w:tcBorders>
            <w:vAlign w:val="center"/>
          </w:tcPr>
          <w:p w14:paraId="5232E972">
            <w:pPr>
              <w:pStyle w:val="196"/>
              <w:rPr>
                <w:bCs/>
              </w:rPr>
            </w:pPr>
            <w:r>
              <w:rPr>
                <w:rFonts w:hint="eastAsia"/>
                <w:bCs/>
              </w:rPr>
              <w:t>/</w:t>
            </w:r>
          </w:p>
        </w:tc>
        <w:tc>
          <w:tcPr>
            <w:tcW w:w="636" w:type="pct"/>
            <w:tcBorders>
              <w:top w:val="single" w:color="auto" w:sz="4" w:space="0"/>
              <w:left w:val="nil"/>
              <w:bottom w:val="single" w:color="auto" w:sz="4" w:space="0"/>
              <w:right w:val="single" w:color="auto" w:sz="4" w:space="0"/>
            </w:tcBorders>
            <w:vAlign w:val="center"/>
          </w:tcPr>
          <w:p w14:paraId="06329A07">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5E4BA953">
            <w:pPr>
              <w:pStyle w:val="196"/>
              <w:rPr>
                <w:bCs/>
              </w:rPr>
            </w:pPr>
            <w:r>
              <w:rPr>
                <w:rFonts w:hint="eastAsia"/>
                <w:bCs/>
              </w:rPr>
              <w:t>/</w:t>
            </w:r>
          </w:p>
        </w:tc>
        <w:tc>
          <w:tcPr>
            <w:tcW w:w="628" w:type="pct"/>
            <w:tcBorders>
              <w:top w:val="single" w:color="auto" w:sz="4" w:space="0"/>
              <w:left w:val="nil"/>
              <w:bottom w:val="single" w:color="auto" w:sz="4" w:space="0"/>
              <w:right w:val="single" w:color="auto" w:sz="4" w:space="0"/>
            </w:tcBorders>
            <w:vAlign w:val="center"/>
          </w:tcPr>
          <w:p w14:paraId="17ABCA7E">
            <w:pPr>
              <w:pStyle w:val="196"/>
              <w:rPr>
                <w:bCs/>
              </w:rPr>
            </w:pPr>
            <w:r>
              <w:rPr>
                <w:rFonts w:hint="eastAsia"/>
                <w:bCs/>
              </w:rPr>
              <w:t>/</w:t>
            </w:r>
          </w:p>
        </w:tc>
        <w:tc>
          <w:tcPr>
            <w:tcW w:w="0" w:type="auto"/>
            <w:vAlign w:val="center"/>
          </w:tcPr>
          <w:p w14:paraId="3484087C">
            <w:pPr>
              <w:pStyle w:val="196"/>
              <w:rPr>
                <w:rFonts w:eastAsia="Times New Roman"/>
                <w:sz w:val="20"/>
                <w:szCs w:val="20"/>
              </w:rPr>
            </w:pPr>
          </w:p>
        </w:tc>
      </w:tr>
      <w:tr w14:paraId="70976B7F">
        <w:tblPrEx>
          <w:tblCellMar>
            <w:top w:w="0" w:type="dxa"/>
            <w:left w:w="10" w:type="dxa"/>
            <w:bottom w:w="0" w:type="dxa"/>
            <w:right w:w="10" w:type="dxa"/>
          </w:tblCellMar>
        </w:tblPrEx>
        <w:trPr>
          <w:trHeight w:val="57" w:hRule="atLeast"/>
        </w:trPr>
        <w:tc>
          <w:tcPr>
            <w:tcW w:w="0" w:type="auto"/>
            <w:vMerge w:val="continue"/>
            <w:tcBorders>
              <w:top w:val="nil"/>
              <w:left w:val="single" w:color="auto" w:sz="4" w:space="0"/>
              <w:bottom w:val="single" w:color="auto" w:sz="4" w:space="0"/>
              <w:right w:val="single" w:color="auto" w:sz="4" w:space="0"/>
            </w:tcBorders>
            <w:vAlign w:val="center"/>
          </w:tcPr>
          <w:p w14:paraId="4AFF10FA">
            <w:pPr>
              <w:pStyle w:val="196"/>
              <w:rPr>
                <w:bCs/>
                <w:szCs w:val="21"/>
              </w:rPr>
            </w:pPr>
          </w:p>
        </w:tc>
        <w:tc>
          <w:tcPr>
            <w:tcW w:w="943" w:type="pct"/>
            <w:tcBorders>
              <w:top w:val="single" w:color="auto" w:sz="4" w:space="0"/>
              <w:left w:val="nil"/>
              <w:bottom w:val="single" w:color="auto" w:sz="4" w:space="0"/>
              <w:right w:val="single" w:color="auto" w:sz="4" w:space="0"/>
            </w:tcBorders>
            <w:vAlign w:val="center"/>
          </w:tcPr>
          <w:p w14:paraId="363B1E7D">
            <w:pPr>
              <w:pStyle w:val="196"/>
              <w:rPr>
                <w:bCs/>
              </w:rPr>
            </w:pPr>
            <w:r>
              <w:rPr>
                <w:rFonts w:hint="eastAsia"/>
                <w:bCs/>
              </w:rPr>
              <w:t>风险</w:t>
            </w:r>
          </w:p>
        </w:tc>
        <w:tc>
          <w:tcPr>
            <w:tcW w:w="782" w:type="pct"/>
            <w:tcBorders>
              <w:top w:val="single" w:color="auto" w:sz="4" w:space="0"/>
              <w:left w:val="nil"/>
              <w:bottom w:val="single" w:color="auto" w:sz="4" w:space="0"/>
              <w:right w:val="single" w:color="auto" w:sz="4" w:space="0"/>
            </w:tcBorders>
            <w:vAlign w:val="center"/>
          </w:tcPr>
          <w:p w14:paraId="150D68D2">
            <w:pPr>
              <w:pStyle w:val="196"/>
              <w:rPr>
                <w:bCs/>
              </w:rPr>
            </w:pPr>
            <w:r>
              <w:rPr>
                <w:rFonts w:hint="eastAsia"/>
                <w:bCs/>
              </w:rPr>
              <w:t>-1D</w:t>
            </w:r>
          </w:p>
        </w:tc>
        <w:tc>
          <w:tcPr>
            <w:tcW w:w="737" w:type="pct"/>
            <w:tcBorders>
              <w:top w:val="single" w:color="auto" w:sz="4" w:space="0"/>
              <w:left w:val="nil"/>
              <w:bottom w:val="single" w:color="auto" w:sz="4" w:space="0"/>
              <w:right w:val="single" w:color="auto" w:sz="4" w:space="0"/>
            </w:tcBorders>
            <w:vAlign w:val="center"/>
          </w:tcPr>
          <w:p w14:paraId="3E7AF7BD">
            <w:pPr>
              <w:pStyle w:val="196"/>
              <w:rPr>
                <w:bCs/>
              </w:rPr>
            </w:pPr>
            <w:r>
              <w:rPr>
                <w:rFonts w:hint="eastAsia"/>
                <w:bCs/>
              </w:rPr>
              <w:t>-1D</w:t>
            </w:r>
          </w:p>
        </w:tc>
        <w:tc>
          <w:tcPr>
            <w:tcW w:w="636" w:type="pct"/>
            <w:tcBorders>
              <w:top w:val="single" w:color="auto" w:sz="4" w:space="0"/>
              <w:left w:val="nil"/>
              <w:bottom w:val="single" w:color="auto" w:sz="4" w:space="0"/>
              <w:right w:val="single" w:color="auto" w:sz="4" w:space="0"/>
            </w:tcBorders>
            <w:vAlign w:val="center"/>
          </w:tcPr>
          <w:p w14:paraId="0E7ED106">
            <w:pPr>
              <w:pStyle w:val="196"/>
              <w:rPr>
                <w:bCs/>
              </w:rPr>
            </w:pPr>
            <w:r>
              <w:rPr>
                <w:rFonts w:hint="eastAsia"/>
                <w:bCs/>
              </w:rPr>
              <w:t>/</w:t>
            </w:r>
          </w:p>
        </w:tc>
        <w:tc>
          <w:tcPr>
            <w:tcW w:w="639" w:type="pct"/>
            <w:tcBorders>
              <w:top w:val="single" w:color="auto" w:sz="4" w:space="0"/>
              <w:left w:val="nil"/>
              <w:bottom w:val="single" w:color="auto" w:sz="4" w:space="0"/>
              <w:right w:val="single" w:color="auto" w:sz="4" w:space="0"/>
            </w:tcBorders>
            <w:vAlign w:val="center"/>
          </w:tcPr>
          <w:p w14:paraId="322591F9">
            <w:pPr>
              <w:pStyle w:val="196"/>
              <w:rPr>
                <w:bCs/>
              </w:rPr>
            </w:pPr>
            <w:r>
              <w:rPr>
                <w:rFonts w:hint="eastAsia"/>
                <w:bCs/>
              </w:rPr>
              <w:t>-1D</w:t>
            </w:r>
          </w:p>
        </w:tc>
        <w:tc>
          <w:tcPr>
            <w:tcW w:w="628" w:type="pct"/>
            <w:tcBorders>
              <w:top w:val="single" w:color="auto" w:sz="4" w:space="0"/>
              <w:left w:val="nil"/>
              <w:bottom w:val="single" w:color="auto" w:sz="4" w:space="0"/>
              <w:right w:val="single" w:color="auto" w:sz="4" w:space="0"/>
            </w:tcBorders>
            <w:vAlign w:val="center"/>
          </w:tcPr>
          <w:p w14:paraId="665DB92C">
            <w:pPr>
              <w:pStyle w:val="196"/>
              <w:rPr>
                <w:bCs/>
              </w:rPr>
            </w:pPr>
            <w:r>
              <w:rPr>
                <w:rFonts w:hint="eastAsia"/>
                <w:bCs/>
              </w:rPr>
              <w:t>-2D</w:t>
            </w:r>
          </w:p>
        </w:tc>
        <w:tc>
          <w:tcPr>
            <w:tcW w:w="0" w:type="auto"/>
            <w:vAlign w:val="center"/>
          </w:tcPr>
          <w:p w14:paraId="3495C445">
            <w:pPr>
              <w:pStyle w:val="196"/>
              <w:rPr>
                <w:rFonts w:eastAsia="Times New Roman"/>
                <w:sz w:val="20"/>
                <w:szCs w:val="20"/>
              </w:rPr>
            </w:pPr>
          </w:p>
        </w:tc>
      </w:tr>
    </w:tbl>
    <w:p w14:paraId="7C03DE92">
      <w:pPr>
        <w:pStyle w:val="91"/>
        <w:rPr>
          <w:rFonts w:cs="Times New Roman"/>
          <w:kern w:val="2"/>
          <w:szCs w:val="21"/>
        </w:rPr>
      </w:pPr>
      <w:r>
        <w:rPr>
          <w:rFonts w:hint="eastAsia"/>
        </w:rPr>
        <w:t>说明：“</w:t>
      </w:r>
      <w:r>
        <w:rPr>
          <w:rFonts w:hint="eastAsia"/>
          <w:lang w:eastAsia="zh-CN"/>
        </w:rPr>
        <w:t>－</w:t>
      </w:r>
      <w:r>
        <w:rPr>
          <w:rFonts w:hint="eastAsia"/>
        </w:rPr>
        <w:t>”分别表示有利、不利影响；“C</w:t>
      </w:r>
      <w:r>
        <w:rPr>
          <w:rFonts w:hint="eastAsia"/>
          <w:lang w:eastAsia="zh-CN"/>
        </w:rPr>
        <w:t>”“</w:t>
      </w:r>
      <w:r>
        <w:rPr>
          <w:rFonts w:hint="eastAsia"/>
        </w:rPr>
        <w:t>D”分别表示长期、短期影响；“1”至“2”数值分别表示轻微影响、</w:t>
      </w:r>
      <w:r>
        <w:rPr>
          <w:rFonts w:hint="eastAsia"/>
          <w:lang w:eastAsia="zh-CN"/>
        </w:rPr>
        <w:t>中度</w:t>
      </w:r>
      <w:r>
        <w:rPr>
          <w:rFonts w:hint="eastAsia"/>
        </w:rPr>
        <w:t>影响。</w:t>
      </w:r>
    </w:p>
    <w:p w14:paraId="3B7E758F">
      <w:pPr>
        <w:pStyle w:val="93"/>
      </w:pPr>
      <w:r>
        <w:rPr>
          <w:rFonts w:hint="eastAsia"/>
        </w:rPr>
        <w:t>由表2.2-1可知，本项目的建设对环境的影响是多方面的，既存在短期、局部及可恢复的不利影响，也存在长期的不利影响。施工期主要表现在对自然环境和水生生态环境产生一定程度的负影响。运营期对环境的不利影响是长期存在的，主要表现在对环境空气、地表水环境、声环境及生态环境等方面的长期负影响。但本项目的建设对当地的工业发展、劳动就业及交通运输均会起到一定的积极作用。</w:t>
      </w:r>
    </w:p>
    <w:p w14:paraId="7D70C5CA">
      <w:pPr>
        <w:pStyle w:val="93"/>
      </w:pPr>
      <w:r>
        <w:rPr>
          <w:rFonts w:hint="eastAsia"/>
        </w:rPr>
        <w:t>根据环境影响因素识别，结合工程排污特征和当地环境质量现状，工程运行期评价因子筛选和确定详见表2.2-2。</w:t>
      </w:r>
    </w:p>
    <w:p w14:paraId="6A60C43A">
      <w:pPr>
        <w:pStyle w:val="86"/>
      </w:pPr>
      <w:bookmarkStart w:id="71" w:name="_Hlk181741301"/>
      <w:r>
        <w:rPr>
          <w:rFonts w:hint="eastAsia"/>
        </w:rPr>
        <w:t xml:space="preserve"> 评价因子确定一览表</w:t>
      </w:r>
    </w:p>
    <w:bookmarkEnd w:id="71"/>
    <w:tbl>
      <w:tblPr>
        <w:tblStyle w:val="38"/>
        <w:tblW w:w="51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900"/>
        <w:gridCol w:w="3293"/>
        <w:gridCol w:w="3195"/>
        <w:gridCol w:w="1592"/>
      </w:tblGrid>
      <w:tr w14:paraId="0780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1D54CA00">
            <w:pPr>
              <w:pStyle w:val="196"/>
              <w:rPr>
                <w:b/>
                <w:bCs/>
                <w:szCs w:val="21"/>
              </w:rPr>
            </w:pPr>
            <w:bookmarkStart w:id="72" w:name="_Hlk181741332"/>
            <w:r>
              <w:rPr>
                <w:rFonts w:hint="eastAsia"/>
                <w:b/>
                <w:bCs/>
              </w:rPr>
              <w:t>要素</w:t>
            </w:r>
          </w:p>
        </w:tc>
        <w:tc>
          <w:tcPr>
            <w:tcW w:w="3213" w:type="dxa"/>
            <w:tcBorders>
              <w:top w:val="single" w:color="auto" w:sz="4" w:space="0"/>
              <w:left w:val="single" w:color="auto" w:sz="4" w:space="0"/>
              <w:bottom w:val="single" w:color="auto" w:sz="4" w:space="0"/>
              <w:right w:val="single" w:color="auto" w:sz="4" w:space="0"/>
            </w:tcBorders>
            <w:vAlign w:val="center"/>
          </w:tcPr>
          <w:p w14:paraId="58D62F2D">
            <w:pPr>
              <w:pStyle w:val="196"/>
              <w:rPr>
                <w:b/>
                <w:bCs/>
              </w:rPr>
            </w:pPr>
            <w:r>
              <w:rPr>
                <w:rFonts w:hint="eastAsia"/>
                <w:b/>
                <w:bCs/>
              </w:rPr>
              <w:t>现状评价因子</w:t>
            </w:r>
          </w:p>
        </w:tc>
        <w:tc>
          <w:tcPr>
            <w:tcW w:w="3118" w:type="dxa"/>
            <w:tcBorders>
              <w:top w:val="single" w:color="auto" w:sz="4" w:space="0"/>
              <w:left w:val="single" w:color="auto" w:sz="4" w:space="0"/>
              <w:bottom w:val="single" w:color="auto" w:sz="4" w:space="0"/>
              <w:right w:val="single" w:color="auto" w:sz="4" w:space="0"/>
            </w:tcBorders>
            <w:vAlign w:val="center"/>
          </w:tcPr>
          <w:p w14:paraId="2BDCAEA3">
            <w:pPr>
              <w:pStyle w:val="196"/>
              <w:rPr>
                <w:b/>
                <w:bCs/>
              </w:rPr>
            </w:pPr>
            <w:r>
              <w:rPr>
                <w:rFonts w:hint="eastAsia"/>
                <w:b/>
                <w:bCs/>
              </w:rPr>
              <w:t>影响评价因子</w:t>
            </w:r>
          </w:p>
        </w:tc>
        <w:tc>
          <w:tcPr>
            <w:tcW w:w="1553" w:type="dxa"/>
            <w:tcBorders>
              <w:top w:val="single" w:color="auto" w:sz="4" w:space="0"/>
              <w:left w:val="single" w:color="auto" w:sz="4" w:space="0"/>
              <w:bottom w:val="single" w:color="auto" w:sz="4" w:space="0"/>
              <w:right w:val="single" w:color="auto" w:sz="4" w:space="0"/>
            </w:tcBorders>
            <w:vAlign w:val="center"/>
          </w:tcPr>
          <w:p w14:paraId="4C245C29">
            <w:pPr>
              <w:pStyle w:val="196"/>
              <w:rPr>
                <w:b/>
                <w:bCs/>
              </w:rPr>
            </w:pPr>
            <w:r>
              <w:rPr>
                <w:rFonts w:hint="eastAsia"/>
                <w:b/>
                <w:bCs/>
              </w:rPr>
              <w:t>总量控制</w:t>
            </w:r>
          </w:p>
          <w:p w14:paraId="29F06C89">
            <w:pPr>
              <w:pStyle w:val="196"/>
              <w:rPr>
                <w:b/>
                <w:bCs/>
              </w:rPr>
            </w:pPr>
            <w:r>
              <w:rPr>
                <w:rFonts w:hint="eastAsia"/>
                <w:b/>
                <w:bCs/>
              </w:rPr>
              <w:t>因子</w:t>
            </w:r>
          </w:p>
        </w:tc>
      </w:tr>
      <w:tr w14:paraId="7F11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674313DB">
            <w:pPr>
              <w:pStyle w:val="196"/>
            </w:pPr>
            <w:r>
              <w:rPr>
                <w:rFonts w:hint="eastAsia"/>
              </w:rPr>
              <w:t>大气</w:t>
            </w:r>
          </w:p>
        </w:tc>
        <w:tc>
          <w:tcPr>
            <w:tcW w:w="3213" w:type="dxa"/>
            <w:tcBorders>
              <w:top w:val="single" w:color="auto" w:sz="4" w:space="0"/>
              <w:left w:val="single" w:color="auto" w:sz="4" w:space="0"/>
              <w:bottom w:val="single" w:color="auto" w:sz="4" w:space="0"/>
              <w:right w:val="single" w:color="auto" w:sz="4" w:space="0"/>
            </w:tcBorders>
            <w:vAlign w:val="center"/>
          </w:tcPr>
          <w:p w14:paraId="135DB624">
            <w:pPr>
              <w:pStyle w:val="196"/>
            </w:pPr>
            <w:r>
              <w:rPr>
                <w:rFonts w:hint="eastAsia"/>
              </w:rPr>
              <w:t>SO</w:t>
            </w:r>
            <w:r>
              <w:rPr>
                <w:rFonts w:hint="eastAsia"/>
                <w:vertAlign w:val="subscript"/>
              </w:rPr>
              <w:t>2</w:t>
            </w:r>
            <w:r>
              <w:rPr>
                <w:rFonts w:hint="eastAsia"/>
              </w:rPr>
              <w:t>、NO</w:t>
            </w:r>
            <w:r>
              <w:rPr>
                <w:rFonts w:hint="eastAsia"/>
                <w:vertAlign w:val="subscript"/>
              </w:rPr>
              <w:t>2</w:t>
            </w:r>
            <w:r>
              <w:rPr>
                <w:rFonts w:hint="eastAsia"/>
              </w:rPr>
              <w:t>、CO、O</w:t>
            </w:r>
            <w:r>
              <w:rPr>
                <w:rFonts w:hint="eastAsia"/>
                <w:vertAlign w:val="subscript"/>
              </w:rPr>
              <w:t>3</w:t>
            </w:r>
            <w:r>
              <w:rPr>
                <w:rFonts w:hint="eastAsia"/>
              </w:rPr>
              <w:t>、PM</w:t>
            </w:r>
            <w:r>
              <w:rPr>
                <w:rFonts w:hint="eastAsia"/>
                <w:vertAlign w:val="subscript"/>
              </w:rPr>
              <w:t>10</w:t>
            </w:r>
            <w:r>
              <w:rPr>
                <w:rFonts w:hint="eastAsia"/>
              </w:rPr>
              <w:t>、PM</w:t>
            </w:r>
            <w:r>
              <w:rPr>
                <w:rFonts w:hint="eastAsia"/>
                <w:vertAlign w:val="subscript"/>
              </w:rPr>
              <w:t>2.5</w:t>
            </w:r>
            <w:r>
              <w:rPr>
                <w:rFonts w:hint="eastAsia"/>
              </w:rPr>
              <w:t>、TSP、VOCs、</w:t>
            </w:r>
            <w:bookmarkStart w:id="73" w:name="_Hlk181741585"/>
            <w:r>
              <w:rPr>
                <w:rFonts w:hint="eastAsia"/>
              </w:rPr>
              <w:t>硫化氢、氨气、</w:t>
            </w:r>
            <w:r>
              <w:rPr>
                <w:rFonts w:hint="eastAsia"/>
                <w:lang w:eastAsia="zh-CN"/>
              </w:rPr>
              <w:t>臭氧浓度</w:t>
            </w:r>
            <w:bookmarkEnd w:id="73"/>
          </w:p>
        </w:tc>
        <w:tc>
          <w:tcPr>
            <w:tcW w:w="3118" w:type="dxa"/>
            <w:tcBorders>
              <w:top w:val="single" w:color="auto" w:sz="4" w:space="0"/>
              <w:left w:val="single" w:color="auto" w:sz="4" w:space="0"/>
              <w:bottom w:val="single" w:color="auto" w:sz="4" w:space="0"/>
              <w:right w:val="single" w:color="auto" w:sz="4" w:space="0"/>
            </w:tcBorders>
            <w:vAlign w:val="center"/>
          </w:tcPr>
          <w:p w14:paraId="0D21470B">
            <w:pPr>
              <w:pStyle w:val="196"/>
            </w:pPr>
            <w:r>
              <w:rPr>
                <w:rFonts w:hint="eastAsia"/>
              </w:rPr>
              <w:t>施工期：TSP、SO</w:t>
            </w:r>
            <w:r>
              <w:rPr>
                <w:rFonts w:hint="eastAsia"/>
                <w:vertAlign w:val="subscript"/>
              </w:rPr>
              <w:t>2</w:t>
            </w:r>
            <w:r>
              <w:rPr>
                <w:rFonts w:hint="eastAsia"/>
              </w:rPr>
              <w:t>、CO、NO</w:t>
            </w:r>
            <w:r>
              <w:rPr>
                <w:rFonts w:hint="eastAsia"/>
                <w:vertAlign w:val="subscript"/>
              </w:rPr>
              <w:t>x</w:t>
            </w:r>
            <w:r>
              <w:rPr>
                <w:rFonts w:hint="eastAsia"/>
              </w:rPr>
              <w:t>、烃类、硫化氢、氨气、</w:t>
            </w:r>
            <w:r>
              <w:rPr>
                <w:rFonts w:hint="eastAsia"/>
                <w:lang w:eastAsia="zh-CN"/>
              </w:rPr>
              <w:t>臭氧浓度</w:t>
            </w:r>
          </w:p>
          <w:p w14:paraId="50AF1ACE">
            <w:pPr>
              <w:pStyle w:val="196"/>
            </w:pPr>
            <w:r>
              <w:rPr>
                <w:rFonts w:hint="eastAsia"/>
              </w:rPr>
              <w:t>运营期：SO</w:t>
            </w:r>
            <w:r>
              <w:rPr>
                <w:rFonts w:hint="eastAsia"/>
                <w:vertAlign w:val="subscript"/>
              </w:rPr>
              <w:t>2</w:t>
            </w:r>
            <w:r>
              <w:rPr>
                <w:rFonts w:hint="eastAsia"/>
              </w:rPr>
              <w:t>、NOx、PM</w:t>
            </w:r>
            <w:r>
              <w:rPr>
                <w:rFonts w:hint="eastAsia"/>
                <w:vertAlign w:val="subscript"/>
              </w:rPr>
              <w:t>10</w:t>
            </w:r>
            <w:r>
              <w:rPr>
                <w:rFonts w:hint="eastAsia"/>
              </w:rPr>
              <w:t>、PM</w:t>
            </w:r>
            <w:r>
              <w:rPr>
                <w:rFonts w:hint="eastAsia"/>
                <w:vertAlign w:val="subscript"/>
              </w:rPr>
              <w:t>2.5</w:t>
            </w:r>
            <w:r>
              <w:rPr>
                <w:rFonts w:hint="eastAsia"/>
              </w:rPr>
              <w:t>、TSP、CO、非甲烷总烃</w:t>
            </w:r>
          </w:p>
        </w:tc>
        <w:tc>
          <w:tcPr>
            <w:tcW w:w="1553" w:type="dxa"/>
            <w:tcBorders>
              <w:top w:val="single" w:color="auto" w:sz="4" w:space="0"/>
              <w:left w:val="single" w:color="auto" w:sz="4" w:space="0"/>
              <w:bottom w:val="single" w:color="auto" w:sz="4" w:space="0"/>
              <w:right w:val="single" w:color="auto" w:sz="4" w:space="0"/>
            </w:tcBorders>
            <w:vAlign w:val="center"/>
          </w:tcPr>
          <w:p w14:paraId="68A4384F">
            <w:pPr>
              <w:pStyle w:val="196"/>
            </w:pPr>
            <w:r>
              <w:rPr>
                <w:rFonts w:hint="eastAsia"/>
              </w:rPr>
              <w:t>SO</w:t>
            </w:r>
            <w:r>
              <w:rPr>
                <w:rFonts w:hint="eastAsia"/>
                <w:vertAlign w:val="subscript"/>
              </w:rPr>
              <w:t>2</w:t>
            </w:r>
            <w:r>
              <w:rPr>
                <w:rFonts w:hint="eastAsia"/>
              </w:rPr>
              <w:t>、NOx、颗粒物、VOCs</w:t>
            </w:r>
          </w:p>
        </w:tc>
      </w:tr>
      <w:tr w14:paraId="07D8D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restart"/>
            <w:tcBorders>
              <w:top w:val="single" w:color="auto" w:sz="4" w:space="0"/>
              <w:left w:val="single" w:color="auto" w:sz="4" w:space="0"/>
              <w:right w:val="single" w:color="auto" w:sz="4" w:space="0"/>
            </w:tcBorders>
            <w:vAlign w:val="center"/>
          </w:tcPr>
          <w:p w14:paraId="505E0FCE">
            <w:pPr>
              <w:pStyle w:val="196"/>
            </w:pPr>
            <w:bookmarkStart w:id="74" w:name="_Hlk181741264"/>
            <w:r>
              <w:rPr>
                <w:rFonts w:hint="eastAsia"/>
              </w:rPr>
              <w:t>地表水</w:t>
            </w:r>
          </w:p>
        </w:tc>
        <w:tc>
          <w:tcPr>
            <w:tcW w:w="878" w:type="dxa"/>
            <w:tcBorders>
              <w:top w:val="single" w:color="auto" w:sz="4" w:space="0"/>
              <w:left w:val="single" w:color="auto" w:sz="4" w:space="0"/>
              <w:bottom w:val="single" w:color="auto" w:sz="4" w:space="0"/>
              <w:right w:val="single" w:color="auto" w:sz="4" w:space="0"/>
            </w:tcBorders>
            <w:vAlign w:val="center"/>
          </w:tcPr>
          <w:p w14:paraId="6D332A48">
            <w:pPr>
              <w:pStyle w:val="196"/>
            </w:pPr>
            <w:r>
              <w:rPr>
                <w:rFonts w:hint="eastAsia"/>
              </w:rPr>
              <w:t>水污染</w:t>
            </w:r>
            <w:r>
              <w:rPr>
                <w:rFonts w:hint="eastAsia"/>
                <w:lang w:eastAsia="zh-CN"/>
              </w:rPr>
              <w:t>性</w:t>
            </w:r>
          </w:p>
        </w:tc>
        <w:tc>
          <w:tcPr>
            <w:tcW w:w="3213" w:type="dxa"/>
            <w:tcBorders>
              <w:top w:val="single" w:color="auto" w:sz="4" w:space="0"/>
              <w:left w:val="single" w:color="auto" w:sz="4" w:space="0"/>
              <w:bottom w:val="single" w:color="auto" w:sz="4" w:space="0"/>
              <w:right w:val="single" w:color="auto" w:sz="4" w:space="0"/>
            </w:tcBorders>
            <w:vAlign w:val="center"/>
          </w:tcPr>
          <w:p w14:paraId="43913DF5">
            <w:pPr>
              <w:pStyle w:val="196"/>
            </w:pPr>
            <w:r>
              <w:t>pH</w:t>
            </w:r>
            <w:r>
              <w:rPr>
                <w:rFonts w:hint="eastAsia"/>
              </w:rPr>
              <w:t>、水温、溶解氧、悬浮物、化学需氧量、生化需氧量（BOD</w:t>
            </w:r>
            <w:r>
              <w:rPr>
                <w:rFonts w:hint="eastAsia"/>
                <w:vertAlign w:val="subscript"/>
              </w:rPr>
              <w:t>5</w:t>
            </w:r>
            <w:r>
              <w:rPr>
                <w:rFonts w:hint="eastAsia"/>
              </w:rPr>
              <w:t>）、氨氮、总氮、总磷、高锰酸盐指数、石油类</w:t>
            </w:r>
          </w:p>
        </w:tc>
        <w:tc>
          <w:tcPr>
            <w:tcW w:w="3118" w:type="dxa"/>
            <w:tcBorders>
              <w:top w:val="single" w:color="auto" w:sz="4" w:space="0"/>
              <w:left w:val="single" w:color="auto" w:sz="4" w:space="0"/>
              <w:bottom w:val="single" w:color="auto" w:sz="4" w:space="0"/>
              <w:right w:val="single" w:color="auto" w:sz="4" w:space="0"/>
            </w:tcBorders>
            <w:vAlign w:val="center"/>
          </w:tcPr>
          <w:p w14:paraId="3602BDF7">
            <w:pPr>
              <w:pStyle w:val="196"/>
            </w:pPr>
            <w:r>
              <w:rPr>
                <w:rFonts w:hint="eastAsia"/>
              </w:rPr>
              <w:t>施工期：SS、COD、石油类</w:t>
            </w:r>
          </w:p>
          <w:p w14:paraId="223E7E08">
            <w:pPr>
              <w:pStyle w:val="196"/>
            </w:pPr>
            <w:r>
              <w:rPr>
                <w:rFonts w:hint="eastAsia"/>
              </w:rPr>
              <w:t>运营期：COD、SS、NH</w:t>
            </w:r>
            <w:r>
              <w:rPr>
                <w:rFonts w:hint="eastAsia"/>
                <w:vertAlign w:val="subscript"/>
              </w:rPr>
              <w:t>3</w:t>
            </w:r>
            <w:r>
              <w:rPr>
                <w:rFonts w:hint="eastAsia"/>
              </w:rPr>
              <w:t>-N、总氮、TP、石油类</w:t>
            </w:r>
          </w:p>
        </w:tc>
        <w:tc>
          <w:tcPr>
            <w:tcW w:w="1553" w:type="dxa"/>
            <w:tcBorders>
              <w:top w:val="single" w:color="auto" w:sz="4" w:space="0"/>
              <w:left w:val="single" w:color="auto" w:sz="4" w:space="0"/>
              <w:bottom w:val="single" w:color="auto" w:sz="4" w:space="0"/>
              <w:right w:val="single" w:color="auto" w:sz="4" w:space="0"/>
            </w:tcBorders>
            <w:vAlign w:val="center"/>
          </w:tcPr>
          <w:p w14:paraId="5275AF74">
            <w:pPr>
              <w:pStyle w:val="196"/>
            </w:pPr>
            <w:r>
              <w:rPr>
                <w:rFonts w:hint="eastAsia"/>
              </w:rPr>
              <w:t>COD、氨氮、总氮、总磷</w:t>
            </w:r>
          </w:p>
        </w:tc>
      </w:tr>
      <w:tr w14:paraId="3AD6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5" w:type="dxa"/>
            <w:vMerge w:val="continue"/>
            <w:tcBorders>
              <w:left w:val="single" w:color="auto" w:sz="4" w:space="0"/>
              <w:bottom w:val="single" w:color="auto" w:sz="4" w:space="0"/>
              <w:right w:val="single" w:color="auto" w:sz="4" w:space="0"/>
            </w:tcBorders>
            <w:vAlign w:val="center"/>
          </w:tcPr>
          <w:p w14:paraId="73F4A283">
            <w:pPr>
              <w:pStyle w:val="196"/>
            </w:pPr>
          </w:p>
        </w:tc>
        <w:tc>
          <w:tcPr>
            <w:tcW w:w="878" w:type="dxa"/>
            <w:tcBorders>
              <w:top w:val="single" w:color="auto" w:sz="4" w:space="0"/>
              <w:left w:val="single" w:color="auto" w:sz="4" w:space="0"/>
              <w:bottom w:val="single" w:color="auto" w:sz="4" w:space="0"/>
              <w:right w:val="single" w:color="auto" w:sz="4" w:space="0"/>
            </w:tcBorders>
            <w:vAlign w:val="center"/>
          </w:tcPr>
          <w:p w14:paraId="58FA9A24">
            <w:pPr>
              <w:pStyle w:val="196"/>
            </w:pPr>
            <w:r>
              <w:rPr>
                <w:rFonts w:hint="eastAsia"/>
              </w:rPr>
              <w:t>水文要素型</w:t>
            </w:r>
          </w:p>
        </w:tc>
        <w:tc>
          <w:tcPr>
            <w:tcW w:w="3213" w:type="dxa"/>
            <w:tcBorders>
              <w:top w:val="single" w:color="auto" w:sz="4" w:space="0"/>
              <w:left w:val="single" w:color="auto" w:sz="4" w:space="0"/>
              <w:bottom w:val="single" w:color="auto" w:sz="4" w:space="0"/>
              <w:right w:val="single" w:color="auto" w:sz="4" w:space="0"/>
            </w:tcBorders>
            <w:vAlign w:val="center"/>
          </w:tcPr>
          <w:p w14:paraId="0B0B7D85">
            <w:pPr>
              <w:pStyle w:val="196"/>
            </w:pPr>
            <w:r>
              <w:rPr>
                <w:rFonts w:hint="eastAsia"/>
              </w:rPr>
              <w:t>水位、水深、流速、水面宽、冲淤变化</w:t>
            </w:r>
          </w:p>
        </w:tc>
        <w:tc>
          <w:tcPr>
            <w:tcW w:w="3118" w:type="dxa"/>
            <w:tcBorders>
              <w:top w:val="single" w:color="auto" w:sz="4" w:space="0"/>
              <w:left w:val="single" w:color="auto" w:sz="4" w:space="0"/>
              <w:bottom w:val="single" w:color="auto" w:sz="4" w:space="0"/>
              <w:right w:val="single" w:color="auto" w:sz="4" w:space="0"/>
            </w:tcBorders>
            <w:vAlign w:val="center"/>
          </w:tcPr>
          <w:p w14:paraId="52DB0998">
            <w:pPr>
              <w:pStyle w:val="196"/>
            </w:pPr>
            <w:r>
              <w:rPr>
                <w:rFonts w:hint="eastAsia"/>
              </w:rPr>
              <w:t>水位、水深、流速、水面宽、冲淤变化</w:t>
            </w:r>
          </w:p>
        </w:tc>
        <w:tc>
          <w:tcPr>
            <w:tcW w:w="1553" w:type="dxa"/>
            <w:tcBorders>
              <w:top w:val="single" w:color="auto" w:sz="4" w:space="0"/>
              <w:left w:val="single" w:color="auto" w:sz="4" w:space="0"/>
              <w:bottom w:val="single" w:color="auto" w:sz="4" w:space="0"/>
              <w:right w:val="single" w:color="auto" w:sz="4" w:space="0"/>
            </w:tcBorders>
            <w:vAlign w:val="center"/>
          </w:tcPr>
          <w:p w14:paraId="380BE17D">
            <w:pPr>
              <w:pStyle w:val="196"/>
            </w:pPr>
            <w:r>
              <w:rPr>
                <w:rFonts w:hint="eastAsia"/>
              </w:rPr>
              <w:t>/</w:t>
            </w:r>
          </w:p>
        </w:tc>
      </w:tr>
      <w:bookmarkEnd w:id="74"/>
      <w:tr w14:paraId="4671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24E23557">
            <w:pPr>
              <w:pStyle w:val="196"/>
            </w:pPr>
            <w:r>
              <w:rPr>
                <w:rFonts w:hint="eastAsia"/>
              </w:rPr>
              <w:t>固体</w:t>
            </w:r>
          </w:p>
          <w:p w14:paraId="152501D5">
            <w:pPr>
              <w:pStyle w:val="196"/>
            </w:pPr>
            <w:r>
              <w:rPr>
                <w:rFonts w:hint="eastAsia"/>
              </w:rPr>
              <w:t>废物</w:t>
            </w:r>
          </w:p>
        </w:tc>
        <w:tc>
          <w:tcPr>
            <w:tcW w:w="3213" w:type="dxa"/>
            <w:tcBorders>
              <w:top w:val="single" w:color="auto" w:sz="4" w:space="0"/>
              <w:left w:val="single" w:color="auto" w:sz="4" w:space="0"/>
              <w:bottom w:val="single" w:color="auto" w:sz="4" w:space="0"/>
              <w:right w:val="single" w:color="auto" w:sz="4" w:space="0"/>
            </w:tcBorders>
            <w:vAlign w:val="center"/>
          </w:tcPr>
          <w:p w14:paraId="47C3F6D6">
            <w:pPr>
              <w:pStyle w:val="196"/>
            </w:pPr>
            <w:r>
              <w:rPr>
                <w:rFonts w:hint="eastAsia"/>
              </w:rPr>
              <w:t>/</w:t>
            </w:r>
          </w:p>
        </w:tc>
        <w:tc>
          <w:tcPr>
            <w:tcW w:w="3118" w:type="dxa"/>
            <w:tcBorders>
              <w:top w:val="single" w:color="auto" w:sz="4" w:space="0"/>
              <w:left w:val="single" w:color="auto" w:sz="4" w:space="0"/>
              <w:bottom w:val="single" w:color="auto" w:sz="4" w:space="0"/>
              <w:right w:val="single" w:color="auto" w:sz="4" w:space="0"/>
            </w:tcBorders>
            <w:vAlign w:val="center"/>
          </w:tcPr>
          <w:p w14:paraId="43E13AE5">
            <w:pPr>
              <w:pStyle w:val="196"/>
            </w:pPr>
            <w:r>
              <w:rPr>
                <w:rFonts w:hint="eastAsia"/>
              </w:rPr>
              <w:t>施工期：生活垃圾、建筑垃圾</w:t>
            </w:r>
          </w:p>
          <w:p w14:paraId="329D4426">
            <w:pPr>
              <w:pStyle w:val="196"/>
            </w:pPr>
            <w:r>
              <w:rPr>
                <w:rFonts w:hint="eastAsia"/>
              </w:rPr>
              <w:t>运营期：生活垃圾、船舶垃圾、工业固废等</w:t>
            </w:r>
          </w:p>
        </w:tc>
        <w:tc>
          <w:tcPr>
            <w:tcW w:w="1553" w:type="dxa"/>
            <w:tcBorders>
              <w:top w:val="single" w:color="auto" w:sz="4" w:space="0"/>
              <w:left w:val="single" w:color="auto" w:sz="4" w:space="0"/>
              <w:bottom w:val="single" w:color="auto" w:sz="4" w:space="0"/>
              <w:right w:val="single" w:color="auto" w:sz="4" w:space="0"/>
            </w:tcBorders>
            <w:vAlign w:val="center"/>
          </w:tcPr>
          <w:p w14:paraId="564C414B">
            <w:pPr>
              <w:pStyle w:val="196"/>
            </w:pPr>
            <w:r>
              <w:rPr>
                <w:rFonts w:hint="eastAsia"/>
              </w:rPr>
              <w:t>/</w:t>
            </w:r>
          </w:p>
        </w:tc>
      </w:tr>
      <w:tr w14:paraId="28AE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11D77006">
            <w:pPr>
              <w:pStyle w:val="196"/>
            </w:pPr>
            <w:r>
              <w:rPr>
                <w:rFonts w:hint="eastAsia"/>
              </w:rPr>
              <w:t>生态环境</w:t>
            </w:r>
          </w:p>
        </w:tc>
        <w:tc>
          <w:tcPr>
            <w:tcW w:w="3213" w:type="dxa"/>
            <w:tcBorders>
              <w:top w:val="single" w:color="auto" w:sz="4" w:space="0"/>
              <w:left w:val="single" w:color="auto" w:sz="4" w:space="0"/>
              <w:bottom w:val="single" w:color="auto" w:sz="4" w:space="0"/>
              <w:right w:val="single" w:color="auto" w:sz="4" w:space="0"/>
            </w:tcBorders>
            <w:vAlign w:val="center"/>
          </w:tcPr>
          <w:p w14:paraId="53E6C0F6">
            <w:pPr>
              <w:pStyle w:val="196"/>
              <w:rPr>
                <w:b/>
                <w:bCs/>
              </w:rPr>
            </w:pPr>
            <w:r>
              <w:rPr>
                <w:rFonts w:hint="eastAsia"/>
                <w:b/>
                <w:bCs/>
              </w:rPr>
              <w:t>施工期、运营期：</w:t>
            </w:r>
          </w:p>
          <w:p w14:paraId="31A6EFA6">
            <w:pPr>
              <w:pStyle w:val="196"/>
            </w:pPr>
            <w:r>
              <w:rPr>
                <w:rFonts w:hint="eastAsia"/>
              </w:rPr>
              <w:t xml:space="preserve">物种：分布范围、种群数量、种群结构、行为等       </w:t>
            </w:r>
          </w:p>
          <w:p w14:paraId="6C448007">
            <w:pPr>
              <w:pStyle w:val="196"/>
            </w:pPr>
            <w:r>
              <w:rPr>
                <w:rFonts w:hint="eastAsia"/>
              </w:rPr>
              <w:t>生境  生境面积、质量、连通性等</w:t>
            </w:r>
          </w:p>
          <w:p w14:paraId="1AF08CBF">
            <w:pPr>
              <w:pStyle w:val="196"/>
            </w:pPr>
            <w:r>
              <w:rPr>
                <w:rFonts w:hint="eastAsia"/>
              </w:rPr>
              <w:t>生物群落：物种组成、群落结构等</w:t>
            </w:r>
          </w:p>
          <w:p w14:paraId="19544D23">
            <w:pPr>
              <w:pStyle w:val="196"/>
            </w:pPr>
            <w:r>
              <w:rPr>
                <w:rFonts w:hint="eastAsia"/>
              </w:rPr>
              <w:t>生态系统：植被覆盖度、生产力、生物量、生态系统功能等</w:t>
            </w:r>
          </w:p>
          <w:p w14:paraId="521FF1B5">
            <w:pPr>
              <w:pStyle w:val="196"/>
            </w:pPr>
            <w:r>
              <w:rPr>
                <w:rFonts w:hint="eastAsia"/>
              </w:rPr>
              <w:t>生物多样性：物种丰富度、均匀度、优势度等</w:t>
            </w:r>
          </w:p>
          <w:p w14:paraId="2E889D39">
            <w:pPr>
              <w:pStyle w:val="196"/>
            </w:pPr>
            <w:r>
              <w:rPr>
                <w:rFonts w:hint="eastAsia"/>
              </w:rPr>
              <w:t>生态敏感区：主要保护对象、生态功能等</w:t>
            </w:r>
          </w:p>
          <w:p w14:paraId="4A045FD5">
            <w:pPr>
              <w:pStyle w:val="196"/>
            </w:pPr>
            <w:r>
              <w:rPr>
                <w:rFonts w:hint="eastAsia"/>
              </w:rPr>
              <w:t>自然景观：景观多样性、完整性等</w:t>
            </w:r>
          </w:p>
          <w:p w14:paraId="10F14649">
            <w:pPr>
              <w:pStyle w:val="196"/>
            </w:pPr>
            <w:r>
              <w:rPr>
                <w:rFonts w:hint="eastAsia"/>
              </w:rPr>
              <w:t>自然遗迹：遗迹多样性、完整性等</w:t>
            </w:r>
          </w:p>
        </w:tc>
        <w:tc>
          <w:tcPr>
            <w:tcW w:w="3118" w:type="dxa"/>
            <w:tcBorders>
              <w:top w:val="single" w:color="auto" w:sz="4" w:space="0"/>
              <w:left w:val="single" w:color="auto" w:sz="4" w:space="0"/>
              <w:bottom w:val="single" w:color="auto" w:sz="4" w:space="0"/>
              <w:right w:val="single" w:color="auto" w:sz="4" w:space="0"/>
            </w:tcBorders>
            <w:vAlign w:val="center"/>
          </w:tcPr>
          <w:p w14:paraId="16453813">
            <w:pPr>
              <w:pStyle w:val="196"/>
              <w:rPr>
                <w:b/>
                <w:bCs/>
              </w:rPr>
            </w:pPr>
            <w:r>
              <w:rPr>
                <w:rFonts w:hint="eastAsia"/>
                <w:b/>
                <w:bCs/>
              </w:rPr>
              <w:t>施工期、运营期：</w:t>
            </w:r>
          </w:p>
          <w:p w14:paraId="7884E0AA">
            <w:pPr>
              <w:pStyle w:val="196"/>
            </w:pPr>
            <w:r>
              <w:rPr>
                <w:rFonts w:hint="eastAsia"/>
              </w:rPr>
              <w:t xml:space="preserve">物种：分布范围、种群数量、种群结构、行为等       </w:t>
            </w:r>
          </w:p>
          <w:p w14:paraId="1CABE550">
            <w:pPr>
              <w:pStyle w:val="196"/>
            </w:pPr>
            <w:r>
              <w:rPr>
                <w:rFonts w:hint="eastAsia"/>
              </w:rPr>
              <w:t>生境  生境面积、质量、连通性等</w:t>
            </w:r>
          </w:p>
          <w:p w14:paraId="09890090">
            <w:pPr>
              <w:pStyle w:val="196"/>
            </w:pPr>
            <w:r>
              <w:rPr>
                <w:rFonts w:hint="eastAsia"/>
              </w:rPr>
              <w:t>生物群落：物种组成、群落结构等</w:t>
            </w:r>
          </w:p>
          <w:p w14:paraId="67E74743">
            <w:pPr>
              <w:pStyle w:val="196"/>
            </w:pPr>
            <w:r>
              <w:rPr>
                <w:rFonts w:hint="eastAsia"/>
              </w:rPr>
              <w:t>生态系统：植被覆盖度、生产力、生物量、生态系统功能等</w:t>
            </w:r>
          </w:p>
          <w:p w14:paraId="2EA5C2F6">
            <w:pPr>
              <w:pStyle w:val="196"/>
            </w:pPr>
            <w:r>
              <w:rPr>
                <w:rFonts w:hint="eastAsia"/>
              </w:rPr>
              <w:t>生物多样性：物种丰富度、均匀度、优势度等</w:t>
            </w:r>
          </w:p>
          <w:p w14:paraId="2835273E">
            <w:pPr>
              <w:pStyle w:val="196"/>
            </w:pPr>
            <w:r>
              <w:rPr>
                <w:rFonts w:hint="eastAsia"/>
              </w:rPr>
              <w:t>生态敏感区：主要保护对象、生态功能等</w:t>
            </w:r>
          </w:p>
          <w:p w14:paraId="1A2F4121">
            <w:pPr>
              <w:pStyle w:val="196"/>
            </w:pPr>
            <w:r>
              <w:rPr>
                <w:rFonts w:hint="eastAsia"/>
              </w:rPr>
              <w:t>自然景观：景观多样性、完整性等</w:t>
            </w:r>
          </w:p>
          <w:p w14:paraId="209FCCB4">
            <w:pPr>
              <w:pStyle w:val="196"/>
            </w:pPr>
            <w:r>
              <w:rPr>
                <w:rFonts w:hint="eastAsia"/>
              </w:rPr>
              <w:t>自然遗迹：遗迹多样性、完整性等</w:t>
            </w:r>
          </w:p>
        </w:tc>
        <w:tc>
          <w:tcPr>
            <w:tcW w:w="1553" w:type="dxa"/>
            <w:tcBorders>
              <w:top w:val="single" w:color="auto" w:sz="4" w:space="0"/>
              <w:left w:val="single" w:color="auto" w:sz="4" w:space="0"/>
              <w:bottom w:val="single" w:color="auto" w:sz="4" w:space="0"/>
              <w:right w:val="single" w:color="auto" w:sz="4" w:space="0"/>
            </w:tcBorders>
            <w:vAlign w:val="center"/>
          </w:tcPr>
          <w:p w14:paraId="2D7CD2C2">
            <w:pPr>
              <w:pStyle w:val="196"/>
            </w:pPr>
            <w:r>
              <w:rPr>
                <w:rFonts w:hint="eastAsia"/>
              </w:rPr>
              <w:t>/</w:t>
            </w:r>
          </w:p>
        </w:tc>
      </w:tr>
      <w:tr w14:paraId="3A401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3D0AC2BF">
            <w:pPr>
              <w:pStyle w:val="196"/>
            </w:pPr>
            <w:r>
              <w:rPr>
                <w:rFonts w:hint="eastAsia"/>
              </w:rPr>
              <w:t>土壤</w:t>
            </w:r>
          </w:p>
        </w:tc>
        <w:tc>
          <w:tcPr>
            <w:tcW w:w="3213" w:type="dxa"/>
            <w:tcBorders>
              <w:top w:val="single" w:color="auto" w:sz="4" w:space="0"/>
              <w:left w:val="single" w:color="auto" w:sz="4" w:space="0"/>
              <w:bottom w:val="single" w:color="auto" w:sz="4" w:space="0"/>
              <w:right w:val="single" w:color="auto" w:sz="4" w:space="0"/>
            </w:tcBorders>
            <w:vAlign w:val="center"/>
          </w:tcPr>
          <w:p w14:paraId="60DDF2B3">
            <w:pPr>
              <w:pStyle w:val="196"/>
            </w:pPr>
            <w:r>
              <w:rPr>
                <w:rFonts w:hint="eastAsia"/>
              </w:rPr>
              <w:t>/</w:t>
            </w:r>
          </w:p>
        </w:tc>
        <w:tc>
          <w:tcPr>
            <w:tcW w:w="3118" w:type="dxa"/>
            <w:tcBorders>
              <w:top w:val="single" w:color="auto" w:sz="4" w:space="0"/>
              <w:left w:val="single" w:color="auto" w:sz="4" w:space="0"/>
              <w:bottom w:val="single" w:color="auto" w:sz="4" w:space="0"/>
              <w:right w:val="single" w:color="auto" w:sz="4" w:space="0"/>
            </w:tcBorders>
            <w:vAlign w:val="center"/>
          </w:tcPr>
          <w:p w14:paraId="3DB4AAA6">
            <w:pPr>
              <w:pStyle w:val="196"/>
            </w:pPr>
            <w:r>
              <w:rPr>
                <w:rFonts w:hint="eastAsia"/>
              </w:rPr>
              <w:t>/</w:t>
            </w:r>
          </w:p>
        </w:tc>
        <w:tc>
          <w:tcPr>
            <w:tcW w:w="1553" w:type="dxa"/>
            <w:tcBorders>
              <w:top w:val="single" w:color="auto" w:sz="4" w:space="0"/>
              <w:left w:val="single" w:color="auto" w:sz="4" w:space="0"/>
              <w:bottom w:val="single" w:color="auto" w:sz="4" w:space="0"/>
              <w:right w:val="single" w:color="auto" w:sz="4" w:space="0"/>
            </w:tcBorders>
            <w:vAlign w:val="center"/>
          </w:tcPr>
          <w:p w14:paraId="5703722D">
            <w:pPr>
              <w:pStyle w:val="196"/>
            </w:pPr>
            <w:r>
              <w:rPr>
                <w:rFonts w:hint="eastAsia"/>
              </w:rPr>
              <w:t>/</w:t>
            </w:r>
          </w:p>
        </w:tc>
      </w:tr>
      <w:tr w14:paraId="10E3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483E5377">
            <w:pPr>
              <w:pStyle w:val="196"/>
            </w:pPr>
            <w:r>
              <w:rPr>
                <w:rFonts w:hint="eastAsia"/>
              </w:rPr>
              <w:t>底泥</w:t>
            </w:r>
          </w:p>
        </w:tc>
        <w:tc>
          <w:tcPr>
            <w:tcW w:w="3213" w:type="dxa"/>
            <w:tcBorders>
              <w:top w:val="single" w:color="auto" w:sz="4" w:space="0"/>
              <w:left w:val="single" w:color="auto" w:sz="4" w:space="0"/>
              <w:bottom w:val="single" w:color="auto" w:sz="4" w:space="0"/>
              <w:right w:val="single" w:color="auto" w:sz="4" w:space="0"/>
            </w:tcBorders>
            <w:vAlign w:val="center"/>
          </w:tcPr>
          <w:p w14:paraId="1A14E55C">
            <w:pPr>
              <w:pStyle w:val="196"/>
              <w:rPr>
                <w:sz w:val="24"/>
                <w:szCs w:val="24"/>
              </w:rPr>
            </w:pPr>
            <w:r>
              <w:rPr>
                <w:rFonts w:hint="eastAsia"/>
              </w:rPr>
              <w:t>45项+pH、总铬、锌、石油烃</w:t>
            </w:r>
          </w:p>
          <w:p w14:paraId="2EAFA7D4">
            <w:pPr>
              <w:pStyle w:val="196"/>
            </w:pPr>
          </w:p>
        </w:tc>
        <w:tc>
          <w:tcPr>
            <w:tcW w:w="3118" w:type="dxa"/>
            <w:tcBorders>
              <w:top w:val="single" w:color="auto" w:sz="4" w:space="0"/>
              <w:left w:val="single" w:color="auto" w:sz="4" w:space="0"/>
              <w:bottom w:val="single" w:color="auto" w:sz="4" w:space="0"/>
              <w:right w:val="single" w:color="auto" w:sz="4" w:space="0"/>
            </w:tcBorders>
            <w:vAlign w:val="center"/>
          </w:tcPr>
          <w:p w14:paraId="23C64CB4">
            <w:pPr>
              <w:pStyle w:val="196"/>
            </w:pPr>
            <w:r>
              <w:rPr>
                <w:rFonts w:hint="eastAsia"/>
              </w:rPr>
              <w:t>/</w:t>
            </w:r>
          </w:p>
        </w:tc>
        <w:tc>
          <w:tcPr>
            <w:tcW w:w="1553" w:type="dxa"/>
            <w:tcBorders>
              <w:top w:val="single" w:color="auto" w:sz="4" w:space="0"/>
              <w:left w:val="single" w:color="auto" w:sz="4" w:space="0"/>
              <w:bottom w:val="single" w:color="auto" w:sz="4" w:space="0"/>
              <w:right w:val="single" w:color="auto" w:sz="4" w:space="0"/>
            </w:tcBorders>
            <w:vAlign w:val="center"/>
          </w:tcPr>
          <w:p w14:paraId="09796352">
            <w:pPr>
              <w:pStyle w:val="196"/>
            </w:pPr>
            <w:r>
              <w:rPr>
                <w:rFonts w:hint="eastAsia"/>
              </w:rPr>
              <w:t>/</w:t>
            </w:r>
          </w:p>
        </w:tc>
      </w:tr>
      <w:tr w14:paraId="6E0D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1394AC96">
            <w:pPr>
              <w:pStyle w:val="196"/>
            </w:pPr>
            <w:r>
              <w:rPr>
                <w:rFonts w:hint="eastAsia"/>
              </w:rPr>
              <w:t>噪声</w:t>
            </w:r>
          </w:p>
        </w:tc>
        <w:tc>
          <w:tcPr>
            <w:tcW w:w="6331" w:type="dxa"/>
            <w:gridSpan w:val="2"/>
            <w:tcBorders>
              <w:top w:val="single" w:color="auto" w:sz="4" w:space="0"/>
              <w:left w:val="single" w:color="auto" w:sz="4" w:space="0"/>
              <w:bottom w:val="single" w:color="auto" w:sz="4" w:space="0"/>
              <w:right w:val="single" w:color="auto" w:sz="4" w:space="0"/>
            </w:tcBorders>
            <w:vAlign w:val="center"/>
          </w:tcPr>
          <w:p w14:paraId="49ADAF83">
            <w:pPr>
              <w:pStyle w:val="196"/>
            </w:pPr>
            <w:r>
              <w:rPr>
                <w:rFonts w:hint="eastAsia"/>
              </w:rPr>
              <w:t>等效连续A声级</w:t>
            </w:r>
          </w:p>
        </w:tc>
        <w:tc>
          <w:tcPr>
            <w:tcW w:w="1553" w:type="dxa"/>
            <w:tcBorders>
              <w:top w:val="single" w:color="auto" w:sz="4" w:space="0"/>
              <w:left w:val="single" w:color="auto" w:sz="4" w:space="0"/>
              <w:bottom w:val="single" w:color="auto" w:sz="4" w:space="0"/>
              <w:right w:val="single" w:color="auto" w:sz="4" w:space="0"/>
            </w:tcBorders>
            <w:vAlign w:val="center"/>
          </w:tcPr>
          <w:p w14:paraId="27331733">
            <w:pPr>
              <w:pStyle w:val="196"/>
            </w:pPr>
            <w:r>
              <w:rPr>
                <w:rFonts w:hint="eastAsia"/>
              </w:rPr>
              <w:t>/</w:t>
            </w:r>
          </w:p>
        </w:tc>
      </w:tr>
      <w:tr w14:paraId="69C3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3" w:type="dxa"/>
            <w:gridSpan w:val="2"/>
            <w:tcBorders>
              <w:top w:val="single" w:color="auto" w:sz="4" w:space="0"/>
              <w:left w:val="single" w:color="auto" w:sz="4" w:space="0"/>
              <w:bottom w:val="single" w:color="auto" w:sz="4" w:space="0"/>
              <w:right w:val="single" w:color="auto" w:sz="4" w:space="0"/>
            </w:tcBorders>
            <w:vAlign w:val="center"/>
          </w:tcPr>
          <w:p w14:paraId="1ED27C73">
            <w:pPr>
              <w:pStyle w:val="196"/>
            </w:pPr>
            <w:bookmarkStart w:id="75" w:name="_Toc9152"/>
            <w:r>
              <w:rPr>
                <w:rFonts w:hint="eastAsia"/>
              </w:rPr>
              <w:t>环境风险</w:t>
            </w:r>
            <w:bookmarkEnd w:id="75"/>
          </w:p>
        </w:tc>
        <w:tc>
          <w:tcPr>
            <w:tcW w:w="3213" w:type="dxa"/>
            <w:tcBorders>
              <w:top w:val="single" w:color="auto" w:sz="4" w:space="0"/>
              <w:left w:val="single" w:color="auto" w:sz="4" w:space="0"/>
              <w:bottom w:val="single" w:color="auto" w:sz="4" w:space="0"/>
              <w:right w:val="single" w:color="auto" w:sz="4" w:space="0"/>
            </w:tcBorders>
            <w:vAlign w:val="center"/>
          </w:tcPr>
          <w:p w14:paraId="0BFD1BA0">
            <w:pPr>
              <w:pStyle w:val="196"/>
            </w:pPr>
            <w:r>
              <w:rPr>
                <w:rFonts w:hint="eastAsia"/>
              </w:rPr>
              <w:t>/</w:t>
            </w:r>
          </w:p>
        </w:tc>
        <w:tc>
          <w:tcPr>
            <w:tcW w:w="3118" w:type="dxa"/>
            <w:tcBorders>
              <w:top w:val="single" w:color="auto" w:sz="4" w:space="0"/>
              <w:left w:val="single" w:color="auto" w:sz="4" w:space="0"/>
              <w:bottom w:val="single" w:color="auto" w:sz="4" w:space="0"/>
              <w:right w:val="single" w:color="auto" w:sz="4" w:space="0"/>
            </w:tcBorders>
            <w:vAlign w:val="center"/>
          </w:tcPr>
          <w:p w14:paraId="0819866C">
            <w:pPr>
              <w:pStyle w:val="196"/>
            </w:pPr>
            <w:r>
              <w:rPr>
                <w:rFonts w:hint="eastAsia"/>
              </w:rPr>
              <w:t>柴油</w:t>
            </w:r>
          </w:p>
        </w:tc>
        <w:tc>
          <w:tcPr>
            <w:tcW w:w="1553" w:type="dxa"/>
            <w:tcBorders>
              <w:top w:val="single" w:color="auto" w:sz="4" w:space="0"/>
              <w:left w:val="single" w:color="auto" w:sz="4" w:space="0"/>
              <w:bottom w:val="single" w:color="auto" w:sz="4" w:space="0"/>
              <w:right w:val="single" w:color="auto" w:sz="4" w:space="0"/>
            </w:tcBorders>
            <w:vAlign w:val="center"/>
          </w:tcPr>
          <w:p w14:paraId="564680AD">
            <w:pPr>
              <w:pStyle w:val="196"/>
            </w:pPr>
            <w:r>
              <w:rPr>
                <w:rFonts w:hint="eastAsia"/>
              </w:rPr>
              <w:t>/</w:t>
            </w:r>
          </w:p>
        </w:tc>
      </w:tr>
      <w:bookmarkEnd w:id="72"/>
    </w:tbl>
    <w:p w14:paraId="0300052D">
      <w:pPr>
        <w:pStyle w:val="80"/>
        <w:rPr>
          <w:rFonts w:cs="Times New Roman"/>
        </w:rPr>
      </w:pPr>
      <w:bookmarkStart w:id="76" w:name="_Toc182171804"/>
      <w:r>
        <w:rPr>
          <w:rFonts w:hint="eastAsia"/>
        </w:rPr>
        <w:t>环境功能区划与评价标准</w:t>
      </w:r>
      <w:bookmarkEnd w:id="76"/>
    </w:p>
    <w:p w14:paraId="32D333C4">
      <w:pPr>
        <w:pStyle w:val="82"/>
      </w:pPr>
      <w:r>
        <w:rPr>
          <w:rFonts w:hint="eastAsia"/>
        </w:rPr>
        <w:t>环境功能区划</w:t>
      </w:r>
    </w:p>
    <w:p w14:paraId="6B75A452">
      <w:pPr>
        <w:adjustRightInd w:val="0"/>
        <w:snapToGrid w:val="0"/>
        <w:ind w:firstLine="480"/>
        <w:rPr>
          <w:szCs w:val="24"/>
        </w:rPr>
      </w:pPr>
      <w:r>
        <w:rPr>
          <w:rFonts w:hint="eastAsia"/>
          <w:szCs w:val="24"/>
        </w:rPr>
        <w:t>1</w:t>
      </w:r>
      <w:r>
        <w:rPr>
          <w:rFonts w:hint="eastAsia" w:ascii="宋体" w:hAnsi="宋体"/>
          <w:szCs w:val="24"/>
        </w:rPr>
        <w:t>、地表水环境功能区划</w:t>
      </w:r>
    </w:p>
    <w:p w14:paraId="1B2DBE86">
      <w:pPr>
        <w:adjustRightInd w:val="0"/>
        <w:snapToGrid w:val="0"/>
        <w:ind w:firstLine="468"/>
        <w:rPr>
          <w:szCs w:val="24"/>
        </w:rPr>
      </w:pPr>
      <w:r>
        <w:rPr>
          <w:rFonts w:hint="eastAsia" w:ascii="宋体" w:hAnsi="宋体"/>
          <w:spacing w:val="-6"/>
          <w:kern w:val="0"/>
          <w:szCs w:val="24"/>
        </w:rPr>
        <w:t>根据《江苏省地表水（环境）功能区划（</w:t>
      </w:r>
      <w:r>
        <w:rPr>
          <w:rFonts w:hint="eastAsia"/>
          <w:spacing w:val="-6"/>
          <w:kern w:val="0"/>
          <w:szCs w:val="24"/>
        </w:rPr>
        <w:t>2021</w:t>
      </w:r>
      <w:r>
        <w:rPr>
          <w:rFonts w:hint="eastAsia"/>
          <w:spacing w:val="-6"/>
          <w:kern w:val="0"/>
          <w:szCs w:val="24"/>
          <w:lang w:eastAsia="zh-CN"/>
        </w:rPr>
        <w:t>—</w:t>
      </w:r>
      <w:r>
        <w:rPr>
          <w:rFonts w:hint="eastAsia"/>
          <w:spacing w:val="-6"/>
          <w:kern w:val="0"/>
          <w:szCs w:val="24"/>
        </w:rPr>
        <w:t>2030</w:t>
      </w:r>
      <w:r>
        <w:rPr>
          <w:rFonts w:hint="eastAsia" w:ascii="宋体" w:hAnsi="宋体"/>
          <w:spacing w:val="-6"/>
          <w:kern w:val="0"/>
          <w:szCs w:val="24"/>
        </w:rPr>
        <w:t>年）》，评价范围内盐河执行《地表水环境质量标准》（</w:t>
      </w:r>
      <w:r>
        <w:rPr>
          <w:rFonts w:hint="eastAsia"/>
          <w:spacing w:val="-6"/>
          <w:kern w:val="0"/>
          <w:szCs w:val="24"/>
        </w:rPr>
        <w:t>GB3838-2002</w:t>
      </w:r>
      <w:r>
        <w:rPr>
          <w:rFonts w:hint="eastAsia" w:ascii="宋体" w:hAnsi="宋体"/>
          <w:spacing w:val="-6"/>
          <w:kern w:val="0"/>
          <w:szCs w:val="24"/>
        </w:rPr>
        <w:t>）中Ⅲ类标准；《江苏省地表水（环境）功能区划（</w:t>
      </w:r>
      <w:r>
        <w:rPr>
          <w:rFonts w:hint="eastAsia"/>
          <w:spacing w:val="-6"/>
          <w:kern w:val="0"/>
          <w:szCs w:val="24"/>
        </w:rPr>
        <w:t>2021</w:t>
      </w:r>
      <w:r>
        <w:rPr>
          <w:rFonts w:hint="eastAsia"/>
          <w:spacing w:val="-6"/>
          <w:kern w:val="0"/>
          <w:szCs w:val="24"/>
          <w:lang w:eastAsia="zh-CN"/>
        </w:rPr>
        <w:t>—</w:t>
      </w:r>
      <w:r>
        <w:rPr>
          <w:rFonts w:hint="eastAsia"/>
          <w:spacing w:val="-6"/>
          <w:kern w:val="0"/>
          <w:szCs w:val="24"/>
        </w:rPr>
        <w:t>2030</w:t>
      </w:r>
      <w:r>
        <w:rPr>
          <w:rFonts w:hint="eastAsia" w:ascii="宋体" w:hAnsi="宋体"/>
          <w:spacing w:val="-6"/>
          <w:kern w:val="0"/>
          <w:szCs w:val="24"/>
        </w:rPr>
        <w:t>年）》中未对渠西河划分水功能区，</w:t>
      </w:r>
      <w:r>
        <w:rPr>
          <w:rFonts w:hint="eastAsia" w:ascii="宋体" w:hAnsi="宋体"/>
          <w:kern w:val="0"/>
          <w:szCs w:val="24"/>
        </w:rPr>
        <w:t>根据</w:t>
      </w:r>
      <w:r>
        <w:rPr>
          <w:rFonts w:hint="eastAsia" w:ascii="宋体" w:hAnsi="宋体"/>
          <w:szCs w:val="24"/>
        </w:rPr>
        <w:t>《江苏涟水经济开发区循环经济产业园产业发展规划环评环境影响报告书》</w:t>
      </w:r>
      <w:r>
        <w:rPr>
          <w:rFonts w:hint="eastAsia" w:ascii="宋体" w:hAnsi="宋体"/>
          <w:kern w:val="0"/>
          <w:szCs w:val="24"/>
        </w:rPr>
        <w:t>，</w:t>
      </w:r>
      <w:bookmarkStart w:id="77" w:name="OLE_LINK2"/>
      <w:r>
        <w:rPr>
          <w:rFonts w:hint="eastAsia" w:ascii="宋体" w:hAnsi="宋体"/>
          <w:kern w:val="0"/>
          <w:szCs w:val="24"/>
        </w:rPr>
        <w:t>渠西河</w:t>
      </w:r>
      <w:bookmarkEnd w:id="77"/>
      <w:r>
        <w:rPr>
          <w:rFonts w:hint="eastAsia" w:ascii="宋体" w:hAnsi="宋体"/>
          <w:kern w:val="0"/>
          <w:szCs w:val="24"/>
        </w:rPr>
        <w:t>执行《地表水环境质量标准》（</w:t>
      </w:r>
      <w:r>
        <w:rPr>
          <w:rFonts w:hint="eastAsia"/>
          <w:kern w:val="0"/>
          <w:szCs w:val="24"/>
        </w:rPr>
        <w:t>GB3838-2002</w:t>
      </w:r>
      <w:r>
        <w:rPr>
          <w:rFonts w:hint="eastAsia" w:ascii="宋体" w:hAnsi="宋体"/>
          <w:kern w:val="0"/>
          <w:szCs w:val="24"/>
        </w:rPr>
        <w:t>）中的Ⅳ类标准</w:t>
      </w:r>
      <w:r>
        <w:rPr>
          <w:rFonts w:hint="eastAsia" w:ascii="宋体" w:hAnsi="宋体"/>
          <w:szCs w:val="24"/>
        </w:rPr>
        <w:t>。</w:t>
      </w:r>
    </w:p>
    <w:p w14:paraId="44F2E156">
      <w:pPr>
        <w:adjustRightInd w:val="0"/>
        <w:snapToGrid w:val="0"/>
        <w:ind w:firstLine="480"/>
        <w:rPr>
          <w:szCs w:val="24"/>
        </w:rPr>
      </w:pPr>
      <w:r>
        <w:rPr>
          <w:rFonts w:hint="eastAsia"/>
          <w:szCs w:val="24"/>
        </w:rPr>
        <w:t>2</w:t>
      </w:r>
      <w:r>
        <w:rPr>
          <w:rFonts w:hint="eastAsia" w:ascii="宋体" w:hAnsi="宋体"/>
          <w:szCs w:val="24"/>
        </w:rPr>
        <w:t>、大气环境功能区划</w:t>
      </w:r>
    </w:p>
    <w:p w14:paraId="34BB8519">
      <w:pPr>
        <w:adjustRightInd w:val="0"/>
        <w:snapToGrid w:val="0"/>
        <w:ind w:firstLine="480"/>
        <w:rPr>
          <w:szCs w:val="24"/>
        </w:rPr>
      </w:pPr>
      <w:r>
        <w:rPr>
          <w:rFonts w:hint="eastAsia" w:ascii="宋体" w:hAnsi="宋体"/>
          <w:szCs w:val="24"/>
        </w:rPr>
        <w:t>项目所在地区大气环境功能区划为二类区，环境空气质量执行《环境空气质量标准》（</w:t>
      </w:r>
      <w:r>
        <w:rPr>
          <w:rFonts w:hint="eastAsia"/>
          <w:szCs w:val="24"/>
        </w:rPr>
        <w:t>GB3095-2012</w:t>
      </w:r>
      <w:r>
        <w:rPr>
          <w:rFonts w:hint="eastAsia" w:ascii="宋体" w:hAnsi="宋体"/>
          <w:szCs w:val="24"/>
        </w:rPr>
        <w:t>）中的二级标准。</w:t>
      </w:r>
    </w:p>
    <w:p w14:paraId="18EDD64B">
      <w:pPr>
        <w:adjustRightInd w:val="0"/>
        <w:snapToGrid w:val="0"/>
        <w:ind w:firstLine="480"/>
        <w:rPr>
          <w:szCs w:val="24"/>
        </w:rPr>
      </w:pPr>
      <w:r>
        <w:rPr>
          <w:rFonts w:hint="eastAsia"/>
          <w:szCs w:val="24"/>
        </w:rPr>
        <w:t>3</w:t>
      </w:r>
      <w:r>
        <w:rPr>
          <w:rFonts w:hint="eastAsia" w:ascii="宋体" w:hAnsi="宋体"/>
          <w:szCs w:val="24"/>
        </w:rPr>
        <w:t>、声环境功能区划</w:t>
      </w:r>
    </w:p>
    <w:p w14:paraId="7742B649">
      <w:pPr>
        <w:adjustRightInd w:val="0"/>
        <w:snapToGrid w:val="0"/>
        <w:ind w:firstLine="480"/>
        <w:rPr>
          <w:szCs w:val="24"/>
        </w:rPr>
      </w:pPr>
      <w:r>
        <w:rPr>
          <w:rFonts w:hint="eastAsia" w:ascii="宋体" w:hAnsi="宋体"/>
          <w:szCs w:val="24"/>
        </w:rPr>
        <w:t>根据《声环境质量标准》（</w:t>
      </w:r>
      <w:r>
        <w:rPr>
          <w:rFonts w:hint="eastAsia"/>
          <w:szCs w:val="24"/>
        </w:rPr>
        <w:t>GB3096-2008</w:t>
      </w:r>
      <w:r>
        <w:rPr>
          <w:rFonts w:hint="eastAsia" w:ascii="宋体" w:hAnsi="宋体"/>
          <w:szCs w:val="24"/>
        </w:rPr>
        <w:t>），码头陆域以工业生产为主要功能的区域执行</w:t>
      </w:r>
      <w:r>
        <w:rPr>
          <w:rFonts w:hint="eastAsia"/>
          <w:szCs w:val="24"/>
        </w:rPr>
        <w:t>3</w:t>
      </w:r>
      <w:r>
        <w:rPr>
          <w:rFonts w:hint="eastAsia" w:ascii="宋体" w:hAnsi="宋体"/>
          <w:szCs w:val="24"/>
        </w:rPr>
        <w:t>类标准；码头前沿，公路干线、内河航道两侧执行</w:t>
      </w:r>
      <w:r>
        <w:rPr>
          <w:rFonts w:hint="eastAsia"/>
          <w:szCs w:val="24"/>
        </w:rPr>
        <w:t>4a</w:t>
      </w:r>
      <w:r>
        <w:rPr>
          <w:rFonts w:hint="eastAsia" w:ascii="宋体" w:hAnsi="宋体"/>
          <w:szCs w:val="24"/>
        </w:rPr>
        <w:t>类标准。</w:t>
      </w:r>
    </w:p>
    <w:p w14:paraId="555813D1">
      <w:pPr>
        <w:pStyle w:val="82"/>
      </w:pPr>
      <w:r>
        <w:rPr>
          <w:rFonts w:hint="eastAsia"/>
        </w:rPr>
        <w:t>环境质量标准</w:t>
      </w:r>
    </w:p>
    <w:p w14:paraId="2EFD1829">
      <w:pPr>
        <w:adjustRightInd w:val="0"/>
        <w:snapToGrid w:val="0"/>
        <w:ind w:firstLine="480"/>
        <w:rPr>
          <w:szCs w:val="24"/>
        </w:rPr>
      </w:pPr>
      <w:r>
        <w:rPr>
          <w:rFonts w:hint="eastAsia"/>
          <w:szCs w:val="24"/>
        </w:rPr>
        <w:t>1</w:t>
      </w:r>
      <w:r>
        <w:rPr>
          <w:rFonts w:hint="eastAsia" w:ascii="宋体" w:hAnsi="宋体"/>
          <w:szCs w:val="24"/>
        </w:rPr>
        <w:t>、大气环境</w:t>
      </w:r>
    </w:p>
    <w:p w14:paraId="3E94B190">
      <w:pPr>
        <w:pStyle w:val="93"/>
        <w:rPr>
          <w:szCs w:val="24"/>
        </w:rPr>
      </w:pPr>
      <w:r>
        <w:rPr>
          <w:rFonts w:hint="eastAsia"/>
        </w:rPr>
        <w:t>项目所在区域为二类区，SO</w:t>
      </w:r>
      <w:r>
        <w:rPr>
          <w:rFonts w:hint="eastAsia"/>
          <w:vertAlign w:val="subscript"/>
        </w:rPr>
        <w:t>2</w:t>
      </w:r>
      <w:r>
        <w:rPr>
          <w:rFonts w:hint="eastAsia"/>
        </w:rPr>
        <w:t>、NO</w:t>
      </w:r>
      <w:r>
        <w:rPr>
          <w:rFonts w:hint="eastAsia"/>
          <w:vertAlign w:val="subscript"/>
        </w:rPr>
        <w:t>2</w:t>
      </w:r>
      <w:r>
        <w:rPr>
          <w:rFonts w:hint="eastAsia"/>
        </w:rPr>
        <w:t>、TSP、PM</w:t>
      </w:r>
      <w:r>
        <w:rPr>
          <w:rFonts w:hint="eastAsia"/>
          <w:vertAlign w:val="subscript"/>
        </w:rPr>
        <w:t>10</w:t>
      </w:r>
      <w:r>
        <w:rPr>
          <w:rFonts w:hint="eastAsia"/>
        </w:rPr>
        <w:t>、</w:t>
      </w:r>
      <w:r>
        <w:rPr>
          <w:rFonts w:hint="eastAsia"/>
          <w:kern w:val="0"/>
        </w:rPr>
        <w:t>PM</w:t>
      </w:r>
      <w:r>
        <w:rPr>
          <w:rFonts w:hint="eastAsia"/>
          <w:kern w:val="0"/>
          <w:vertAlign w:val="subscript"/>
        </w:rPr>
        <w:t>2.5</w:t>
      </w:r>
      <w:r>
        <w:rPr>
          <w:rFonts w:hint="eastAsia"/>
          <w:kern w:val="0"/>
        </w:rPr>
        <w:t>、CO、O</w:t>
      </w:r>
      <w:r>
        <w:rPr>
          <w:rFonts w:hint="eastAsia"/>
          <w:kern w:val="0"/>
          <w:vertAlign w:val="subscript"/>
        </w:rPr>
        <w:t>3</w:t>
      </w:r>
      <w:r>
        <w:rPr>
          <w:rFonts w:hint="eastAsia"/>
        </w:rPr>
        <w:t>执行《环境空气质量标准》（GB3095-2012）及其修改单中二级标准。大气环境质量标准主要指标见表2.3-1。</w:t>
      </w:r>
    </w:p>
    <w:p w14:paraId="696CC4E4">
      <w:pPr>
        <w:pStyle w:val="86"/>
      </w:pPr>
      <w:r>
        <w:rPr>
          <w:rFonts w:hint="eastAsia"/>
        </w:rPr>
        <w:t>环境空气质量评价标准</w:t>
      </w:r>
    </w:p>
    <w:tbl>
      <w:tblPr>
        <w:tblStyle w:val="38"/>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023"/>
        <w:gridCol w:w="1332"/>
        <w:gridCol w:w="985"/>
        <w:gridCol w:w="3279"/>
      </w:tblGrid>
      <w:tr w14:paraId="1F4D93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28" w:type="dxa"/>
            <w:tcBorders>
              <w:top w:val="single" w:color="auto" w:sz="2" w:space="0"/>
              <w:left w:val="single" w:color="auto" w:sz="2" w:space="0"/>
              <w:bottom w:val="single" w:color="auto" w:sz="4" w:space="0"/>
              <w:right w:val="single" w:color="auto" w:sz="4" w:space="0"/>
            </w:tcBorders>
            <w:vAlign w:val="center"/>
          </w:tcPr>
          <w:p w14:paraId="0CCA4808">
            <w:pPr>
              <w:pStyle w:val="196"/>
              <w:rPr>
                <w:b/>
                <w:bCs/>
                <w:szCs w:val="21"/>
              </w:rPr>
            </w:pPr>
            <w:r>
              <w:rPr>
                <w:rFonts w:hint="eastAsia"/>
                <w:b/>
                <w:bCs/>
              </w:rPr>
              <w:t>污染物名称</w:t>
            </w:r>
          </w:p>
        </w:tc>
        <w:tc>
          <w:tcPr>
            <w:tcW w:w="1975" w:type="dxa"/>
            <w:tcBorders>
              <w:top w:val="single" w:color="auto" w:sz="2" w:space="0"/>
              <w:left w:val="single" w:color="auto" w:sz="4" w:space="0"/>
              <w:bottom w:val="single" w:color="auto" w:sz="4" w:space="0"/>
              <w:right w:val="single" w:color="auto" w:sz="4" w:space="0"/>
            </w:tcBorders>
            <w:vAlign w:val="center"/>
          </w:tcPr>
          <w:p w14:paraId="473A0F48">
            <w:pPr>
              <w:pStyle w:val="196"/>
              <w:rPr>
                <w:b/>
                <w:bCs/>
              </w:rPr>
            </w:pPr>
            <w:r>
              <w:rPr>
                <w:rFonts w:hint="eastAsia"/>
                <w:b/>
                <w:bCs/>
              </w:rPr>
              <w:t>取值时间</w:t>
            </w:r>
          </w:p>
        </w:tc>
        <w:tc>
          <w:tcPr>
            <w:tcW w:w="1300" w:type="dxa"/>
            <w:tcBorders>
              <w:top w:val="single" w:color="auto" w:sz="2" w:space="0"/>
              <w:left w:val="single" w:color="auto" w:sz="4" w:space="0"/>
              <w:bottom w:val="single" w:color="auto" w:sz="4" w:space="0"/>
              <w:right w:val="single" w:color="auto" w:sz="4" w:space="0"/>
            </w:tcBorders>
            <w:vAlign w:val="center"/>
          </w:tcPr>
          <w:p w14:paraId="196915B9">
            <w:pPr>
              <w:pStyle w:val="196"/>
              <w:rPr>
                <w:b/>
                <w:bCs/>
              </w:rPr>
            </w:pPr>
            <w:r>
              <w:rPr>
                <w:rFonts w:hint="eastAsia"/>
                <w:b/>
                <w:bCs/>
              </w:rPr>
              <w:t>浓度限值</w:t>
            </w:r>
          </w:p>
        </w:tc>
        <w:tc>
          <w:tcPr>
            <w:tcW w:w="961" w:type="dxa"/>
            <w:tcBorders>
              <w:top w:val="single" w:color="auto" w:sz="2" w:space="0"/>
              <w:left w:val="single" w:color="auto" w:sz="4" w:space="0"/>
              <w:bottom w:val="single" w:color="auto" w:sz="4" w:space="0"/>
              <w:right w:val="single" w:color="auto" w:sz="4" w:space="0"/>
            </w:tcBorders>
            <w:vAlign w:val="center"/>
          </w:tcPr>
          <w:p w14:paraId="6F732881">
            <w:pPr>
              <w:pStyle w:val="196"/>
              <w:rPr>
                <w:b/>
                <w:bCs/>
              </w:rPr>
            </w:pPr>
            <w:r>
              <w:rPr>
                <w:rFonts w:hint="eastAsia"/>
                <w:b/>
                <w:bCs/>
              </w:rPr>
              <w:t>单位</w:t>
            </w:r>
          </w:p>
        </w:tc>
        <w:tc>
          <w:tcPr>
            <w:tcW w:w="3201" w:type="dxa"/>
            <w:tcBorders>
              <w:top w:val="single" w:color="auto" w:sz="2" w:space="0"/>
              <w:left w:val="single" w:color="auto" w:sz="4" w:space="0"/>
              <w:bottom w:val="single" w:color="auto" w:sz="4" w:space="0"/>
              <w:right w:val="single" w:color="auto" w:sz="2" w:space="0"/>
            </w:tcBorders>
            <w:vAlign w:val="center"/>
          </w:tcPr>
          <w:p w14:paraId="2FE5D5F3">
            <w:pPr>
              <w:pStyle w:val="196"/>
              <w:rPr>
                <w:b/>
                <w:bCs/>
              </w:rPr>
            </w:pPr>
            <w:r>
              <w:rPr>
                <w:rFonts w:hint="eastAsia"/>
                <w:b/>
                <w:bCs/>
              </w:rPr>
              <w:t>标准来源</w:t>
            </w:r>
          </w:p>
        </w:tc>
      </w:tr>
      <w:tr w14:paraId="6631B4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7E12609B">
            <w:pPr>
              <w:pStyle w:val="196"/>
            </w:pPr>
            <w:r>
              <w:rPr>
                <w:rFonts w:hint="eastAsia"/>
              </w:rPr>
              <w:t>SO</w:t>
            </w:r>
            <w:r>
              <w:rPr>
                <w:rFonts w:hint="eastAsia"/>
                <w:vertAlign w:val="subscript"/>
              </w:rPr>
              <w:t>2</w:t>
            </w:r>
          </w:p>
        </w:tc>
        <w:tc>
          <w:tcPr>
            <w:tcW w:w="1975" w:type="dxa"/>
            <w:tcBorders>
              <w:top w:val="single" w:color="auto" w:sz="4" w:space="0"/>
              <w:left w:val="single" w:color="auto" w:sz="4" w:space="0"/>
              <w:bottom w:val="single" w:color="auto" w:sz="4" w:space="0"/>
              <w:right w:val="single" w:color="auto" w:sz="4" w:space="0"/>
            </w:tcBorders>
            <w:vAlign w:val="center"/>
          </w:tcPr>
          <w:p w14:paraId="221111AC">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03DFB49A">
            <w:pPr>
              <w:pStyle w:val="196"/>
            </w:pPr>
            <w:r>
              <w:rPr>
                <w:rFonts w:hint="eastAsia"/>
              </w:rPr>
              <w:t>60</w:t>
            </w:r>
          </w:p>
        </w:tc>
        <w:tc>
          <w:tcPr>
            <w:tcW w:w="961" w:type="dxa"/>
            <w:vMerge w:val="restart"/>
            <w:tcBorders>
              <w:top w:val="single" w:color="auto" w:sz="4" w:space="0"/>
              <w:left w:val="single" w:color="auto" w:sz="4" w:space="0"/>
              <w:bottom w:val="single" w:color="auto" w:sz="4" w:space="0"/>
              <w:right w:val="single" w:color="auto" w:sz="4" w:space="0"/>
            </w:tcBorders>
            <w:vAlign w:val="center"/>
          </w:tcPr>
          <w:p w14:paraId="38202581">
            <w:pPr>
              <w:pStyle w:val="196"/>
            </w:pPr>
            <w:r>
              <w:t>μ</w:t>
            </w:r>
            <w:r>
              <w:rPr>
                <w:rFonts w:hint="eastAsia"/>
              </w:rPr>
              <w:t>g/m</w:t>
            </w:r>
            <w:r>
              <w:rPr>
                <w:rFonts w:hint="eastAsia"/>
                <w:vertAlign w:val="superscript"/>
              </w:rPr>
              <w:t>3</w:t>
            </w:r>
          </w:p>
        </w:tc>
        <w:tc>
          <w:tcPr>
            <w:tcW w:w="3201" w:type="dxa"/>
            <w:vMerge w:val="restart"/>
            <w:tcBorders>
              <w:top w:val="single" w:color="auto" w:sz="4" w:space="0"/>
              <w:left w:val="single" w:color="auto" w:sz="4" w:space="0"/>
              <w:bottom w:val="single" w:color="auto" w:sz="4" w:space="0"/>
              <w:right w:val="single" w:color="auto" w:sz="2" w:space="0"/>
            </w:tcBorders>
            <w:vAlign w:val="center"/>
          </w:tcPr>
          <w:p w14:paraId="444B8A1F">
            <w:pPr>
              <w:pStyle w:val="196"/>
            </w:pPr>
            <w:r>
              <w:rPr>
                <w:rFonts w:hint="eastAsia"/>
              </w:rPr>
              <w:t>《环境空气质量标准》</w:t>
            </w:r>
          </w:p>
          <w:p w14:paraId="20FEB34F">
            <w:pPr>
              <w:pStyle w:val="196"/>
            </w:pPr>
            <w:r>
              <w:rPr>
                <w:rFonts w:hint="eastAsia"/>
              </w:rPr>
              <w:t>（GB 3095-2012）二级标准</w:t>
            </w:r>
          </w:p>
        </w:tc>
      </w:tr>
      <w:tr w14:paraId="196E6EB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1BEDBFB9">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0AE0D262">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6DF3B996">
            <w:pPr>
              <w:pStyle w:val="196"/>
            </w:pPr>
            <w:r>
              <w:rPr>
                <w:rFonts w:hint="eastAsia"/>
              </w:rPr>
              <w:t>150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3A23B457">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06CA4965">
            <w:pPr>
              <w:pStyle w:val="196"/>
              <w:rPr>
                <w:szCs w:val="21"/>
              </w:rPr>
            </w:pPr>
          </w:p>
        </w:tc>
      </w:tr>
      <w:tr w14:paraId="6F2BC7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3C9A908A">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10A7D61A">
            <w:pPr>
              <w:pStyle w:val="196"/>
            </w:pPr>
            <w:r>
              <w:rPr>
                <w:rFonts w:hint="eastAsia"/>
              </w:rPr>
              <w:t>1小时平均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11CD605D">
            <w:pPr>
              <w:pStyle w:val="196"/>
            </w:pPr>
            <w:r>
              <w:rPr>
                <w:rFonts w:hint="eastAsia"/>
              </w:rPr>
              <w:t>500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0EF69D1D">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25F62665">
            <w:pPr>
              <w:pStyle w:val="196"/>
              <w:rPr>
                <w:szCs w:val="21"/>
              </w:rPr>
            </w:pPr>
          </w:p>
        </w:tc>
      </w:tr>
      <w:tr w14:paraId="743DB1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7D9B39DC">
            <w:pPr>
              <w:pStyle w:val="196"/>
            </w:pPr>
            <w:r>
              <w:rPr>
                <w:rFonts w:hint="eastAsia"/>
              </w:rPr>
              <w:t>NO</w:t>
            </w:r>
            <w:r>
              <w:rPr>
                <w:rFonts w:hint="eastAsia"/>
                <w:vertAlign w:val="subscript"/>
              </w:rPr>
              <w:t>2</w:t>
            </w:r>
          </w:p>
        </w:tc>
        <w:tc>
          <w:tcPr>
            <w:tcW w:w="1975" w:type="dxa"/>
            <w:tcBorders>
              <w:top w:val="single" w:color="auto" w:sz="4" w:space="0"/>
              <w:left w:val="single" w:color="auto" w:sz="4" w:space="0"/>
              <w:bottom w:val="single" w:color="auto" w:sz="4" w:space="0"/>
              <w:right w:val="single" w:color="auto" w:sz="4" w:space="0"/>
            </w:tcBorders>
            <w:vAlign w:val="center"/>
          </w:tcPr>
          <w:p w14:paraId="4707ABC6">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0C55B8B4">
            <w:pPr>
              <w:pStyle w:val="196"/>
            </w:pPr>
            <w:r>
              <w:rPr>
                <w:rFonts w:hint="eastAsia"/>
              </w:rPr>
              <w:t>40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4F9B88D6">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1CDD6378">
            <w:pPr>
              <w:pStyle w:val="196"/>
              <w:rPr>
                <w:szCs w:val="21"/>
              </w:rPr>
            </w:pPr>
          </w:p>
        </w:tc>
      </w:tr>
      <w:tr w14:paraId="4D94A8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7DCADEAE">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6ACDB092">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6FFBB883">
            <w:pPr>
              <w:pStyle w:val="196"/>
            </w:pPr>
            <w:r>
              <w:rPr>
                <w:rFonts w:hint="eastAsia"/>
              </w:rPr>
              <w:t>80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26E273F3">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5886FC94">
            <w:pPr>
              <w:pStyle w:val="196"/>
              <w:rPr>
                <w:szCs w:val="21"/>
              </w:rPr>
            </w:pPr>
          </w:p>
        </w:tc>
      </w:tr>
      <w:tr w14:paraId="44914DC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5B172EA3">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23651BDA">
            <w:pPr>
              <w:pStyle w:val="196"/>
            </w:pPr>
            <w:r>
              <w:rPr>
                <w:rFonts w:hint="eastAsia"/>
              </w:rPr>
              <w:t>1小时平均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78EA3E9A">
            <w:pPr>
              <w:pStyle w:val="196"/>
            </w:pPr>
            <w:r>
              <w:rPr>
                <w:rFonts w:hint="eastAsia"/>
              </w:rPr>
              <w:t>200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4D7093EE">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72E7E035">
            <w:pPr>
              <w:pStyle w:val="196"/>
              <w:rPr>
                <w:szCs w:val="21"/>
              </w:rPr>
            </w:pPr>
          </w:p>
        </w:tc>
      </w:tr>
      <w:tr w14:paraId="7FCFCAE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1561EDAA">
            <w:pPr>
              <w:pStyle w:val="196"/>
            </w:pPr>
            <w:r>
              <w:rPr>
                <w:rFonts w:hint="eastAsia"/>
              </w:rPr>
              <w:t>NO</w:t>
            </w:r>
            <w:r>
              <w:rPr>
                <w:rFonts w:hint="eastAsia"/>
                <w:vertAlign w:val="subscript"/>
              </w:rPr>
              <w:t>x</w:t>
            </w:r>
          </w:p>
        </w:tc>
        <w:tc>
          <w:tcPr>
            <w:tcW w:w="1975" w:type="dxa"/>
            <w:tcBorders>
              <w:top w:val="single" w:color="auto" w:sz="4" w:space="0"/>
              <w:left w:val="single" w:color="auto" w:sz="4" w:space="0"/>
              <w:bottom w:val="single" w:color="auto" w:sz="4" w:space="0"/>
              <w:right w:val="single" w:color="auto" w:sz="4" w:space="0"/>
            </w:tcBorders>
            <w:vAlign w:val="center"/>
          </w:tcPr>
          <w:p w14:paraId="68E75DD5">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0F07B4BC">
            <w:pPr>
              <w:pStyle w:val="196"/>
            </w:pPr>
            <w:r>
              <w:rPr>
                <w:rFonts w:hint="eastAsia"/>
              </w:rPr>
              <w:t>50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35AD498B">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53EB2AA4">
            <w:pPr>
              <w:pStyle w:val="196"/>
              <w:rPr>
                <w:szCs w:val="21"/>
              </w:rPr>
            </w:pPr>
          </w:p>
        </w:tc>
      </w:tr>
      <w:tr w14:paraId="459969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61A85E14">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132E14D6">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69E21AF9">
            <w:pPr>
              <w:pStyle w:val="196"/>
            </w:pPr>
            <w:r>
              <w:rPr>
                <w:rFonts w:hint="eastAsia"/>
              </w:rPr>
              <w:t>100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2231BC5E">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691429ED">
            <w:pPr>
              <w:pStyle w:val="196"/>
              <w:rPr>
                <w:szCs w:val="21"/>
              </w:rPr>
            </w:pPr>
          </w:p>
        </w:tc>
      </w:tr>
      <w:tr w14:paraId="10DA61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297ABFDF">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651F8EAC">
            <w:pPr>
              <w:pStyle w:val="196"/>
            </w:pPr>
            <w:r>
              <w:rPr>
                <w:rFonts w:hint="eastAsia"/>
              </w:rPr>
              <w:t>1小时平均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06B15353">
            <w:pPr>
              <w:pStyle w:val="196"/>
            </w:pPr>
            <w:r>
              <w:rPr>
                <w:rFonts w:hint="eastAsia"/>
              </w:rPr>
              <w:t>250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5BD64DC6">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47728EBA">
            <w:pPr>
              <w:pStyle w:val="196"/>
              <w:rPr>
                <w:szCs w:val="21"/>
              </w:rPr>
            </w:pPr>
          </w:p>
        </w:tc>
      </w:tr>
      <w:tr w14:paraId="6EFE3F2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24E2A143">
            <w:pPr>
              <w:pStyle w:val="196"/>
            </w:pPr>
            <w:r>
              <w:rPr>
                <w:rFonts w:hint="eastAsia"/>
              </w:rPr>
              <w:t>TSP</w:t>
            </w:r>
          </w:p>
        </w:tc>
        <w:tc>
          <w:tcPr>
            <w:tcW w:w="1975" w:type="dxa"/>
            <w:tcBorders>
              <w:top w:val="single" w:color="auto" w:sz="4" w:space="0"/>
              <w:left w:val="single" w:color="auto" w:sz="4" w:space="0"/>
              <w:bottom w:val="single" w:color="auto" w:sz="4" w:space="0"/>
              <w:right w:val="single" w:color="auto" w:sz="4" w:space="0"/>
            </w:tcBorders>
            <w:vAlign w:val="center"/>
          </w:tcPr>
          <w:p w14:paraId="255158A4">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3CC24220">
            <w:pPr>
              <w:pStyle w:val="196"/>
            </w:pPr>
            <w:r>
              <w:rPr>
                <w:rFonts w:hint="eastAsia"/>
              </w:rPr>
              <w:t>200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036FA876">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6D9E5A61">
            <w:pPr>
              <w:pStyle w:val="196"/>
              <w:rPr>
                <w:szCs w:val="21"/>
              </w:rPr>
            </w:pPr>
          </w:p>
        </w:tc>
      </w:tr>
      <w:tr w14:paraId="59BF282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2ACAE955">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45663413">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7CE8A0B4">
            <w:pPr>
              <w:pStyle w:val="196"/>
            </w:pPr>
            <w:r>
              <w:rPr>
                <w:rFonts w:hint="eastAsia"/>
              </w:rPr>
              <w:t>300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036A1780">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18143197">
            <w:pPr>
              <w:pStyle w:val="196"/>
              <w:rPr>
                <w:szCs w:val="21"/>
              </w:rPr>
            </w:pPr>
          </w:p>
        </w:tc>
      </w:tr>
      <w:tr w14:paraId="081BA7A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15741FC9">
            <w:pPr>
              <w:pStyle w:val="196"/>
            </w:pPr>
            <w:r>
              <w:rPr>
                <w:rFonts w:hint="eastAsia"/>
              </w:rPr>
              <w:t>PM</w:t>
            </w:r>
            <w:r>
              <w:rPr>
                <w:rFonts w:hint="eastAsia"/>
                <w:vertAlign w:val="subscript"/>
              </w:rPr>
              <w:t>10</w:t>
            </w:r>
          </w:p>
        </w:tc>
        <w:tc>
          <w:tcPr>
            <w:tcW w:w="1975" w:type="dxa"/>
            <w:tcBorders>
              <w:top w:val="single" w:color="auto" w:sz="4" w:space="0"/>
              <w:left w:val="single" w:color="auto" w:sz="4" w:space="0"/>
              <w:bottom w:val="single" w:color="auto" w:sz="4" w:space="0"/>
              <w:right w:val="single" w:color="auto" w:sz="4" w:space="0"/>
            </w:tcBorders>
            <w:vAlign w:val="center"/>
          </w:tcPr>
          <w:p w14:paraId="22F41DAA">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0A22CCB7">
            <w:pPr>
              <w:pStyle w:val="196"/>
            </w:pPr>
            <w:r>
              <w:rPr>
                <w:rFonts w:hint="eastAsia"/>
              </w:rPr>
              <w:t>70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741446AB">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48E8052F">
            <w:pPr>
              <w:pStyle w:val="196"/>
              <w:rPr>
                <w:szCs w:val="21"/>
              </w:rPr>
            </w:pPr>
          </w:p>
        </w:tc>
      </w:tr>
      <w:tr w14:paraId="1B814EC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27FC7C41">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1C378C60">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1A1112A6">
            <w:pPr>
              <w:pStyle w:val="196"/>
            </w:pPr>
            <w:r>
              <w:rPr>
                <w:rFonts w:hint="eastAsia"/>
              </w:rPr>
              <w:t>150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1C0520A1">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0BC18E6B">
            <w:pPr>
              <w:pStyle w:val="196"/>
              <w:rPr>
                <w:szCs w:val="21"/>
              </w:rPr>
            </w:pPr>
          </w:p>
        </w:tc>
      </w:tr>
      <w:tr w14:paraId="0EB55B8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4AB6F836">
            <w:pPr>
              <w:pStyle w:val="196"/>
            </w:pPr>
            <w:r>
              <w:rPr>
                <w:rFonts w:hint="eastAsia"/>
              </w:rPr>
              <w:t>PM</w:t>
            </w:r>
            <w:r>
              <w:rPr>
                <w:rFonts w:hint="eastAsia"/>
                <w:vertAlign w:val="subscript"/>
              </w:rPr>
              <w:t>2.5</w:t>
            </w:r>
          </w:p>
        </w:tc>
        <w:tc>
          <w:tcPr>
            <w:tcW w:w="1975" w:type="dxa"/>
            <w:tcBorders>
              <w:top w:val="single" w:color="auto" w:sz="4" w:space="0"/>
              <w:left w:val="single" w:color="auto" w:sz="4" w:space="0"/>
              <w:bottom w:val="single" w:color="auto" w:sz="4" w:space="0"/>
              <w:right w:val="single" w:color="auto" w:sz="4" w:space="0"/>
            </w:tcBorders>
            <w:vAlign w:val="center"/>
          </w:tcPr>
          <w:p w14:paraId="685D0F00">
            <w:pPr>
              <w:pStyle w:val="196"/>
            </w:pPr>
            <w:r>
              <w:rPr>
                <w:rFonts w:hint="eastAsia"/>
              </w:rPr>
              <w:t>年平均</w:t>
            </w:r>
          </w:p>
        </w:tc>
        <w:tc>
          <w:tcPr>
            <w:tcW w:w="1300" w:type="dxa"/>
            <w:tcBorders>
              <w:top w:val="single" w:color="auto" w:sz="4" w:space="0"/>
              <w:left w:val="single" w:color="auto" w:sz="4" w:space="0"/>
              <w:bottom w:val="single" w:color="auto" w:sz="4" w:space="0"/>
              <w:right w:val="single" w:color="auto" w:sz="4" w:space="0"/>
            </w:tcBorders>
            <w:vAlign w:val="center"/>
          </w:tcPr>
          <w:p w14:paraId="5515559B">
            <w:pPr>
              <w:pStyle w:val="196"/>
            </w:pPr>
            <w:r>
              <w:rPr>
                <w:rFonts w:hint="eastAsia"/>
              </w:rPr>
              <w:t>35</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2E81F6A6">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4AE001E4">
            <w:pPr>
              <w:pStyle w:val="196"/>
              <w:rPr>
                <w:szCs w:val="21"/>
              </w:rPr>
            </w:pPr>
          </w:p>
        </w:tc>
      </w:tr>
      <w:tr w14:paraId="1015F54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5E84F965">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2E60901A">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49850B50">
            <w:pPr>
              <w:pStyle w:val="196"/>
            </w:pPr>
            <w:r>
              <w:rPr>
                <w:rFonts w:hint="eastAsia"/>
              </w:rPr>
              <w:t>75</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100FDC0D">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4B7985FC">
            <w:pPr>
              <w:pStyle w:val="196"/>
              <w:rPr>
                <w:szCs w:val="21"/>
              </w:rPr>
            </w:pPr>
          </w:p>
        </w:tc>
      </w:tr>
      <w:tr w14:paraId="088BCE2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356F91BD">
            <w:pPr>
              <w:pStyle w:val="196"/>
            </w:pPr>
            <w:r>
              <w:rPr>
                <w:rFonts w:hint="eastAsia"/>
              </w:rPr>
              <w:t>O</w:t>
            </w:r>
            <w:r>
              <w:rPr>
                <w:rFonts w:hint="eastAsia"/>
                <w:vertAlign w:val="subscript"/>
              </w:rPr>
              <w:t>3</w:t>
            </w:r>
          </w:p>
        </w:tc>
        <w:tc>
          <w:tcPr>
            <w:tcW w:w="1975" w:type="dxa"/>
            <w:tcBorders>
              <w:top w:val="single" w:color="auto" w:sz="4" w:space="0"/>
              <w:left w:val="single" w:color="auto" w:sz="4" w:space="0"/>
              <w:bottom w:val="single" w:color="auto" w:sz="4" w:space="0"/>
              <w:right w:val="single" w:color="auto" w:sz="4" w:space="0"/>
            </w:tcBorders>
            <w:vAlign w:val="center"/>
          </w:tcPr>
          <w:p w14:paraId="1436DD8C">
            <w:pPr>
              <w:pStyle w:val="196"/>
            </w:pPr>
            <w:r>
              <w:rPr>
                <w:rFonts w:hint="eastAsia"/>
              </w:rPr>
              <w:t>日最大8小时平均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17DE0E31">
            <w:pPr>
              <w:pStyle w:val="196"/>
            </w:pPr>
            <w:r>
              <w:rPr>
                <w:rFonts w:hint="eastAsia"/>
              </w:rPr>
              <w:t>160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3CD32878">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0BC4660E">
            <w:pPr>
              <w:pStyle w:val="196"/>
              <w:rPr>
                <w:szCs w:val="21"/>
              </w:rPr>
            </w:pPr>
          </w:p>
        </w:tc>
      </w:tr>
      <w:tr w14:paraId="23B816D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766F6D73">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2BC6CE16">
            <w:pPr>
              <w:pStyle w:val="196"/>
            </w:pPr>
            <w:r>
              <w:rPr>
                <w:rFonts w:hint="eastAsia"/>
              </w:rPr>
              <w:t>1小时平均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04DCFED5">
            <w:pPr>
              <w:pStyle w:val="196"/>
            </w:pPr>
            <w:r>
              <w:rPr>
                <w:rFonts w:hint="eastAsia"/>
              </w:rPr>
              <w:t>200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2D28E6E1">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152E13BE">
            <w:pPr>
              <w:pStyle w:val="196"/>
              <w:rPr>
                <w:szCs w:val="21"/>
              </w:rPr>
            </w:pPr>
          </w:p>
        </w:tc>
      </w:tr>
      <w:tr w14:paraId="7CCAB6B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restart"/>
            <w:tcBorders>
              <w:top w:val="single" w:color="auto" w:sz="4" w:space="0"/>
              <w:left w:val="single" w:color="auto" w:sz="2" w:space="0"/>
              <w:bottom w:val="single" w:color="auto" w:sz="4" w:space="0"/>
              <w:right w:val="single" w:color="auto" w:sz="4" w:space="0"/>
            </w:tcBorders>
            <w:vAlign w:val="center"/>
          </w:tcPr>
          <w:p w14:paraId="6852415A">
            <w:pPr>
              <w:pStyle w:val="196"/>
            </w:pPr>
            <w:r>
              <w:rPr>
                <w:rFonts w:hint="eastAsia"/>
              </w:rPr>
              <w:t>CO</w:t>
            </w:r>
          </w:p>
        </w:tc>
        <w:tc>
          <w:tcPr>
            <w:tcW w:w="1975" w:type="dxa"/>
            <w:tcBorders>
              <w:top w:val="single" w:color="auto" w:sz="4" w:space="0"/>
              <w:left w:val="single" w:color="auto" w:sz="4" w:space="0"/>
              <w:bottom w:val="single" w:color="auto" w:sz="4" w:space="0"/>
              <w:right w:val="single" w:color="auto" w:sz="4" w:space="0"/>
            </w:tcBorders>
            <w:vAlign w:val="center"/>
          </w:tcPr>
          <w:p w14:paraId="36A1F974">
            <w:pPr>
              <w:pStyle w:val="196"/>
            </w:pPr>
            <w:r>
              <w:rPr>
                <w:rFonts w:hint="eastAsia"/>
              </w:rPr>
              <w:t>24小时平均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7EEBB639">
            <w:pPr>
              <w:pStyle w:val="196"/>
            </w:pPr>
            <w:r>
              <w:rPr>
                <w:rFonts w:hint="eastAsia"/>
              </w:rPr>
              <w:t>4</w:t>
            </w:r>
          </w:p>
        </w:tc>
        <w:tc>
          <w:tcPr>
            <w:tcW w:w="961" w:type="dxa"/>
            <w:vMerge w:val="restart"/>
            <w:tcBorders>
              <w:top w:val="single" w:color="auto" w:sz="4" w:space="0"/>
              <w:left w:val="single" w:color="auto" w:sz="4" w:space="0"/>
              <w:bottom w:val="single" w:color="auto" w:sz="4" w:space="0"/>
              <w:right w:val="single" w:color="auto" w:sz="4" w:space="0"/>
            </w:tcBorders>
            <w:vAlign w:val="center"/>
          </w:tcPr>
          <w:p w14:paraId="33BA95CE">
            <w:pPr>
              <w:pStyle w:val="196"/>
            </w:pPr>
            <w:r>
              <w:rPr>
                <w:rFonts w:hint="eastAsia"/>
              </w:rPr>
              <w:t>mg/m</w:t>
            </w:r>
            <w:r>
              <w:rPr>
                <w:rFonts w:hint="eastAsia"/>
                <w:vertAlign w:val="superscript"/>
              </w:rPr>
              <w:t>3</w:t>
            </w: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1811C54C">
            <w:pPr>
              <w:pStyle w:val="196"/>
              <w:rPr>
                <w:szCs w:val="21"/>
              </w:rPr>
            </w:pPr>
          </w:p>
        </w:tc>
      </w:tr>
      <w:tr w14:paraId="270C87E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vMerge w:val="continue"/>
            <w:tcBorders>
              <w:top w:val="single" w:color="auto" w:sz="4" w:space="0"/>
              <w:left w:val="single" w:color="auto" w:sz="2" w:space="0"/>
              <w:bottom w:val="single" w:color="auto" w:sz="4" w:space="0"/>
              <w:right w:val="single" w:color="auto" w:sz="4" w:space="0"/>
            </w:tcBorders>
            <w:vAlign w:val="center"/>
          </w:tcPr>
          <w:p w14:paraId="07CFAC73">
            <w:pPr>
              <w:pStyle w:val="196"/>
              <w:rPr>
                <w:szCs w:val="21"/>
              </w:rPr>
            </w:pPr>
          </w:p>
        </w:tc>
        <w:tc>
          <w:tcPr>
            <w:tcW w:w="1975" w:type="dxa"/>
            <w:tcBorders>
              <w:top w:val="single" w:color="auto" w:sz="4" w:space="0"/>
              <w:left w:val="single" w:color="auto" w:sz="4" w:space="0"/>
              <w:bottom w:val="single" w:color="auto" w:sz="4" w:space="0"/>
              <w:right w:val="single" w:color="auto" w:sz="4" w:space="0"/>
            </w:tcBorders>
            <w:vAlign w:val="center"/>
          </w:tcPr>
          <w:p w14:paraId="45176CE7">
            <w:pPr>
              <w:pStyle w:val="196"/>
            </w:pPr>
            <w:r>
              <w:rPr>
                <w:rFonts w:hint="eastAsia"/>
              </w:rPr>
              <w:t>1小时平均</w:t>
            </w:r>
          </w:p>
        </w:tc>
        <w:tc>
          <w:tcPr>
            <w:tcW w:w="1300" w:type="dxa"/>
            <w:tcBorders>
              <w:top w:val="single" w:color="auto" w:sz="4" w:space="0"/>
              <w:left w:val="single" w:color="auto" w:sz="4" w:space="0"/>
              <w:bottom w:val="single" w:color="auto" w:sz="4" w:space="0"/>
              <w:right w:val="single" w:color="auto" w:sz="4" w:space="0"/>
            </w:tcBorders>
            <w:vAlign w:val="center"/>
          </w:tcPr>
          <w:p w14:paraId="2EB9AB71">
            <w:pPr>
              <w:pStyle w:val="196"/>
            </w:pPr>
            <w:r>
              <w:rPr>
                <w:rFonts w:hint="eastAsia"/>
              </w:rPr>
              <w:t>10</w:t>
            </w:r>
          </w:p>
        </w:tc>
        <w:tc>
          <w:tcPr>
            <w:tcW w:w="961" w:type="dxa"/>
            <w:vMerge w:val="continue"/>
            <w:tcBorders>
              <w:top w:val="single" w:color="auto" w:sz="4" w:space="0"/>
              <w:left w:val="single" w:color="auto" w:sz="4" w:space="0"/>
              <w:bottom w:val="single" w:color="auto" w:sz="4" w:space="0"/>
              <w:right w:val="single" w:color="auto" w:sz="4" w:space="0"/>
            </w:tcBorders>
            <w:vAlign w:val="center"/>
          </w:tcPr>
          <w:p w14:paraId="23F2D981">
            <w:pPr>
              <w:pStyle w:val="196"/>
              <w:rPr>
                <w:szCs w:val="21"/>
              </w:rPr>
            </w:pP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368F0055">
            <w:pPr>
              <w:pStyle w:val="196"/>
              <w:rPr>
                <w:szCs w:val="21"/>
              </w:rPr>
            </w:pPr>
          </w:p>
        </w:tc>
      </w:tr>
      <w:tr w14:paraId="720EA1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tcBorders>
              <w:top w:val="single" w:color="auto" w:sz="4" w:space="0"/>
              <w:left w:val="single" w:color="auto" w:sz="2" w:space="0"/>
              <w:bottom w:val="single" w:color="auto" w:sz="4" w:space="0"/>
              <w:right w:val="single" w:color="auto" w:sz="4" w:space="0"/>
            </w:tcBorders>
            <w:vAlign w:val="center"/>
          </w:tcPr>
          <w:p w14:paraId="26C5BC20">
            <w:pPr>
              <w:pStyle w:val="196"/>
            </w:pPr>
            <w:r>
              <w:rPr>
                <w:rFonts w:hint="eastAsia"/>
                <w:kern w:val="0"/>
              </w:rPr>
              <w:t>非甲烷总烃</w:t>
            </w:r>
          </w:p>
        </w:tc>
        <w:tc>
          <w:tcPr>
            <w:tcW w:w="1975" w:type="dxa"/>
            <w:tcBorders>
              <w:top w:val="single" w:color="auto" w:sz="4" w:space="0"/>
              <w:left w:val="single" w:color="auto" w:sz="4" w:space="0"/>
              <w:bottom w:val="single" w:color="auto" w:sz="4" w:space="0"/>
              <w:right w:val="single" w:color="auto" w:sz="4" w:space="0"/>
            </w:tcBorders>
            <w:vAlign w:val="center"/>
          </w:tcPr>
          <w:p w14:paraId="0ACED4FF">
            <w:pPr>
              <w:pStyle w:val="196"/>
            </w:pPr>
            <w:r>
              <w:rPr>
                <w:rFonts w:hint="eastAsia"/>
                <w:kern w:val="0"/>
              </w:rPr>
              <w:t>小时平均浓度</w:t>
            </w:r>
          </w:p>
        </w:tc>
        <w:tc>
          <w:tcPr>
            <w:tcW w:w="1300" w:type="dxa"/>
            <w:tcBorders>
              <w:top w:val="single" w:color="auto" w:sz="4" w:space="0"/>
              <w:left w:val="single" w:color="auto" w:sz="4" w:space="0"/>
              <w:bottom w:val="single" w:color="auto" w:sz="4" w:space="0"/>
              <w:right w:val="single" w:color="auto" w:sz="4" w:space="0"/>
            </w:tcBorders>
            <w:vAlign w:val="center"/>
          </w:tcPr>
          <w:p w14:paraId="3BCDE50C">
            <w:pPr>
              <w:pStyle w:val="196"/>
            </w:pPr>
            <w:r>
              <w:rPr>
                <w:rFonts w:hint="eastAsia"/>
                <w:kern w:val="0"/>
              </w:rPr>
              <w:t>2.0</w:t>
            </w:r>
          </w:p>
        </w:tc>
        <w:tc>
          <w:tcPr>
            <w:tcW w:w="961" w:type="dxa"/>
            <w:tcBorders>
              <w:top w:val="single" w:color="auto" w:sz="4" w:space="0"/>
              <w:left w:val="single" w:color="auto" w:sz="4" w:space="0"/>
              <w:bottom w:val="single" w:color="auto" w:sz="4" w:space="0"/>
              <w:right w:val="single" w:color="auto" w:sz="4" w:space="0"/>
            </w:tcBorders>
            <w:vAlign w:val="center"/>
          </w:tcPr>
          <w:p w14:paraId="64D8CFDA">
            <w:pPr>
              <w:pStyle w:val="196"/>
            </w:pPr>
            <w:r>
              <w:rPr>
                <w:rFonts w:hint="eastAsia"/>
                <w:kern w:val="0"/>
              </w:rPr>
              <w:t>mg/Nm³</w:t>
            </w:r>
          </w:p>
        </w:tc>
        <w:tc>
          <w:tcPr>
            <w:tcW w:w="3201" w:type="dxa"/>
            <w:tcBorders>
              <w:top w:val="single" w:color="auto" w:sz="4" w:space="0"/>
              <w:left w:val="single" w:color="auto" w:sz="4" w:space="0"/>
              <w:bottom w:val="single" w:color="auto" w:sz="4" w:space="0"/>
              <w:right w:val="single" w:color="auto" w:sz="2" w:space="0"/>
            </w:tcBorders>
            <w:vAlign w:val="center"/>
          </w:tcPr>
          <w:p w14:paraId="6CAADDDF">
            <w:pPr>
              <w:pStyle w:val="196"/>
            </w:pPr>
            <w:r>
              <w:rPr>
                <w:rFonts w:hint="eastAsia"/>
                <w:kern w:val="0"/>
              </w:rPr>
              <w:t>参照</w:t>
            </w:r>
            <w:r>
              <w:rPr>
                <w:rFonts w:hint="eastAsia"/>
              </w:rPr>
              <w:t>《大气污染物综合排放标准详解》中值</w:t>
            </w:r>
          </w:p>
        </w:tc>
      </w:tr>
      <w:tr w14:paraId="25BC198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tcBorders>
              <w:top w:val="single" w:color="auto" w:sz="4" w:space="0"/>
              <w:left w:val="single" w:color="auto" w:sz="2" w:space="0"/>
              <w:bottom w:val="single" w:color="auto" w:sz="4" w:space="0"/>
              <w:right w:val="single" w:color="auto" w:sz="4" w:space="0"/>
            </w:tcBorders>
            <w:vAlign w:val="center"/>
          </w:tcPr>
          <w:p w14:paraId="365B93CD">
            <w:pPr>
              <w:pStyle w:val="196"/>
              <w:rPr>
                <w:kern w:val="0"/>
              </w:rPr>
            </w:pPr>
            <w:r>
              <w:rPr>
                <w:rFonts w:hint="eastAsia"/>
                <w:kern w:val="0"/>
              </w:rPr>
              <w:t>NH</w:t>
            </w:r>
            <w:r>
              <w:rPr>
                <w:rFonts w:hint="eastAsia"/>
                <w:kern w:val="0"/>
                <w:vertAlign w:val="subscript"/>
              </w:rPr>
              <w:t>3</w:t>
            </w:r>
          </w:p>
        </w:tc>
        <w:tc>
          <w:tcPr>
            <w:tcW w:w="1975" w:type="dxa"/>
            <w:tcBorders>
              <w:top w:val="single" w:color="auto" w:sz="4" w:space="0"/>
              <w:left w:val="single" w:color="auto" w:sz="4" w:space="0"/>
              <w:bottom w:val="single" w:color="auto" w:sz="4" w:space="0"/>
              <w:right w:val="single" w:color="auto" w:sz="4" w:space="0"/>
            </w:tcBorders>
            <w:vAlign w:val="center"/>
          </w:tcPr>
          <w:p w14:paraId="7241F21E">
            <w:pPr>
              <w:pStyle w:val="196"/>
              <w:rPr>
                <w:kern w:val="0"/>
              </w:rPr>
            </w:pPr>
            <w:r>
              <w:rPr>
                <w:rFonts w:hint="eastAsia"/>
              </w:rPr>
              <w:t>1h 平均</w:t>
            </w:r>
          </w:p>
        </w:tc>
        <w:tc>
          <w:tcPr>
            <w:tcW w:w="1300" w:type="dxa"/>
            <w:tcBorders>
              <w:top w:val="single" w:color="auto" w:sz="4" w:space="0"/>
              <w:left w:val="single" w:color="auto" w:sz="4" w:space="0"/>
              <w:bottom w:val="single" w:color="auto" w:sz="4" w:space="0"/>
              <w:right w:val="single" w:color="auto" w:sz="4" w:space="0"/>
            </w:tcBorders>
            <w:vAlign w:val="center"/>
          </w:tcPr>
          <w:p w14:paraId="66F25026">
            <w:pPr>
              <w:pStyle w:val="196"/>
              <w:rPr>
                <w:kern w:val="0"/>
              </w:rPr>
            </w:pPr>
            <w:r>
              <w:rPr>
                <w:rFonts w:hint="eastAsia"/>
                <w:kern w:val="0"/>
              </w:rPr>
              <w:t>0.2</w:t>
            </w:r>
          </w:p>
        </w:tc>
        <w:tc>
          <w:tcPr>
            <w:tcW w:w="961" w:type="dxa"/>
            <w:tcBorders>
              <w:top w:val="single" w:color="auto" w:sz="4" w:space="0"/>
              <w:left w:val="single" w:color="auto" w:sz="4" w:space="0"/>
              <w:bottom w:val="single" w:color="auto" w:sz="4" w:space="0"/>
              <w:right w:val="single" w:color="auto" w:sz="4" w:space="0"/>
            </w:tcBorders>
            <w:vAlign w:val="center"/>
          </w:tcPr>
          <w:p w14:paraId="78F9A754">
            <w:pPr>
              <w:pStyle w:val="196"/>
              <w:rPr>
                <w:kern w:val="0"/>
              </w:rPr>
            </w:pPr>
            <w:r>
              <w:rPr>
                <w:rFonts w:hint="eastAsia"/>
              </w:rPr>
              <w:t>mg/m</w:t>
            </w:r>
            <w:r>
              <w:rPr>
                <w:rFonts w:hint="eastAsia"/>
                <w:vertAlign w:val="superscript"/>
              </w:rPr>
              <w:t>3</w:t>
            </w:r>
          </w:p>
        </w:tc>
        <w:tc>
          <w:tcPr>
            <w:tcW w:w="3201" w:type="dxa"/>
            <w:vMerge w:val="restart"/>
            <w:tcBorders>
              <w:top w:val="single" w:color="auto" w:sz="4" w:space="0"/>
              <w:left w:val="single" w:color="auto" w:sz="4" w:space="0"/>
              <w:bottom w:val="single" w:color="auto" w:sz="4" w:space="0"/>
              <w:right w:val="single" w:color="auto" w:sz="2" w:space="0"/>
            </w:tcBorders>
            <w:vAlign w:val="center"/>
          </w:tcPr>
          <w:p w14:paraId="1C954671">
            <w:pPr>
              <w:pStyle w:val="196"/>
              <w:rPr>
                <w:kern w:val="0"/>
              </w:rPr>
            </w:pPr>
            <w:r>
              <w:rPr>
                <w:rFonts w:hint="eastAsia"/>
                <w:kern w:val="0"/>
              </w:rPr>
              <w:t>参照执行《环境影响评价技术导则 大气环境》（HJ2.2－2018）附录D中相关标准</w:t>
            </w:r>
          </w:p>
        </w:tc>
      </w:tr>
      <w:tr w14:paraId="047E47D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8" w:type="dxa"/>
            <w:tcBorders>
              <w:top w:val="single" w:color="auto" w:sz="4" w:space="0"/>
              <w:left w:val="single" w:color="auto" w:sz="2" w:space="0"/>
              <w:bottom w:val="single" w:color="auto" w:sz="2" w:space="0"/>
              <w:right w:val="single" w:color="auto" w:sz="4" w:space="0"/>
            </w:tcBorders>
            <w:vAlign w:val="center"/>
          </w:tcPr>
          <w:p w14:paraId="3C2BCD32">
            <w:pPr>
              <w:pStyle w:val="196"/>
              <w:rPr>
                <w:kern w:val="0"/>
              </w:rPr>
            </w:pPr>
            <w:r>
              <w:rPr>
                <w:rFonts w:hint="eastAsia"/>
                <w:kern w:val="0"/>
              </w:rPr>
              <w:t>H</w:t>
            </w:r>
            <w:r>
              <w:rPr>
                <w:rFonts w:hint="eastAsia"/>
                <w:kern w:val="0"/>
                <w:vertAlign w:val="subscript"/>
              </w:rPr>
              <w:t>2</w:t>
            </w:r>
            <w:r>
              <w:rPr>
                <w:rFonts w:hint="eastAsia"/>
                <w:kern w:val="0"/>
              </w:rPr>
              <w:t>S</w:t>
            </w:r>
          </w:p>
        </w:tc>
        <w:tc>
          <w:tcPr>
            <w:tcW w:w="1975" w:type="dxa"/>
            <w:tcBorders>
              <w:top w:val="single" w:color="auto" w:sz="4" w:space="0"/>
              <w:left w:val="single" w:color="auto" w:sz="4" w:space="0"/>
              <w:bottom w:val="single" w:color="auto" w:sz="2" w:space="0"/>
              <w:right w:val="single" w:color="auto" w:sz="4" w:space="0"/>
            </w:tcBorders>
            <w:vAlign w:val="center"/>
          </w:tcPr>
          <w:p w14:paraId="776BD4BF">
            <w:pPr>
              <w:pStyle w:val="196"/>
              <w:rPr>
                <w:kern w:val="0"/>
              </w:rPr>
            </w:pPr>
            <w:r>
              <w:rPr>
                <w:rFonts w:hint="eastAsia"/>
              </w:rPr>
              <w:t>1h 平均</w:t>
            </w:r>
          </w:p>
        </w:tc>
        <w:tc>
          <w:tcPr>
            <w:tcW w:w="1300" w:type="dxa"/>
            <w:tcBorders>
              <w:top w:val="single" w:color="auto" w:sz="4" w:space="0"/>
              <w:left w:val="single" w:color="auto" w:sz="4" w:space="0"/>
              <w:bottom w:val="single" w:color="auto" w:sz="2" w:space="0"/>
              <w:right w:val="single" w:color="auto" w:sz="4" w:space="0"/>
            </w:tcBorders>
            <w:vAlign w:val="center"/>
          </w:tcPr>
          <w:p w14:paraId="7ECD9E91">
            <w:pPr>
              <w:pStyle w:val="196"/>
              <w:rPr>
                <w:kern w:val="0"/>
              </w:rPr>
            </w:pPr>
            <w:r>
              <w:rPr>
                <w:rFonts w:hint="eastAsia"/>
                <w:kern w:val="0"/>
              </w:rPr>
              <w:t>0.01</w:t>
            </w:r>
          </w:p>
        </w:tc>
        <w:tc>
          <w:tcPr>
            <w:tcW w:w="961" w:type="dxa"/>
            <w:tcBorders>
              <w:top w:val="single" w:color="auto" w:sz="4" w:space="0"/>
              <w:left w:val="single" w:color="auto" w:sz="4" w:space="0"/>
              <w:bottom w:val="single" w:color="auto" w:sz="2" w:space="0"/>
              <w:right w:val="single" w:color="auto" w:sz="4" w:space="0"/>
            </w:tcBorders>
            <w:vAlign w:val="center"/>
          </w:tcPr>
          <w:p w14:paraId="31491232">
            <w:pPr>
              <w:pStyle w:val="196"/>
              <w:rPr>
                <w:kern w:val="0"/>
              </w:rPr>
            </w:pPr>
            <w:r>
              <w:rPr>
                <w:rFonts w:hint="eastAsia"/>
              </w:rPr>
              <w:t>mg/m</w:t>
            </w:r>
            <w:r>
              <w:rPr>
                <w:rFonts w:hint="eastAsia"/>
                <w:vertAlign w:val="superscript"/>
              </w:rPr>
              <w:t>3</w:t>
            </w:r>
          </w:p>
        </w:tc>
        <w:tc>
          <w:tcPr>
            <w:tcW w:w="3201" w:type="dxa"/>
            <w:vMerge w:val="continue"/>
            <w:tcBorders>
              <w:top w:val="single" w:color="auto" w:sz="4" w:space="0"/>
              <w:left w:val="single" w:color="auto" w:sz="4" w:space="0"/>
              <w:bottom w:val="single" w:color="auto" w:sz="4" w:space="0"/>
              <w:right w:val="single" w:color="auto" w:sz="2" w:space="0"/>
            </w:tcBorders>
            <w:vAlign w:val="center"/>
          </w:tcPr>
          <w:p w14:paraId="5B4BC2D5">
            <w:pPr>
              <w:pStyle w:val="196"/>
              <w:rPr>
                <w:kern w:val="0"/>
                <w:szCs w:val="21"/>
              </w:rPr>
            </w:pPr>
          </w:p>
        </w:tc>
      </w:tr>
    </w:tbl>
    <w:p w14:paraId="7B96AA24">
      <w:pPr>
        <w:adjustRightInd w:val="0"/>
        <w:snapToGrid w:val="0"/>
        <w:ind w:firstLine="480"/>
        <w:rPr>
          <w:rFonts w:cs="Times New Roman"/>
          <w:szCs w:val="24"/>
        </w:rPr>
      </w:pPr>
      <w:r>
        <w:rPr>
          <w:rFonts w:hint="eastAsia"/>
          <w:szCs w:val="24"/>
        </w:rPr>
        <w:t>2</w:t>
      </w:r>
      <w:r>
        <w:rPr>
          <w:rFonts w:hint="eastAsia" w:ascii="宋体" w:hAnsi="宋体"/>
          <w:szCs w:val="24"/>
        </w:rPr>
        <w:t>、地表水环境</w:t>
      </w:r>
    </w:p>
    <w:p w14:paraId="5E0A1944">
      <w:pPr>
        <w:adjustRightInd w:val="0"/>
        <w:snapToGrid w:val="0"/>
        <w:ind w:firstLine="480"/>
        <w:rPr>
          <w:szCs w:val="24"/>
        </w:rPr>
      </w:pPr>
      <w:r>
        <w:rPr>
          <w:rFonts w:hint="eastAsia" w:ascii="宋体" w:hAnsi="宋体"/>
          <w:szCs w:val="24"/>
        </w:rPr>
        <w:t>根据省政府关于《江苏省地表水（环境）功能区划（</w:t>
      </w:r>
      <w:r>
        <w:rPr>
          <w:rFonts w:hint="eastAsia"/>
          <w:szCs w:val="24"/>
        </w:rPr>
        <w:t>2021</w:t>
      </w:r>
      <w:r>
        <w:rPr>
          <w:rFonts w:hint="eastAsia"/>
          <w:szCs w:val="24"/>
          <w:lang w:eastAsia="zh-CN"/>
        </w:rPr>
        <w:t>—</w:t>
      </w:r>
      <w:r>
        <w:rPr>
          <w:rFonts w:hint="eastAsia"/>
          <w:szCs w:val="24"/>
        </w:rPr>
        <w:t>2030</w:t>
      </w:r>
      <w:r>
        <w:rPr>
          <w:rFonts w:hint="eastAsia" w:ascii="宋体" w:hAnsi="宋体"/>
          <w:szCs w:val="24"/>
        </w:rPr>
        <w:t>年）》（苏环办〔</w:t>
      </w:r>
      <w:r>
        <w:rPr>
          <w:rFonts w:hint="eastAsia"/>
          <w:szCs w:val="24"/>
        </w:rPr>
        <w:t>2022</w:t>
      </w:r>
      <w:r>
        <w:rPr>
          <w:rFonts w:hint="eastAsia" w:ascii="宋体" w:hAnsi="宋体"/>
          <w:szCs w:val="24"/>
        </w:rPr>
        <w:t>〕</w:t>
      </w:r>
      <w:r>
        <w:rPr>
          <w:rFonts w:hint="eastAsia"/>
          <w:szCs w:val="24"/>
        </w:rPr>
        <w:t>82</w:t>
      </w:r>
      <w:r>
        <w:rPr>
          <w:rFonts w:hint="eastAsia" w:ascii="宋体" w:hAnsi="宋体"/>
          <w:szCs w:val="24"/>
        </w:rPr>
        <w:t>号），</w:t>
      </w:r>
      <w:r>
        <w:rPr>
          <w:rFonts w:hint="eastAsia" w:ascii="宋体" w:hAnsi="宋体"/>
          <w:kern w:val="0"/>
          <w:szCs w:val="24"/>
        </w:rPr>
        <w:t>评价范围内盐河执行《地表水环境质量标准》（</w:t>
      </w:r>
      <w:r>
        <w:rPr>
          <w:rFonts w:hint="eastAsia"/>
          <w:kern w:val="0"/>
          <w:szCs w:val="24"/>
        </w:rPr>
        <w:t>GB3838-2002</w:t>
      </w:r>
      <w:r>
        <w:rPr>
          <w:rFonts w:hint="eastAsia" w:ascii="宋体" w:hAnsi="宋体"/>
          <w:kern w:val="0"/>
          <w:szCs w:val="24"/>
        </w:rPr>
        <w:t>）中</w:t>
      </w:r>
      <w:r>
        <w:rPr>
          <w:rFonts w:hint="eastAsia"/>
          <w:kern w:val="0"/>
          <w:szCs w:val="24"/>
        </w:rPr>
        <w:t>Ⅲ</w:t>
      </w:r>
      <w:r>
        <w:rPr>
          <w:rFonts w:hint="eastAsia" w:ascii="宋体" w:hAnsi="宋体"/>
          <w:kern w:val="0"/>
          <w:szCs w:val="24"/>
        </w:rPr>
        <w:t>类标准；《江苏省地表水（环境）功能区划（</w:t>
      </w:r>
      <w:r>
        <w:rPr>
          <w:rFonts w:hint="eastAsia"/>
          <w:kern w:val="0"/>
          <w:szCs w:val="24"/>
        </w:rPr>
        <w:t>2021</w:t>
      </w:r>
      <w:r>
        <w:rPr>
          <w:rFonts w:hint="eastAsia"/>
          <w:kern w:val="0"/>
          <w:szCs w:val="24"/>
          <w:lang w:eastAsia="zh-CN"/>
        </w:rPr>
        <w:t>—</w:t>
      </w:r>
      <w:r>
        <w:rPr>
          <w:rFonts w:hint="eastAsia"/>
          <w:kern w:val="0"/>
          <w:szCs w:val="24"/>
        </w:rPr>
        <w:t>2030</w:t>
      </w:r>
      <w:r>
        <w:rPr>
          <w:rFonts w:hint="eastAsia" w:ascii="宋体" w:hAnsi="宋体"/>
          <w:kern w:val="0"/>
          <w:szCs w:val="24"/>
        </w:rPr>
        <w:t>年）》（苏环办〔</w:t>
      </w:r>
      <w:r>
        <w:rPr>
          <w:rFonts w:hint="eastAsia"/>
          <w:kern w:val="0"/>
          <w:szCs w:val="24"/>
        </w:rPr>
        <w:t>2022</w:t>
      </w:r>
      <w:r>
        <w:rPr>
          <w:rFonts w:hint="eastAsia" w:ascii="宋体" w:hAnsi="宋体"/>
          <w:kern w:val="0"/>
          <w:szCs w:val="24"/>
        </w:rPr>
        <w:t>〕</w:t>
      </w:r>
      <w:r>
        <w:rPr>
          <w:rFonts w:hint="eastAsia"/>
          <w:kern w:val="0"/>
          <w:szCs w:val="24"/>
        </w:rPr>
        <w:t>82</w:t>
      </w:r>
      <w:r>
        <w:rPr>
          <w:rFonts w:hint="eastAsia" w:ascii="宋体" w:hAnsi="宋体"/>
          <w:kern w:val="0"/>
          <w:szCs w:val="24"/>
        </w:rPr>
        <w:t>号）未对渠西河划分水功能区，根据</w:t>
      </w:r>
      <w:r>
        <w:rPr>
          <w:rFonts w:hint="eastAsia" w:ascii="宋体" w:hAnsi="宋体"/>
          <w:szCs w:val="24"/>
        </w:rPr>
        <w:t>《江苏涟水经济开发区循环经济产业园产业发展规划环评环境影响报告书》</w:t>
      </w:r>
      <w:r>
        <w:rPr>
          <w:rFonts w:hint="eastAsia" w:ascii="宋体" w:hAnsi="宋体"/>
          <w:kern w:val="0"/>
          <w:szCs w:val="24"/>
        </w:rPr>
        <w:t>，渠西河执行《地表水环境质量标准》（</w:t>
      </w:r>
      <w:r>
        <w:rPr>
          <w:rFonts w:hint="eastAsia"/>
          <w:kern w:val="0"/>
          <w:szCs w:val="24"/>
        </w:rPr>
        <w:t>GB3838-2002</w:t>
      </w:r>
      <w:r>
        <w:rPr>
          <w:rFonts w:hint="eastAsia" w:ascii="宋体" w:hAnsi="宋体"/>
          <w:kern w:val="0"/>
          <w:szCs w:val="24"/>
        </w:rPr>
        <w:t>）中的Ⅳ类标准。</w:t>
      </w:r>
      <w:r>
        <w:rPr>
          <w:rFonts w:hint="eastAsia" w:ascii="宋体" w:hAnsi="宋体"/>
          <w:szCs w:val="24"/>
        </w:rPr>
        <w:t>主要指标见表</w:t>
      </w:r>
      <w:r>
        <w:rPr>
          <w:rFonts w:hint="eastAsia"/>
          <w:szCs w:val="24"/>
        </w:rPr>
        <w:t>2.3-2</w:t>
      </w:r>
      <w:r>
        <w:rPr>
          <w:rFonts w:hint="eastAsia" w:ascii="宋体" w:hAnsi="宋体"/>
          <w:szCs w:val="24"/>
        </w:rPr>
        <w:t>。</w:t>
      </w:r>
    </w:p>
    <w:p w14:paraId="44783F03">
      <w:pPr>
        <w:pStyle w:val="86"/>
      </w:pPr>
      <w:r>
        <w:rPr>
          <w:rFonts w:hint="eastAsia"/>
        </w:rPr>
        <w:t>地表水水质标准    单位：mg/L，pH除外</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138"/>
        <w:gridCol w:w="2676"/>
        <w:gridCol w:w="1345"/>
        <w:gridCol w:w="1481"/>
        <w:gridCol w:w="1482"/>
      </w:tblGrid>
      <w:tr w14:paraId="0A742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tcBorders>
              <w:top w:val="single" w:color="auto" w:sz="4" w:space="0"/>
              <w:left w:val="single" w:color="auto" w:sz="4" w:space="0"/>
              <w:bottom w:val="single" w:color="auto" w:sz="4" w:space="0"/>
              <w:right w:val="single" w:color="auto" w:sz="4" w:space="0"/>
            </w:tcBorders>
            <w:vAlign w:val="center"/>
          </w:tcPr>
          <w:p w14:paraId="541632DA">
            <w:pPr>
              <w:pStyle w:val="196"/>
              <w:rPr>
                <w:b/>
                <w:bCs/>
                <w:szCs w:val="21"/>
              </w:rPr>
            </w:pPr>
            <w:r>
              <w:rPr>
                <w:rFonts w:hint="eastAsia"/>
                <w:b/>
                <w:bCs/>
              </w:rPr>
              <w:t>执行标准</w:t>
            </w:r>
          </w:p>
        </w:tc>
        <w:tc>
          <w:tcPr>
            <w:tcW w:w="1467" w:type="pct"/>
            <w:tcBorders>
              <w:top w:val="single" w:color="auto" w:sz="4" w:space="0"/>
              <w:left w:val="single" w:color="auto" w:sz="4" w:space="0"/>
              <w:bottom w:val="single" w:color="auto" w:sz="4" w:space="0"/>
              <w:right w:val="single" w:color="auto" w:sz="4" w:space="0"/>
            </w:tcBorders>
            <w:vAlign w:val="center"/>
          </w:tcPr>
          <w:p w14:paraId="72A9AA16">
            <w:pPr>
              <w:pStyle w:val="196"/>
              <w:rPr>
                <w:b/>
                <w:bCs/>
              </w:rPr>
            </w:pPr>
            <w:r>
              <w:rPr>
                <w:rFonts w:hint="eastAsia"/>
                <w:b/>
                <w:bCs/>
              </w:rPr>
              <w:t>污染物指标</w:t>
            </w:r>
          </w:p>
        </w:tc>
        <w:tc>
          <w:tcPr>
            <w:tcW w:w="737" w:type="pct"/>
            <w:tcBorders>
              <w:top w:val="single" w:color="auto" w:sz="4" w:space="0"/>
              <w:left w:val="single" w:color="auto" w:sz="4" w:space="0"/>
              <w:bottom w:val="single" w:color="auto" w:sz="4" w:space="0"/>
              <w:right w:val="single" w:color="auto" w:sz="4" w:space="0"/>
            </w:tcBorders>
            <w:vAlign w:val="center"/>
          </w:tcPr>
          <w:p w14:paraId="71EF0679">
            <w:pPr>
              <w:pStyle w:val="196"/>
              <w:rPr>
                <w:b/>
                <w:bCs/>
              </w:rPr>
            </w:pPr>
            <w:r>
              <w:rPr>
                <w:rFonts w:hint="eastAsia"/>
                <w:b/>
                <w:bCs/>
              </w:rPr>
              <w:t>单位</w:t>
            </w:r>
          </w:p>
        </w:tc>
        <w:tc>
          <w:tcPr>
            <w:tcW w:w="812" w:type="pct"/>
            <w:tcBorders>
              <w:top w:val="single" w:color="auto" w:sz="4" w:space="0"/>
              <w:left w:val="single" w:color="auto" w:sz="4" w:space="0"/>
              <w:bottom w:val="single" w:color="auto" w:sz="4" w:space="0"/>
              <w:right w:val="single" w:color="auto" w:sz="4" w:space="0"/>
            </w:tcBorders>
            <w:vAlign w:val="center"/>
          </w:tcPr>
          <w:p w14:paraId="79D85327">
            <w:pPr>
              <w:pStyle w:val="196"/>
              <w:rPr>
                <w:b/>
                <w:bCs/>
                <w:szCs w:val="21"/>
              </w:rPr>
            </w:pPr>
            <w:r>
              <w:rPr>
                <w:rFonts w:hint="eastAsia"/>
                <w:b/>
                <w:bCs/>
                <w:szCs w:val="21"/>
              </w:rPr>
              <w:t>Ⅲ类标准</w:t>
            </w:r>
          </w:p>
        </w:tc>
        <w:tc>
          <w:tcPr>
            <w:tcW w:w="812" w:type="pct"/>
            <w:tcBorders>
              <w:top w:val="single" w:color="auto" w:sz="4" w:space="0"/>
              <w:left w:val="single" w:color="auto" w:sz="4" w:space="0"/>
              <w:bottom w:val="single" w:color="auto" w:sz="4" w:space="0"/>
              <w:right w:val="single" w:color="auto" w:sz="4" w:space="0"/>
            </w:tcBorders>
            <w:vAlign w:val="center"/>
          </w:tcPr>
          <w:p w14:paraId="7AFB0177">
            <w:pPr>
              <w:pStyle w:val="196"/>
              <w:rPr>
                <w:b/>
                <w:bCs/>
                <w:szCs w:val="21"/>
              </w:rPr>
            </w:pPr>
            <w:r>
              <w:rPr>
                <w:rFonts w:hint="eastAsia"/>
                <w:b/>
                <w:bCs/>
                <w:szCs w:val="21"/>
              </w:rPr>
              <w:t>Ⅳ类标准</w:t>
            </w:r>
          </w:p>
        </w:tc>
      </w:tr>
      <w:tr w14:paraId="437A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restart"/>
            <w:tcBorders>
              <w:top w:val="nil"/>
              <w:left w:val="single" w:color="auto" w:sz="4" w:space="0"/>
              <w:bottom w:val="single" w:color="auto" w:sz="4" w:space="0"/>
              <w:right w:val="single" w:color="auto" w:sz="4" w:space="0"/>
            </w:tcBorders>
            <w:vAlign w:val="center"/>
          </w:tcPr>
          <w:p w14:paraId="2607A65A">
            <w:pPr>
              <w:pStyle w:val="196"/>
              <w:rPr>
                <w:szCs w:val="21"/>
              </w:rPr>
            </w:pPr>
            <w:r>
              <w:rPr>
                <w:rFonts w:hint="eastAsia"/>
              </w:rPr>
              <w:t>《地表水环境质量标准》（GB3838-2002）</w:t>
            </w:r>
          </w:p>
        </w:tc>
        <w:tc>
          <w:tcPr>
            <w:tcW w:w="1467" w:type="pct"/>
            <w:tcBorders>
              <w:top w:val="single" w:color="auto" w:sz="4" w:space="0"/>
              <w:left w:val="single" w:color="auto" w:sz="4" w:space="0"/>
              <w:bottom w:val="single" w:color="auto" w:sz="4" w:space="0"/>
              <w:right w:val="single" w:color="auto" w:sz="4" w:space="0"/>
            </w:tcBorders>
            <w:vAlign w:val="center"/>
          </w:tcPr>
          <w:p w14:paraId="0E857FE6">
            <w:pPr>
              <w:pStyle w:val="196"/>
            </w:pPr>
            <w:r>
              <w:rPr>
                <w:rFonts w:hint="eastAsia"/>
              </w:rPr>
              <w:t>pH</w:t>
            </w:r>
          </w:p>
        </w:tc>
        <w:tc>
          <w:tcPr>
            <w:tcW w:w="737" w:type="pct"/>
            <w:tcBorders>
              <w:top w:val="single" w:color="auto" w:sz="4" w:space="0"/>
              <w:left w:val="single" w:color="auto" w:sz="4" w:space="0"/>
              <w:bottom w:val="single" w:color="auto" w:sz="4" w:space="0"/>
              <w:right w:val="single" w:color="auto" w:sz="4" w:space="0"/>
            </w:tcBorders>
            <w:vAlign w:val="center"/>
          </w:tcPr>
          <w:p w14:paraId="32884CAF">
            <w:pPr>
              <w:pStyle w:val="196"/>
            </w:pPr>
            <w:r>
              <w:rPr>
                <w:rFonts w:hint="eastAsia"/>
              </w:rPr>
              <w:t>—</w:t>
            </w:r>
          </w:p>
        </w:tc>
        <w:tc>
          <w:tcPr>
            <w:tcW w:w="1624" w:type="pct"/>
            <w:gridSpan w:val="2"/>
            <w:tcBorders>
              <w:top w:val="single" w:color="auto" w:sz="4" w:space="0"/>
              <w:left w:val="single" w:color="auto" w:sz="4" w:space="0"/>
              <w:bottom w:val="single" w:color="auto" w:sz="4" w:space="0"/>
              <w:right w:val="single" w:color="auto" w:sz="4" w:space="0"/>
            </w:tcBorders>
            <w:vAlign w:val="center"/>
          </w:tcPr>
          <w:p w14:paraId="31F29CE8">
            <w:pPr>
              <w:pStyle w:val="196"/>
              <w:rPr>
                <w:szCs w:val="21"/>
              </w:rPr>
            </w:pPr>
            <w:r>
              <w:rPr>
                <w:rFonts w:hint="eastAsia"/>
                <w:szCs w:val="21"/>
              </w:rPr>
              <w:t>6</w:t>
            </w:r>
            <w:r>
              <w:rPr>
                <w:rFonts w:hint="eastAsia"/>
                <w:szCs w:val="21"/>
                <w:lang w:eastAsia="zh-CN"/>
              </w:rPr>
              <w:t>~</w:t>
            </w:r>
            <w:r>
              <w:rPr>
                <w:rFonts w:hint="eastAsia"/>
                <w:szCs w:val="21"/>
              </w:rPr>
              <w:t>9</w:t>
            </w:r>
          </w:p>
        </w:tc>
      </w:tr>
      <w:tr w14:paraId="19DA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45075E1B">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46B21696">
            <w:pPr>
              <w:pStyle w:val="196"/>
              <w:rPr>
                <w:szCs w:val="21"/>
              </w:rPr>
            </w:pPr>
            <w:r>
              <w:rPr>
                <w:rFonts w:hint="eastAsia"/>
              </w:rPr>
              <w:t>COD</w:t>
            </w:r>
          </w:p>
        </w:tc>
        <w:tc>
          <w:tcPr>
            <w:tcW w:w="737" w:type="pct"/>
            <w:tcBorders>
              <w:top w:val="single" w:color="auto" w:sz="4" w:space="0"/>
              <w:left w:val="single" w:color="auto" w:sz="4" w:space="0"/>
              <w:bottom w:val="single" w:color="auto" w:sz="4" w:space="0"/>
              <w:right w:val="single" w:color="auto" w:sz="4" w:space="0"/>
            </w:tcBorders>
            <w:vAlign w:val="center"/>
          </w:tcPr>
          <w:p w14:paraId="39195E18">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1D3BA440">
            <w:pPr>
              <w:pStyle w:val="196"/>
              <w:rPr>
                <w:szCs w:val="21"/>
              </w:rPr>
            </w:pPr>
            <w:r>
              <w:rPr>
                <w:rFonts w:hint="eastAsia"/>
                <w:szCs w:val="21"/>
              </w:rPr>
              <w:t>≤20</w:t>
            </w:r>
          </w:p>
        </w:tc>
        <w:tc>
          <w:tcPr>
            <w:tcW w:w="812" w:type="pct"/>
            <w:tcBorders>
              <w:top w:val="single" w:color="auto" w:sz="4" w:space="0"/>
              <w:left w:val="single" w:color="auto" w:sz="4" w:space="0"/>
              <w:bottom w:val="single" w:color="auto" w:sz="4" w:space="0"/>
              <w:right w:val="single" w:color="auto" w:sz="4" w:space="0"/>
            </w:tcBorders>
            <w:vAlign w:val="center"/>
          </w:tcPr>
          <w:p w14:paraId="1418E373">
            <w:pPr>
              <w:pStyle w:val="196"/>
              <w:rPr>
                <w:szCs w:val="21"/>
              </w:rPr>
            </w:pPr>
            <w:r>
              <w:rPr>
                <w:rFonts w:hint="eastAsia"/>
                <w:szCs w:val="21"/>
              </w:rPr>
              <w:t>≤30</w:t>
            </w:r>
          </w:p>
        </w:tc>
      </w:tr>
      <w:tr w14:paraId="4FDDB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6BE4CE06">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43C0A202">
            <w:pPr>
              <w:pStyle w:val="196"/>
              <w:rPr>
                <w:szCs w:val="21"/>
                <w:vertAlign w:val="subscript"/>
              </w:rPr>
            </w:pPr>
            <w:r>
              <w:rPr>
                <w:rFonts w:hint="eastAsia"/>
              </w:rPr>
              <w:t>高锰酸盐指数</w:t>
            </w:r>
          </w:p>
        </w:tc>
        <w:tc>
          <w:tcPr>
            <w:tcW w:w="737" w:type="pct"/>
            <w:tcBorders>
              <w:top w:val="single" w:color="auto" w:sz="4" w:space="0"/>
              <w:left w:val="single" w:color="auto" w:sz="4" w:space="0"/>
              <w:bottom w:val="single" w:color="auto" w:sz="4" w:space="0"/>
              <w:right w:val="single" w:color="auto" w:sz="4" w:space="0"/>
            </w:tcBorders>
            <w:vAlign w:val="center"/>
          </w:tcPr>
          <w:p w14:paraId="5013FADF">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298C162E">
            <w:pPr>
              <w:pStyle w:val="196"/>
              <w:rPr>
                <w:szCs w:val="21"/>
              </w:rPr>
            </w:pPr>
            <w:r>
              <w:rPr>
                <w:rFonts w:hint="eastAsia"/>
                <w:szCs w:val="21"/>
              </w:rPr>
              <w:t>≤6</w:t>
            </w:r>
          </w:p>
        </w:tc>
        <w:tc>
          <w:tcPr>
            <w:tcW w:w="812" w:type="pct"/>
            <w:tcBorders>
              <w:top w:val="single" w:color="auto" w:sz="4" w:space="0"/>
              <w:left w:val="single" w:color="auto" w:sz="4" w:space="0"/>
              <w:bottom w:val="single" w:color="auto" w:sz="4" w:space="0"/>
              <w:right w:val="single" w:color="auto" w:sz="4" w:space="0"/>
            </w:tcBorders>
            <w:vAlign w:val="center"/>
          </w:tcPr>
          <w:p w14:paraId="7E3B9C07">
            <w:pPr>
              <w:pStyle w:val="196"/>
              <w:rPr>
                <w:szCs w:val="21"/>
              </w:rPr>
            </w:pPr>
            <w:r>
              <w:rPr>
                <w:rFonts w:hint="eastAsia"/>
                <w:szCs w:val="21"/>
              </w:rPr>
              <w:t>≤10</w:t>
            </w:r>
          </w:p>
        </w:tc>
      </w:tr>
      <w:tr w14:paraId="3EF2F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07C32C09">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657D1A5A">
            <w:pPr>
              <w:pStyle w:val="196"/>
              <w:rPr>
                <w:szCs w:val="21"/>
              </w:rPr>
            </w:pPr>
            <w:r>
              <w:rPr>
                <w:rFonts w:hint="eastAsia"/>
              </w:rPr>
              <w:t>BOD</w:t>
            </w:r>
            <w:r>
              <w:rPr>
                <w:rFonts w:hint="eastAsia"/>
                <w:vertAlign w:val="subscript"/>
              </w:rPr>
              <w:t>5</w:t>
            </w:r>
          </w:p>
        </w:tc>
        <w:tc>
          <w:tcPr>
            <w:tcW w:w="737" w:type="pct"/>
            <w:tcBorders>
              <w:top w:val="single" w:color="auto" w:sz="4" w:space="0"/>
              <w:left w:val="single" w:color="auto" w:sz="4" w:space="0"/>
              <w:bottom w:val="single" w:color="auto" w:sz="4" w:space="0"/>
              <w:right w:val="single" w:color="auto" w:sz="4" w:space="0"/>
            </w:tcBorders>
            <w:vAlign w:val="center"/>
          </w:tcPr>
          <w:p w14:paraId="0B68DAAC">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5099A225">
            <w:pPr>
              <w:pStyle w:val="196"/>
              <w:rPr>
                <w:szCs w:val="21"/>
              </w:rPr>
            </w:pPr>
            <w:r>
              <w:rPr>
                <w:rFonts w:hint="eastAsia"/>
                <w:szCs w:val="21"/>
              </w:rPr>
              <w:t>≤4</w:t>
            </w:r>
          </w:p>
        </w:tc>
        <w:tc>
          <w:tcPr>
            <w:tcW w:w="812" w:type="pct"/>
            <w:tcBorders>
              <w:top w:val="single" w:color="auto" w:sz="4" w:space="0"/>
              <w:left w:val="single" w:color="auto" w:sz="4" w:space="0"/>
              <w:bottom w:val="single" w:color="auto" w:sz="4" w:space="0"/>
              <w:right w:val="single" w:color="auto" w:sz="4" w:space="0"/>
            </w:tcBorders>
            <w:vAlign w:val="center"/>
          </w:tcPr>
          <w:p w14:paraId="30EE3EFB">
            <w:pPr>
              <w:pStyle w:val="196"/>
              <w:rPr>
                <w:szCs w:val="21"/>
              </w:rPr>
            </w:pPr>
            <w:r>
              <w:rPr>
                <w:rFonts w:hint="eastAsia"/>
                <w:szCs w:val="21"/>
              </w:rPr>
              <w:t>≤6</w:t>
            </w:r>
          </w:p>
        </w:tc>
      </w:tr>
      <w:tr w14:paraId="62C3E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0B3ABCD9">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676B7731">
            <w:pPr>
              <w:pStyle w:val="196"/>
              <w:rPr>
                <w:szCs w:val="21"/>
              </w:rPr>
            </w:pPr>
            <w:r>
              <w:rPr>
                <w:rFonts w:hint="eastAsia"/>
              </w:rPr>
              <w:t>DO</w:t>
            </w:r>
          </w:p>
        </w:tc>
        <w:tc>
          <w:tcPr>
            <w:tcW w:w="737" w:type="pct"/>
            <w:tcBorders>
              <w:top w:val="single" w:color="auto" w:sz="4" w:space="0"/>
              <w:left w:val="single" w:color="auto" w:sz="4" w:space="0"/>
              <w:bottom w:val="single" w:color="auto" w:sz="4" w:space="0"/>
              <w:right w:val="single" w:color="auto" w:sz="4" w:space="0"/>
            </w:tcBorders>
            <w:vAlign w:val="center"/>
          </w:tcPr>
          <w:p w14:paraId="20C89301">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49BC5F09">
            <w:pPr>
              <w:pStyle w:val="196"/>
              <w:rPr>
                <w:szCs w:val="21"/>
              </w:rPr>
            </w:pPr>
            <w:r>
              <w:rPr>
                <w:rFonts w:hint="eastAsia"/>
                <w:szCs w:val="21"/>
              </w:rPr>
              <w:t>≥5</w:t>
            </w:r>
          </w:p>
        </w:tc>
        <w:tc>
          <w:tcPr>
            <w:tcW w:w="812" w:type="pct"/>
            <w:tcBorders>
              <w:top w:val="single" w:color="auto" w:sz="4" w:space="0"/>
              <w:left w:val="single" w:color="auto" w:sz="4" w:space="0"/>
              <w:bottom w:val="single" w:color="auto" w:sz="4" w:space="0"/>
              <w:right w:val="single" w:color="auto" w:sz="4" w:space="0"/>
            </w:tcBorders>
            <w:vAlign w:val="center"/>
          </w:tcPr>
          <w:p w14:paraId="5A96B5A8">
            <w:pPr>
              <w:pStyle w:val="196"/>
              <w:rPr>
                <w:szCs w:val="21"/>
              </w:rPr>
            </w:pPr>
            <w:r>
              <w:rPr>
                <w:rFonts w:hint="eastAsia"/>
                <w:szCs w:val="21"/>
              </w:rPr>
              <w:t>≥3</w:t>
            </w:r>
          </w:p>
        </w:tc>
      </w:tr>
      <w:tr w14:paraId="1221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0FD9B984">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2EAEC8EF">
            <w:pPr>
              <w:pStyle w:val="196"/>
              <w:rPr>
                <w:szCs w:val="21"/>
              </w:rPr>
            </w:pPr>
            <w:r>
              <w:rPr>
                <w:rFonts w:hint="eastAsia"/>
              </w:rPr>
              <w:t>氨氮</w:t>
            </w:r>
          </w:p>
        </w:tc>
        <w:tc>
          <w:tcPr>
            <w:tcW w:w="737" w:type="pct"/>
            <w:tcBorders>
              <w:top w:val="single" w:color="auto" w:sz="4" w:space="0"/>
              <w:left w:val="single" w:color="auto" w:sz="4" w:space="0"/>
              <w:bottom w:val="single" w:color="auto" w:sz="4" w:space="0"/>
              <w:right w:val="single" w:color="auto" w:sz="4" w:space="0"/>
            </w:tcBorders>
            <w:vAlign w:val="center"/>
          </w:tcPr>
          <w:p w14:paraId="025F3359">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19418B7E">
            <w:pPr>
              <w:pStyle w:val="196"/>
              <w:rPr>
                <w:szCs w:val="21"/>
              </w:rPr>
            </w:pPr>
            <w:r>
              <w:rPr>
                <w:rFonts w:hint="eastAsia"/>
                <w:szCs w:val="21"/>
              </w:rPr>
              <w:t>≤1.0</w:t>
            </w:r>
          </w:p>
        </w:tc>
        <w:tc>
          <w:tcPr>
            <w:tcW w:w="812" w:type="pct"/>
            <w:tcBorders>
              <w:top w:val="single" w:color="auto" w:sz="4" w:space="0"/>
              <w:left w:val="single" w:color="auto" w:sz="4" w:space="0"/>
              <w:bottom w:val="single" w:color="auto" w:sz="4" w:space="0"/>
              <w:right w:val="single" w:color="auto" w:sz="4" w:space="0"/>
            </w:tcBorders>
            <w:vAlign w:val="center"/>
          </w:tcPr>
          <w:p w14:paraId="0291100F">
            <w:pPr>
              <w:pStyle w:val="196"/>
              <w:rPr>
                <w:szCs w:val="21"/>
              </w:rPr>
            </w:pPr>
            <w:r>
              <w:rPr>
                <w:rFonts w:hint="eastAsia"/>
                <w:szCs w:val="21"/>
              </w:rPr>
              <w:t>≤1.5</w:t>
            </w:r>
          </w:p>
        </w:tc>
      </w:tr>
      <w:tr w14:paraId="44B3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357C018C">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715428EE">
            <w:pPr>
              <w:pStyle w:val="196"/>
              <w:rPr>
                <w:szCs w:val="21"/>
              </w:rPr>
            </w:pPr>
            <w:r>
              <w:rPr>
                <w:rFonts w:hint="eastAsia"/>
                <w:kern w:val="0"/>
              </w:rPr>
              <w:t>总氮（湖、库，以N计）</w:t>
            </w:r>
          </w:p>
        </w:tc>
        <w:tc>
          <w:tcPr>
            <w:tcW w:w="737" w:type="pct"/>
            <w:tcBorders>
              <w:top w:val="single" w:color="auto" w:sz="4" w:space="0"/>
              <w:left w:val="single" w:color="auto" w:sz="4" w:space="0"/>
              <w:bottom w:val="single" w:color="auto" w:sz="4" w:space="0"/>
              <w:right w:val="single" w:color="auto" w:sz="4" w:space="0"/>
            </w:tcBorders>
            <w:vAlign w:val="center"/>
          </w:tcPr>
          <w:p w14:paraId="44B320D5">
            <w:pPr>
              <w:pStyle w:val="196"/>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26FF5449">
            <w:pPr>
              <w:pStyle w:val="196"/>
              <w:rPr>
                <w:szCs w:val="21"/>
              </w:rPr>
            </w:pPr>
            <w:r>
              <w:rPr>
                <w:rFonts w:hint="eastAsia"/>
                <w:szCs w:val="21"/>
              </w:rPr>
              <w:t>≤1.0</w:t>
            </w:r>
          </w:p>
        </w:tc>
        <w:tc>
          <w:tcPr>
            <w:tcW w:w="812" w:type="pct"/>
            <w:tcBorders>
              <w:top w:val="single" w:color="auto" w:sz="4" w:space="0"/>
              <w:left w:val="single" w:color="auto" w:sz="4" w:space="0"/>
              <w:bottom w:val="single" w:color="auto" w:sz="4" w:space="0"/>
              <w:right w:val="single" w:color="auto" w:sz="4" w:space="0"/>
            </w:tcBorders>
            <w:vAlign w:val="center"/>
          </w:tcPr>
          <w:p w14:paraId="2C51443F">
            <w:pPr>
              <w:pStyle w:val="196"/>
              <w:rPr>
                <w:szCs w:val="21"/>
              </w:rPr>
            </w:pPr>
            <w:r>
              <w:rPr>
                <w:rFonts w:hint="eastAsia"/>
                <w:szCs w:val="21"/>
              </w:rPr>
              <w:t>≤1.5</w:t>
            </w:r>
          </w:p>
        </w:tc>
      </w:tr>
      <w:tr w14:paraId="6885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440727DE">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61915806">
            <w:pPr>
              <w:pStyle w:val="196"/>
              <w:rPr>
                <w:szCs w:val="21"/>
              </w:rPr>
            </w:pPr>
            <w:r>
              <w:rPr>
                <w:rFonts w:hint="eastAsia"/>
                <w:szCs w:val="21"/>
              </w:rPr>
              <w:t>总磷</w:t>
            </w:r>
          </w:p>
        </w:tc>
        <w:tc>
          <w:tcPr>
            <w:tcW w:w="737" w:type="pct"/>
            <w:tcBorders>
              <w:top w:val="single" w:color="auto" w:sz="4" w:space="0"/>
              <w:left w:val="single" w:color="auto" w:sz="4" w:space="0"/>
              <w:bottom w:val="single" w:color="auto" w:sz="4" w:space="0"/>
              <w:right w:val="single" w:color="auto" w:sz="4" w:space="0"/>
            </w:tcBorders>
            <w:vAlign w:val="center"/>
          </w:tcPr>
          <w:p w14:paraId="1FEAB8FF">
            <w:pPr>
              <w:pStyle w:val="196"/>
              <w:rPr>
                <w:szCs w:val="21"/>
              </w:rPr>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0AC7C7D0">
            <w:pPr>
              <w:pStyle w:val="196"/>
              <w:rPr>
                <w:szCs w:val="21"/>
              </w:rPr>
            </w:pPr>
            <w:r>
              <w:rPr>
                <w:rFonts w:hint="eastAsia"/>
                <w:szCs w:val="21"/>
              </w:rPr>
              <w:t>≤0.2</w:t>
            </w:r>
          </w:p>
        </w:tc>
        <w:tc>
          <w:tcPr>
            <w:tcW w:w="812" w:type="pct"/>
            <w:tcBorders>
              <w:top w:val="single" w:color="auto" w:sz="4" w:space="0"/>
              <w:left w:val="single" w:color="auto" w:sz="4" w:space="0"/>
              <w:bottom w:val="single" w:color="auto" w:sz="4" w:space="0"/>
              <w:right w:val="single" w:color="auto" w:sz="4" w:space="0"/>
            </w:tcBorders>
            <w:vAlign w:val="center"/>
          </w:tcPr>
          <w:p w14:paraId="2D491A61">
            <w:pPr>
              <w:pStyle w:val="196"/>
              <w:rPr>
                <w:szCs w:val="21"/>
              </w:rPr>
            </w:pPr>
            <w:r>
              <w:rPr>
                <w:rFonts w:hint="eastAsia"/>
                <w:szCs w:val="21"/>
              </w:rPr>
              <w:t>≤0.3</w:t>
            </w:r>
          </w:p>
        </w:tc>
      </w:tr>
      <w:tr w14:paraId="7F69D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tcBorders>
              <w:top w:val="nil"/>
              <w:left w:val="single" w:color="auto" w:sz="4" w:space="0"/>
              <w:bottom w:val="single" w:color="auto" w:sz="4" w:space="0"/>
              <w:right w:val="single" w:color="auto" w:sz="4" w:space="0"/>
            </w:tcBorders>
            <w:vAlign w:val="center"/>
          </w:tcPr>
          <w:p w14:paraId="70497D93">
            <w:pPr>
              <w:pStyle w:val="196"/>
              <w:rPr>
                <w:szCs w:val="21"/>
              </w:rPr>
            </w:pPr>
          </w:p>
        </w:tc>
        <w:tc>
          <w:tcPr>
            <w:tcW w:w="1467" w:type="pct"/>
            <w:tcBorders>
              <w:top w:val="single" w:color="auto" w:sz="4" w:space="0"/>
              <w:left w:val="single" w:color="auto" w:sz="4" w:space="0"/>
              <w:bottom w:val="single" w:color="auto" w:sz="4" w:space="0"/>
              <w:right w:val="single" w:color="auto" w:sz="4" w:space="0"/>
            </w:tcBorders>
            <w:vAlign w:val="center"/>
          </w:tcPr>
          <w:p w14:paraId="4E63636B">
            <w:pPr>
              <w:pStyle w:val="196"/>
              <w:rPr>
                <w:szCs w:val="21"/>
              </w:rPr>
            </w:pPr>
            <w:r>
              <w:rPr>
                <w:rFonts w:hint="eastAsia"/>
                <w:szCs w:val="21"/>
              </w:rPr>
              <w:t>石油类</w:t>
            </w:r>
          </w:p>
        </w:tc>
        <w:tc>
          <w:tcPr>
            <w:tcW w:w="737" w:type="pct"/>
            <w:tcBorders>
              <w:top w:val="single" w:color="auto" w:sz="4" w:space="0"/>
              <w:left w:val="single" w:color="auto" w:sz="4" w:space="0"/>
              <w:bottom w:val="single" w:color="auto" w:sz="4" w:space="0"/>
              <w:right w:val="single" w:color="auto" w:sz="4" w:space="0"/>
            </w:tcBorders>
            <w:vAlign w:val="center"/>
          </w:tcPr>
          <w:p w14:paraId="55E9D2D1">
            <w:pPr>
              <w:pStyle w:val="196"/>
              <w:rPr>
                <w:szCs w:val="21"/>
              </w:rPr>
            </w:pPr>
            <w:r>
              <w:rPr>
                <w:rFonts w:hint="eastAsia"/>
              </w:rPr>
              <w:t>mg/L</w:t>
            </w:r>
          </w:p>
        </w:tc>
        <w:tc>
          <w:tcPr>
            <w:tcW w:w="812" w:type="pct"/>
            <w:tcBorders>
              <w:top w:val="single" w:color="auto" w:sz="4" w:space="0"/>
              <w:left w:val="single" w:color="auto" w:sz="4" w:space="0"/>
              <w:bottom w:val="single" w:color="auto" w:sz="4" w:space="0"/>
              <w:right w:val="single" w:color="auto" w:sz="4" w:space="0"/>
            </w:tcBorders>
            <w:vAlign w:val="center"/>
          </w:tcPr>
          <w:p w14:paraId="064978B1">
            <w:pPr>
              <w:pStyle w:val="196"/>
              <w:rPr>
                <w:szCs w:val="21"/>
              </w:rPr>
            </w:pPr>
            <w:r>
              <w:rPr>
                <w:rFonts w:hint="eastAsia"/>
                <w:szCs w:val="21"/>
              </w:rPr>
              <w:t>≤0.05</w:t>
            </w:r>
          </w:p>
        </w:tc>
        <w:tc>
          <w:tcPr>
            <w:tcW w:w="812" w:type="pct"/>
            <w:tcBorders>
              <w:top w:val="single" w:color="auto" w:sz="4" w:space="0"/>
              <w:left w:val="single" w:color="auto" w:sz="4" w:space="0"/>
              <w:bottom w:val="single" w:color="auto" w:sz="4" w:space="0"/>
              <w:right w:val="single" w:color="auto" w:sz="4" w:space="0"/>
            </w:tcBorders>
            <w:vAlign w:val="center"/>
          </w:tcPr>
          <w:p w14:paraId="4BA7CCD5">
            <w:pPr>
              <w:pStyle w:val="196"/>
              <w:rPr>
                <w:szCs w:val="21"/>
              </w:rPr>
            </w:pPr>
            <w:r>
              <w:rPr>
                <w:rFonts w:hint="eastAsia"/>
                <w:szCs w:val="21"/>
              </w:rPr>
              <w:t>≤0.5</w:t>
            </w:r>
          </w:p>
        </w:tc>
      </w:tr>
    </w:tbl>
    <w:p w14:paraId="117E08B8">
      <w:pPr>
        <w:adjustRightInd w:val="0"/>
        <w:snapToGrid w:val="0"/>
        <w:ind w:firstLine="480"/>
        <w:rPr>
          <w:rFonts w:eastAsia="宋体" w:cs="Times New Roman"/>
          <w:szCs w:val="24"/>
        </w:rPr>
      </w:pPr>
      <w:r>
        <w:rPr>
          <w:rFonts w:hint="eastAsia"/>
          <w:szCs w:val="24"/>
        </w:rPr>
        <w:t>3</w:t>
      </w:r>
      <w:r>
        <w:rPr>
          <w:rFonts w:hint="eastAsia" w:ascii="宋体" w:hAnsi="宋体"/>
          <w:szCs w:val="24"/>
        </w:rPr>
        <w:t>、噪声</w:t>
      </w:r>
    </w:p>
    <w:p w14:paraId="2B2143D3">
      <w:pPr>
        <w:pStyle w:val="93"/>
      </w:pPr>
      <w:r>
        <w:rPr>
          <w:rFonts w:hint="eastAsia"/>
        </w:rPr>
        <w:t>本项目位于国能涟水一期热电联产项目厂区内，国能涟水一期四周厂界外区域声环境执行《声环境质量标准》（GB3096-2008）3类标准，本项目所在区域声环境功能区划为3类。码头陆域北、南、西侧执行3类标准，码头东侧靠盐河内河航道，东侧河堤护栏向外（向码头一侧）25m执行4a类标准。具体见表2.3-3。</w:t>
      </w:r>
    </w:p>
    <w:p w14:paraId="3633CC58">
      <w:pPr>
        <w:pStyle w:val="86"/>
        <w:rPr>
          <w:sz w:val="21"/>
        </w:rPr>
      </w:pPr>
      <w:r>
        <w:rPr>
          <w:rFonts w:hint="eastAsia"/>
        </w:rPr>
        <w:t>声环境质量标准  单位：dB（A）</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8"/>
        <w:gridCol w:w="1233"/>
        <w:gridCol w:w="2512"/>
        <w:gridCol w:w="2668"/>
      </w:tblGrid>
      <w:tr w14:paraId="217BF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45" w:type="pct"/>
            <w:vMerge w:val="restart"/>
            <w:tcBorders>
              <w:top w:val="single" w:color="auto" w:sz="4" w:space="0"/>
              <w:left w:val="single" w:color="auto" w:sz="4" w:space="0"/>
              <w:bottom w:val="single" w:color="auto" w:sz="4" w:space="0"/>
              <w:right w:val="single" w:color="auto" w:sz="4" w:space="0"/>
            </w:tcBorders>
            <w:vAlign w:val="center"/>
          </w:tcPr>
          <w:p w14:paraId="7C332BE0">
            <w:pPr>
              <w:pStyle w:val="196"/>
            </w:pPr>
            <w:r>
              <w:rPr>
                <w:rFonts w:hint="eastAsia"/>
              </w:rPr>
              <w:t>区域</w:t>
            </w:r>
          </w:p>
        </w:tc>
        <w:tc>
          <w:tcPr>
            <w:tcW w:w="664" w:type="pct"/>
            <w:vMerge w:val="restart"/>
            <w:tcBorders>
              <w:top w:val="single" w:color="auto" w:sz="4" w:space="0"/>
              <w:left w:val="single" w:color="auto" w:sz="4" w:space="0"/>
              <w:bottom w:val="single" w:color="auto" w:sz="4" w:space="0"/>
              <w:right w:val="single" w:color="auto" w:sz="4" w:space="0"/>
            </w:tcBorders>
            <w:vAlign w:val="center"/>
          </w:tcPr>
          <w:p w14:paraId="52271D65">
            <w:pPr>
              <w:pStyle w:val="196"/>
            </w:pPr>
            <w:r>
              <w:rPr>
                <w:rFonts w:hint="eastAsia"/>
              </w:rPr>
              <w:t>功能类别</w:t>
            </w:r>
          </w:p>
        </w:tc>
        <w:tc>
          <w:tcPr>
            <w:tcW w:w="2790" w:type="pct"/>
            <w:gridSpan w:val="2"/>
            <w:tcBorders>
              <w:top w:val="single" w:color="auto" w:sz="4" w:space="0"/>
              <w:left w:val="single" w:color="auto" w:sz="4" w:space="0"/>
              <w:bottom w:val="single" w:color="auto" w:sz="4" w:space="0"/>
              <w:right w:val="single" w:color="auto" w:sz="4" w:space="0"/>
            </w:tcBorders>
            <w:vAlign w:val="center"/>
          </w:tcPr>
          <w:p w14:paraId="419F909F">
            <w:pPr>
              <w:pStyle w:val="196"/>
            </w:pPr>
            <w:r>
              <w:rPr>
                <w:rFonts w:hint="eastAsia"/>
              </w:rPr>
              <w:t>标准值</w:t>
            </w:r>
          </w:p>
        </w:tc>
      </w:tr>
      <w:tr w14:paraId="188CA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AD7047A">
            <w:pPr>
              <w:pStyle w:val="196"/>
              <w:rPr>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5D37545">
            <w:pPr>
              <w:pStyle w:val="196"/>
              <w:rPr>
                <w:szCs w:val="21"/>
              </w:rPr>
            </w:pPr>
          </w:p>
        </w:tc>
        <w:tc>
          <w:tcPr>
            <w:tcW w:w="1353" w:type="pct"/>
            <w:tcBorders>
              <w:top w:val="single" w:color="auto" w:sz="4" w:space="0"/>
              <w:left w:val="single" w:color="auto" w:sz="4" w:space="0"/>
              <w:bottom w:val="single" w:color="auto" w:sz="4" w:space="0"/>
              <w:right w:val="single" w:color="auto" w:sz="4" w:space="0"/>
            </w:tcBorders>
            <w:vAlign w:val="center"/>
          </w:tcPr>
          <w:p w14:paraId="6C468D57">
            <w:pPr>
              <w:pStyle w:val="196"/>
            </w:pPr>
            <w:r>
              <w:rPr>
                <w:rFonts w:hint="eastAsia"/>
              </w:rPr>
              <w:t>昼间</w:t>
            </w:r>
          </w:p>
        </w:tc>
        <w:tc>
          <w:tcPr>
            <w:tcW w:w="1436" w:type="pct"/>
            <w:tcBorders>
              <w:top w:val="single" w:color="auto" w:sz="4" w:space="0"/>
              <w:left w:val="single" w:color="auto" w:sz="4" w:space="0"/>
              <w:bottom w:val="single" w:color="auto" w:sz="4" w:space="0"/>
              <w:right w:val="single" w:color="auto" w:sz="4" w:space="0"/>
            </w:tcBorders>
            <w:vAlign w:val="center"/>
          </w:tcPr>
          <w:p w14:paraId="69A92210">
            <w:pPr>
              <w:pStyle w:val="196"/>
            </w:pPr>
            <w:r>
              <w:rPr>
                <w:rFonts w:hint="eastAsia"/>
              </w:rPr>
              <w:t>夜间</w:t>
            </w:r>
          </w:p>
        </w:tc>
      </w:tr>
      <w:tr w14:paraId="238E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45" w:type="pct"/>
            <w:tcBorders>
              <w:top w:val="single" w:color="auto" w:sz="4" w:space="0"/>
              <w:left w:val="single" w:color="auto" w:sz="4" w:space="0"/>
              <w:bottom w:val="single" w:color="auto" w:sz="4" w:space="0"/>
              <w:right w:val="single" w:color="auto" w:sz="4" w:space="0"/>
            </w:tcBorders>
            <w:vAlign w:val="center"/>
          </w:tcPr>
          <w:p w14:paraId="6750D1EC">
            <w:pPr>
              <w:pStyle w:val="196"/>
            </w:pPr>
            <w:r>
              <w:rPr>
                <w:rFonts w:hint="eastAsia"/>
              </w:rPr>
              <w:t>工业区</w:t>
            </w:r>
          </w:p>
        </w:tc>
        <w:tc>
          <w:tcPr>
            <w:tcW w:w="664" w:type="pct"/>
            <w:tcBorders>
              <w:top w:val="single" w:color="auto" w:sz="4" w:space="0"/>
              <w:left w:val="single" w:color="auto" w:sz="4" w:space="0"/>
              <w:bottom w:val="single" w:color="auto" w:sz="4" w:space="0"/>
              <w:right w:val="single" w:color="auto" w:sz="4" w:space="0"/>
            </w:tcBorders>
            <w:vAlign w:val="center"/>
          </w:tcPr>
          <w:p w14:paraId="22922CD1">
            <w:pPr>
              <w:pStyle w:val="196"/>
            </w:pPr>
            <w:r>
              <w:rPr>
                <w:rFonts w:hint="eastAsia"/>
              </w:rPr>
              <w:t>3类</w:t>
            </w:r>
          </w:p>
        </w:tc>
        <w:tc>
          <w:tcPr>
            <w:tcW w:w="1353" w:type="pct"/>
            <w:tcBorders>
              <w:top w:val="single" w:color="auto" w:sz="4" w:space="0"/>
              <w:left w:val="single" w:color="auto" w:sz="4" w:space="0"/>
              <w:bottom w:val="single" w:color="auto" w:sz="4" w:space="0"/>
              <w:right w:val="single" w:color="auto" w:sz="4" w:space="0"/>
            </w:tcBorders>
            <w:vAlign w:val="center"/>
          </w:tcPr>
          <w:p w14:paraId="5CCE1ED9">
            <w:pPr>
              <w:pStyle w:val="196"/>
            </w:pPr>
            <w:r>
              <w:rPr>
                <w:rFonts w:hint="eastAsia"/>
              </w:rPr>
              <w:t>65</w:t>
            </w:r>
          </w:p>
        </w:tc>
        <w:tc>
          <w:tcPr>
            <w:tcW w:w="1436" w:type="pct"/>
            <w:tcBorders>
              <w:top w:val="single" w:color="auto" w:sz="4" w:space="0"/>
              <w:left w:val="single" w:color="auto" w:sz="4" w:space="0"/>
              <w:bottom w:val="single" w:color="auto" w:sz="4" w:space="0"/>
              <w:right w:val="single" w:color="auto" w:sz="4" w:space="0"/>
            </w:tcBorders>
            <w:vAlign w:val="center"/>
          </w:tcPr>
          <w:p w14:paraId="6A824B43">
            <w:pPr>
              <w:pStyle w:val="196"/>
            </w:pPr>
            <w:r>
              <w:rPr>
                <w:rFonts w:hint="eastAsia"/>
              </w:rPr>
              <w:t>55</w:t>
            </w:r>
          </w:p>
        </w:tc>
      </w:tr>
      <w:tr w14:paraId="76D8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45" w:type="pct"/>
            <w:tcBorders>
              <w:top w:val="single" w:color="auto" w:sz="4" w:space="0"/>
              <w:left w:val="single" w:color="auto" w:sz="4" w:space="0"/>
              <w:bottom w:val="single" w:color="auto" w:sz="4" w:space="0"/>
              <w:right w:val="single" w:color="auto" w:sz="4" w:space="0"/>
            </w:tcBorders>
            <w:vAlign w:val="center"/>
          </w:tcPr>
          <w:p w14:paraId="2357DA4D">
            <w:pPr>
              <w:pStyle w:val="196"/>
            </w:pPr>
            <w:r>
              <w:rPr>
                <w:rFonts w:hint="eastAsia"/>
              </w:rPr>
              <w:t>公路干线两侧、航道两侧</w:t>
            </w:r>
          </w:p>
        </w:tc>
        <w:tc>
          <w:tcPr>
            <w:tcW w:w="664" w:type="pct"/>
            <w:tcBorders>
              <w:top w:val="single" w:color="auto" w:sz="4" w:space="0"/>
              <w:left w:val="single" w:color="auto" w:sz="4" w:space="0"/>
              <w:bottom w:val="single" w:color="auto" w:sz="4" w:space="0"/>
              <w:right w:val="single" w:color="auto" w:sz="4" w:space="0"/>
            </w:tcBorders>
            <w:vAlign w:val="center"/>
          </w:tcPr>
          <w:p w14:paraId="7C5E84CD">
            <w:pPr>
              <w:pStyle w:val="196"/>
            </w:pPr>
            <w:r>
              <w:rPr>
                <w:rFonts w:hint="eastAsia"/>
              </w:rPr>
              <w:t>4a类</w:t>
            </w:r>
          </w:p>
        </w:tc>
        <w:tc>
          <w:tcPr>
            <w:tcW w:w="1353" w:type="pct"/>
            <w:tcBorders>
              <w:top w:val="single" w:color="auto" w:sz="4" w:space="0"/>
              <w:left w:val="single" w:color="auto" w:sz="4" w:space="0"/>
              <w:bottom w:val="single" w:color="auto" w:sz="4" w:space="0"/>
              <w:right w:val="single" w:color="auto" w:sz="4" w:space="0"/>
            </w:tcBorders>
            <w:vAlign w:val="center"/>
          </w:tcPr>
          <w:p w14:paraId="51199B97">
            <w:pPr>
              <w:pStyle w:val="196"/>
            </w:pPr>
            <w:r>
              <w:rPr>
                <w:rFonts w:hint="eastAsia"/>
              </w:rPr>
              <w:t>70</w:t>
            </w:r>
          </w:p>
        </w:tc>
        <w:tc>
          <w:tcPr>
            <w:tcW w:w="1436" w:type="pct"/>
            <w:tcBorders>
              <w:top w:val="single" w:color="auto" w:sz="4" w:space="0"/>
              <w:left w:val="single" w:color="auto" w:sz="4" w:space="0"/>
              <w:bottom w:val="single" w:color="auto" w:sz="4" w:space="0"/>
              <w:right w:val="single" w:color="auto" w:sz="4" w:space="0"/>
            </w:tcBorders>
            <w:vAlign w:val="center"/>
          </w:tcPr>
          <w:p w14:paraId="5E72D814">
            <w:pPr>
              <w:pStyle w:val="196"/>
            </w:pPr>
            <w:r>
              <w:rPr>
                <w:rFonts w:hint="eastAsia"/>
              </w:rPr>
              <w:t>55</w:t>
            </w:r>
          </w:p>
        </w:tc>
      </w:tr>
    </w:tbl>
    <w:p w14:paraId="677ABEA3">
      <w:pPr>
        <w:pStyle w:val="93"/>
      </w:pPr>
      <w:r>
        <w:rPr>
          <w:rFonts w:hint="eastAsia"/>
        </w:rPr>
        <w:t>4、底泥</w:t>
      </w:r>
    </w:p>
    <w:p w14:paraId="6AF06315">
      <w:pPr>
        <w:pStyle w:val="93"/>
      </w:pPr>
      <w:r>
        <w:rPr>
          <w:rFonts w:hint="eastAsia"/>
        </w:rPr>
        <w:t>底泥的重金属指标参照执行《土壤环境质量 农用地土壤污染风险管控标准（试行）》（GB15618-2018）中其他类标准，其余指标执行</w:t>
      </w:r>
      <w:bookmarkStart w:id="78" w:name="_Hlk181741843"/>
      <w:r>
        <w:rPr>
          <w:rFonts w:hint="eastAsia"/>
        </w:rPr>
        <w:t>《土壤环境质量 建设用地土壤污染风险管控标准（试行）》（GB36600-2018）</w:t>
      </w:r>
      <w:bookmarkEnd w:id="78"/>
      <w:r>
        <w:rPr>
          <w:rFonts w:hint="eastAsia"/>
        </w:rPr>
        <w:t>中表1中第二类用地筛选值见表2.3-4。</w:t>
      </w:r>
    </w:p>
    <w:p w14:paraId="2315FDBD">
      <w:pPr>
        <w:pStyle w:val="86"/>
      </w:pPr>
      <w:r>
        <w:rPr>
          <w:rFonts w:hint="eastAsia"/>
        </w:rPr>
        <w:t>农用地土壤污染风险值标准 单位：mg/kg</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924"/>
        <w:gridCol w:w="1544"/>
        <w:gridCol w:w="1546"/>
        <w:gridCol w:w="1544"/>
        <w:gridCol w:w="1695"/>
        <w:gridCol w:w="1297"/>
      </w:tblGrid>
      <w:tr w14:paraId="695E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7" w:type="pct"/>
            <w:vMerge w:val="restart"/>
            <w:vAlign w:val="center"/>
          </w:tcPr>
          <w:p w14:paraId="1DB3FEB9">
            <w:pPr>
              <w:pStyle w:val="196"/>
              <w:rPr>
                <w:b/>
                <w:bCs/>
              </w:rPr>
            </w:pPr>
            <w:r>
              <w:rPr>
                <w:rFonts w:hint="eastAsia"/>
                <w:b/>
                <w:bCs/>
              </w:rPr>
              <w:t>序号</w:t>
            </w:r>
          </w:p>
        </w:tc>
        <w:tc>
          <w:tcPr>
            <w:tcW w:w="1328" w:type="pct"/>
            <w:gridSpan w:val="2"/>
            <w:vMerge w:val="restart"/>
            <w:vAlign w:val="center"/>
          </w:tcPr>
          <w:p w14:paraId="1D3FC87D">
            <w:pPr>
              <w:pStyle w:val="196"/>
              <w:rPr>
                <w:b/>
                <w:bCs/>
              </w:rPr>
            </w:pPr>
            <w:r>
              <w:rPr>
                <w:rFonts w:hint="eastAsia"/>
                <w:b/>
                <w:bCs/>
              </w:rPr>
              <w:t>污染物项目</w:t>
            </w:r>
          </w:p>
        </w:tc>
        <w:tc>
          <w:tcPr>
            <w:tcW w:w="3273" w:type="pct"/>
            <w:gridSpan w:val="4"/>
            <w:vAlign w:val="center"/>
          </w:tcPr>
          <w:p w14:paraId="32FB2F9D">
            <w:pPr>
              <w:pStyle w:val="196"/>
              <w:rPr>
                <w:b/>
                <w:bCs/>
              </w:rPr>
            </w:pPr>
            <w:r>
              <w:rPr>
                <w:rFonts w:hint="eastAsia"/>
                <w:b/>
                <w:bCs/>
              </w:rPr>
              <w:t>风险筛选值</w:t>
            </w:r>
          </w:p>
        </w:tc>
      </w:tr>
      <w:tr w14:paraId="32F1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0" w:type="auto"/>
            <w:vMerge w:val="continue"/>
            <w:vAlign w:val="center"/>
          </w:tcPr>
          <w:p w14:paraId="66009C05">
            <w:pPr>
              <w:pStyle w:val="196"/>
              <w:rPr>
                <w:b/>
                <w:bCs/>
              </w:rPr>
            </w:pPr>
          </w:p>
        </w:tc>
        <w:tc>
          <w:tcPr>
            <w:tcW w:w="0" w:type="auto"/>
            <w:gridSpan w:val="2"/>
            <w:vMerge w:val="continue"/>
            <w:vAlign w:val="center"/>
          </w:tcPr>
          <w:p w14:paraId="406E68F2">
            <w:pPr>
              <w:pStyle w:val="196"/>
              <w:rPr>
                <w:b/>
                <w:bCs/>
              </w:rPr>
            </w:pPr>
          </w:p>
        </w:tc>
        <w:tc>
          <w:tcPr>
            <w:tcW w:w="832" w:type="pct"/>
            <w:vAlign w:val="center"/>
          </w:tcPr>
          <w:p w14:paraId="66BCF2CA">
            <w:pPr>
              <w:pStyle w:val="196"/>
              <w:rPr>
                <w:b/>
                <w:bCs/>
              </w:rPr>
            </w:pPr>
            <w:r>
              <w:rPr>
                <w:rFonts w:hint="eastAsia"/>
                <w:b/>
                <w:bCs/>
              </w:rPr>
              <w:t>pH≤5.5</w:t>
            </w:r>
          </w:p>
        </w:tc>
        <w:tc>
          <w:tcPr>
            <w:tcW w:w="831" w:type="pct"/>
            <w:vAlign w:val="center"/>
          </w:tcPr>
          <w:p w14:paraId="79BB1847">
            <w:pPr>
              <w:pStyle w:val="196"/>
              <w:rPr>
                <w:b/>
                <w:bCs/>
              </w:rPr>
            </w:pPr>
            <w:r>
              <w:rPr>
                <w:rFonts w:hint="eastAsia"/>
                <w:b/>
                <w:bCs/>
              </w:rPr>
              <w:t>5.5&lt;pH≤6.5</w:t>
            </w:r>
          </w:p>
        </w:tc>
        <w:tc>
          <w:tcPr>
            <w:tcW w:w="912" w:type="pct"/>
            <w:vAlign w:val="center"/>
          </w:tcPr>
          <w:p w14:paraId="199F6763">
            <w:pPr>
              <w:pStyle w:val="196"/>
              <w:rPr>
                <w:b/>
                <w:bCs/>
              </w:rPr>
            </w:pPr>
            <w:r>
              <w:rPr>
                <w:rFonts w:hint="eastAsia"/>
                <w:b/>
                <w:bCs/>
              </w:rPr>
              <w:t>6.5&lt;pH≤7.5</w:t>
            </w:r>
          </w:p>
        </w:tc>
        <w:tc>
          <w:tcPr>
            <w:tcW w:w="698" w:type="pct"/>
            <w:vAlign w:val="center"/>
          </w:tcPr>
          <w:p w14:paraId="134E03BB">
            <w:pPr>
              <w:pStyle w:val="196"/>
              <w:rPr>
                <w:b/>
                <w:bCs/>
              </w:rPr>
            </w:pPr>
            <w:r>
              <w:rPr>
                <w:rFonts w:hint="eastAsia"/>
                <w:b/>
                <w:bCs/>
              </w:rPr>
              <w:t>pH</w:t>
            </w:r>
            <w:r>
              <w:rPr>
                <w:rFonts w:hint="eastAsia"/>
                <w:b/>
                <w:bCs/>
                <w:lang w:eastAsia="zh-CN"/>
              </w:rPr>
              <w:t>&gt;</w:t>
            </w:r>
            <w:r>
              <w:rPr>
                <w:rFonts w:hint="eastAsia"/>
                <w:b/>
                <w:bCs/>
              </w:rPr>
              <w:t>7.5</w:t>
            </w:r>
          </w:p>
        </w:tc>
      </w:tr>
      <w:tr w14:paraId="4822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00EC484C">
            <w:pPr>
              <w:pStyle w:val="196"/>
            </w:pPr>
            <w:r>
              <w:rPr>
                <w:rFonts w:hint="eastAsia"/>
              </w:rPr>
              <w:t>1</w:t>
            </w:r>
          </w:p>
        </w:tc>
        <w:tc>
          <w:tcPr>
            <w:tcW w:w="497" w:type="pct"/>
            <w:vMerge w:val="restart"/>
            <w:vAlign w:val="center"/>
          </w:tcPr>
          <w:p w14:paraId="039E332D">
            <w:pPr>
              <w:pStyle w:val="196"/>
            </w:pPr>
            <w:r>
              <w:rPr>
                <w:rFonts w:hint="eastAsia"/>
              </w:rPr>
              <w:t>镉</w:t>
            </w:r>
          </w:p>
        </w:tc>
        <w:tc>
          <w:tcPr>
            <w:tcW w:w="831" w:type="pct"/>
            <w:vAlign w:val="center"/>
          </w:tcPr>
          <w:p w14:paraId="671DF53A">
            <w:pPr>
              <w:pStyle w:val="196"/>
            </w:pPr>
            <w:r>
              <w:rPr>
                <w:rFonts w:hint="eastAsia"/>
              </w:rPr>
              <w:t>水田</w:t>
            </w:r>
          </w:p>
        </w:tc>
        <w:tc>
          <w:tcPr>
            <w:tcW w:w="832" w:type="pct"/>
            <w:vAlign w:val="center"/>
          </w:tcPr>
          <w:p w14:paraId="03559A08">
            <w:pPr>
              <w:pStyle w:val="196"/>
            </w:pPr>
            <w:r>
              <w:rPr>
                <w:rFonts w:hint="eastAsia"/>
              </w:rPr>
              <w:t>0.3</w:t>
            </w:r>
          </w:p>
        </w:tc>
        <w:tc>
          <w:tcPr>
            <w:tcW w:w="831" w:type="pct"/>
            <w:vAlign w:val="center"/>
          </w:tcPr>
          <w:p w14:paraId="0602E4F9">
            <w:pPr>
              <w:pStyle w:val="196"/>
            </w:pPr>
            <w:r>
              <w:rPr>
                <w:rFonts w:hint="eastAsia"/>
              </w:rPr>
              <w:t>0.4</w:t>
            </w:r>
          </w:p>
        </w:tc>
        <w:tc>
          <w:tcPr>
            <w:tcW w:w="912" w:type="pct"/>
            <w:vAlign w:val="center"/>
          </w:tcPr>
          <w:p w14:paraId="3816E38C">
            <w:pPr>
              <w:pStyle w:val="196"/>
            </w:pPr>
            <w:r>
              <w:rPr>
                <w:rFonts w:hint="eastAsia"/>
              </w:rPr>
              <w:t>0.6</w:t>
            </w:r>
          </w:p>
        </w:tc>
        <w:tc>
          <w:tcPr>
            <w:tcW w:w="698" w:type="pct"/>
            <w:vAlign w:val="center"/>
          </w:tcPr>
          <w:p w14:paraId="61244973">
            <w:pPr>
              <w:pStyle w:val="196"/>
            </w:pPr>
            <w:r>
              <w:rPr>
                <w:rFonts w:hint="eastAsia"/>
              </w:rPr>
              <w:t>0.8</w:t>
            </w:r>
          </w:p>
        </w:tc>
      </w:tr>
      <w:tr w14:paraId="6F65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483BAB2">
            <w:pPr>
              <w:pStyle w:val="196"/>
            </w:pPr>
          </w:p>
        </w:tc>
        <w:tc>
          <w:tcPr>
            <w:tcW w:w="0" w:type="auto"/>
            <w:vMerge w:val="continue"/>
            <w:vAlign w:val="center"/>
          </w:tcPr>
          <w:p w14:paraId="7C9E2803">
            <w:pPr>
              <w:pStyle w:val="196"/>
            </w:pPr>
          </w:p>
        </w:tc>
        <w:tc>
          <w:tcPr>
            <w:tcW w:w="831" w:type="pct"/>
            <w:vAlign w:val="center"/>
          </w:tcPr>
          <w:p w14:paraId="5A71E3EA">
            <w:pPr>
              <w:pStyle w:val="196"/>
            </w:pPr>
            <w:r>
              <w:rPr>
                <w:rFonts w:hint="eastAsia"/>
              </w:rPr>
              <w:t>其他</w:t>
            </w:r>
          </w:p>
        </w:tc>
        <w:tc>
          <w:tcPr>
            <w:tcW w:w="832" w:type="pct"/>
            <w:vAlign w:val="center"/>
          </w:tcPr>
          <w:p w14:paraId="5E416657">
            <w:pPr>
              <w:pStyle w:val="196"/>
            </w:pPr>
            <w:r>
              <w:rPr>
                <w:rFonts w:hint="eastAsia"/>
              </w:rPr>
              <w:t>0.3</w:t>
            </w:r>
          </w:p>
        </w:tc>
        <w:tc>
          <w:tcPr>
            <w:tcW w:w="831" w:type="pct"/>
            <w:vAlign w:val="center"/>
          </w:tcPr>
          <w:p w14:paraId="0E000BBF">
            <w:pPr>
              <w:pStyle w:val="196"/>
            </w:pPr>
            <w:r>
              <w:rPr>
                <w:rFonts w:hint="eastAsia"/>
              </w:rPr>
              <w:t>0.3</w:t>
            </w:r>
          </w:p>
        </w:tc>
        <w:tc>
          <w:tcPr>
            <w:tcW w:w="912" w:type="pct"/>
            <w:vAlign w:val="center"/>
          </w:tcPr>
          <w:p w14:paraId="32CF66B2">
            <w:pPr>
              <w:pStyle w:val="196"/>
            </w:pPr>
            <w:r>
              <w:rPr>
                <w:rFonts w:hint="eastAsia"/>
              </w:rPr>
              <w:t>0.3</w:t>
            </w:r>
          </w:p>
        </w:tc>
        <w:tc>
          <w:tcPr>
            <w:tcW w:w="698" w:type="pct"/>
            <w:vAlign w:val="center"/>
          </w:tcPr>
          <w:p w14:paraId="59A37901">
            <w:pPr>
              <w:pStyle w:val="196"/>
            </w:pPr>
            <w:r>
              <w:rPr>
                <w:rFonts w:hint="eastAsia"/>
              </w:rPr>
              <w:t>0.6</w:t>
            </w:r>
          </w:p>
        </w:tc>
      </w:tr>
      <w:tr w14:paraId="1C84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36349549">
            <w:pPr>
              <w:pStyle w:val="196"/>
            </w:pPr>
            <w:r>
              <w:rPr>
                <w:rFonts w:hint="eastAsia"/>
              </w:rPr>
              <w:t>2</w:t>
            </w:r>
          </w:p>
        </w:tc>
        <w:tc>
          <w:tcPr>
            <w:tcW w:w="497" w:type="pct"/>
            <w:vMerge w:val="restart"/>
            <w:vAlign w:val="center"/>
          </w:tcPr>
          <w:p w14:paraId="1A4FEFDB">
            <w:pPr>
              <w:pStyle w:val="196"/>
            </w:pPr>
            <w:r>
              <w:rPr>
                <w:rFonts w:hint="eastAsia"/>
              </w:rPr>
              <w:t>汞</w:t>
            </w:r>
          </w:p>
        </w:tc>
        <w:tc>
          <w:tcPr>
            <w:tcW w:w="831" w:type="pct"/>
            <w:vAlign w:val="center"/>
          </w:tcPr>
          <w:p w14:paraId="07B17257">
            <w:pPr>
              <w:pStyle w:val="196"/>
            </w:pPr>
            <w:r>
              <w:rPr>
                <w:rFonts w:hint="eastAsia"/>
              </w:rPr>
              <w:t>水田</w:t>
            </w:r>
          </w:p>
        </w:tc>
        <w:tc>
          <w:tcPr>
            <w:tcW w:w="832" w:type="pct"/>
            <w:vAlign w:val="center"/>
          </w:tcPr>
          <w:p w14:paraId="3D7C158C">
            <w:pPr>
              <w:pStyle w:val="196"/>
            </w:pPr>
            <w:r>
              <w:rPr>
                <w:rFonts w:hint="eastAsia"/>
              </w:rPr>
              <w:t>0.5</w:t>
            </w:r>
          </w:p>
        </w:tc>
        <w:tc>
          <w:tcPr>
            <w:tcW w:w="831" w:type="pct"/>
            <w:vAlign w:val="center"/>
          </w:tcPr>
          <w:p w14:paraId="5C538090">
            <w:pPr>
              <w:pStyle w:val="196"/>
            </w:pPr>
            <w:r>
              <w:rPr>
                <w:rFonts w:hint="eastAsia"/>
              </w:rPr>
              <w:t>0.5</w:t>
            </w:r>
          </w:p>
        </w:tc>
        <w:tc>
          <w:tcPr>
            <w:tcW w:w="912" w:type="pct"/>
            <w:vAlign w:val="center"/>
          </w:tcPr>
          <w:p w14:paraId="0A77F2F3">
            <w:pPr>
              <w:pStyle w:val="196"/>
            </w:pPr>
            <w:r>
              <w:rPr>
                <w:rFonts w:hint="eastAsia"/>
              </w:rPr>
              <w:t>0.6</w:t>
            </w:r>
          </w:p>
        </w:tc>
        <w:tc>
          <w:tcPr>
            <w:tcW w:w="698" w:type="pct"/>
            <w:vAlign w:val="center"/>
          </w:tcPr>
          <w:p w14:paraId="36B01790">
            <w:pPr>
              <w:pStyle w:val="196"/>
            </w:pPr>
            <w:r>
              <w:rPr>
                <w:rFonts w:hint="eastAsia"/>
              </w:rPr>
              <w:t>1.0</w:t>
            </w:r>
          </w:p>
        </w:tc>
      </w:tr>
      <w:tr w14:paraId="48B0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2DCC6757">
            <w:pPr>
              <w:pStyle w:val="196"/>
            </w:pPr>
          </w:p>
        </w:tc>
        <w:tc>
          <w:tcPr>
            <w:tcW w:w="0" w:type="auto"/>
            <w:vMerge w:val="continue"/>
            <w:vAlign w:val="center"/>
          </w:tcPr>
          <w:p w14:paraId="15A54528">
            <w:pPr>
              <w:pStyle w:val="196"/>
            </w:pPr>
          </w:p>
        </w:tc>
        <w:tc>
          <w:tcPr>
            <w:tcW w:w="831" w:type="pct"/>
            <w:vAlign w:val="center"/>
          </w:tcPr>
          <w:p w14:paraId="005ACD20">
            <w:pPr>
              <w:pStyle w:val="196"/>
            </w:pPr>
            <w:r>
              <w:rPr>
                <w:rFonts w:hint="eastAsia"/>
              </w:rPr>
              <w:t>其他</w:t>
            </w:r>
          </w:p>
        </w:tc>
        <w:tc>
          <w:tcPr>
            <w:tcW w:w="832" w:type="pct"/>
            <w:vAlign w:val="center"/>
          </w:tcPr>
          <w:p w14:paraId="367C03F1">
            <w:pPr>
              <w:pStyle w:val="196"/>
            </w:pPr>
            <w:r>
              <w:rPr>
                <w:rFonts w:hint="eastAsia"/>
              </w:rPr>
              <w:t>1.3</w:t>
            </w:r>
          </w:p>
        </w:tc>
        <w:tc>
          <w:tcPr>
            <w:tcW w:w="831" w:type="pct"/>
            <w:vAlign w:val="center"/>
          </w:tcPr>
          <w:p w14:paraId="4EAFFAAF">
            <w:pPr>
              <w:pStyle w:val="196"/>
            </w:pPr>
            <w:r>
              <w:rPr>
                <w:rFonts w:hint="eastAsia"/>
              </w:rPr>
              <w:t>1.8</w:t>
            </w:r>
          </w:p>
        </w:tc>
        <w:tc>
          <w:tcPr>
            <w:tcW w:w="912" w:type="pct"/>
            <w:vAlign w:val="center"/>
          </w:tcPr>
          <w:p w14:paraId="5030F466">
            <w:pPr>
              <w:pStyle w:val="196"/>
            </w:pPr>
            <w:r>
              <w:rPr>
                <w:rFonts w:hint="eastAsia"/>
              </w:rPr>
              <w:t>2.4</w:t>
            </w:r>
          </w:p>
        </w:tc>
        <w:tc>
          <w:tcPr>
            <w:tcW w:w="698" w:type="pct"/>
            <w:vAlign w:val="center"/>
          </w:tcPr>
          <w:p w14:paraId="011CCB52">
            <w:pPr>
              <w:pStyle w:val="196"/>
            </w:pPr>
            <w:r>
              <w:rPr>
                <w:rFonts w:hint="eastAsia"/>
              </w:rPr>
              <w:t>3.4</w:t>
            </w:r>
          </w:p>
        </w:tc>
      </w:tr>
      <w:tr w14:paraId="4BC8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3C592F3A">
            <w:pPr>
              <w:pStyle w:val="196"/>
            </w:pPr>
            <w:r>
              <w:rPr>
                <w:rFonts w:hint="eastAsia"/>
              </w:rPr>
              <w:t>3</w:t>
            </w:r>
          </w:p>
        </w:tc>
        <w:tc>
          <w:tcPr>
            <w:tcW w:w="497" w:type="pct"/>
            <w:vMerge w:val="restart"/>
            <w:vAlign w:val="center"/>
          </w:tcPr>
          <w:p w14:paraId="44758D80">
            <w:pPr>
              <w:pStyle w:val="196"/>
            </w:pPr>
            <w:r>
              <w:rPr>
                <w:rFonts w:hint="eastAsia"/>
              </w:rPr>
              <w:t>砷</w:t>
            </w:r>
          </w:p>
        </w:tc>
        <w:tc>
          <w:tcPr>
            <w:tcW w:w="831" w:type="pct"/>
            <w:vAlign w:val="center"/>
          </w:tcPr>
          <w:p w14:paraId="6CC241A3">
            <w:pPr>
              <w:pStyle w:val="196"/>
            </w:pPr>
            <w:r>
              <w:rPr>
                <w:rFonts w:hint="eastAsia"/>
              </w:rPr>
              <w:t>水田</w:t>
            </w:r>
          </w:p>
        </w:tc>
        <w:tc>
          <w:tcPr>
            <w:tcW w:w="832" w:type="pct"/>
            <w:vAlign w:val="center"/>
          </w:tcPr>
          <w:p w14:paraId="735CF7C2">
            <w:pPr>
              <w:pStyle w:val="196"/>
            </w:pPr>
            <w:r>
              <w:rPr>
                <w:rFonts w:hint="eastAsia"/>
              </w:rPr>
              <w:t>30</w:t>
            </w:r>
          </w:p>
        </w:tc>
        <w:tc>
          <w:tcPr>
            <w:tcW w:w="831" w:type="pct"/>
            <w:vAlign w:val="center"/>
          </w:tcPr>
          <w:p w14:paraId="5099BCE5">
            <w:pPr>
              <w:pStyle w:val="196"/>
            </w:pPr>
            <w:r>
              <w:rPr>
                <w:rFonts w:hint="eastAsia"/>
              </w:rPr>
              <w:t>30</w:t>
            </w:r>
          </w:p>
        </w:tc>
        <w:tc>
          <w:tcPr>
            <w:tcW w:w="912" w:type="pct"/>
            <w:vAlign w:val="center"/>
          </w:tcPr>
          <w:p w14:paraId="34F07AED">
            <w:pPr>
              <w:pStyle w:val="196"/>
            </w:pPr>
            <w:r>
              <w:rPr>
                <w:rFonts w:hint="eastAsia"/>
              </w:rPr>
              <w:t>25</w:t>
            </w:r>
          </w:p>
        </w:tc>
        <w:tc>
          <w:tcPr>
            <w:tcW w:w="698" w:type="pct"/>
            <w:vAlign w:val="center"/>
          </w:tcPr>
          <w:p w14:paraId="08A8B8DB">
            <w:pPr>
              <w:pStyle w:val="196"/>
            </w:pPr>
            <w:r>
              <w:rPr>
                <w:rFonts w:hint="eastAsia"/>
              </w:rPr>
              <w:t>20</w:t>
            </w:r>
          </w:p>
        </w:tc>
      </w:tr>
      <w:tr w14:paraId="2F71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2F6194C">
            <w:pPr>
              <w:pStyle w:val="196"/>
            </w:pPr>
          </w:p>
        </w:tc>
        <w:tc>
          <w:tcPr>
            <w:tcW w:w="0" w:type="auto"/>
            <w:vMerge w:val="continue"/>
            <w:vAlign w:val="center"/>
          </w:tcPr>
          <w:p w14:paraId="1635736B">
            <w:pPr>
              <w:pStyle w:val="196"/>
            </w:pPr>
          </w:p>
        </w:tc>
        <w:tc>
          <w:tcPr>
            <w:tcW w:w="831" w:type="pct"/>
            <w:vAlign w:val="center"/>
          </w:tcPr>
          <w:p w14:paraId="1B999E8C">
            <w:pPr>
              <w:pStyle w:val="196"/>
            </w:pPr>
            <w:r>
              <w:rPr>
                <w:rFonts w:hint="eastAsia"/>
              </w:rPr>
              <w:t>其他</w:t>
            </w:r>
          </w:p>
        </w:tc>
        <w:tc>
          <w:tcPr>
            <w:tcW w:w="832" w:type="pct"/>
            <w:vAlign w:val="center"/>
          </w:tcPr>
          <w:p w14:paraId="6F64300E">
            <w:pPr>
              <w:pStyle w:val="196"/>
            </w:pPr>
            <w:r>
              <w:rPr>
                <w:rFonts w:hint="eastAsia"/>
              </w:rPr>
              <w:t>40</w:t>
            </w:r>
          </w:p>
        </w:tc>
        <w:tc>
          <w:tcPr>
            <w:tcW w:w="831" w:type="pct"/>
            <w:vAlign w:val="center"/>
          </w:tcPr>
          <w:p w14:paraId="71948910">
            <w:pPr>
              <w:pStyle w:val="196"/>
            </w:pPr>
            <w:r>
              <w:rPr>
                <w:rFonts w:hint="eastAsia"/>
              </w:rPr>
              <w:t>40</w:t>
            </w:r>
          </w:p>
        </w:tc>
        <w:tc>
          <w:tcPr>
            <w:tcW w:w="912" w:type="pct"/>
            <w:vAlign w:val="center"/>
          </w:tcPr>
          <w:p w14:paraId="6A5B0DF1">
            <w:pPr>
              <w:pStyle w:val="196"/>
            </w:pPr>
            <w:r>
              <w:rPr>
                <w:rFonts w:hint="eastAsia"/>
              </w:rPr>
              <w:t>30</w:t>
            </w:r>
          </w:p>
        </w:tc>
        <w:tc>
          <w:tcPr>
            <w:tcW w:w="698" w:type="pct"/>
            <w:vAlign w:val="center"/>
          </w:tcPr>
          <w:p w14:paraId="4232BC61">
            <w:pPr>
              <w:pStyle w:val="196"/>
            </w:pPr>
            <w:r>
              <w:rPr>
                <w:rFonts w:hint="eastAsia"/>
              </w:rPr>
              <w:t>25</w:t>
            </w:r>
          </w:p>
        </w:tc>
      </w:tr>
      <w:tr w14:paraId="2645A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36790DE5">
            <w:pPr>
              <w:pStyle w:val="196"/>
            </w:pPr>
            <w:r>
              <w:rPr>
                <w:rFonts w:hint="eastAsia"/>
              </w:rPr>
              <w:t>4</w:t>
            </w:r>
          </w:p>
        </w:tc>
        <w:tc>
          <w:tcPr>
            <w:tcW w:w="497" w:type="pct"/>
            <w:vMerge w:val="restart"/>
            <w:vAlign w:val="center"/>
          </w:tcPr>
          <w:p w14:paraId="5D16EDFF">
            <w:pPr>
              <w:pStyle w:val="196"/>
            </w:pPr>
            <w:r>
              <w:rPr>
                <w:rFonts w:hint="eastAsia"/>
              </w:rPr>
              <w:t>铅</w:t>
            </w:r>
          </w:p>
        </w:tc>
        <w:tc>
          <w:tcPr>
            <w:tcW w:w="831" w:type="pct"/>
            <w:vAlign w:val="center"/>
          </w:tcPr>
          <w:p w14:paraId="53B52760">
            <w:pPr>
              <w:pStyle w:val="196"/>
            </w:pPr>
            <w:r>
              <w:rPr>
                <w:rFonts w:hint="eastAsia"/>
              </w:rPr>
              <w:t>水田</w:t>
            </w:r>
          </w:p>
        </w:tc>
        <w:tc>
          <w:tcPr>
            <w:tcW w:w="832" w:type="pct"/>
            <w:vAlign w:val="center"/>
          </w:tcPr>
          <w:p w14:paraId="67B4829C">
            <w:pPr>
              <w:pStyle w:val="196"/>
            </w:pPr>
            <w:r>
              <w:rPr>
                <w:rFonts w:hint="eastAsia"/>
              </w:rPr>
              <w:t>80</w:t>
            </w:r>
          </w:p>
        </w:tc>
        <w:tc>
          <w:tcPr>
            <w:tcW w:w="831" w:type="pct"/>
            <w:vAlign w:val="center"/>
          </w:tcPr>
          <w:p w14:paraId="13039ABA">
            <w:pPr>
              <w:pStyle w:val="196"/>
            </w:pPr>
            <w:r>
              <w:rPr>
                <w:rFonts w:hint="eastAsia"/>
              </w:rPr>
              <w:t>100</w:t>
            </w:r>
          </w:p>
        </w:tc>
        <w:tc>
          <w:tcPr>
            <w:tcW w:w="912" w:type="pct"/>
            <w:vAlign w:val="center"/>
          </w:tcPr>
          <w:p w14:paraId="0C53954F">
            <w:pPr>
              <w:pStyle w:val="196"/>
            </w:pPr>
            <w:r>
              <w:rPr>
                <w:rFonts w:hint="eastAsia"/>
              </w:rPr>
              <w:t>140</w:t>
            </w:r>
          </w:p>
        </w:tc>
        <w:tc>
          <w:tcPr>
            <w:tcW w:w="698" w:type="pct"/>
            <w:vAlign w:val="center"/>
          </w:tcPr>
          <w:p w14:paraId="7D93B2F7">
            <w:pPr>
              <w:pStyle w:val="196"/>
            </w:pPr>
            <w:r>
              <w:rPr>
                <w:rFonts w:hint="eastAsia"/>
              </w:rPr>
              <w:t>240</w:t>
            </w:r>
          </w:p>
        </w:tc>
      </w:tr>
      <w:tr w14:paraId="15F50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85430FC">
            <w:pPr>
              <w:pStyle w:val="196"/>
            </w:pPr>
          </w:p>
        </w:tc>
        <w:tc>
          <w:tcPr>
            <w:tcW w:w="0" w:type="auto"/>
            <w:vMerge w:val="continue"/>
            <w:vAlign w:val="center"/>
          </w:tcPr>
          <w:p w14:paraId="30E8104F">
            <w:pPr>
              <w:pStyle w:val="196"/>
            </w:pPr>
          </w:p>
        </w:tc>
        <w:tc>
          <w:tcPr>
            <w:tcW w:w="831" w:type="pct"/>
            <w:vAlign w:val="center"/>
          </w:tcPr>
          <w:p w14:paraId="51C67B98">
            <w:pPr>
              <w:pStyle w:val="196"/>
            </w:pPr>
            <w:r>
              <w:rPr>
                <w:rFonts w:hint="eastAsia"/>
              </w:rPr>
              <w:t>其他</w:t>
            </w:r>
          </w:p>
        </w:tc>
        <w:tc>
          <w:tcPr>
            <w:tcW w:w="832" w:type="pct"/>
            <w:vAlign w:val="center"/>
          </w:tcPr>
          <w:p w14:paraId="46804857">
            <w:pPr>
              <w:pStyle w:val="196"/>
            </w:pPr>
            <w:r>
              <w:rPr>
                <w:rFonts w:hint="eastAsia"/>
              </w:rPr>
              <w:t>70</w:t>
            </w:r>
          </w:p>
        </w:tc>
        <w:tc>
          <w:tcPr>
            <w:tcW w:w="831" w:type="pct"/>
            <w:vAlign w:val="center"/>
          </w:tcPr>
          <w:p w14:paraId="42640E71">
            <w:pPr>
              <w:pStyle w:val="196"/>
            </w:pPr>
            <w:r>
              <w:rPr>
                <w:rFonts w:hint="eastAsia"/>
              </w:rPr>
              <w:t>90</w:t>
            </w:r>
          </w:p>
        </w:tc>
        <w:tc>
          <w:tcPr>
            <w:tcW w:w="912" w:type="pct"/>
            <w:vAlign w:val="center"/>
          </w:tcPr>
          <w:p w14:paraId="138AE0EA">
            <w:pPr>
              <w:pStyle w:val="196"/>
            </w:pPr>
            <w:r>
              <w:rPr>
                <w:rFonts w:hint="eastAsia"/>
              </w:rPr>
              <w:t>120</w:t>
            </w:r>
          </w:p>
        </w:tc>
        <w:tc>
          <w:tcPr>
            <w:tcW w:w="698" w:type="pct"/>
            <w:vAlign w:val="center"/>
          </w:tcPr>
          <w:p w14:paraId="51E33F02">
            <w:pPr>
              <w:pStyle w:val="196"/>
            </w:pPr>
            <w:r>
              <w:rPr>
                <w:rFonts w:hint="eastAsia"/>
              </w:rPr>
              <w:t>170</w:t>
            </w:r>
          </w:p>
        </w:tc>
      </w:tr>
      <w:tr w14:paraId="3F5A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74FE2B86">
            <w:pPr>
              <w:pStyle w:val="196"/>
            </w:pPr>
            <w:r>
              <w:rPr>
                <w:rFonts w:hint="eastAsia"/>
              </w:rPr>
              <w:t>5</w:t>
            </w:r>
          </w:p>
        </w:tc>
        <w:tc>
          <w:tcPr>
            <w:tcW w:w="497" w:type="pct"/>
            <w:vMerge w:val="restart"/>
            <w:vAlign w:val="center"/>
          </w:tcPr>
          <w:p w14:paraId="55D8B9CD">
            <w:pPr>
              <w:pStyle w:val="196"/>
            </w:pPr>
            <w:r>
              <w:rPr>
                <w:rFonts w:hint="eastAsia"/>
              </w:rPr>
              <w:t>铬</w:t>
            </w:r>
          </w:p>
        </w:tc>
        <w:tc>
          <w:tcPr>
            <w:tcW w:w="831" w:type="pct"/>
            <w:vAlign w:val="center"/>
          </w:tcPr>
          <w:p w14:paraId="765CCCB4">
            <w:pPr>
              <w:pStyle w:val="196"/>
            </w:pPr>
            <w:r>
              <w:rPr>
                <w:rFonts w:hint="eastAsia"/>
              </w:rPr>
              <w:t>水田</w:t>
            </w:r>
          </w:p>
        </w:tc>
        <w:tc>
          <w:tcPr>
            <w:tcW w:w="832" w:type="pct"/>
            <w:vAlign w:val="center"/>
          </w:tcPr>
          <w:p w14:paraId="6126106C">
            <w:pPr>
              <w:pStyle w:val="196"/>
            </w:pPr>
            <w:r>
              <w:rPr>
                <w:rFonts w:hint="eastAsia"/>
              </w:rPr>
              <w:t>250</w:t>
            </w:r>
          </w:p>
        </w:tc>
        <w:tc>
          <w:tcPr>
            <w:tcW w:w="831" w:type="pct"/>
            <w:vAlign w:val="center"/>
          </w:tcPr>
          <w:p w14:paraId="0C50E2F8">
            <w:pPr>
              <w:pStyle w:val="196"/>
            </w:pPr>
            <w:r>
              <w:rPr>
                <w:rFonts w:hint="eastAsia"/>
              </w:rPr>
              <w:t>250</w:t>
            </w:r>
          </w:p>
        </w:tc>
        <w:tc>
          <w:tcPr>
            <w:tcW w:w="912" w:type="pct"/>
            <w:vAlign w:val="center"/>
          </w:tcPr>
          <w:p w14:paraId="161FEE82">
            <w:pPr>
              <w:pStyle w:val="196"/>
            </w:pPr>
            <w:r>
              <w:rPr>
                <w:rFonts w:hint="eastAsia"/>
              </w:rPr>
              <w:t>300</w:t>
            </w:r>
          </w:p>
        </w:tc>
        <w:tc>
          <w:tcPr>
            <w:tcW w:w="698" w:type="pct"/>
            <w:vAlign w:val="center"/>
          </w:tcPr>
          <w:p w14:paraId="620D9D5C">
            <w:pPr>
              <w:pStyle w:val="196"/>
            </w:pPr>
            <w:r>
              <w:rPr>
                <w:rFonts w:hint="eastAsia"/>
              </w:rPr>
              <w:t>350</w:t>
            </w:r>
          </w:p>
        </w:tc>
      </w:tr>
      <w:tr w14:paraId="1D2A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47B38EC">
            <w:pPr>
              <w:pStyle w:val="196"/>
            </w:pPr>
          </w:p>
        </w:tc>
        <w:tc>
          <w:tcPr>
            <w:tcW w:w="0" w:type="auto"/>
            <w:vMerge w:val="continue"/>
            <w:vAlign w:val="center"/>
          </w:tcPr>
          <w:p w14:paraId="56435F3E">
            <w:pPr>
              <w:pStyle w:val="196"/>
            </w:pPr>
          </w:p>
        </w:tc>
        <w:tc>
          <w:tcPr>
            <w:tcW w:w="831" w:type="pct"/>
            <w:vAlign w:val="center"/>
          </w:tcPr>
          <w:p w14:paraId="71A9BF7D">
            <w:pPr>
              <w:pStyle w:val="196"/>
            </w:pPr>
            <w:r>
              <w:rPr>
                <w:rFonts w:hint="eastAsia"/>
              </w:rPr>
              <w:t>其他</w:t>
            </w:r>
          </w:p>
        </w:tc>
        <w:tc>
          <w:tcPr>
            <w:tcW w:w="832" w:type="pct"/>
            <w:vAlign w:val="center"/>
          </w:tcPr>
          <w:p w14:paraId="182402D1">
            <w:pPr>
              <w:pStyle w:val="196"/>
            </w:pPr>
            <w:r>
              <w:rPr>
                <w:rFonts w:hint="eastAsia"/>
              </w:rPr>
              <w:t>150</w:t>
            </w:r>
          </w:p>
        </w:tc>
        <w:tc>
          <w:tcPr>
            <w:tcW w:w="831" w:type="pct"/>
            <w:vAlign w:val="center"/>
          </w:tcPr>
          <w:p w14:paraId="388CCEB0">
            <w:pPr>
              <w:pStyle w:val="196"/>
            </w:pPr>
            <w:r>
              <w:rPr>
                <w:rFonts w:hint="eastAsia"/>
              </w:rPr>
              <w:t>150</w:t>
            </w:r>
          </w:p>
        </w:tc>
        <w:tc>
          <w:tcPr>
            <w:tcW w:w="912" w:type="pct"/>
            <w:vAlign w:val="center"/>
          </w:tcPr>
          <w:p w14:paraId="0CE209B6">
            <w:pPr>
              <w:pStyle w:val="196"/>
            </w:pPr>
            <w:r>
              <w:rPr>
                <w:rFonts w:hint="eastAsia"/>
              </w:rPr>
              <w:t>200</w:t>
            </w:r>
          </w:p>
        </w:tc>
        <w:tc>
          <w:tcPr>
            <w:tcW w:w="698" w:type="pct"/>
            <w:vAlign w:val="center"/>
          </w:tcPr>
          <w:p w14:paraId="569B4170">
            <w:pPr>
              <w:pStyle w:val="196"/>
            </w:pPr>
            <w:r>
              <w:rPr>
                <w:rFonts w:hint="eastAsia"/>
              </w:rPr>
              <w:t>250</w:t>
            </w:r>
          </w:p>
        </w:tc>
      </w:tr>
      <w:tr w14:paraId="7151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Merge w:val="restart"/>
            <w:vAlign w:val="center"/>
          </w:tcPr>
          <w:p w14:paraId="7CCAA20F">
            <w:pPr>
              <w:pStyle w:val="196"/>
            </w:pPr>
            <w:r>
              <w:rPr>
                <w:rFonts w:hint="eastAsia"/>
              </w:rPr>
              <w:t>6</w:t>
            </w:r>
          </w:p>
        </w:tc>
        <w:tc>
          <w:tcPr>
            <w:tcW w:w="497" w:type="pct"/>
            <w:vMerge w:val="restart"/>
            <w:vAlign w:val="center"/>
          </w:tcPr>
          <w:p w14:paraId="04B81C47">
            <w:pPr>
              <w:pStyle w:val="196"/>
            </w:pPr>
            <w:r>
              <w:rPr>
                <w:rFonts w:hint="eastAsia"/>
              </w:rPr>
              <w:t>铜</w:t>
            </w:r>
          </w:p>
        </w:tc>
        <w:tc>
          <w:tcPr>
            <w:tcW w:w="831" w:type="pct"/>
            <w:vAlign w:val="center"/>
          </w:tcPr>
          <w:p w14:paraId="262188F7">
            <w:pPr>
              <w:pStyle w:val="196"/>
            </w:pPr>
            <w:r>
              <w:rPr>
                <w:rFonts w:hint="eastAsia"/>
              </w:rPr>
              <w:t>果园</w:t>
            </w:r>
          </w:p>
        </w:tc>
        <w:tc>
          <w:tcPr>
            <w:tcW w:w="832" w:type="pct"/>
            <w:vAlign w:val="center"/>
          </w:tcPr>
          <w:p w14:paraId="6F9035E8">
            <w:pPr>
              <w:pStyle w:val="196"/>
            </w:pPr>
            <w:r>
              <w:rPr>
                <w:rFonts w:hint="eastAsia"/>
              </w:rPr>
              <w:t>150</w:t>
            </w:r>
          </w:p>
        </w:tc>
        <w:tc>
          <w:tcPr>
            <w:tcW w:w="831" w:type="pct"/>
            <w:vAlign w:val="center"/>
          </w:tcPr>
          <w:p w14:paraId="0A70FEBE">
            <w:pPr>
              <w:pStyle w:val="196"/>
            </w:pPr>
            <w:r>
              <w:rPr>
                <w:rFonts w:hint="eastAsia"/>
              </w:rPr>
              <w:t>150</w:t>
            </w:r>
          </w:p>
        </w:tc>
        <w:tc>
          <w:tcPr>
            <w:tcW w:w="912" w:type="pct"/>
            <w:vAlign w:val="center"/>
          </w:tcPr>
          <w:p w14:paraId="2BE9836F">
            <w:pPr>
              <w:pStyle w:val="196"/>
            </w:pPr>
            <w:r>
              <w:rPr>
                <w:rFonts w:hint="eastAsia"/>
              </w:rPr>
              <w:t>200</w:t>
            </w:r>
          </w:p>
        </w:tc>
        <w:tc>
          <w:tcPr>
            <w:tcW w:w="698" w:type="pct"/>
            <w:vAlign w:val="center"/>
          </w:tcPr>
          <w:p w14:paraId="38640CF2">
            <w:pPr>
              <w:pStyle w:val="196"/>
            </w:pPr>
            <w:r>
              <w:rPr>
                <w:rFonts w:hint="eastAsia"/>
              </w:rPr>
              <w:t>200</w:t>
            </w:r>
          </w:p>
        </w:tc>
      </w:tr>
      <w:tr w14:paraId="0490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C0F45ED">
            <w:pPr>
              <w:pStyle w:val="196"/>
            </w:pPr>
          </w:p>
        </w:tc>
        <w:tc>
          <w:tcPr>
            <w:tcW w:w="0" w:type="auto"/>
            <w:vMerge w:val="continue"/>
            <w:vAlign w:val="center"/>
          </w:tcPr>
          <w:p w14:paraId="50FA6ABD">
            <w:pPr>
              <w:pStyle w:val="196"/>
            </w:pPr>
          </w:p>
        </w:tc>
        <w:tc>
          <w:tcPr>
            <w:tcW w:w="831" w:type="pct"/>
            <w:vAlign w:val="center"/>
          </w:tcPr>
          <w:p w14:paraId="31DDC61A">
            <w:pPr>
              <w:pStyle w:val="196"/>
            </w:pPr>
            <w:r>
              <w:rPr>
                <w:rFonts w:hint="eastAsia"/>
              </w:rPr>
              <w:t>其他</w:t>
            </w:r>
          </w:p>
        </w:tc>
        <w:tc>
          <w:tcPr>
            <w:tcW w:w="832" w:type="pct"/>
            <w:vAlign w:val="center"/>
          </w:tcPr>
          <w:p w14:paraId="2405AD70">
            <w:pPr>
              <w:pStyle w:val="196"/>
            </w:pPr>
            <w:r>
              <w:rPr>
                <w:rFonts w:hint="eastAsia"/>
              </w:rPr>
              <w:t>50</w:t>
            </w:r>
          </w:p>
        </w:tc>
        <w:tc>
          <w:tcPr>
            <w:tcW w:w="831" w:type="pct"/>
            <w:vAlign w:val="center"/>
          </w:tcPr>
          <w:p w14:paraId="08DB5AF0">
            <w:pPr>
              <w:pStyle w:val="196"/>
            </w:pPr>
            <w:r>
              <w:rPr>
                <w:rFonts w:hint="eastAsia"/>
              </w:rPr>
              <w:t>50</w:t>
            </w:r>
          </w:p>
        </w:tc>
        <w:tc>
          <w:tcPr>
            <w:tcW w:w="912" w:type="pct"/>
            <w:vAlign w:val="center"/>
          </w:tcPr>
          <w:p w14:paraId="623C53F8">
            <w:pPr>
              <w:pStyle w:val="196"/>
            </w:pPr>
            <w:r>
              <w:rPr>
                <w:rFonts w:hint="eastAsia"/>
              </w:rPr>
              <w:t>100</w:t>
            </w:r>
          </w:p>
        </w:tc>
        <w:tc>
          <w:tcPr>
            <w:tcW w:w="698" w:type="pct"/>
            <w:vAlign w:val="center"/>
          </w:tcPr>
          <w:p w14:paraId="3F6E466F">
            <w:pPr>
              <w:pStyle w:val="196"/>
            </w:pPr>
            <w:r>
              <w:rPr>
                <w:rFonts w:hint="eastAsia"/>
              </w:rPr>
              <w:t>100</w:t>
            </w:r>
          </w:p>
        </w:tc>
      </w:tr>
      <w:tr w14:paraId="06B0E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43498366">
            <w:pPr>
              <w:pStyle w:val="196"/>
            </w:pPr>
            <w:r>
              <w:rPr>
                <w:rFonts w:hint="eastAsia"/>
              </w:rPr>
              <w:t>7</w:t>
            </w:r>
          </w:p>
        </w:tc>
        <w:tc>
          <w:tcPr>
            <w:tcW w:w="1328" w:type="pct"/>
            <w:gridSpan w:val="2"/>
            <w:vAlign w:val="center"/>
          </w:tcPr>
          <w:p w14:paraId="7642C4AE">
            <w:pPr>
              <w:pStyle w:val="196"/>
            </w:pPr>
            <w:r>
              <w:rPr>
                <w:rFonts w:hint="eastAsia"/>
              </w:rPr>
              <w:t>镍</w:t>
            </w:r>
          </w:p>
        </w:tc>
        <w:tc>
          <w:tcPr>
            <w:tcW w:w="832" w:type="pct"/>
            <w:vAlign w:val="center"/>
          </w:tcPr>
          <w:p w14:paraId="7A80453D">
            <w:pPr>
              <w:pStyle w:val="196"/>
            </w:pPr>
            <w:r>
              <w:rPr>
                <w:rFonts w:hint="eastAsia"/>
              </w:rPr>
              <w:t>60</w:t>
            </w:r>
          </w:p>
        </w:tc>
        <w:tc>
          <w:tcPr>
            <w:tcW w:w="831" w:type="pct"/>
            <w:vAlign w:val="center"/>
          </w:tcPr>
          <w:p w14:paraId="25ED2315">
            <w:pPr>
              <w:pStyle w:val="196"/>
            </w:pPr>
            <w:r>
              <w:rPr>
                <w:rFonts w:hint="eastAsia"/>
              </w:rPr>
              <w:t>70</w:t>
            </w:r>
          </w:p>
        </w:tc>
        <w:tc>
          <w:tcPr>
            <w:tcW w:w="912" w:type="pct"/>
            <w:vAlign w:val="center"/>
          </w:tcPr>
          <w:p w14:paraId="1567A217">
            <w:pPr>
              <w:pStyle w:val="196"/>
            </w:pPr>
            <w:r>
              <w:rPr>
                <w:rFonts w:hint="eastAsia"/>
              </w:rPr>
              <w:t>100</w:t>
            </w:r>
          </w:p>
        </w:tc>
        <w:tc>
          <w:tcPr>
            <w:tcW w:w="698" w:type="pct"/>
            <w:vAlign w:val="center"/>
          </w:tcPr>
          <w:p w14:paraId="43C20E71">
            <w:pPr>
              <w:pStyle w:val="196"/>
            </w:pPr>
            <w:r>
              <w:rPr>
                <w:rFonts w:hint="eastAsia"/>
              </w:rPr>
              <w:t>190</w:t>
            </w:r>
          </w:p>
        </w:tc>
      </w:tr>
      <w:tr w14:paraId="05B8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pct"/>
            <w:vAlign w:val="center"/>
          </w:tcPr>
          <w:p w14:paraId="4B9454CB">
            <w:pPr>
              <w:pStyle w:val="196"/>
            </w:pPr>
            <w:r>
              <w:rPr>
                <w:rFonts w:hint="eastAsia"/>
              </w:rPr>
              <w:t>8</w:t>
            </w:r>
          </w:p>
        </w:tc>
        <w:tc>
          <w:tcPr>
            <w:tcW w:w="1328" w:type="pct"/>
            <w:gridSpan w:val="2"/>
            <w:vAlign w:val="center"/>
          </w:tcPr>
          <w:p w14:paraId="1485BA4D">
            <w:pPr>
              <w:pStyle w:val="196"/>
            </w:pPr>
            <w:r>
              <w:rPr>
                <w:rFonts w:hint="eastAsia"/>
              </w:rPr>
              <w:t>锌</w:t>
            </w:r>
          </w:p>
        </w:tc>
        <w:tc>
          <w:tcPr>
            <w:tcW w:w="832" w:type="pct"/>
            <w:vAlign w:val="center"/>
          </w:tcPr>
          <w:p w14:paraId="6948EB8B">
            <w:pPr>
              <w:pStyle w:val="196"/>
            </w:pPr>
            <w:r>
              <w:rPr>
                <w:rFonts w:hint="eastAsia"/>
              </w:rPr>
              <w:t>200</w:t>
            </w:r>
          </w:p>
        </w:tc>
        <w:tc>
          <w:tcPr>
            <w:tcW w:w="831" w:type="pct"/>
            <w:vAlign w:val="center"/>
          </w:tcPr>
          <w:p w14:paraId="2D812FF4">
            <w:pPr>
              <w:pStyle w:val="196"/>
            </w:pPr>
            <w:r>
              <w:rPr>
                <w:rFonts w:hint="eastAsia"/>
              </w:rPr>
              <w:t>200</w:t>
            </w:r>
          </w:p>
        </w:tc>
        <w:tc>
          <w:tcPr>
            <w:tcW w:w="912" w:type="pct"/>
            <w:vAlign w:val="center"/>
          </w:tcPr>
          <w:p w14:paraId="5019722A">
            <w:pPr>
              <w:pStyle w:val="196"/>
            </w:pPr>
            <w:r>
              <w:rPr>
                <w:rFonts w:hint="eastAsia"/>
              </w:rPr>
              <w:t>250</w:t>
            </w:r>
          </w:p>
        </w:tc>
        <w:tc>
          <w:tcPr>
            <w:tcW w:w="698" w:type="pct"/>
            <w:vAlign w:val="center"/>
          </w:tcPr>
          <w:p w14:paraId="7B3D9CE1">
            <w:pPr>
              <w:pStyle w:val="196"/>
            </w:pPr>
            <w:r>
              <w:rPr>
                <w:rFonts w:hint="eastAsia"/>
              </w:rPr>
              <w:t>300</w:t>
            </w:r>
          </w:p>
        </w:tc>
      </w:tr>
    </w:tbl>
    <w:p w14:paraId="37A092E9">
      <w:pPr>
        <w:pStyle w:val="86"/>
      </w:pPr>
      <w:bookmarkStart w:id="79" w:name="OLE_LINK26"/>
      <w:r>
        <w:rPr>
          <w:rFonts w:hint="eastAsia"/>
        </w:rPr>
        <w:t xml:space="preserve">土壤环境质量标准（试行）（GB36600-2018） </w:t>
      </w:r>
      <w:r>
        <w:rPr>
          <w:rFonts w:hint="eastAsia" w:hAnsi="宋体" w:cs="宋体"/>
          <w:kern w:val="0"/>
        </w:rPr>
        <w:t xml:space="preserve">   </w:t>
      </w:r>
      <w:r>
        <w:rPr>
          <w:rFonts w:hint="eastAsia"/>
        </w:rPr>
        <w:t>单位：mg/kg</w:t>
      </w:r>
    </w:p>
    <w:bookmarkEnd w:id="79"/>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5"/>
        <w:gridCol w:w="2140"/>
        <w:gridCol w:w="2656"/>
        <w:gridCol w:w="2026"/>
      </w:tblGrid>
      <w:tr w14:paraId="776F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1327" w:type="pct"/>
            <w:tcBorders>
              <w:top w:val="single" w:color="auto" w:sz="4" w:space="0"/>
              <w:left w:val="single" w:color="auto" w:sz="4" w:space="0"/>
              <w:bottom w:val="single" w:color="auto" w:sz="4" w:space="0"/>
              <w:right w:val="single" w:color="auto" w:sz="4" w:space="0"/>
            </w:tcBorders>
            <w:vAlign w:val="center"/>
          </w:tcPr>
          <w:p w14:paraId="2630BBAE">
            <w:pPr>
              <w:pStyle w:val="218"/>
              <w:rPr>
                <w:color w:val="auto"/>
              </w:rPr>
            </w:pPr>
            <w:r>
              <w:rPr>
                <w:rFonts w:hint="eastAsia"/>
                <w:color w:val="auto"/>
              </w:rPr>
              <w:t>项目</w:t>
            </w:r>
          </w:p>
        </w:tc>
        <w:tc>
          <w:tcPr>
            <w:tcW w:w="1152" w:type="pct"/>
            <w:tcBorders>
              <w:top w:val="single" w:color="auto" w:sz="4" w:space="0"/>
              <w:left w:val="single" w:color="auto" w:sz="4" w:space="0"/>
              <w:bottom w:val="single" w:color="auto" w:sz="4" w:space="0"/>
              <w:right w:val="single" w:color="auto" w:sz="4" w:space="0"/>
            </w:tcBorders>
            <w:vAlign w:val="center"/>
          </w:tcPr>
          <w:p w14:paraId="361265AD">
            <w:pPr>
              <w:pStyle w:val="218"/>
              <w:rPr>
                <w:color w:val="auto"/>
              </w:rPr>
            </w:pPr>
            <w:r>
              <w:rPr>
                <w:rFonts w:hint="eastAsia"/>
                <w:color w:val="auto"/>
              </w:rPr>
              <w:t>第二类用地筛选值</w:t>
            </w:r>
          </w:p>
        </w:tc>
        <w:tc>
          <w:tcPr>
            <w:tcW w:w="1430" w:type="pct"/>
            <w:tcBorders>
              <w:top w:val="single" w:color="auto" w:sz="4" w:space="0"/>
              <w:left w:val="single" w:color="auto" w:sz="4" w:space="0"/>
              <w:bottom w:val="single" w:color="auto" w:sz="4" w:space="0"/>
              <w:right w:val="single" w:color="auto" w:sz="4" w:space="0"/>
            </w:tcBorders>
            <w:vAlign w:val="center"/>
          </w:tcPr>
          <w:p w14:paraId="7AD38120">
            <w:pPr>
              <w:pStyle w:val="218"/>
              <w:rPr>
                <w:color w:val="auto"/>
              </w:rPr>
            </w:pPr>
            <w:r>
              <w:rPr>
                <w:rFonts w:hint="eastAsia"/>
                <w:color w:val="auto"/>
              </w:rPr>
              <w:t>项目</w:t>
            </w:r>
          </w:p>
        </w:tc>
        <w:tc>
          <w:tcPr>
            <w:tcW w:w="1091" w:type="pct"/>
            <w:tcBorders>
              <w:top w:val="single" w:color="auto" w:sz="4" w:space="0"/>
              <w:left w:val="single" w:color="auto" w:sz="4" w:space="0"/>
              <w:bottom w:val="single" w:color="auto" w:sz="4" w:space="0"/>
              <w:right w:val="single" w:color="auto" w:sz="4" w:space="0"/>
            </w:tcBorders>
            <w:vAlign w:val="center"/>
          </w:tcPr>
          <w:p w14:paraId="68329448">
            <w:pPr>
              <w:pStyle w:val="218"/>
              <w:rPr>
                <w:color w:val="auto"/>
              </w:rPr>
            </w:pPr>
            <w:r>
              <w:rPr>
                <w:rFonts w:hint="eastAsia"/>
                <w:color w:val="auto"/>
              </w:rPr>
              <w:t>第二类用地筛选值</w:t>
            </w:r>
          </w:p>
        </w:tc>
      </w:tr>
      <w:tr w14:paraId="073A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0D4AD5E2">
            <w:pPr>
              <w:pStyle w:val="218"/>
              <w:rPr>
                <w:rFonts w:cs="宋体"/>
                <w:color w:val="auto"/>
              </w:rPr>
            </w:pPr>
            <w:r>
              <w:rPr>
                <w:rFonts w:hint="eastAsia"/>
                <w:color w:val="auto"/>
              </w:rPr>
              <w:t>镉</w:t>
            </w:r>
          </w:p>
        </w:tc>
        <w:tc>
          <w:tcPr>
            <w:tcW w:w="1152" w:type="pct"/>
            <w:tcBorders>
              <w:top w:val="single" w:color="auto" w:sz="4" w:space="0"/>
              <w:left w:val="single" w:color="auto" w:sz="4" w:space="0"/>
              <w:bottom w:val="single" w:color="auto" w:sz="4" w:space="0"/>
              <w:right w:val="single" w:color="auto" w:sz="4" w:space="0"/>
            </w:tcBorders>
            <w:vAlign w:val="center"/>
          </w:tcPr>
          <w:p w14:paraId="0AFBF13B">
            <w:pPr>
              <w:pStyle w:val="218"/>
              <w:rPr>
                <w:color w:val="auto"/>
              </w:rPr>
            </w:pPr>
            <w:r>
              <w:rPr>
                <w:rFonts w:hint="eastAsia"/>
                <w:color w:val="auto"/>
              </w:rPr>
              <w:t>65</w:t>
            </w:r>
          </w:p>
        </w:tc>
        <w:tc>
          <w:tcPr>
            <w:tcW w:w="1430" w:type="pct"/>
            <w:tcBorders>
              <w:top w:val="single" w:color="auto" w:sz="4" w:space="0"/>
              <w:left w:val="single" w:color="auto" w:sz="4" w:space="0"/>
              <w:bottom w:val="single" w:color="auto" w:sz="4" w:space="0"/>
              <w:right w:val="single" w:color="auto" w:sz="4" w:space="0"/>
            </w:tcBorders>
            <w:vAlign w:val="center"/>
          </w:tcPr>
          <w:p w14:paraId="7E622BC3">
            <w:pPr>
              <w:pStyle w:val="218"/>
              <w:rPr>
                <w:color w:val="auto"/>
              </w:rPr>
            </w:pPr>
            <w:r>
              <w:rPr>
                <w:rFonts w:hint="eastAsia"/>
                <w:color w:val="auto"/>
              </w:rPr>
              <w:t>1,2,3-三氯丙烷</w:t>
            </w:r>
          </w:p>
        </w:tc>
        <w:tc>
          <w:tcPr>
            <w:tcW w:w="1091" w:type="pct"/>
            <w:tcBorders>
              <w:top w:val="single" w:color="auto" w:sz="4" w:space="0"/>
              <w:left w:val="single" w:color="auto" w:sz="4" w:space="0"/>
              <w:bottom w:val="single" w:color="auto" w:sz="4" w:space="0"/>
              <w:right w:val="single" w:color="auto" w:sz="4" w:space="0"/>
            </w:tcBorders>
            <w:vAlign w:val="center"/>
          </w:tcPr>
          <w:p w14:paraId="1735D50C">
            <w:pPr>
              <w:pStyle w:val="218"/>
              <w:rPr>
                <w:color w:val="auto"/>
              </w:rPr>
            </w:pPr>
            <w:r>
              <w:rPr>
                <w:rFonts w:hint="eastAsia"/>
                <w:color w:val="auto"/>
              </w:rPr>
              <w:t>0.5</w:t>
            </w:r>
          </w:p>
        </w:tc>
      </w:tr>
      <w:tr w14:paraId="2CC3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7BD2A0C0">
            <w:pPr>
              <w:pStyle w:val="218"/>
              <w:rPr>
                <w:rFonts w:cs="宋体"/>
                <w:color w:val="auto"/>
              </w:rPr>
            </w:pPr>
            <w:r>
              <w:rPr>
                <w:rFonts w:hint="eastAsia"/>
                <w:color w:val="auto"/>
              </w:rPr>
              <w:t>汞</w:t>
            </w:r>
          </w:p>
        </w:tc>
        <w:tc>
          <w:tcPr>
            <w:tcW w:w="1152" w:type="pct"/>
            <w:tcBorders>
              <w:top w:val="single" w:color="auto" w:sz="4" w:space="0"/>
              <w:left w:val="single" w:color="auto" w:sz="4" w:space="0"/>
              <w:bottom w:val="single" w:color="auto" w:sz="4" w:space="0"/>
              <w:right w:val="single" w:color="auto" w:sz="4" w:space="0"/>
            </w:tcBorders>
            <w:vAlign w:val="center"/>
          </w:tcPr>
          <w:p w14:paraId="5A6DED98">
            <w:pPr>
              <w:pStyle w:val="218"/>
              <w:rPr>
                <w:color w:val="auto"/>
              </w:rPr>
            </w:pPr>
            <w:r>
              <w:rPr>
                <w:rFonts w:hint="eastAsia"/>
                <w:color w:val="auto"/>
              </w:rPr>
              <w:t>38</w:t>
            </w:r>
          </w:p>
        </w:tc>
        <w:tc>
          <w:tcPr>
            <w:tcW w:w="1430" w:type="pct"/>
            <w:tcBorders>
              <w:top w:val="single" w:color="auto" w:sz="4" w:space="0"/>
              <w:left w:val="single" w:color="auto" w:sz="4" w:space="0"/>
              <w:bottom w:val="single" w:color="auto" w:sz="4" w:space="0"/>
              <w:right w:val="single" w:color="auto" w:sz="4" w:space="0"/>
            </w:tcBorders>
            <w:vAlign w:val="center"/>
          </w:tcPr>
          <w:p w14:paraId="4640C632">
            <w:pPr>
              <w:pStyle w:val="218"/>
              <w:rPr>
                <w:color w:val="auto"/>
              </w:rPr>
            </w:pPr>
            <w:r>
              <w:rPr>
                <w:rFonts w:hint="eastAsia"/>
                <w:color w:val="auto"/>
              </w:rPr>
              <w:t>氯乙烯</w:t>
            </w:r>
          </w:p>
        </w:tc>
        <w:tc>
          <w:tcPr>
            <w:tcW w:w="1091" w:type="pct"/>
            <w:tcBorders>
              <w:top w:val="single" w:color="auto" w:sz="4" w:space="0"/>
              <w:left w:val="single" w:color="auto" w:sz="4" w:space="0"/>
              <w:bottom w:val="single" w:color="auto" w:sz="4" w:space="0"/>
              <w:right w:val="single" w:color="auto" w:sz="4" w:space="0"/>
            </w:tcBorders>
            <w:vAlign w:val="center"/>
          </w:tcPr>
          <w:p w14:paraId="3E004E2C">
            <w:pPr>
              <w:pStyle w:val="218"/>
              <w:rPr>
                <w:color w:val="auto"/>
              </w:rPr>
            </w:pPr>
            <w:r>
              <w:rPr>
                <w:rFonts w:hint="eastAsia"/>
                <w:color w:val="auto"/>
              </w:rPr>
              <w:t>0.43</w:t>
            </w:r>
          </w:p>
        </w:tc>
      </w:tr>
      <w:tr w14:paraId="735B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6B7456BD">
            <w:pPr>
              <w:pStyle w:val="218"/>
              <w:rPr>
                <w:rFonts w:cs="宋体"/>
                <w:color w:val="auto"/>
              </w:rPr>
            </w:pPr>
            <w:r>
              <w:rPr>
                <w:rFonts w:hint="eastAsia"/>
                <w:color w:val="auto"/>
              </w:rPr>
              <w:t>砷</w:t>
            </w:r>
          </w:p>
        </w:tc>
        <w:tc>
          <w:tcPr>
            <w:tcW w:w="1152" w:type="pct"/>
            <w:tcBorders>
              <w:top w:val="single" w:color="auto" w:sz="4" w:space="0"/>
              <w:left w:val="single" w:color="auto" w:sz="4" w:space="0"/>
              <w:bottom w:val="single" w:color="auto" w:sz="4" w:space="0"/>
              <w:right w:val="single" w:color="auto" w:sz="4" w:space="0"/>
            </w:tcBorders>
            <w:vAlign w:val="center"/>
          </w:tcPr>
          <w:p w14:paraId="693087B8">
            <w:pPr>
              <w:pStyle w:val="218"/>
              <w:rPr>
                <w:color w:val="auto"/>
              </w:rPr>
            </w:pPr>
            <w:r>
              <w:rPr>
                <w:rFonts w:hint="eastAsia"/>
                <w:color w:val="auto"/>
              </w:rPr>
              <w:t>60</w:t>
            </w:r>
          </w:p>
        </w:tc>
        <w:tc>
          <w:tcPr>
            <w:tcW w:w="1430" w:type="pct"/>
            <w:tcBorders>
              <w:top w:val="single" w:color="auto" w:sz="4" w:space="0"/>
              <w:left w:val="single" w:color="auto" w:sz="4" w:space="0"/>
              <w:bottom w:val="single" w:color="auto" w:sz="4" w:space="0"/>
              <w:right w:val="single" w:color="auto" w:sz="4" w:space="0"/>
            </w:tcBorders>
            <w:vAlign w:val="center"/>
          </w:tcPr>
          <w:p w14:paraId="05D38FD0">
            <w:pPr>
              <w:pStyle w:val="218"/>
              <w:rPr>
                <w:color w:val="auto"/>
              </w:rPr>
            </w:pPr>
            <w:r>
              <w:rPr>
                <w:rFonts w:hint="eastAsia"/>
                <w:color w:val="auto"/>
              </w:rPr>
              <w:t>苯</w:t>
            </w:r>
          </w:p>
        </w:tc>
        <w:tc>
          <w:tcPr>
            <w:tcW w:w="1091" w:type="pct"/>
            <w:tcBorders>
              <w:top w:val="single" w:color="auto" w:sz="4" w:space="0"/>
              <w:left w:val="single" w:color="auto" w:sz="4" w:space="0"/>
              <w:bottom w:val="single" w:color="auto" w:sz="4" w:space="0"/>
              <w:right w:val="single" w:color="auto" w:sz="4" w:space="0"/>
            </w:tcBorders>
            <w:vAlign w:val="center"/>
          </w:tcPr>
          <w:p w14:paraId="2040DC9B">
            <w:pPr>
              <w:pStyle w:val="218"/>
              <w:rPr>
                <w:color w:val="auto"/>
              </w:rPr>
            </w:pPr>
            <w:r>
              <w:rPr>
                <w:rFonts w:hint="eastAsia"/>
                <w:color w:val="auto"/>
              </w:rPr>
              <w:t>4</w:t>
            </w:r>
          </w:p>
        </w:tc>
      </w:tr>
      <w:tr w14:paraId="6508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28092B50">
            <w:pPr>
              <w:pStyle w:val="218"/>
              <w:rPr>
                <w:rFonts w:cs="宋体"/>
                <w:color w:val="auto"/>
              </w:rPr>
            </w:pPr>
            <w:r>
              <w:rPr>
                <w:rFonts w:hint="eastAsia"/>
                <w:color w:val="auto"/>
              </w:rPr>
              <w:t>铜</w:t>
            </w:r>
          </w:p>
        </w:tc>
        <w:tc>
          <w:tcPr>
            <w:tcW w:w="1152" w:type="pct"/>
            <w:tcBorders>
              <w:top w:val="single" w:color="auto" w:sz="4" w:space="0"/>
              <w:left w:val="single" w:color="auto" w:sz="4" w:space="0"/>
              <w:bottom w:val="single" w:color="auto" w:sz="4" w:space="0"/>
              <w:right w:val="single" w:color="auto" w:sz="4" w:space="0"/>
            </w:tcBorders>
            <w:vAlign w:val="center"/>
          </w:tcPr>
          <w:p w14:paraId="02CF528A">
            <w:pPr>
              <w:pStyle w:val="218"/>
              <w:rPr>
                <w:color w:val="auto"/>
              </w:rPr>
            </w:pPr>
            <w:r>
              <w:rPr>
                <w:rFonts w:hint="eastAsia"/>
                <w:color w:val="auto"/>
              </w:rPr>
              <w:t>18000</w:t>
            </w:r>
          </w:p>
        </w:tc>
        <w:tc>
          <w:tcPr>
            <w:tcW w:w="1430" w:type="pct"/>
            <w:tcBorders>
              <w:top w:val="single" w:color="auto" w:sz="4" w:space="0"/>
              <w:left w:val="single" w:color="auto" w:sz="4" w:space="0"/>
              <w:bottom w:val="single" w:color="auto" w:sz="4" w:space="0"/>
              <w:right w:val="single" w:color="auto" w:sz="4" w:space="0"/>
            </w:tcBorders>
            <w:vAlign w:val="center"/>
          </w:tcPr>
          <w:p w14:paraId="669E2DA1">
            <w:pPr>
              <w:pStyle w:val="218"/>
              <w:rPr>
                <w:color w:val="auto"/>
              </w:rPr>
            </w:pPr>
            <w:r>
              <w:rPr>
                <w:rFonts w:hint="eastAsia"/>
                <w:color w:val="auto"/>
              </w:rPr>
              <w:t>氯苯</w:t>
            </w:r>
          </w:p>
        </w:tc>
        <w:tc>
          <w:tcPr>
            <w:tcW w:w="1091" w:type="pct"/>
            <w:tcBorders>
              <w:top w:val="single" w:color="auto" w:sz="4" w:space="0"/>
              <w:left w:val="single" w:color="auto" w:sz="4" w:space="0"/>
              <w:bottom w:val="single" w:color="auto" w:sz="4" w:space="0"/>
              <w:right w:val="single" w:color="auto" w:sz="4" w:space="0"/>
            </w:tcBorders>
            <w:vAlign w:val="center"/>
          </w:tcPr>
          <w:p w14:paraId="5D496DDA">
            <w:pPr>
              <w:pStyle w:val="218"/>
              <w:rPr>
                <w:color w:val="auto"/>
              </w:rPr>
            </w:pPr>
            <w:r>
              <w:rPr>
                <w:rFonts w:hint="eastAsia"/>
                <w:color w:val="auto"/>
              </w:rPr>
              <w:t>270</w:t>
            </w:r>
          </w:p>
        </w:tc>
      </w:tr>
      <w:tr w14:paraId="1BA8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0768E36C">
            <w:pPr>
              <w:pStyle w:val="218"/>
              <w:rPr>
                <w:rFonts w:cs="宋体"/>
                <w:color w:val="auto"/>
              </w:rPr>
            </w:pPr>
            <w:r>
              <w:rPr>
                <w:rFonts w:hint="eastAsia"/>
                <w:color w:val="auto"/>
              </w:rPr>
              <w:t>铅</w:t>
            </w:r>
          </w:p>
        </w:tc>
        <w:tc>
          <w:tcPr>
            <w:tcW w:w="1152" w:type="pct"/>
            <w:tcBorders>
              <w:top w:val="single" w:color="auto" w:sz="4" w:space="0"/>
              <w:left w:val="single" w:color="auto" w:sz="4" w:space="0"/>
              <w:bottom w:val="single" w:color="auto" w:sz="4" w:space="0"/>
              <w:right w:val="single" w:color="auto" w:sz="4" w:space="0"/>
            </w:tcBorders>
            <w:vAlign w:val="center"/>
          </w:tcPr>
          <w:p w14:paraId="5DE96074">
            <w:pPr>
              <w:pStyle w:val="218"/>
              <w:rPr>
                <w:color w:val="auto"/>
              </w:rPr>
            </w:pPr>
            <w:r>
              <w:rPr>
                <w:rFonts w:hint="eastAsia"/>
                <w:color w:val="auto"/>
              </w:rPr>
              <w:t>800</w:t>
            </w:r>
          </w:p>
        </w:tc>
        <w:tc>
          <w:tcPr>
            <w:tcW w:w="1430" w:type="pct"/>
            <w:tcBorders>
              <w:top w:val="single" w:color="auto" w:sz="4" w:space="0"/>
              <w:left w:val="single" w:color="auto" w:sz="4" w:space="0"/>
              <w:bottom w:val="single" w:color="auto" w:sz="4" w:space="0"/>
              <w:right w:val="single" w:color="auto" w:sz="4" w:space="0"/>
            </w:tcBorders>
            <w:vAlign w:val="center"/>
          </w:tcPr>
          <w:p w14:paraId="5D262126">
            <w:pPr>
              <w:pStyle w:val="218"/>
              <w:rPr>
                <w:color w:val="auto"/>
              </w:rPr>
            </w:pPr>
            <w:r>
              <w:rPr>
                <w:rFonts w:hint="eastAsia"/>
                <w:color w:val="auto"/>
              </w:rPr>
              <w:t>1,2-二氯苯</w:t>
            </w:r>
          </w:p>
        </w:tc>
        <w:tc>
          <w:tcPr>
            <w:tcW w:w="1091" w:type="pct"/>
            <w:tcBorders>
              <w:top w:val="single" w:color="auto" w:sz="4" w:space="0"/>
              <w:left w:val="single" w:color="auto" w:sz="4" w:space="0"/>
              <w:bottom w:val="single" w:color="auto" w:sz="4" w:space="0"/>
              <w:right w:val="single" w:color="auto" w:sz="4" w:space="0"/>
            </w:tcBorders>
            <w:vAlign w:val="center"/>
          </w:tcPr>
          <w:p w14:paraId="1AD294EF">
            <w:pPr>
              <w:pStyle w:val="218"/>
              <w:rPr>
                <w:color w:val="auto"/>
              </w:rPr>
            </w:pPr>
            <w:r>
              <w:rPr>
                <w:rFonts w:hint="eastAsia"/>
                <w:color w:val="auto"/>
              </w:rPr>
              <w:t>560</w:t>
            </w:r>
          </w:p>
        </w:tc>
      </w:tr>
      <w:tr w14:paraId="2C6C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253A7D7F">
            <w:pPr>
              <w:pStyle w:val="218"/>
              <w:rPr>
                <w:rFonts w:cs="宋体"/>
                <w:color w:val="auto"/>
              </w:rPr>
            </w:pPr>
            <w:r>
              <w:rPr>
                <w:rFonts w:hint="eastAsia"/>
                <w:color w:val="auto"/>
              </w:rPr>
              <w:t>镍</w:t>
            </w:r>
          </w:p>
        </w:tc>
        <w:tc>
          <w:tcPr>
            <w:tcW w:w="1152" w:type="pct"/>
            <w:tcBorders>
              <w:top w:val="single" w:color="auto" w:sz="4" w:space="0"/>
              <w:left w:val="single" w:color="auto" w:sz="4" w:space="0"/>
              <w:bottom w:val="single" w:color="auto" w:sz="4" w:space="0"/>
              <w:right w:val="single" w:color="auto" w:sz="4" w:space="0"/>
            </w:tcBorders>
            <w:vAlign w:val="center"/>
          </w:tcPr>
          <w:p w14:paraId="4FED3013">
            <w:pPr>
              <w:pStyle w:val="218"/>
              <w:rPr>
                <w:color w:val="auto"/>
              </w:rPr>
            </w:pPr>
            <w:r>
              <w:rPr>
                <w:rFonts w:hint="eastAsia"/>
                <w:color w:val="auto"/>
              </w:rPr>
              <w:t>900</w:t>
            </w:r>
          </w:p>
        </w:tc>
        <w:tc>
          <w:tcPr>
            <w:tcW w:w="1430" w:type="pct"/>
            <w:tcBorders>
              <w:top w:val="single" w:color="auto" w:sz="4" w:space="0"/>
              <w:left w:val="single" w:color="auto" w:sz="4" w:space="0"/>
              <w:bottom w:val="single" w:color="auto" w:sz="4" w:space="0"/>
              <w:right w:val="single" w:color="auto" w:sz="4" w:space="0"/>
            </w:tcBorders>
            <w:vAlign w:val="center"/>
          </w:tcPr>
          <w:p w14:paraId="595A38EB">
            <w:pPr>
              <w:pStyle w:val="218"/>
              <w:rPr>
                <w:color w:val="auto"/>
              </w:rPr>
            </w:pPr>
            <w:r>
              <w:rPr>
                <w:rFonts w:hint="eastAsia"/>
                <w:color w:val="auto"/>
              </w:rPr>
              <w:t>1,4-二氯苯</w:t>
            </w:r>
          </w:p>
        </w:tc>
        <w:tc>
          <w:tcPr>
            <w:tcW w:w="1091" w:type="pct"/>
            <w:tcBorders>
              <w:top w:val="single" w:color="auto" w:sz="4" w:space="0"/>
              <w:left w:val="single" w:color="auto" w:sz="4" w:space="0"/>
              <w:bottom w:val="single" w:color="auto" w:sz="4" w:space="0"/>
              <w:right w:val="single" w:color="auto" w:sz="4" w:space="0"/>
            </w:tcBorders>
            <w:vAlign w:val="center"/>
          </w:tcPr>
          <w:p w14:paraId="75467E69">
            <w:pPr>
              <w:pStyle w:val="218"/>
              <w:rPr>
                <w:color w:val="auto"/>
              </w:rPr>
            </w:pPr>
            <w:r>
              <w:rPr>
                <w:rFonts w:hint="eastAsia"/>
                <w:color w:val="auto"/>
              </w:rPr>
              <w:t>20</w:t>
            </w:r>
          </w:p>
        </w:tc>
      </w:tr>
      <w:tr w14:paraId="1CCE7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5AEB1567">
            <w:pPr>
              <w:pStyle w:val="218"/>
              <w:rPr>
                <w:color w:val="auto"/>
              </w:rPr>
            </w:pPr>
            <w:r>
              <w:rPr>
                <w:rFonts w:hint="eastAsia"/>
                <w:color w:val="auto"/>
              </w:rPr>
              <w:t>六价铬</w:t>
            </w:r>
          </w:p>
        </w:tc>
        <w:tc>
          <w:tcPr>
            <w:tcW w:w="1152" w:type="pct"/>
            <w:tcBorders>
              <w:top w:val="single" w:color="auto" w:sz="4" w:space="0"/>
              <w:left w:val="single" w:color="auto" w:sz="4" w:space="0"/>
              <w:bottom w:val="single" w:color="auto" w:sz="4" w:space="0"/>
              <w:right w:val="single" w:color="auto" w:sz="4" w:space="0"/>
            </w:tcBorders>
            <w:vAlign w:val="center"/>
          </w:tcPr>
          <w:p w14:paraId="07A102EA">
            <w:pPr>
              <w:pStyle w:val="218"/>
              <w:rPr>
                <w:color w:val="auto"/>
              </w:rPr>
            </w:pPr>
            <w:r>
              <w:rPr>
                <w:rFonts w:hint="eastAsia"/>
                <w:color w:val="auto"/>
              </w:rPr>
              <w:t>5.7</w:t>
            </w:r>
          </w:p>
        </w:tc>
        <w:tc>
          <w:tcPr>
            <w:tcW w:w="1430" w:type="pct"/>
            <w:tcBorders>
              <w:top w:val="single" w:color="auto" w:sz="4" w:space="0"/>
              <w:left w:val="single" w:color="auto" w:sz="4" w:space="0"/>
              <w:bottom w:val="single" w:color="auto" w:sz="4" w:space="0"/>
              <w:right w:val="single" w:color="auto" w:sz="4" w:space="0"/>
            </w:tcBorders>
            <w:vAlign w:val="center"/>
          </w:tcPr>
          <w:p w14:paraId="46F96D1A">
            <w:pPr>
              <w:pStyle w:val="218"/>
              <w:rPr>
                <w:color w:val="auto"/>
              </w:rPr>
            </w:pPr>
            <w:r>
              <w:rPr>
                <w:rFonts w:hint="eastAsia"/>
                <w:color w:val="auto"/>
              </w:rPr>
              <w:t>乙苯</w:t>
            </w:r>
          </w:p>
        </w:tc>
        <w:tc>
          <w:tcPr>
            <w:tcW w:w="1091" w:type="pct"/>
            <w:tcBorders>
              <w:top w:val="single" w:color="auto" w:sz="4" w:space="0"/>
              <w:left w:val="single" w:color="auto" w:sz="4" w:space="0"/>
              <w:bottom w:val="single" w:color="auto" w:sz="4" w:space="0"/>
              <w:right w:val="single" w:color="auto" w:sz="4" w:space="0"/>
            </w:tcBorders>
            <w:vAlign w:val="center"/>
          </w:tcPr>
          <w:p w14:paraId="69DB4AB8">
            <w:pPr>
              <w:pStyle w:val="218"/>
              <w:rPr>
                <w:color w:val="auto"/>
              </w:rPr>
            </w:pPr>
            <w:r>
              <w:rPr>
                <w:rFonts w:hint="eastAsia"/>
                <w:color w:val="auto"/>
              </w:rPr>
              <w:t>28</w:t>
            </w:r>
          </w:p>
        </w:tc>
      </w:tr>
      <w:tr w14:paraId="3E3B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36E8E4FB">
            <w:pPr>
              <w:pStyle w:val="218"/>
              <w:rPr>
                <w:color w:val="auto"/>
              </w:rPr>
            </w:pPr>
            <w:r>
              <w:rPr>
                <w:rFonts w:hint="eastAsia"/>
                <w:color w:val="auto"/>
              </w:rPr>
              <w:t>四氯化碳</w:t>
            </w:r>
          </w:p>
        </w:tc>
        <w:tc>
          <w:tcPr>
            <w:tcW w:w="1152" w:type="pct"/>
            <w:tcBorders>
              <w:top w:val="single" w:color="auto" w:sz="4" w:space="0"/>
              <w:left w:val="single" w:color="auto" w:sz="4" w:space="0"/>
              <w:bottom w:val="single" w:color="auto" w:sz="4" w:space="0"/>
              <w:right w:val="single" w:color="auto" w:sz="4" w:space="0"/>
            </w:tcBorders>
            <w:vAlign w:val="center"/>
          </w:tcPr>
          <w:p w14:paraId="1FA54854">
            <w:pPr>
              <w:pStyle w:val="218"/>
              <w:rPr>
                <w:color w:val="auto"/>
              </w:rPr>
            </w:pPr>
            <w:r>
              <w:rPr>
                <w:rFonts w:hint="eastAsia"/>
                <w:color w:val="auto"/>
              </w:rPr>
              <w:t>2.8</w:t>
            </w:r>
          </w:p>
        </w:tc>
        <w:tc>
          <w:tcPr>
            <w:tcW w:w="1430" w:type="pct"/>
            <w:tcBorders>
              <w:top w:val="single" w:color="auto" w:sz="4" w:space="0"/>
              <w:left w:val="single" w:color="auto" w:sz="4" w:space="0"/>
              <w:bottom w:val="single" w:color="auto" w:sz="4" w:space="0"/>
              <w:right w:val="single" w:color="auto" w:sz="4" w:space="0"/>
            </w:tcBorders>
            <w:vAlign w:val="center"/>
          </w:tcPr>
          <w:p w14:paraId="22D47B82">
            <w:pPr>
              <w:pStyle w:val="218"/>
              <w:rPr>
                <w:color w:val="auto"/>
              </w:rPr>
            </w:pPr>
            <w:r>
              <w:rPr>
                <w:rFonts w:hint="eastAsia"/>
                <w:color w:val="auto"/>
              </w:rPr>
              <w:t>苯乙烯</w:t>
            </w:r>
          </w:p>
        </w:tc>
        <w:tc>
          <w:tcPr>
            <w:tcW w:w="1091" w:type="pct"/>
            <w:tcBorders>
              <w:top w:val="single" w:color="auto" w:sz="4" w:space="0"/>
              <w:left w:val="single" w:color="auto" w:sz="4" w:space="0"/>
              <w:bottom w:val="single" w:color="auto" w:sz="4" w:space="0"/>
              <w:right w:val="single" w:color="auto" w:sz="4" w:space="0"/>
            </w:tcBorders>
            <w:vAlign w:val="center"/>
          </w:tcPr>
          <w:p w14:paraId="4C92FE85">
            <w:pPr>
              <w:pStyle w:val="218"/>
              <w:rPr>
                <w:color w:val="auto"/>
              </w:rPr>
            </w:pPr>
            <w:r>
              <w:rPr>
                <w:rFonts w:hint="eastAsia"/>
                <w:color w:val="auto"/>
              </w:rPr>
              <w:t>1290</w:t>
            </w:r>
          </w:p>
        </w:tc>
      </w:tr>
      <w:tr w14:paraId="0ADE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7C97AF4F">
            <w:pPr>
              <w:pStyle w:val="218"/>
              <w:rPr>
                <w:color w:val="auto"/>
              </w:rPr>
            </w:pPr>
            <w:r>
              <w:rPr>
                <w:rFonts w:hint="eastAsia"/>
                <w:color w:val="auto"/>
              </w:rPr>
              <w:t>氯仿</w:t>
            </w:r>
          </w:p>
        </w:tc>
        <w:tc>
          <w:tcPr>
            <w:tcW w:w="1152" w:type="pct"/>
            <w:tcBorders>
              <w:top w:val="single" w:color="auto" w:sz="4" w:space="0"/>
              <w:left w:val="single" w:color="auto" w:sz="4" w:space="0"/>
              <w:bottom w:val="single" w:color="auto" w:sz="4" w:space="0"/>
              <w:right w:val="single" w:color="auto" w:sz="4" w:space="0"/>
            </w:tcBorders>
            <w:vAlign w:val="center"/>
          </w:tcPr>
          <w:p w14:paraId="622D68ED">
            <w:pPr>
              <w:pStyle w:val="218"/>
              <w:rPr>
                <w:color w:val="auto"/>
              </w:rPr>
            </w:pPr>
            <w:r>
              <w:rPr>
                <w:rFonts w:hint="eastAsia"/>
                <w:color w:val="auto"/>
              </w:rPr>
              <w:t>0.9</w:t>
            </w:r>
          </w:p>
        </w:tc>
        <w:tc>
          <w:tcPr>
            <w:tcW w:w="1430" w:type="pct"/>
            <w:tcBorders>
              <w:top w:val="single" w:color="auto" w:sz="4" w:space="0"/>
              <w:left w:val="single" w:color="auto" w:sz="4" w:space="0"/>
              <w:bottom w:val="single" w:color="auto" w:sz="4" w:space="0"/>
              <w:right w:val="single" w:color="auto" w:sz="4" w:space="0"/>
            </w:tcBorders>
            <w:vAlign w:val="center"/>
          </w:tcPr>
          <w:p w14:paraId="031F366D">
            <w:pPr>
              <w:pStyle w:val="218"/>
              <w:rPr>
                <w:color w:val="auto"/>
              </w:rPr>
            </w:pPr>
            <w:r>
              <w:rPr>
                <w:rFonts w:hint="eastAsia"/>
                <w:color w:val="auto"/>
              </w:rPr>
              <w:t>甲苯</w:t>
            </w:r>
          </w:p>
        </w:tc>
        <w:tc>
          <w:tcPr>
            <w:tcW w:w="1091" w:type="pct"/>
            <w:tcBorders>
              <w:top w:val="single" w:color="auto" w:sz="4" w:space="0"/>
              <w:left w:val="single" w:color="auto" w:sz="4" w:space="0"/>
              <w:bottom w:val="single" w:color="auto" w:sz="4" w:space="0"/>
              <w:right w:val="single" w:color="auto" w:sz="4" w:space="0"/>
            </w:tcBorders>
            <w:vAlign w:val="center"/>
          </w:tcPr>
          <w:p w14:paraId="5F779D68">
            <w:pPr>
              <w:pStyle w:val="218"/>
              <w:rPr>
                <w:color w:val="auto"/>
              </w:rPr>
            </w:pPr>
            <w:r>
              <w:rPr>
                <w:rFonts w:hint="eastAsia"/>
                <w:color w:val="auto"/>
              </w:rPr>
              <w:t>1200</w:t>
            </w:r>
          </w:p>
        </w:tc>
      </w:tr>
      <w:tr w14:paraId="148E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15D17CE7">
            <w:pPr>
              <w:pStyle w:val="218"/>
              <w:rPr>
                <w:color w:val="auto"/>
              </w:rPr>
            </w:pPr>
            <w:r>
              <w:rPr>
                <w:rFonts w:hint="eastAsia"/>
                <w:color w:val="auto"/>
              </w:rPr>
              <w:t>氯甲烷</w:t>
            </w:r>
          </w:p>
        </w:tc>
        <w:tc>
          <w:tcPr>
            <w:tcW w:w="1152" w:type="pct"/>
            <w:tcBorders>
              <w:top w:val="single" w:color="auto" w:sz="4" w:space="0"/>
              <w:left w:val="single" w:color="auto" w:sz="4" w:space="0"/>
              <w:bottom w:val="single" w:color="auto" w:sz="4" w:space="0"/>
              <w:right w:val="single" w:color="auto" w:sz="4" w:space="0"/>
            </w:tcBorders>
            <w:vAlign w:val="center"/>
          </w:tcPr>
          <w:p w14:paraId="20B1651D">
            <w:pPr>
              <w:pStyle w:val="218"/>
              <w:rPr>
                <w:color w:val="auto"/>
              </w:rPr>
            </w:pPr>
            <w:r>
              <w:rPr>
                <w:rFonts w:hint="eastAsia"/>
                <w:color w:val="auto"/>
              </w:rPr>
              <w:t>37</w:t>
            </w:r>
          </w:p>
        </w:tc>
        <w:tc>
          <w:tcPr>
            <w:tcW w:w="1430" w:type="pct"/>
            <w:tcBorders>
              <w:top w:val="single" w:color="auto" w:sz="4" w:space="0"/>
              <w:left w:val="single" w:color="auto" w:sz="4" w:space="0"/>
              <w:bottom w:val="single" w:color="auto" w:sz="4" w:space="0"/>
              <w:right w:val="single" w:color="auto" w:sz="4" w:space="0"/>
            </w:tcBorders>
            <w:vAlign w:val="center"/>
          </w:tcPr>
          <w:p w14:paraId="5080D00B">
            <w:pPr>
              <w:pStyle w:val="218"/>
              <w:rPr>
                <w:color w:val="auto"/>
              </w:rPr>
            </w:pPr>
            <w:r>
              <w:rPr>
                <w:rFonts w:hint="eastAsia"/>
                <w:color w:val="auto"/>
              </w:rPr>
              <w:t>间二甲苯+对二甲苯</w:t>
            </w:r>
          </w:p>
        </w:tc>
        <w:tc>
          <w:tcPr>
            <w:tcW w:w="1091" w:type="pct"/>
            <w:tcBorders>
              <w:top w:val="single" w:color="auto" w:sz="4" w:space="0"/>
              <w:left w:val="single" w:color="auto" w:sz="4" w:space="0"/>
              <w:bottom w:val="single" w:color="auto" w:sz="4" w:space="0"/>
              <w:right w:val="single" w:color="auto" w:sz="4" w:space="0"/>
            </w:tcBorders>
            <w:vAlign w:val="center"/>
          </w:tcPr>
          <w:p w14:paraId="78BA0CE9">
            <w:pPr>
              <w:pStyle w:val="218"/>
              <w:rPr>
                <w:color w:val="auto"/>
              </w:rPr>
            </w:pPr>
            <w:r>
              <w:rPr>
                <w:rFonts w:hint="eastAsia"/>
                <w:color w:val="auto"/>
              </w:rPr>
              <w:t>570</w:t>
            </w:r>
          </w:p>
        </w:tc>
      </w:tr>
      <w:tr w14:paraId="2B820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2F8BD83D">
            <w:pPr>
              <w:pStyle w:val="218"/>
              <w:rPr>
                <w:color w:val="auto"/>
              </w:rPr>
            </w:pPr>
            <w:r>
              <w:rPr>
                <w:rFonts w:hint="eastAsia"/>
                <w:color w:val="auto"/>
              </w:rPr>
              <w:t>1,1-二氯乙烷</w:t>
            </w:r>
          </w:p>
        </w:tc>
        <w:tc>
          <w:tcPr>
            <w:tcW w:w="1152" w:type="pct"/>
            <w:tcBorders>
              <w:top w:val="single" w:color="auto" w:sz="4" w:space="0"/>
              <w:left w:val="single" w:color="auto" w:sz="4" w:space="0"/>
              <w:bottom w:val="single" w:color="auto" w:sz="4" w:space="0"/>
              <w:right w:val="single" w:color="auto" w:sz="4" w:space="0"/>
            </w:tcBorders>
            <w:vAlign w:val="center"/>
          </w:tcPr>
          <w:p w14:paraId="22F362BF">
            <w:pPr>
              <w:pStyle w:val="218"/>
              <w:rPr>
                <w:color w:val="auto"/>
              </w:rPr>
            </w:pPr>
            <w:r>
              <w:rPr>
                <w:rFonts w:hint="eastAsia"/>
                <w:color w:val="auto"/>
              </w:rPr>
              <w:t>9</w:t>
            </w:r>
          </w:p>
        </w:tc>
        <w:tc>
          <w:tcPr>
            <w:tcW w:w="1430" w:type="pct"/>
            <w:tcBorders>
              <w:top w:val="single" w:color="auto" w:sz="4" w:space="0"/>
              <w:left w:val="single" w:color="auto" w:sz="4" w:space="0"/>
              <w:bottom w:val="single" w:color="auto" w:sz="4" w:space="0"/>
              <w:right w:val="single" w:color="auto" w:sz="4" w:space="0"/>
            </w:tcBorders>
            <w:vAlign w:val="center"/>
          </w:tcPr>
          <w:p w14:paraId="6E1FF0E8">
            <w:pPr>
              <w:pStyle w:val="218"/>
              <w:rPr>
                <w:color w:val="auto"/>
              </w:rPr>
            </w:pPr>
            <w:r>
              <w:rPr>
                <w:rFonts w:hint="eastAsia"/>
                <w:color w:val="auto"/>
              </w:rPr>
              <w:t>邻二甲苯</w:t>
            </w:r>
          </w:p>
        </w:tc>
        <w:tc>
          <w:tcPr>
            <w:tcW w:w="1091" w:type="pct"/>
            <w:tcBorders>
              <w:top w:val="single" w:color="auto" w:sz="4" w:space="0"/>
              <w:left w:val="single" w:color="auto" w:sz="4" w:space="0"/>
              <w:bottom w:val="single" w:color="auto" w:sz="4" w:space="0"/>
              <w:right w:val="single" w:color="auto" w:sz="4" w:space="0"/>
            </w:tcBorders>
            <w:vAlign w:val="center"/>
          </w:tcPr>
          <w:p w14:paraId="5A69E4F9">
            <w:pPr>
              <w:pStyle w:val="218"/>
              <w:rPr>
                <w:color w:val="auto"/>
              </w:rPr>
            </w:pPr>
            <w:r>
              <w:rPr>
                <w:rFonts w:hint="eastAsia"/>
                <w:color w:val="auto"/>
              </w:rPr>
              <w:t>640</w:t>
            </w:r>
          </w:p>
        </w:tc>
      </w:tr>
      <w:tr w14:paraId="6575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36196EDE">
            <w:pPr>
              <w:pStyle w:val="218"/>
              <w:rPr>
                <w:color w:val="auto"/>
              </w:rPr>
            </w:pPr>
            <w:r>
              <w:rPr>
                <w:rFonts w:hint="eastAsia"/>
                <w:color w:val="auto"/>
              </w:rPr>
              <w:t>1,2-二氯乙烷</w:t>
            </w:r>
          </w:p>
        </w:tc>
        <w:tc>
          <w:tcPr>
            <w:tcW w:w="1152" w:type="pct"/>
            <w:tcBorders>
              <w:top w:val="single" w:color="auto" w:sz="4" w:space="0"/>
              <w:left w:val="single" w:color="auto" w:sz="4" w:space="0"/>
              <w:bottom w:val="single" w:color="auto" w:sz="4" w:space="0"/>
              <w:right w:val="single" w:color="auto" w:sz="4" w:space="0"/>
            </w:tcBorders>
            <w:vAlign w:val="center"/>
          </w:tcPr>
          <w:p w14:paraId="08BF080E">
            <w:pPr>
              <w:pStyle w:val="218"/>
              <w:rPr>
                <w:color w:val="auto"/>
              </w:rPr>
            </w:pPr>
            <w:r>
              <w:rPr>
                <w:rFonts w:hint="eastAsia"/>
                <w:color w:val="auto"/>
              </w:rPr>
              <w:t>5</w:t>
            </w:r>
          </w:p>
        </w:tc>
        <w:tc>
          <w:tcPr>
            <w:tcW w:w="1430" w:type="pct"/>
            <w:tcBorders>
              <w:top w:val="single" w:color="auto" w:sz="4" w:space="0"/>
              <w:left w:val="single" w:color="auto" w:sz="4" w:space="0"/>
              <w:bottom w:val="single" w:color="auto" w:sz="4" w:space="0"/>
              <w:right w:val="single" w:color="auto" w:sz="4" w:space="0"/>
            </w:tcBorders>
            <w:vAlign w:val="center"/>
          </w:tcPr>
          <w:p w14:paraId="23A4A68D">
            <w:pPr>
              <w:pStyle w:val="218"/>
              <w:rPr>
                <w:color w:val="auto"/>
              </w:rPr>
            </w:pPr>
            <w:r>
              <w:rPr>
                <w:rFonts w:hint="eastAsia"/>
                <w:color w:val="auto"/>
              </w:rPr>
              <w:t>硝基苯</w:t>
            </w:r>
          </w:p>
        </w:tc>
        <w:tc>
          <w:tcPr>
            <w:tcW w:w="1091" w:type="pct"/>
            <w:tcBorders>
              <w:top w:val="single" w:color="auto" w:sz="4" w:space="0"/>
              <w:left w:val="single" w:color="auto" w:sz="4" w:space="0"/>
              <w:bottom w:val="single" w:color="auto" w:sz="4" w:space="0"/>
              <w:right w:val="single" w:color="auto" w:sz="4" w:space="0"/>
            </w:tcBorders>
            <w:vAlign w:val="center"/>
          </w:tcPr>
          <w:p w14:paraId="7E96422A">
            <w:pPr>
              <w:pStyle w:val="218"/>
              <w:rPr>
                <w:color w:val="auto"/>
              </w:rPr>
            </w:pPr>
            <w:r>
              <w:rPr>
                <w:rFonts w:hint="eastAsia"/>
                <w:color w:val="auto"/>
              </w:rPr>
              <w:t>76</w:t>
            </w:r>
          </w:p>
        </w:tc>
      </w:tr>
      <w:tr w14:paraId="2AF9D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5F66ACA5">
            <w:pPr>
              <w:pStyle w:val="218"/>
              <w:rPr>
                <w:color w:val="auto"/>
              </w:rPr>
            </w:pPr>
            <w:r>
              <w:rPr>
                <w:rFonts w:hint="eastAsia"/>
                <w:color w:val="auto"/>
              </w:rPr>
              <w:t>1,1-二氯乙烯</w:t>
            </w:r>
          </w:p>
        </w:tc>
        <w:tc>
          <w:tcPr>
            <w:tcW w:w="1152" w:type="pct"/>
            <w:tcBorders>
              <w:top w:val="single" w:color="auto" w:sz="4" w:space="0"/>
              <w:left w:val="single" w:color="auto" w:sz="4" w:space="0"/>
              <w:bottom w:val="single" w:color="auto" w:sz="4" w:space="0"/>
              <w:right w:val="single" w:color="auto" w:sz="4" w:space="0"/>
            </w:tcBorders>
            <w:vAlign w:val="center"/>
          </w:tcPr>
          <w:p w14:paraId="00FA1601">
            <w:pPr>
              <w:pStyle w:val="218"/>
              <w:rPr>
                <w:color w:val="auto"/>
              </w:rPr>
            </w:pPr>
            <w:r>
              <w:rPr>
                <w:rFonts w:hint="eastAsia"/>
                <w:color w:val="auto"/>
              </w:rPr>
              <w:t>66</w:t>
            </w:r>
          </w:p>
        </w:tc>
        <w:tc>
          <w:tcPr>
            <w:tcW w:w="1430" w:type="pct"/>
            <w:tcBorders>
              <w:top w:val="single" w:color="auto" w:sz="4" w:space="0"/>
              <w:left w:val="single" w:color="auto" w:sz="4" w:space="0"/>
              <w:bottom w:val="single" w:color="auto" w:sz="4" w:space="0"/>
              <w:right w:val="single" w:color="auto" w:sz="4" w:space="0"/>
            </w:tcBorders>
            <w:vAlign w:val="center"/>
          </w:tcPr>
          <w:p w14:paraId="152AD299">
            <w:pPr>
              <w:pStyle w:val="218"/>
              <w:rPr>
                <w:color w:val="auto"/>
              </w:rPr>
            </w:pPr>
            <w:r>
              <w:rPr>
                <w:rFonts w:hint="eastAsia"/>
                <w:color w:val="auto"/>
              </w:rPr>
              <w:t>苯胺</w:t>
            </w:r>
          </w:p>
        </w:tc>
        <w:tc>
          <w:tcPr>
            <w:tcW w:w="1091" w:type="pct"/>
            <w:tcBorders>
              <w:top w:val="single" w:color="auto" w:sz="4" w:space="0"/>
              <w:left w:val="single" w:color="auto" w:sz="4" w:space="0"/>
              <w:bottom w:val="single" w:color="auto" w:sz="4" w:space="0"/>
              <w:right w:val="single" w:color="auto" w:sz="4" w:space="0"/>
            </w:tcBorders>
            <w:vAlign w:val="center"/>
          </w:tcPr>
          <w:p w14:paraId="26DDEDD5">
            <w:pPr>
              <w:pStyle w:val="218"/>
              <w:rPr>
                <w:color w:val="auto"/>
              </w:rPr>
            </w:pPr>
            <w:r>
              <w:rPr>
                <w:rFonts w:hint="eastAsia"/>
                <w:color w:val="auto"/>
              </w:rPr>
              <w:t>260</w:t>
            </w:r>
          </w:p>
        </w:tc>
      </w:tr>
      <w:tr w14:paraId="43BA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4DB3B8C1">
            <w:pPr>
              <w:pStyle w:val="218"/>
              <w:rPr>
                <w:color w:val="auto"/>
              </w:rPr>
            </w:pPr>
            <w:r>
              <w:rPr>
                <w:rFonts w:hint="eastAsia"/>
                <w:color w:val="auto"/>
              </w:rPr>
              <w:t>顺1,2-二氯乙烯</w:t>
            </w:r>
          </w:p>
        </w:tc>
        <w:tc>
          <w:tcPr>
            <w:tcW w:w="1152" w:type="pct"/>
            <w:tcBorders>
              <w:top w:val="single" w:color="auto" w:sz="4" w:space="0"/>
              <w:left w:val="single" w:color="auto" w:sz="4" w:space="0"/>
              <w:bottom w:val="single" w:color="auto" w:sz="4" w:space="0"/>
              <w:right w:val="single" w:color="auto" w:sz="4" w:space="0"/>
            </w:tcBorders>
            <w:vAlign w:val="center"/>
          </w:tcPr>
          <w:p w14:paraId="02C3A09E">
            <w:pPr>
              <w:pStyle w:val="218"/>
              <w:rPr>
                <w:color w:val="auto"/>
              </w:rPr>
            </w:pPr>
            <w:r>
              <w:rPr>
                <w:rFonts w:hint="eastAsia"/>
                <w:color w:val="auto"/>
              </w:rPr>
              <w:t>596</w:t>
            </w:r>
          </w:p>
        </w:tc>
        <w:tc>
          <w:tcPr>
            <w:tcW w:w="1430" w:type="pct"/>
            <w:tcBorders>
              <w:top w:val="single" w:color="auto" w:sz="4" w:space="0"/>
              <w:left w:val="single" w:color="auto" w:sz="4" w:space="0"/>
              <w:bottom w:val="single" w:color="auto" w:sz="4" w:space="0"/>
              <w:right w:val="single" w:color="auto" w:sz="4" w:space="0"/>
            </w:tcBorders>
            <w:vAlign w:val="center"/>
          </w:tcPr>
          <w:p w14:paraId="25F576C3">
            <w:pPr>
              <w:pStyle w:val="218"/>
              <w:rPr>
                <w:color w:val="auto"/>
              </w:rPr>
            </w:pPr>
            <w:r>
              <w:rPr>
                <w:rFonts w:hint="eastAsia"/>
                <w:color w:val="auto"/>
              </w:rPr>
              <w:t>2-氯酚</w:t>
            </w:r>
          </w:p>
        </w:tc>
        <w:tc>
          <w:tcPr>
            <w:tcW w:w="1091" w:type="pct"/>
            <w:tcBorders>
              <w:top w:val="single" w:color="auto" w:sz="4" w:space="0"/>
              <w:left w:val="single" w:color="auto" w:sz="4" w:space="0"/>
              <w:bottom w:val="single" w:color="auto" w:sz="4" w:space="0"/>
              <w:right w:val="single" w:color="auto" w:sz="4" w:space="0"/>
            </w:tcBorders>
            <w:vAlign w:val="center"/>
          </w:tcPr>
          <w:p w14:paraId="54D9D482">
            <w:pPr>
              <w:pStyle w:val="218"/>
              <w:rPr>
                <w:color w:val="auto"/>
              </w:rPr>
            </w:pPr>
            <w:r>
              <w:rPr>
                <w:rFonts w:hint="eastAsia"/>
                <w:color w:val="auto"/>
              </w:rPr>
              <w:t>2256</w:t>
            </w:r>
          </w:p>
        </w:tc>
      </w:tr>
      <w:tr w14:paraId="4736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5F7BECE6">
            <w:pPr>
              <w:pStyle w:val="218"/>
              <w:rPr>
                <w:color w:val="auto"/>
              </w:rPr>
            </w:pPr>
            <w:r>
              <w:rPr>
                <w:rFonts w:hint="eastAsia"/>
                <w:color w:val="auto"/>
              </w:rPr>
              <w:t>反1,2-二氯乙烯</w:t>
            </w:r>
          </w:p>
        </w:tc>
        <w:tc>
          <w:tcPr>
            <w:tcW w:w="1152" w:type="pct"/>
            <w:tcBorders>
              <w:top w:val="single" w:color="auto" w:sz="4" w:space="0"/>
              <w:left w:val="single" w:color="auto" w:sz="4" w:space="0"/>
              <w:bottom w:val="single" w:color="auto" w:sz="4" w:space="0"/>
              <w:right w:val="single" w:color="auto" w:sz="4" w:space="0"/>
            </w:tcBorders>
            <w:vAlign w:val="center"/>
          </w:tcPr>
          <w:p w14:paraId="303C0F31">
            <w:pPr>
              <w:pStyle w:val="218"/>
              <w:rPr>
                <w:color w:val="auto"/>
              </w:rPr>
            </w:pPr>
            <w:r>
              <w:rPr>
                <w:rFonts w:hint="eastAsia"/>
                <w:color w:val="auto"/>
              </w:rPr>
              <w:t>54</w:t>
            </w:r>
          </w:p>
        </w:tc>
        <w:tc>
          <w:tcPr>
            <w:tcW w:w="1430" w:type="pct"/>
            <w:tcBorders>
              <w:top w:val="single" w:color="auto" w:sz="4" w:space="0"/>
              <w:left w:val="single" w:color="auto" w:sz="4" w:space="0"/>
              <w:bottom w:val="single" w:color="auto" w:sz="4" w:space="0"/>
              <w:right w:val="single" w:color="auto" w:sz="4" w:space="0"/>
            </w:tcBorders>
            <w:vAlign w:val="center"/>
          </w:tcPr>
          <w:p w14:paraId="0B1FAA43">
            <w:pPr>
              <w:pStyle w:val="218"/>
              <w:rPr>
                <w:color w:val="auto"/>
              </w:rPr>
            </w:pPr>
            <w:r>
              <w:rPr>
                <w:rFonts w:hint="eastAsia"/>
                <w:color w:val="auto"/>
              </w:rPr>
              <w:t>苯并[a]蒽</w:t>
            </w:r>
          </w:p>
        </w:tc>
        <w:tc>
          <w:tcPr>
            <w:tcW w:w="1091" w:type="pct"/>
            <w:tcBorders>
              <w:top w:val="single" w:color="auto" w:sz="4" w:space="0"/>
              <w:left w:val="single" w:color="auto" w:sz="4" w:space="0"/>
              <w:bottom w:val="single" w:color="auto" w:sz="4" w:space="0"/>
              <w:right w:val="single" w:color="auto" w:sz="4" w:space="0"/>
            </w:tcBorders>
            <w:vAlign w:val="center"/>
          </w:tcPr>
          <w:p w14:paraId="58D38F8D">
            <w:pPr>
              <w:pStyle w:val="218"/>
              <w:rPr>
                <w:color w:val="auto"/>
              </w:rPr>
            </w:pPr>
            <w:r>
              <w:rPr>
                <w:rFonts w:hint="eastAsia"/>
                <w:color w:val="auto"/>
              </w:rPr>
              <w:t>15</w:t>
            </w:r>
          </w:p>
        </w:tc>
      </w:tr>
      <w:tr w14:paraId="1AEEF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20F31203">
            <w:pPr>
              <w:pStyle w:val="218"/>
              <w:rPr>
                <w:color w:val="auto"/>
              </w:rPr>
            </w:pPr>
            <w:r>
              <w:rPr>
                <w:rFonts w:hint="eastAsia"/>
                <w:color w:val="auto"/>
              </w:rPr>
              <w:t>二氯甲烷</w:t>
            </w:r>
          </w:p>
        </w:tc>
        <w:tc>
          <w:tcPr>
            <w:tcW w:w="1152" w:type="pct"/>
            <w:tcBorders>
              <w:top w:val="single" w:color="auto" w:sz="4" w:space="0"/>
              <w:left w:val="single" w:color="auto" w:sz="4" w:space="0"/>
              <w:bottom w:val="single" w:color="auto" w:sz="4" w:space="0"/>
              <w:right w:val="single" w:color="auto" w:sz="4" w:space="0"/>
            </w:tcBorders>
            <w:vAlign w:val="center"/>
          </w:tcPr>
          <w:p w14:paraId="2806CD44">
            <w:pPr>
              <w:pStyle w:val="218"/>
              <w:rPr>
                <w:color w:val="auto"/>
              </w:rPr>
            </w:pPr>
            <w:r>
              <w:rPr>
                <w:rFonts w:hint="eastAsia"/>
                <w:color w:val="auto"/>
              </w:rPr>
              <w:t>616</w:t>
            </w:r>
          </w:p>
        </w:tc>
        <w:tc>
          <w:tcPr>
            <w:tcW w:w="1430" w:type="pct"/>
            <w:tcBorders>
              <w:top w:val="single" w:color="auto" w:sz="4" w:space="0"/>
              <w:left w:val="single" w:color="auto" w:sz="4" w:space="0"/>
              <w:bottom w:val="single" w:color="auto" w:sz="4" w:space="0"/>
              <w:right w:val="single" w:color="auto" w:sz="4" w:space="0"/>
            </w:tcBorders>
            <w:vAlign w:val="center"/>
          </w:tcPr>
          <w:p w14:paraId="27FD6AD1">
            <w:pPr>
              <w:pStyle w:val="218"/>
              <w:rPr>
                <w:color w:val="auto"/>
              </w:rPr>
            </w:pPr>
            <w:r>
              <w:rPr>
                <w:rFonts w:hint="eastAsia"/>
                <w:color w:val="auto"/>
              </w:rPr>
              <w:t>苯并[a]芘</w:t>
            </w:r>
          </w:p>
        </w:tc>
        <w:tc>
          <w:tcPr>
            <w:tcW w:w="1091" w:type="pct"/>
            <w:tcBorders>
              <w:top w:val="single" w:color="auto" w:sz="4" w:space="0"/>
              <w:left w:val="single" w:color="auto" w:sz="4" w:space="0"/>
              <w:bottom w:val="single" w:color="auto" w:sz="4" w:space="0"/>
              <w:right w:val="single" w:color="auto" w:sz="4" w:space="0"/>
            </w:tcBorders>
            <w:vAlign w:val="center"/>
          </w:tcPr>
          <w:p w14:paraId="3FF7A7D9">
            <w:pPr>
              <w:pStyle w:val="218"/>
              <w:rPr>
                <w:color w:val="auto"/>
              </w:rPr>
            </w:pPr>
            <w:r>
              <w:rPr>
                <w:rFonts w:hint="eastAsia"/>
                <w:color w:val="auto"/>
              </w:rPr>
              <w:t>1.5</w:t>
            </w:r>
          </w:p>
        </w:tc>
      </w:tr>
      <w:tr w14:paraId="239E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5C170267">
            <w:pPr>
              <w:pStyle w:val="218"/>
              <w:rPr>
                <w:color w:val="auto"/>
              </w:rPr>
            </w:pPr>
            <w:r>
              <w:rPr>
                <w:rFonts w:hint="eastAsia"/>
                <w:color w:val="auto"/>
              </w:rPr>
              <w:t>1,2-二氯丙烷</w:t>
            </w:r>
          </w:p>
        </w:tc>
        <w:tc>
          <w:tcPr>
            <w:tcW w:w="1152" w:type="pct"/>
            <w:tcBorders>
              <w:top w:val="single" w:color="auto" w:sz="4" w:space="0"/>
              <w:left w:val="single" w:color="auto" w:sz="4" w:space="0"/>
              <w:bottom w:val="single" w:color="auto" w:sz="4" w:space="0"/>
              <w:right w:val="single" w:color="auto" w:sz="4" w:space="0"/>
            </w:tcBorders>
            <w:vAlign w:val="center"/>
          </w:tcPr>
          <w:p w14:paraId="79C40068">
            <w:pPr>
              <w:pStyle w:val="218"/>
              <w:rPr>
                <w:color w:val="auto"/>
              </w:rPr>
            </w:pPr>
            <w:r>
              <w:rPr>
                <w:rFonts w:hint="eastAsia"/>
                <w:color w:val="auto"/>
              </w:rPr>
              <w:t>5</w:t>
            </w:r>
          </w:p>
        </w:tc>
        <w:tc>
          <w:tcPr>
            <w:tcW w:w="1430" w:type="pct"/>
            <w:tcBorders>
              <w:top w:val="single" w:color="auto" w:sz="4" w:space="0"/>
              <w:left w:val="single" w:color="auto" w:sz="4" w:space="0"/>
              <w:bottom w:val="single" w:color="auto" w:sz="4" w:space="0"/>
              <w:right w:val="single" w:color="auto" w:sz="4" w:space="0"/>
            </w:tcBorders>
            <w:vAlign w:val="center"/>
          </w:tcPr>
          <w:p w14:paraId="6F50918F">
            <w:pPr>
              <w:pStyle w:val="218"/>
              <w:rPr>
                <w:color w:val="auto"/>
              </w:rPr>
            </w:pPr>
            <w:r>
              <w:rPr>
                <w:rFonts w:hint="eastAsia"/>
                <w:color w:val="auto"/>
              </w:rPr>
              <w:t>苯并[b]荧蒽</w:t>
            </w:r>
          </w:p>
        </w:tc>
        <w:tc>
          <w:tcPr>
            <w:tcW w:w="1091" w:type="pct"/>
            <w:tcBorders>
              <w:top w:val="single" w:color="auto" w:sz="4" w:space="0"/>
              <w:left w:val="single" w:color="auto" w:sz="4" w:space="0"/>
              <w:bottom w:val="single" w:color="auto" w:sz="4" w:space="0"/>
              <w:right w:val="single" w:color="auto" w:sz="4" w:space="0"/>
            </w:tcBorders>
            <w:vAlign w:val="center"/>
          </w:tcPr>
          <w:p w14:paraId="00ED1DDA">
            <w:pPr>
              <w:pStyle w:val="218"/>
              <w:rPr>
                <w:color w:val="auto"/>
              </w:rPr>
            </w:pPr>
            <w:r>
              <w:rPr>
                <w:rFonts w:hint="eastAsia"/>
                <w:color w:val="auto"/>
              </w:rPr>
              <w:t>15</w:t>
            </w:r>
          </w:p>
        </w:tc>
      </w:tr>
      <w:tr w14:paraId="69E0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240D6D6F">
            <w:pPr>
              <w:pStyle w:val="218"/>
              <w:rPr>
                <w:color w:val="auto"/>
              </w:rPr>
            </w:pPr>
            <w:r>
              <w:rPr>
                <w:rFonts w:hint="eastAsia"/>
                <w:color w:val="auto"/>
              </w:rPr>
              <w:t>1,1,1,2-四氯乙烷</w:t>
            </w:r>
          </w:p>
        </w:tc>
        <w:tc>
          <w:tcPr>
            <w:tcW w:w="1152" w:type="pct"/>
            <w:tcBorders>
              <w:top w:val="single" w:color="auto" w:sz="4" w:space="0"/>
              <w:left w:val="single" w:color="auto" w:sz="4" w:space="0"/>
              <w:bottom w:val="single" w:color="auto" w:sz="4" w:space="0"/>
              <w:right w:val="single" w:color="auto" w:sz="4" w:space="0"/>
            </w:tcBorders>
            <w:vAlign w:val="center"/>
          </w:tcPr>
          <w:p w14:paraId="322BF80E">
            <w:pPr>
              <w:pStyle w:val="218"/>
              <w:rPr>
                <w:color w:val="auto"/>
              </w:rPr>
            </w:pPr>
            <w:r>
              <w:rPr>
                <w:rFonts w:hint="eastAsia"/>
                <w:color w:val="auto"/>
              </w:rPr>
              <w:t>10</w:t>
            </w:r>
          </w:p>
        </w:tc>
        <w:tc>
          <w:tcPr>
            <w:tcW w:w="1430" w:type="pct"/>
            <w:tcBorders>
              <w:top w:val="single" w:color="auto" w:sz="4" w:space="0"/>
              <w:left w:val="single" w:color="auto" w:sz="4" w:space="0"/>
              <w:bottom w:val="single" w:color="auto" w:sz="4" w:space="0"/>
              <w:right w:val="single" w:color="auto" w:sz="4" w:space="0"/>
            </w:tcBorders>
            <w:vAlign w:val="center"/>
          </w:tcPr>
          <w:p w14:paraId="5BD8002C">
            <w:pPr>
              <w:pStyle w:val="218"/>
              <w:rPr>
                <w:color w:val="auto"/>
              </w:rPr>
            </w:pPr>
            <w:r>
              <w:rPr>
                <w:rFonts w:hint="eastAsia"/>
                <w:color w:val="auto"/>
              </w:rPr>
              <w:t>苯并[k]荧蒽</w:t>
            </w:r>
          </w:p>
        </w:tc>
        <w:tc>
          <w:tcPr>
            <w:tcW w:w="1091" w:type="pct"/>
            <w:tcBorders>
              <w:top w:val="single" w:color="auto" w:sz="4" w:space="0"/>
              <w:left w:val="single" w:color="auto" w:sz="4" w:space="0"/>
              <w:bottom w:val="single" w:color="auto" w:sz="4" w:space="0"/>
              <w:right w:val="single" w:color="auto" w:sz="4" w:space="0"/>
            </w:tcBorders>
            <w:vAlign w:val="center"/>
          </w:tcPr>
          <w:p w14:paraId="088B7A55">
            <w:pPr>
              <w:pStyle w:val="218"/>
              <w:rPr>
                <w:color w:val="auto"/>
              </w:rPr>
            </w:pPr>
            <w:r>
              <w:rPr>
                <w:rFonts w:hint="eastAsia"/>
                <w:color w:val="auto"/>
              </w:rPr>
              <w:t>151</w:t>
            </w:r>
          </w:p>
        </w:tc>
      </w:tr>
      <w:tr w14:paraId="4A71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6E001511">
            <w:pPr>
              <w:pStyle w:val="218"/>
              <w:rPr>
                <w:color w:val="auto"/>
              </w:rPr>
            </w:pPr>
            <w:r>
              <w:rPr>
                <w:rFonts w:hint="eastAsia"/>
                <w:color w:val="auto"/>
              </w:rPr>
              <w:t>1,1,2,2-四氯乙烷</w:t>
            </w:r>
          </w:p>
        </w:tc>
        <w:tc>
          <w:tcPr>
            <w:tcW w:w="1152" w:type="pct"/>
            <w:tcBorders>
              <w:top w:val="single" w:color="auto" w:sz="4" w:space="0"/>
              <w:left w:val="single" w:color="auto" w:sz="4" w:space="0"/>
              <w:bottom w:val="single" w:color="auto" w:sz="4" w:space="0"/>
              <w:right w:val="single" w:color="auto" w:sz="4" w:space="0"/>
            </w:tcBorders>
            <w:vAlign w:val="center"/>
          </w:tcPr>
          <w:p w14:paraId="143510AF">
            <w:pPr>
              <w:pStyle w:val="218"/>
              <w:rPr>
                <w:color w:val="auto"/>
              </w:rPr>
            </w:pPr>
            <w:r>
              <w:rPr>
                <w:rFonts w:hint="eastAsia"/>
                <w:color w:val="auto"/>
              </w:rPr>
              <w:t>6.8</w:t>
            </w:r>
          </w:p>
        </w:tc>
        <w:tc>
          <w:tcPr>
            <w:tcW w:w="1430" w:type="pct"/>
            <w:tcBorders>
              <w:top w:val="single" w:color="auto" w:sz="4" w:space="0"/>
              <w:left w:val="single" w:color="auto" w:sz="4" w:space="0"/>
              <w:bottom w:val="single" w:color="auto" w:sz="4" w:space="0"/>
              <w:right w:val="single" w:color="auto" w:sz="4" w:space="0"/>
            </w:tcBorders>
            <w:vAlign w:val="center"/>
          </w:tcPr>
          <w:p w14:paraId="52CDC571">
            <w:pPr>
              <w:pStyle w:val="218"/>
              <w:rPr>
                <w:color w:val="auto"/>
              </w:rPr>
            </w:pPr>
            <w:r>
              <w:rPr>
                <w:rFonts w:hint="eastAsia"/>
                <w:color w:val="auto"/>
              </w:rPr>
              <w:t>䓛</w:t>
            </w:r>
          </w:p>
        </w:tc>
        <w:tc>
          <w:tcPr>
            <w:tcW w:w="1091" w:type="pct"/>
            <w:tcBorders>
              <w:top w:val="single" w:color="auto" w:sz="4" w:space="0"/>
              <w:left w:val="single" w:color="auto" w:sz="4" w:space="0"/>
              <w:bottom w:val="single" w:color="auto" w:sz="4" w:space="0"/>
              <w:right w:val="single" w:color="auto" w:sz="4" w:space="0"/>
            </w:tcBorders>
            <w:vAlign w:val="center"/>
          </w:tcPr>
          <w:p w14:paraId="3B1C5EE9">
            <w:pPr>
              <w:pStyle w:val="218"/>
              <w:rPr>
                <w:color w:val="auto"/>
              </w:rPr>
            </w:pPr>
            <w:r>
              <w:rPr>
                <w:rFonts w:hint="eastAsia"/>
                <w:color w:val="auto"/>
              </w:rPr>
              <w:t>1293</w:t>
            </w:r>
          </w:p>
        </w:tc>
      </w:tr>
      <w:tr w14:paraId="1483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0EFE2B91">
            <w:pPr>
              <w:pStyle w:val="218"/>
              <w:rPr>
                <w:color w:val="auto"/>
              </w:rPr>
            </w:pPr>
            <w:r>
              <w:rPr>
                <w:rFonts w:hint="eastAsia"/>
                <w:color w:val="auto"/>
              </w:rPr>
              <w:t>四氯乙烯</w:t>
            </w:r>
          </w:p>
        </w:tc>
        <w:tc>
          <w:tcPr>
            <w:tcW w:w="1152" w:type="pct"/>
            <w:tcBorders>
              <w:top w:val="single" w:color="auto" w:sz="4" w:space="0"/>
              <w:left w:val="single" w:color="auto" w:sz="4" w:space="0"/>
              <w:bottom w:val="single" w:color="auto" w:sz="4" w:space="0"/>
              <w:right w:val="single" w:color="auto" w:sz="4" w:space="0"/>
            </w:tcBorders>
            <w:vAlign w:val="center"/>
          </w:tcPr>
          <w:p w14:paraId="47DA1AA3">
            <w:pPr>
              <w:pStyle w:val="218"/>
              <w:rPr>
                <w:color w:val="auto"/>
              </w:rPr>
            </w:pPr>
            <w:r>
              <w:rPr>
                <w:rFonts w:hint="eastAsia"/>
                <w:color w:val="auto"/>
              </w:rPr>
              <w:t>53</w:t>
            </w:r>
          </w:p>
        </w:tc>
        <w:tc>
          <w:tcPr>
            <w:tcW w:w="1430" w:type="pct"/>
            <w:tcBorders>
              <w:top w:val="single" w:color="auto" w:sz="4" w:space="0"/>
              <w:left w:val="single" w:color="auto" w:sz="4" w:space="0"/>
              <w:bottom w:val="single" w:color="auto" w:sz="4" w:space="0"/>
              <w:right w:val="single" w:color="auto" w:sz="4" w:space="0"/>
            </w:tcBorders>
            <w:vAlign w:val="center"/>
          </w:tcPr>
          <w:p w14:paraId="153CCB90">
            <w:pPr>
              <w:pStyle w:val="218"/>
              <w:rPr>
                <w:color w:val="auto"/>
              </w:rPr>
            </w:pPr>
            <w:r>
              <w:rPr>
                <w:rFonts w:hint="eastAsia"/>
                <w:color w:val="auto"/>
              </w:rPr>
              <w:t>二苯并[a,h]蒽</w:t>
            </w:r>
          </w:p>
        </w:tc>
        <w:tc>
          <w:tcPr>
            <w:tcW w:w="1091" w:type="pct"/>
            <w:tcBorders>
              <w:top w:val="single" w:color="auto" w:sz="4" w:space="0"/>
              <w:left w:val="single" w:color="auto" w:sz="4" w:space="0"/>
              <w:bottom w:val="single" w:color="auto" w:sz="4" w:space="0"/>
              <w:right w:val="single" w:color="auto" w:sz="4" w:space="0"/>
            </w:tcBorders>
            <w:vAlign w:val="center"/>
          </w:tcPr>
          <w:p w14:paraId="585A1FD0">
            <w:pPr>
              <w:pStyle w:val="218"/>
              <w:rPr>
                <w:color w:val="auto"/>
              </w:rPr>
            </w:pPr>
            <w:r>
              <w:rPr>
                <w:rFonts w:hint="eastAsia"/>
                <w:color w:val="auto"/>
              </w:rPr>
              <w:t>1.5</w:t>
            </w:r>
          </w:p>
        </w:tc>
      </w:tr>
      <w:tr w14:paraId="0626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0E1B2AF6">
            <w:pPr>
              <w:pStyle w:val="218"/>
              <w:rPr>
                <w:color w:val="auto"/>
              </w:rPr>
            </w:pPr>
            <w:r>
              <w:rPr>
                <w:rFonts w:hint="eastAsia"/>
                <w:color w:val="auto"/>
              </w:rPr>
              <w:t>1,1,1-三氯乙烷</w:t>
            </w:r>
          </w:p>
        </w:tc>
        <w:tc>
          <w:tcPr>
            <w:tcW w:w="1152" w:type="pct"/>
            <w:tcBorders>
              <w:top w:val="single" w:color="auto" w:sz="4" w:space="0"/>
              <w:left w:val="single" w:color="auto" w:sz="4" w:space="0"/>
              <w:bottom w:val="single" w:color="auto" w:sz="4" w:space="0"/>
              <w:right w:val="single" w:color="auto" w:sz="4" w:space="0"/>
            </w:tcBorders>
            <w:vAlign w:val="center"/>
          </w:tcPr>
          <w:p w14:paraId="434BD145">
            <w:pPr>
              <w:pStyle w:val="218"/>
              <w:rPr>
                <w:color w:val="auto"/>
              </w:rPr>
            </w:pPr>
            <w:r>
              <w:rPr>
                <w:rFonts w:hint="eastAsia"/>
                <w:color w:val="auto"/>
              </w:rPr>
              <w:t>840</w:t>
            </w:r>
          </w:p>
        </w:tc>
        <w:tc>
          <w:tcPr>
            <w:tcW w:w="1430" w:type="pct"/>
            <w:tcBorders>
              <w:top w:val="single" w:color="auto" w:sz="4" w:space="0"/>
              <w:left w:val="single" w:color="auto" w:sz="4" w:space="0"/>
              <w:bottom w:val="single" w:color="auto" w:sz="4" w:space="0"/>
              <w:right w:val="single" w:color="auto" w:sz="4" w:space="0"/>
            </w:tcBorders>
            <w:vAlign w:val="center"/>
          </w:tcPr>
          <w:p w14:paraId="4EA81CDB">
            <w:pPr>
              <w:pStyle w:val="218"/>
              <w:rPr>
                <w:color w:val="auto"/>
              </w:rPr>
            </w:pPr>
            <w:r>
              <w:rPr>
                <w:rFonts w:hint="eastAsia"/>
                <w:color w:val="auto"/>
              </w:rPr>
              <w:t>茚并[1,2,3-cd]芘</w:t>
            </w:r>
          </w:p>
        </w:tc>
        <w:tc>
          <w:tcPr>
            <w:tcW w:w="1091" w:type="pct"/>
            <w:tcBorders>
              <w:top w:val="single" w:color="auto" w:sz="4" w:space="0"/>
              <w:left w:val="single" w:color="auto" w:sz="4" w:space="0"/>
              <w:bottom w:val="single" w:color="auto" w:sz="4" w:space="0"/>
              <w:right w:val="single" w:color="auto" w:sz="4" w:space="0"/>
            </w:tcBorders>
            <w:vAlign w:val="center"/>
          </w:tcPr>
          <w:p w14:paraId="2267E0C4">
            <w:pPr>
              <w:pStyle w:val="218"/>
              <w:rPr>
                <w:color w:val="auto"/>
              </w:rPr>
            </w:pPr>
            <w:r>
              <w:rPr>
                <w:rFonts w:hint="eastAsia"/>
                <w:color w:val="auto"/>
              </w:rPr>
              <w:t>15</w:t>
            </w:r>
          </w:p>
        </w:tc>
      </w:tr>
      <w:tr w14:paraId="3019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0EDEAE4C">
            <w:pPr>
              <w:pStyle w:val="218"/>
              <w:rPr>
                <w:color w:val="auto"/>
              </w:rPr>
            </w:pPr>
            <w:r>
              <w:rPr>
                <w:rFonts w:hint="eastAsia"/>
                <w:color w:val="auto"/>
              </w:rPr>
              <w:t>1,1,2-三氯乙烷</w:t>
            </w:r>
          </w:p>
        </w:tc>
        <w:tc>
          <w:tcPr>
            <w:tcW w:w="1152" w:type="pct"/>
            <w:tcBorders>
              <w:top w:val="single" w:color="auto" w:sz="4" w:space="0"/>
              <w:left w:val="single" w:color="auto" w:sz="4" w:space="0"/>
              <w:bottom w:val="single" w:color="auto" w:sz="4" w:space="0"/>
              <w:right w:val="single" w:color="auto" w:sz="4" w:space="0"/>
            </w:tcBorders>
            <w:vAlign w:val="center"/>
          </w:tcPr>
          <w:p w14:paraId="0FD149F1">
            <w:pPr>
              <w:pStyle w:val="218"/>
              <w:rPr>
                <w:color w:val="auto"/>
              </w:rPr>
            </w:pPr>
            <w:r>
              <w:rPr>
                <w:rFonts w:hint="eastAsia"/>
                <w:color w:val="auto"/>
              </w:rPr>
              <w:t>2.8</w:t>
            </w:r>
          </w:p>
        </w:tc>
        <w:tc>
          <w:tcPr>
            <w:tcW w:w="1430" w:type="pct"/>
            <w:tcBorders>
              <w:top w:val="single" w:color="auto" w:sz="4" w:space="0"/>
              <w:left w:val="single" w:color="auto" w:sz="4" w:space="0"/>
              <w:bottom w:val="single" w:color="auto" w:sz="4" w:space="0"/>
              <w:right w:val="single" w:color="auto" w:sz="4" w:space="0"/>
            </w:tcBorders>
            <w:vAlign w:val="center"/>
          </w:tcPr>
          <w:p w14:paraId="6B0E5C18">
            <w:pPr>
              <w:pStyle w:val="218"/>
              <w:rPr>
                <w:color w:val="auto"/>
              </w:rPr>
            </w:pPr>
            <w:r>
              <w:rPr>
                <w:rFonts w:hint="eastAsia"/>
                <w:color w:val="auto"/>
              </w:rPr>
              <w:t>萘</w:t>
            </w:r>
          </w:p>
        </w:tc>
        <w:tc>
          <w:tcPr>
            <w:tcW w:w="1091" w:type="pct"/>
            <w:tcBorders>
              <w:top w:val="single" w:color="auto" w:sz="4" w:space="0"/>
              <w:left w:val="single" w:color="auto" w:sz="4" w:space="0"/>
              <w:bottom w:val="single" w:color="auto" w:sz="4" w:space="0"/>
              <w:right w:val="single" w:color="auto" w:sz="4" w:space="0"/>
            </w:tcBorders>
            <w:vAlign w:val="center"/>
          </w:tcPr>
          <w:p w14:paraId="20EFF1BE">
            <w:pPr>
              <w:pStyle w:val="218"/>
              <w:rPr>
                <w:color w:val="auto"/>
              </w:rPr>
            </w:pPr>
            <w:r>
              <w:rPr>
                <w:rFonts w:hint="eastAsia"/>
                <w:color w:val="auto"/>
              </w:rPr>
              <w:t>70</w:t>
            </w:r>
          </w:p>
        </w:tc>
      </w:tr>
      <w:tr w14:paraId="39855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6797A208">
            <w:pPr>
              <w:pStyle w:val="218"/>
              <w:rPr>
                <w:color w:val="auto"/>
              </w:rPr>
            </w:pPr>
            <w:r>
              <w:rPr>
                <w:rFonts w:hint="eastAsia"/>
                <w:color w:val="auto"/>
              </w:rPr>
              <w:t>三氯乙烯</w:t>
            </w:r>
          </w:p>
        </w:tc>
        <w:tc>
          <w:tcPr>
            <w:tcW w:w="1152" w:type="pct"/>
            <w:tcBorders>
              <w:top w:val="single" w:color="auto" w:sz="4" w:space="0"/>
              <w:left w:val="single" w:color="auto" w:sz="4" w:space="0"/>
              <w:bottom w:val="single" w:color="auto" w:sz="4" w:space="0"/>
              <w:right w:val="single" w:color="auto" w:sz="4" w:space="0"/>
            </w:tcBorders>
            <w:vAlign w:val="center"/>
          </w:tcPr>
          <w:p w14:paraId="3F2FEA31">
            <w:pPr>
              <w:pStyle w:val="218"/>
              <w:rPr>
                <w:color w:val="auto"/>
              </w:rPr>
            </w:pPr>
            <w:r>
              <w:rPr>
                <w:rFonts w:hint="eastAsia"/>
                <w:color w:val="auto"/>
              </w:rPr>
              <w:t>2.8</w:t>
            </w:r>
          </w:p>
        </w:tc>
        <w:tc>
          <w:tcPr>
            <w:tcW w:w="1430" w:type="pct"/>
            <w:tcBorders>
              <w:top w:val="single" w:color="auto" w:sz="4" w:space="0"/>
              <w:left w:val="single" w:color="auto" w:sz="4" w:space="0"/>
              <w:bottom w:val="single" w:color="auto" w:sz="4" w:space="0"/>
              <w:right w:val="single" w:color="auto" w:sz="4" w:space="0"/>
            </w:tcBorders>
            <w:vAlign w:val="center"/>
          </w:tcPr>
          <w:p w14:paraId="2C38391C">
            <w:pPr>
              <w:pStyle w:val="218"/>
              <w:rPr>
                <w:color w:val="auto"/>
              </w:rPr>
            </w:pPr>
            <w:r>
              <w:rPr>
                <w:rFonts w:hint="eastAsia"/>
                <w:color w:val="auto"/>
              </w:rPr>
              <w:t>石油烃</w:t>
            </w:r>
          </w:p>
        </w:tc>
        <w:tc>
          <w:tcPr>
            <w:tcW w:w="1091" w:type="pct"/>
            <w:tcBorders>
              <w:top w:val="single" w:color="auto" w:sz="4" w:space="0"/>
              <w:left w:val="single" w:color="auto" w:sz="4" w:space="0"/>
              <w:bottom w:val="single" w:color="auto" w:sz="4" w:space="0"/>
              <w:right w:val="single" w:color="auto" w:sz="4" w:space="0"/>
            </w:tcBorders>
            <w:vAlign w:val="center"/>
          </w:tcPr>
          <w:p w14:paraId="03F3C2D0">
            <w:pPr>
              <w:pStyle w:val="218"/>
              <w:rPr>
                <w:color w:val="auto"/>
              </w:rPr>
            </w:pPr>
            <w:r>
              <w:rPr>
                <w:rFonts w:hint="eastAsia"/>
                <w:color w:val="auto"/>
              </w:rPr>
              <w:t>4500</w:t>
            </w:r>
          </w:p>
        </w:tc>
      </w:tr>
      <w:tr w14:paraId="4FF4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27" w:type="pct"/>
            <w:tcBorders>
              <w:top w:val="single" w:color="auto" w:sz="4" w:space="0"/>
              <w:left w:val="single" w:color="auto" w:sz="4" w:space="0"/>
              <w:bottom w:val="single" w:color="auto" w:sz="4" w:space="0"/>
              <w:right w:val="single" w:color="auto" w:sz="4" w:space="0"/>
            </w:tcBorders>
            <w:vAlign w:val="center"/>
          </w:tcPr>
          <w:p w14:paraId="4C8D3C9B">
            <w:pPr>
              <w:pStyle w:val="218"/>
              <w:rPr>
                <w:color w:val="auto"/>
              </w:rPr>
            </w:pPr>
            <w:r>
              <w:rPr>
                <w:rFonts w:hint="eastAsia"/>
                <w:color w:val="auto"/>
              </w:rPr>
              <w:t>二噁英类</w:t>
            </w:r>
          </w:p>
        </w:tc>
        <w:tc>
          <w:tcPr>
            <w:tcW w:w="1152" w:type="pct"/>
            <w:tcBorders>
              <w:top w:val="single" w:color="auto" w:sz="4" w:space="0"/>
              <w:left w:val="single" w:color="auto" w:sz="4" w:space="0"/>
              <w:bottom w:val="single" w:color="auto" w:sz="4" w:space="0"/>
              <w:right w:val="single" w:color="auto" w:sz="4" w:space="0"/>
            </w:tcBorders>
            <w:vAlign w:val="center"/>
          </w:tcPr>
          <w:p w14:paraId="615ADD86">
            <w:pPr>
              <w:pStyle w:val="218"/>
              <w:rPr>
                <w:color w:val="auto"/>
              </w:rPr>
            </w:pPr>
            <w:r>
              <w:rPr>
                <w:rFonts w:hint="eastAsia"/>
                <w:color w:val="auto"/>
              </w:rPr>
              <w:t>4</w:t>
            </w:r>
            <w:r>
              <w:rPr>
                <w:rFonts w:hint="eastAsia" w:cs="宋体"/>
                <w:color w:val="auto"/>
              </w:rPr>
              <w:t>×</w:t>
            </w:r>
            <w:r>
              <w:rPr>
                <w:rFonts w:hint="eastAsia"/>
                <w:color w:val="auto"/>
              </w:rPr>
              <w:t>10</w:t>
            </w:r>
            <w:r>
              <w:rPr>
                <w:rFonts w:hint="eastAsia"/>
                <w:color w:val="auto"/>
                <w:vertAlign w:val="superscript"/>
              </w:rPr>
              <w:t>-5</w:t>
            </w:r>
          </w:p>
        </w:tc>
        <w:tc>
          <w:tcPr>
            <w:tcW w:w="1430" w:type="pct"/>
            <w:tcBorders>
              <w:top w:val="single" w:color="auto" w:sz="4" w:space="0"/>
              <w:left w:val="single" w:color="auto" w:sz="4" w:space="0"/>
              <w:bottom w:val="single" w:color="auto" w:sz="4" w:space="0"/>
              <w:right w:val="single" w:color="auto" w:sz="4" w:space="0"/>
            </w:tcBorders>
            <w:vAlign w:val="center"/>
          </w:tcPr>
          <w:p w14:paraId="75F14800">
            <w:pPr>
              <w:pStyle w:val="218"/>
              <w:rPr>
                <w:color w:val="auto"/>
              </w:rPr>
            </w:pPr>
            <w:r>
              <w:rPr>
                <w:rFonts w:hint="eastAsia"/>
                <w:color w:val="auto"/>
              </w:rPr>
              <w:t>--</w:t>
            </w:r>
          </w:p>
        </w:tc>
        <w:tc>
          <w:tcPr>
            <w:tcW w:w="1091" w:type="pct"/>
            <w:tcBorders>
              <w:top w:val="single" w:color="auto" w:sz="4" w:space="0"/>
              <w:left w:val="single" w:color="auto" w:sz="4" w:space="0"/>
              <w:bottom w:val="single" w:color="auto" w:sz="4" w:space="0"/>
              <w:right w:val="single" w:color="auto" w:sz="4" w:space="0"/>
            </w:tcBorders>
            <w:vAlign w:val="center"/>
          </w:tcPr>
          <w:p w14:paraId="44641E89">
            <w:pPr>
              <w:pStyle w:val="218"/>
              <w:rPr>
                <w:color w:val="auto"/>
              </w:rPr>
            </w:pPr>
            <w:r>
              <w:rPr>
                <w:rFonts w:hint="eastAsia"/>
                <w:color w:val="auto"/>
              </w:rPr>
              <w:t>--</w:t>
            </w:r>
          </w:p>
        </w:tc>
      </w:tr>
    </w:tbl>
    <w:p w14:paraId="0F12788A">
      <w:pPr>
        <w:pStyle w:val="82"/>
      </w:pPr>
      <w:r>
        <w:rPr>
          <w:rFonts w:hint="eastAsia"/>
        </w:rPr>
        <w:t>污染物排放标准</w:t>
      </w:r>
    </w:p>
    <w:p w14:paraId="52A6F423">
      <w:pPr>
        <w:pStyle w:val="93"/>
      </w:pPr>
      <w:r>
        <w:rPr>
          <w:rFonts w:hint="eastAsia"/>
        </w:rPr>
        <w:t>1、大气污染物排放标准</w:t>
      </w:r>
    </w:p>
    <w:p w14:paraId="69F0D0C8">
      <w:pPr>
        <w:pStyle w:val="93"/>
      </w:pPr>
      <w:r>
        <w:rPr>
          <w:rFonts w:hint="eastAsia"/>
        </w:rPr>
        <w:t>船舶、车辆尾气SO</w:t>
      </w:r>
      <w:r>
        <w:rPr>
          <w:rFonts w:hint="eastAsia"/>
          <w:vertAlign w:val="subscript"/>
        </w:rPr>
        <w:t>2</w:t>
      </w:r>
      <w:r>
        <w:rPr>
          <w:rFonts w:hint="eastAsia"/>
        </w:rPr>
        <w:t>、NO</w:t>
      </w:r>
      <w:r>
        <w:rPr>
          <w:rFonts w:hint="eastAsia"/>
          <w:vertAlign w:val="subscript"/>
        </w:rPr>
        <w:t>X</w:t>
      </w:r>
      <w:r>
        <w:rPr>
          <w:rFonts w:hint="eastAsia"/>
        </w:rPr>
        <w:t>、颗粒物等无组织排放执行《江苏省大气污染物综合排放标准》（DB324041—2021）表3中排放标准限值，施工扬尘执行《施工场地扬尘排放标准》（DB32／4437-2022），施工期恶臭气体执行《恶臭污染物排放标准》（GB14554-93）。具体见表2.3-6。</w:t>
      </w:r>
    </w:p>
    <w:p w14:paraId="56868257">
      <w:pPr>
        <w:pStyle w:val="86"/>
      </w:pPr>
      <w:r>
        <w:rPr>
          <w:rFonts w:hint="eastAsia"/>
        </w:rPr>
        <w:t>大气污染物综合排放标准</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1651"/>
        <w:gridCol w:w="2402"/>
        <w:gridCol w:w="3386"/>
      </w:tblGrid>
      <w:tr w14:paraId="4E116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Merge w:val="restart"/>
            <w:vAlign w:val="center"/>
          </w:tcPr>
          <w:p w14:paraId="01431CD9">
            <w:pPr>
              <w:pStyle w:val="196"/>
              <w:rPr>
                <w:b/>
                <w:bCs/>
                <w:szCs w:val="21"/>
              </w:rPr>
            </w:pPr>
            <w:r>
              <w:rPr>
                <w:rFonts w:hint="eastAsia"/>
                <w:b/>
                <w:bCs/>
              </w:rPr>
              <w:t>污染物</w:t>
            </w:r>
          </w:p>
        </w:tc>
        <w:tc>
          <w:tcPr>
            <w:tcW w:w="2182" w:type="pct"/>
            <w:gridSpan w:val="2"/>
            <w:vAlign w:val="center"/>
          </w:tcPr>
          <w:p w14:paraId="06B67120">
            <w:pPr>
              <w:pStyle w:val="196"/>
              <w:rPr>
                <w:b/>
                <w:bCs/>
              </w:rPr>
            </w:pPr>
            <w:r>
              <w:rPr>
                <w:rFonts w:hint="eastAsia"/>
                <w:b/>
                <w:bCs/>
              </w:rPr>
              <w:t>无组织排放监控浓度限值</w:t>
            </w:r>
          </w:p>
        </w:tc>
        <w:tc>
          <w:tcPr>
            <w:tcW w:w="1823" w:type="pct"/>
            <w:vMerge w:val="restart"/>
            <w:vAlign w:val="center"/>
          </w:tcPr>
          <w:p w14:paraId="201E8643">
            <w:pPr>
              <w:pStyle w:val="196"/>
              <w:rPr>
                <w:b/>
                <w:bCs/>
              </w:rPr>
            </w:pPr>
            <w:r>
              <w:rPr>
                <w:rFonts w:hint="eastAsia"/>
                <w:b/>
                <w:bCs/>
              </w:rPr>
              <w:t>标准来源</w:t>
            </w:r>
          </w:p>
        </w:tc>
      </w:tr>
      <w:tr w14:paraId="4CCA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Merge w:val="continue"/>
            <w:vAlign w:val="center"/>
          </w:tcPr>
          <w:p w14:paraId="0CEAB7F8">
            <w:pPr>
              <w:pStyle w:val="196"/>
              <w:rPr>
                <w:b/>
                <w:bCs/>
                <w:szCs w:val="21"/>
              </w:rPr>
            </w:pPr>
          </w:p>
        </w:tc>
        <w:tc>
          <w:tcPr>
            <w:tcW w:w="889" w:type="pct"/>
            <w:vAlign w:val="center"/>
          </w:tcPr>
          <w:p w14:paraId="23A0568C">
            <w:pPr>
              <w:pStyle w:val="196"/>
              <w:rPr>
                <w:b/>
                <w:bCs/>
              </w:rPr>
            </w:pPr>
            <w:r>
              <w:rPr>
                <w:rFonts w:hint="eastAsia"/>
                <w:b/>
                <w:bCs/>
              </w:rPr>
              <w:t>监控点</w:t>
            </w:r>
          </w:p>
        </w:tc>
        <w:tc>
          <w:tcPr>
            <w:tcW w:w="1293" w:type="pct"/>
            <w:vAlign w:val="center"/>
          </w:tcPr>
          <w:p w14:paraId="59250E34">
            <w:pPr>
              <w:pStyle w:val="196"/>
              <w:rPr>
                <w:b/>
                <w:bCs/>
              </w:rPr>
            </w:pPr>
            <w:r>
              <w:rPr>
                <w:rFonts w:hint="eastAsia"/>
                <w:b/>
                <w:bCs/>
              </w:rPr>
              <w:t>浓度（mg/m</w:t>
            </w:r>
            <w:r>
              <w:rPr>
                <w:rFonts w:hint="eastAsia"/>
                <w:b/>
                <w:bCs/>
                <w:vertAlign w:val="superscript"/>
              </w:rPr>
              <w:t>3</w:t>
            </w:r>
            <w:r>
              <w:rPr>
                <w:rFonts w:hint="eastAsia"/>
                <w:b/>
                <w:bCs/>
              </w:rPr>
              <w:t>）</w:t>
            </w:r>
          </w:p>
        </w:tc>
        <w:tc>
          <w:tcPr>
            <w:tcW w:w="1823" w:type="pct"/>
            <w:vMerge w:val="continue"/>
            <w:vAlign w:val="center"/>
          </w:tcPr>
          <w:p w14:paraId="7D9EB675">
            <w:pPr>
              <w:pStyle w:val="196"/>
              <w:rPr>
                <w:b/>
                <w:bCs/>
                <w:szCs w:val="21"/>
              </w:rPr>
            </w:pPr>
          </w:p>
        </w:tc>
      </w:tr>
      <w:tr w14:paraId="0E34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1228A502">
            <w:pPr>
              <w:pStyle w:val="196"/>
            </w:pPr>
            <w:r>
              <w:rPr>
                <w:rFonts w:hint="eastAsia"/>
              </w:rPr>
              <w:t>SO</w:t>
            </w:r>
            <w:r>
              <w:rPr>
                <w:rFonts w:hint="eastAsia"/>
                <w:vertAlign w:val="subscript"/>
              </w:rPr>
              <w:t>2</w:t>
            </w:r>
          </w:p>
        </w:tc>
        <w:tc>
          <w:tcPr>
            <w:tcW w:w="889" w:type="pct"/>
            <w:vMerge w:val="restart"/>
            <w:vAlign w:val="center"/>
          </w:tcPr>
          <w:p w14:paraId="3C4EFD91">
            <w:pPr>
              <w:pStyle w:val="196"/>
            </w:pPr>
            <w:r>
              <w:rPr>
                <w:rFonts w:hint="eastAsia"/>
              </w:rPr>
              <w:t>边界外浓度最高点</w:t>
            </w:r>
          </w:p>
        </w:tc>
        <w:tc>
          <w:tcPr>
            <w:tcW w:w="1293" w:type="pct"/>
            <w:vAlign w:val="center"/>
          </w:tcPr>
          <w:p w14:paraId="3D627439">
            <w:pPr>
              <w:pStyle w:val="196"/>
            </w:pPr>
            <w:r>
              <w:rPr>
                <w:rFonts w:hint="eastAsia"/>
              </w:rPr>
              <w:t>0.4</w:t>
            </w:r>
          </w:p>
        </w:tc>
        <w:tc>
          <w:tcPr>
            <w:tcW w:w="1823" w:type="pct"/>
            <w:vMerge w:val="restart"/>
            <w:vAlign w:val="center"/>
          </w:tcPr>
          <w:p w14:paraId="051192AA">
            <w:pPr>
              <w:pStyle w:val="196"/>
            </w:pPr>
            <w:r>
              <w:rPr>
                <w:rFonts w:hint="eastAsia"/>
              </w:rPr>
              <w:t>《大气污染物综合排放标准》（DB324041—2021）</w:t>
            </w:r>
          </w:p>
        </w:tc>
      </w:tr>
      <w:tr w14:paraId="522E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05FDF60A">
            <w:pPr>
              <w:pStyle w:val="196"/>
            </w:pPr>
            <w:r>
              <w:rPr>
                <w:rFonts w:hint="eastAsia"/>
              </w:rPr>
              <w:t>NO</w:t>
            </w:r>
            <w:r>
              <w:rPr>
                <w:rFonts w:hint="eastAsia"/>
                <w:vertAlign w:val="subscript"/>
              </w:rPr>
              <w:t>x</w:t>
            </w:r>
          </w:p>
        </w:tc>
        <w:tc>
          <w:tcPr>
            <w:tcW w:w="889" w:type="pct"/>
            <w:vMerge w:val="continue"/>
            <w:vAlign w:val="center"/>
          </w:tcPr>
          <w:p w14:paraId="7AD491B4">
            <w:pPr>
              <w:pStyle w:val="196"/>
              <w:rPr>
                <w:szCs w:val="21"/>
              </w:rPr>
            </w:pPr>
          </w:p>
        </w:tc>
        <w:tc>
          <w:tcPr>
            <w:tcW w:w="1293" w:type="pct"/>
            <w:vAlign w:val="center"/>
          </w:tcPr>
          <w:p w14:paraId="47E6AFCF">
            <w:pPr>
              <w:pStyle w:val="196"/>
            </w:pPr>
            <w:r>
              <w:rPr>
                <w:rFonts w:hint="eastAsia"/>
              </w:rPr>
              <w:t>0.12</w:t>
            </w:r>
          </w:p>
        </w:tc>
        <w:tc>
          <w:tcPr>
            <w:tcW w:w="1823" w:type="pct"/>
            <w:vMerge w:val="continue"/>
            <w:vAlign w:val="center"/>
          </w:tcPr>
          <w:p w14:paraId="77F37721">
            <w:pPr>
              <w:pStyle w:val="196"/>
              <w:rPr>
                <w:szCs w:val="21"/>
              </w:rPr>
            </w:pPr>
          </w:p>
        </w:tc>
      </w:tr>
      <w:tr w14:paraId="2538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51549971">
            <w:pPr>
              <w:pStyle w:val="196"/>
            </w:pPr>
            <w:r>
              <w:rPr>
                <w:rFonts w:hint="eastAsia"/>
              </w:rPr>
              <w:t>颗粒物</w:t>
            </w:r>
          </w:p>
        </w:tc>
        <w:tc>
          <w:tcPr>
            <w:tcW w:w="889" w:type="pct"/>
            <w:vMerge w:val="continue"/>
            <w:vAlign w:val="center"/>
          </w:tcPr>
          <w:p w14:paraId="358F5353">
            <w:pPr>
              <w:pStyle w:val="196"/>
              <w:rPr>
                <w:szCs w:val="21"/>
              </w:rPr>
            </w:pPr>
          </w:p>
        </w:tc>
        <w:tc>
          <w:tcPr>
            <w:tcW w:w="1293" w:type="pct"/>
            <w:vAlign w:val="center"/>
          </w:tcPr>
          <w:p w14:paraId="567C77BC">
            <w:pPr>
              <w:pStyle w:val="196"/>
            </w:pPr>
            <w:r>
              <w:rPr>
                <w:rFonts w:hint="eastAsia"/>
              </w:rPr>
              <w:t>0.5</w:t>
            </w:r>
          </w:p>
        </w:tc>
        <w:tc>
          <w:tcPr>
            <w:tcW w:w="1823" w:type="pct"/>
            <w:vMerge w:val="continue"/>
            <w:vAlign w:val="center"/>
          </w:tcPr>
          <w:p w14:paraId="000A464F">
            <w:pPr>
              <w:pStyle w:val="196"/>
              <w:rPr>
                <w:szCs w:val="21"/>
              </w:rPr>
            </w:pPr>
          </w:p>
        </w:tc>
      </w:tr>
      <w:tr w14:paraId="300E0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711012CF">
            <w:pPr>
              <w:pStyle w:val="196"/>
            </w:pPr>
            <w:r>
              <w:rPr>
                <w:rFonts w:hint="eastAsia"/>
              </w:rPr>
              <w:t>NMHC</w:t>
            </w:r>
          </w:p>
        </w:tc>
        <w:tc>
          <w:tcPr>
            <w:tcW w:w="889" w:type="pct"/>
            <w:vMerge w:val="continue"/>
            <w:vAlign w:val="center"/>
          </w:tcPr>
          <w:p w14:paraId="10AE84EA">
            <w:pPr>
              <w:pStyle w:val="196"/>
              <w:rPr>
                <w:szCs w:val="21"/>
              </w:rPr>
            </w:pPr>
          </w:p>
        </w:tc>
        <w:tc>
          <w:tcPr>
            <w:tcW w:w="1293" w:type="pct"/>
            <w:vAlign w:val="center"/>
          </w:tcPr>
          <w:p w14:paraId="122DC646">
            <w:pPr>
              <w:pStyle w:val="196"/>
            </w:pPr>
            <w:r>
              <w:rPr>
                <w:rFonts w:hint="eastAsia"/>
              </w:rPr>
              <w:t>4</w:t>
            </w:r>
          </w:p>
        </w:tc>
        <w:tc>
          <w:tcPr>
            <w:tcW w:w="1823" w:type="pct"/>
            <w:vMerge w:val="continue"/>
            <w:vAlign w:val="center"/>
          </w:tcPr>
          <w:p w14:paraId="011C26ED">
            <w:pPr>
              <w:pStyle w:val="196"/>
              <w:rPr>
                <w:szCs w:val="21"/>
              </w:rPr>
            </w:pPr>
          </w:p>
        </w:tc>
      </w:tr>
      <w:tr w14:paraId="3B24F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26405B56">
            <w:pPr>
              <w:pStyle w:val="196"/>
            </w:pPr>
            <w:r>
              <w:rPr>
                <w:rFonts w:hint="eastAsia"/>
              </w:rPr>
              <w:t>CO</w:t>
            </w:r>
          </w:p>
        </w:tc>
        <w:tc>
          <w:tcPr>
            <w:tcW w:w="889" w:type="pct"/>
            <w:vMerge w:val="continue"/>
            <w:vAlign w:val="center"/>
          </w:tcPr>
          <w:p w14:paraId="0DFCA755">
            <w:pPr>
              <w:pStyle w:val="196"/>
              <w:rPr>
                <w:szCs w:val="21"/>
              </w:rPr>
            </w:pPr>
          </w:p>
        </w:tc>
        <w:tc>
          <w:tcPr>
            <w:tcW w:w="1293" w:type="pct"/>
            <w:vAlign w:val="center"/>
          </w:tcPr>
          <w:p w14:paraId="30AC22BD">
            <w:pPr>
              <w:pStyle w:val="196"/>
            </w:pPr>
            <w:r>
              <w:rPr>
                <w:rFonts w:hint="eastAsia"/>
              </w:rPr>
              <w:t>10</w:t>
            </w:r>
          </w:p>
        </w:tc>
        <w:tc>
          <w:tcPr>
            <w:tcW w:w="1823" w:type="pct"/>
            <w:vMerge w:val="continue"/>
            <w:vAlign w:val="center"/>
          </w:tcPr>
          <w:p w14:paraId="56BD66FE">
            <w:pPr>
              <w:pStyle w:val="196"/>
              <w:rPr>
                <w:szCs w:val="21"/>
              </w:rPr>
            </w:pPr>
          </w:p>
        </w:tc>
      </w:tr>
      <w:tr w14:paraId="79F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691F5B55">
            <w:pPr>
              <w:pStyle w:val="196"/>
            </w:pPr>
            <w:r>
              <w:rPr>
                <w:rFonts w:hint="eastAsia"/>
              </w:rPr>
              <w:t>扬尘-TSP</w:t>
            </w:r>
          </w:p>
        </w:tc>
        <w:tc>
          <w:tcPr>
            <w:tcW w:w="889" w:type="pct"/>
            <w:vMerge w:val="restart"/>
            <w:vAlign w:val="center"/>
          </w:tcPr>
          <w:p w14:paraId="72FFAE2F">
            <w:pPr>
              <w:pStyle w:val="196"/>
              <w:rPr>
                <w:szCs w:val="21"/>
              </w:rPr>
            </w:pPr>
            <w:r>
              <w:rPr>
                <w:rFonts w:hint="eastAsia"/>
                <w:szCs w:val="21"/>
              </w:rPr>
              <w:t>施工易产生扬尘场所</w:t>
            </w:r>
          </w:p>
        </w:tc>
        <w:tc>
          <w:tcPr>
            <w:tcW w:w="1293" w:type="pct"/>
            <w:vAlign w:val="center"/>
          </w:tcPr>
          <w:p w14:paraId="55CA26E7">
            <w:pPr>
              <w:pStyle w:val="196"/>
            </w:pPr>
            <w:r>
              <w:rPr>
                <w:rFonts w:hint="eastAsia"/>
              </w:rPr>
              <w:t>0.5</w:t>
            </w:r>
          </w:p>
        </w:tc>
        <w:tc>
          <w:tcPr>
            <w:tcW w:w="1823" w:type="pct"/>
            <w:vMerge w:val="restart"/>
            <w:vAlign w:val="center"/>
          </w:tcPr>
          <w:p w14:paraId="47434010">
            <w:pPr>
              <w:pStyle w:val="196"/>
              <w:rPr>
                <w:szCs w:val="21"/>
              </w:rPr>
            </w:pPr>
            <w:r>
              <w:rPr>
                <w:rFonts w:hint="eastAsia"/>
                <w:szCs w:val="21"/>
              </w:rPr>
              <w:t>《施工场地扬尘排放标准》（DB32／4437-2022）表1</w:t>
            </w:r>
          </w:p>
        </w:tc>
      </w:tr>
      <w:tr w14:paraId="43634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643B0628">
            <w:pPr>
              <w:pStyle w:val="196"/>
            </w:pPr>
            <w:r>
              <w:rPr>
                <w:rFonts w:hint="eastAsia"/>
              </w:rPr>
              <w:t>扬尘-PM</w:t>
            </w:r>
            <w:r>
              <w:rPr>
                <w:rFonts w:hint="eastAsia"/>
                <w:vertAlign w:val="subscript"/>
              </w:rPr>
              <w:t>10</w:t>
            </w:r>
          </w:p>
        </w:tc>
        <w:tc>
          <w:tcPr>
            <w:tcW w:w="889" w:type="pct"/>
            <w:vMerge w:val="continue"/>
            <w:vAlign w:val="center"/>
          </w:tcPr>
          <w:p w14:paraId="47681DF9">
            <w:pPr>
              <w:pStyle w:val="196"/>
              <w:rPr>
                <w:szCs w:val="21"/>
              </w:rPr>
            </w:pPr>
          </w:p>
        </w:tc>
        <w:tc>
          <w:tcPr>
            <w:tcW w:w="1293" w:type="pct"/>
            <w:vAlign w:val="center"/>
          </w:tcPr>
          <w:p w14:paraId="0052B373">
            <w:pPr>
              <w:pStyle w:val="196"/>
            </w:pPr>
            <w:r>
              <w:rPr>
                <w:rFonts w:hint="eastAsia"/>
              </w:rPr>
              <w:t>0.08</w:t>
            </w:r>
          </w:p>
        </w:tc>
        <w:tc>
          <w:tcPr>
            <w:tcW w:w="1823" w:type="pct"/>
            <w:vMerge w:val="continue"/>
            <w:vAlign w:val="center"/>
          </w:tcPr>
          <w:p w14:paraId="7FBAFC05">
            <w:pPr>
              <w:pStyle w:val="196"/>
              <w:rPr>
                <w:szCs w:val="21"/>
              </w:rPr>
            </w:pPr>
          </w:p>
        </w:tc>
      </w:tr>
      <w:tr w14:paraId="315D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32184242">
            <w:pPr>
              <w:pStyle w:val="196"/>
            </w:pPr>
            <w:r>
              <w:rPr>
                <w:rFonts w:hint="eastAsia"/>
              </w:rPr>
              <w:t>氨</w:t>
            </w:r>
          </w:p>
        </w:tc>
        <w:tc>
          <w:tcPr>
            <w:tcW w:w="889" w:type="pct"/>
            <w:vMerge w:val="restart"/>
            <w:vAlign w:val="center"/>
          </w:tcPr>
          <w:p w14:paraId="67B2A2E9">
            <w:pPr>
              <w:pStyle w:val="196"/>
              <w:rPr>
                <w:szCs w:val="21"/>
              </w:rPr>
            </w:pPr>
            <w:r>
              <w:rPr>
                <w:rFonts w:hint="eastAsia"/>
                <w:szCs w:val="21"/>
              </w:rPr>
              <w:t>施工场地周界</w:t>
            </w:r>
          </w:p>
        </w:tc>
        <w:tc>
          <w:tcPr>
            <w:tcW w:w="1293" w:type="pct"/>
            <w:vAlign w:val="center"/>
          </w:tcPr>
          <w:p w14:paraId="4B20A2AE">
            <w:pPr>
              <w:pStyle w:val="196"/>
            </w:pPr>
            <w:r>
              <w:rPr>
                <w:rFonts w:hint="eastAsia"/>
              </w:rPr>
              <w:t>1.5</w:t>
            </w:r>
          </w:p>
        </w:tc>
        <w:tc>
          <w:tcPr>
            <w:tcW w:w="1823" w:type="pct"/>
            <w:vMerge w:val="restart"/>
            <w:vAlign w:val="center"/>
          </w:tcPr>
          <w:p w14:paraId="3E0DC57A">
            <w:pPr>
              <w:pStyle w:val="196"/>
              <w:rPr>
                <w:szCs w:val="21"/>
              </w:rPr>
            </w:pPr>
            <w:r>
              <w:rPr>
                <w:rFonts w:hint="eastAsia"/>
              </w:rPr>
              <w:t>《恶臭污染物排放标准》（GB14554-93）表1</w:t>
            </w:r>
          </w:p>
        </w:tc>
      </w:tr>
      <w:tr w14:paraId="4ED80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268F73F2">
            <w:pPr>
              <w:pStyle w:val="196"/>
            </w:pPr>
            <w:r>
              <w:rPr>
                <w:rFonts w:hint="eastAsia"/>
              </w:rPr>
              <w:t>硫化氢</w:t>
            </w:r>
          </w:p>
        </w:tc>
        <w:tc>
          <w:tcPr>
            <w:tcW w:w="889" w:type="pct"/>
            <w:vMerge w:val="continue"/>
            <w:vAlign w:val="center"/>
          </w:tcPr>
          <w:p w14:paraId="685FD8B0">
            <w:pPr>
              <w:pStyle w:val="196"/>
              <w:rPr>
                <w:szCs w:val="21"/>
              </w:rPr>
            </w:pPr>
          </w:p>
        </w:tc>
        <w:tc>
          <w:tcPr>
            <w:tcW w:w="1293" w:type="pct"/>
            <w:vAlign w:val="center"/>
          </w:tcPr>
          <w:p w14:paraId="4008C69B">
            <w:pPr>
              <w:pStyle w:val="196"/>
            </w:pPr>
            <w:r>
              <w:rPr>
                <w:rFonts w:hint="eastAsia"/>
              </w:rPr>
              <w:t>0.06</w:t>
            </w:r>
          </w:p>
        </w:tc>
        <w:tc>
          <w:tcPr>
            <w:tcW w:w="1823" w:type="pct"/>
            <w:vMerge w:val="continue"/>
            <w:vAlign w:val="center"/>
          </w:tcPr>
          <w:p w14:paraId="2BB80D04">
            <w:pPr>
              <w:pStyle w:val="196"/>
              <w:rPr>
                <w:szCs w:val="21"/>
              </w:rPr>
            </w:pPr>
          </w:p>
        </w:tc>
      </w:tr>
      <w:tr w14:paraId="0375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95" w:type="pct"/>
            <w:vAlign w:val="center"/>
          </w:tcPr>
          <w:p w14:paraId="52695735">
            <w:pPr>
              <w:pStyle w:val="196"/>
            </w:pPr>
            <w:r>
              <w:rPr>
                <w:rFonts w:hint="eastAsia"/>
              </w:rPr>
              <w:t>臭气浓度</w:t>
            </w:r>
          </w:p>
        </w:tc>
        <w:tc>
          <w:tcPr>
            <w:tcW w:w="889" w:type="pct"/>
            <w:vMerge w:val="continue"/>
            <w:vAlign w:val="center"/>
          </w:tcPr>
          <w:p w14:paraId="2E436532">
            <w:pPr>
              <w:pStyle w:val="196"/>
              <w:rPr>
                <w:szCs w:val="21"/>
              </w:rPr>
            </w:pPr>
          </w:p>
        </w:tc>
        <w:tc>
          <w:tcPr>
            <w:tcW w:w="1293" w:type="pct"/>
            <w:vAlign w:val="center"/>
          </w:tcPr>
          <w:p w14:paraId="6A8DF9F1">
            <w:pPr>
              <w:pStyle w:val="196"/>
            </w:pPr>
            <w:r>
              <w:rPr>
                <w:rFonts w:hint="eastAsia"/>
              </w:rPr>
              <w:t>20</w:t>
            </w:r>
          </w:p>
        </w:tc>
        <w:tc>
          <w:tcPr>
            <w:tcW w:w="1823" w:type="pct"/>
            <w:vMerge w:val="continue"/>
            <w:vAlign w:val="center"/>
          </w:tcPr>
          <w:p w14:paraId="63BA7707">
            <w:pPr>
              <w:pStyle w:val="196"/>
              <w:rPr>
                <w:szCs w:val="21"/>
              </w:rPr>
            </w:pPr>
          </w:p>
        </w:tc>
      </w:tr>
    </w:tbl>
    <w:p w14:paraId="13C6B851">
      <w:pPr>
        <w:pStyle w:val="93"/>
        <w:rPr>
          <w:rFonts w:cs="Times New Roman"/>
        </w:rPr>
      </w:pPr>
      <w:r>
        <w:rPr>
          <w:rFonts w:hint="eastAsia"/>
        </w:rPr>
        <w:t>2、水污染物排放标准</w:t>
      </w:r>
    </w:p>
    <w:p w14:paraId="4999AEE7">
      <w:pPr>
        <w:pStyle w:val="93"/>
      </w:pPr>
      <w:r>
        <w:rPr>
          <w:rFonts w:hint="eastAsia"/>
        </w:rPr>
        <w:t>水下土方干化场余水经围堰、</w:t>
      </w:r>
      <w:bookmarkStart w:id="80" w:name="OLE_LINK25"/>
      <w:r>
        <w:rPr>
          <w:rFonts w:hint="eastAsia"/>
        </w:rPr>
        <w:t>泄水口及后续沉淀池</w:t>
      </w:r>
      <w:bookmarkEnd w:id="80"/>
      <w:r>
        <w:rPr>
          <w:rFonts w:hint="eastAsia"/>
        </w:rPr>
        <w:t>等预处理，经核算水下土方干化场余水量约为1.2万立方，平均产水量为200立方/d，水量较大，施工期的各类用水无法完全消纳，仅能做到部分回用，在部分回用后，剩余部分满足《污水综合排放标准》（GB8978-1996）表4一级标准就近排入盐河。根据《污水综合排放标准》（GB8978-1996），排入GB3838III类水域（划定的保护区和游泳区除外）和排入GB3097中二类海域的污水执行一级标准。GB3838中I、II类水域和III类水域中划定的保护区和游泳区，GB 3097中一类海域禁止新建排污口。盐河涟水段属于III类水体，未划定保护区和游泳区，在水下土方干化场余水满足《污水综合排放标准》（GB8978-1996）表4一级标准后，能够就近排入盐河。</w:t>
      </w:r>
    </w:p>
    <w:p w14:paraId="27D7A597">
      <w:pPr>
        <w:pStyle w:val="93"/>
        <w:rPr>
          <w:lang w:val="en-US"/>
        </w:rPr>
      </w:pPr>
      <w:r>
        <w:rPr>
          <w:rFonts w:hint="eastAsia"/>
          <w:lang w:val="en-US"/>
        </w:rPr>
        <w:t>本项目船舶舱底油污水由码头前沿接收装置收集，用不锈钢水箱作为船舶含油污水收集容器，配备自吸排污泵，标准法兰盘以及铜丝软管收集船舶含油污水。水箱盛满后，委托有资质单位处置，不外排。</w:t>
      </w:r>
    </w:p>
    <w:p w14:paraId="16F86B3F">
      <w:pPr>
        <w:pStyle w:val="93"/>
        <w:rPr>
          <w:lang w:val="en-US"/>
        </w:rPr>
      </w:pPr>
      <w:r>
        <w:rPr>
          <w:rFonts w:hint="eastAsia"/>
          <w:lang w:val="en-US"/>
        </w:rPr>
        <w:t>船舶生活污水经岸上接收装置接收后接管至国能涟水一期热电联产项目厂区污水处理设施处理后全部回用不外排；陆域生活污水依托国能涟水一期热电联产项目厂区污水处理设施处理，不外排。</w:t>
      </w:r>
    </w:p>
    <w:p w14:paraId="0207EE4E">
      <w:pPr>
        <w:pStyle w:val="93"/>
        <w:rPr>
          <w:lang w:val="en-US"/>
        </w:rPr>
      </w:pPr>
      <w:r>
        <w:rPr>
          <w:rFonts w:hint="eastAsia"/>
          <w:lang w:val="en-US"/>
        </w:rPr>
        <w:t>码头初期雨水经排水沟收集后汇入码头面污水池，经潜污泵提升至国能涟水一期热电联产项目厂区初期雨水池，容积约1500m</w:t>
      </w:r>
      <w:r>
        <w:rPr>
          <w:rFonts w:hint="eastAsia"/>
          <w:vertAlign w:val="superscript"/>
          <w:lang w:val="en-US"/>
        </w:rPr>
        <w:t>3</w:t>
      </w:r>
      <w:r>
        <w:rPr>
          <w:rFonts w:hint="eastAsia"/>
          <w:lang w:val="en-US"/>
        </w:rPr>
        <w:t>，初期雨水池设置过滤装置。初期雨水经过滤处理后排至全厂回用水池，回用于后方电厂的灰渣系统用水、锅炉房冲洗、汽机房冲洗、暖通用水、输煤栈桥及煤场喷洒用水补水等，和码头的设备冲洗用水、道路洒水、卸船喷淋用水等，不外排。该回用水标准执行《城市污水再生利用 工业用水水质》（GB/T19</w:t>
      </w:r>
      <w:r>
        <w:rPr>
          <w:rStyle w:val="140"/>
          <w:rFonts w:hint="eastAsia"/>
          <w:color w:val="auto"/>
        </w:rPr>
        <w:t>923-2024）</w:t>
      </w:r>
      <w:r>
        <w:rPr>
          <w:rFonts w:hint="eastAsia"/>
          <w:lang w:val="en-US"/>
        </w:rPr>
        <w:t>洗涤用水标准，具体见表2.3-7。</w:t>
      </w:r>
    </w:p>
    <w:p w14:paraId="048B0A4B">
      <w:pPr>
        <w:pStyle w:val="93"/>
        <w:rPr>
          <w:lang w:val="en-US"/>
        </w:rPr>
      </w:pPr>
      <w:r>
        <w:rPr>
          <w:rFonts w:hint="eastAsia"/>
          <w:lang w:val="en-US"/>
        </w:rPr>
        <w:t>码头冲洗废水经排水沟收集排入国能涟水一期热电联产项目含煤废水处理系统处理后用作厂区煤场喷淋和输煤栈桥冲洗，不外排。该回用水标准执行《城市污水再生利用 工业用水水质》（GB/T19</w:t>
      </w:r>
      <w:r>
        <w:rPr>
          <w:rStyle w:val="140"/>
          <w:rFonts w:hint="eastAsia"/>
          <w:color w:val="auto"/>
        </w:rPr>
        <w:t>923-2024）</w:t>
      </w:r>
      <w:r>
        <w:rPr>
          <w:rFonts w:hint="eastAsia"/>
          <w:lang w:val="en-US"/>
        </w:rPr>
        <w:t>洗涤用水标准，具体见表2.3-7。</w:t>
      </w:r>
    </w:p>
    <w:p w14:paraId="651684DC">
      <w:pPr>
        <w:pStyle w:val="93"/>
        <w:rPr>
          <w:lang w:val="en-US"/>
        </w:rPr>
      </w:pPr>
      <w:r>
        <w:rPr>
          <w:rFonts w:hint="eastAsia"/>
          <w:lang w:val="en-US"/>
        </w:rPr>
        <w:t>船舶废水执行《船舶水污染物排放控制标准》（GB3552-2018）（2018年7月1日实施）。船舶含油污水的排放控制要求按表2.3-8执行。</w:t>
      </w:r>
      <w:r>
        <w:rPr>
          <w:rStyle w:val="140"/>
          <w:rFonts w:hint="eastAsia"/>
          <w:color w:val="auto"/>
        </w:rPr>
        <w:t>生活污水回用执行</w:t>
      </w:r>
      <w:r>
        <w:rPr>
          <w:rStyle w:val="140"/>
          <w:rFonts w:hint="eastAsia"/>
          <w:color w:val="auto"/>
          <w:lang w:val="en-US"/>
        </w:rPr>
        <w:t>《城市污水再生利用―城市杂用水水质》（GB/T 18920-2020）</w:t>
      </w:r>
      <w:r>
        <w:rPr>
          <w:rStyle w:val="140"/>
          <w:rFonts w:hint="eastAsia"/>
          <w:color w:val="auto"/>
        </w:rPr>
        <w:t>中表1</w:t>
      </w:r>
      <w:r>
        <w:rPr>
          <w:rStyle w:val="140"/>
          <w:color w:val="auto"/>
        </w:rPr>
        <w:t>要求，具体见表</w:t>
      </w:r>
      <w:r>
        <w:rPr>
          <w:rStyle w:val="140"/>
          <w:rFonts w:hint="eastAsia"/>
          <w:color w:val="auto"/>
        </w:rPr>
        <w:t>2.3-9</w:t>
      </w:r>
      <w:r>
        <w:rPr>
          <w:rFonts w:hint="eastAsia"/>
          <w:lang w:val="en-US"/>
        </w:rPr>
        <w:t>。</w:t>
      </w:r>
    </w:p>
    <w:p w14:paraId="2BF3CCCE">
      <w:pPr>
        <w:pStyle w:val="86"/>
      </w:pPr>
      <w:r>
        <w:rPr>
          <w:rFonts w:hint="eastAsia"/>
        </w:rPr>
        <w:t>城市污水再生利用 工业用水水质（mg/L，pH无量纲）</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6"/>
        <w:gridCol w:w="2944"/>
        <w:gridCol w:w="2323"/>
        <w:gridCol w:w="2258"/>
      </w:tblGrid>
      <w:tr w14:paraId="165B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4304CF5B">
            <w:pPr>
              <w:pStyle w:val="196"/>
              <w:rPr>
                <w:b/>
                <w:bCs/>
              </w:rPr>
            </w:pPr>
            <w:r>
              <w:rPr>
                <w:rFonts w:hint="eastAsia"/>
                <w:b/>
                <w:bCs/>
              </w:rPr>
              <w:t>序号</w:t>
            </w:r>
          </w:p>
        </w:tc>
        <w:tc>
          <w:tcPr>
            <w:tcW w:w="1621" w:type="pct"/>
            <w:vAlign w:val="center"/>
          </w:tcPr>
          <w:p w14:paraId="2A93ABB4">
            <w:pPr>
              <w:pStyle w:val="196"/>
              <w:rPr>
                <w:b/>
                <w:bCs/>
              </w:rPr>
            </w:pPr>
            <w:r>
              <w:rPr>
                <w:rFonts w:hint="eastAsia"/>
                <w:b/>
                <w:bCs/>
              </w:rPr>
              <w:t>控制项目</w:t>
            </w:r>
          </w:p>
        </w:tc>
        <w:tc>
          <w:tcPr>
            <w:tcW w:w="1279" w:type="pct"/>
            <w:vAlign w:val="center"/>
          </w:tcPr>
          <w:p w14:paraId="7E2EE377">
            <w:pPr>
              <w:pStyle w:val="196"/>
              <w:rPr>
                <w:b/>
                <w:bCs/>
              </w:rPr>
            </w:pPr>
            <w:r>
              <w:rPr>
                <w:rFonts w:hint="eastAsia"/>
                <w:b/>
                <w:bCs/>
              </w:rPr>
              <w:t>洗涤用水</w:t>
            </w:r>
          </w:p>
        </w:tc>
        <w:tc>
          <w:tcPr>
            <w:tcW w:w="1244" w:type="pct"/>
            <w:vAlign w:val="center"/>
          </w:tcPr>
          <w:p w14:paraId="67D94C95">
            <w:pPr>
              <w:pStyle w:val="196"/>
              <w:rPr>
                <w:b/>
                <w:bCs/>
              </w:rPr>
            </w:pPr>
            <w:r>
              <w:rPr>
                <w:rFonts w:hint="eastAsia"/>
                <w:b/>
                <w:bCs/>
              </w:rPr>
              <w:t>工艺与产品用水</w:t>
            </w:r>
          </w:p>
        </w:tc>
      </w:tr>
      <w:tr w14:paraId="4660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5B4036AD">
            <w:pPr>
              <w:pStyle w:val="196"/>
            </w:pPr>
            <w:r>
              <w:rPr>
                <w:rFonts w:hint="eastAsia"/>
              </w:rPr>
              <w:t>1</w:t>
            </w:r>
          </w:p>
        </w:tc>
        <w:tc>
          <w:tcPr>
            <w:tcW w:w="1621" w:type="pct"/>
            <w:vAlign w:val="center"/>
          </w:tcPr>
          <w:p w14:paraId="497E7C10">
            <w:pPr>
              <w:pStyle w:val="196"/>
            </w:pPr>
            <w:r>
              <w:rPr>
                <w:rFonts w:hint="eastAsia"/>
              </w:rPr>
              <w:t>pH</w:t>
            </w:r>
          </w:p>
        </w:tc>
        <w:tc>
          <w:tcPr>
            <w:tcW w:w="1279" w:type="pct"/>
            <w:vAlign w:val="center"/>
          </w:tcPr>
          <w:p w14:paraId="146A5D43">
            <w:pPr>
              <w:pStyle w:val="196"/>
            </w:pPr>
            <w:r>
              <w:rPr>
                <w:rFonts w:hint="eastAsia"/>
              </w:rPr>
              <w:t>6.5~9.0</w:t>
            </w:r>
          </w:p>
        </w:tc>
        <w:tc>
          <w:tcPr>
            <w:tcW w:w="1244" w:type="pct"/>
            <w:vAlign w:val="center"/>
          </w:tcPr>
          <w:p w14:paraId="4F8898F3">
            <w:pPr>
              <w:pStyle w:val="196"/>
            </w:pPr>
            <w:r>
              <w:rPr>
                <w:rFonts w:hint="eastAsia"/>
              </w:rPr>
              <w:t>6.5~9.0</w:t>
            </w:r>
          </w:p>
        </w:tc>
      </w:tr>
      <w:tr w14:paraId="2A717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D0DCD82">
            <w:pPr>
              <w:pStyle w:val="196"/>
            </w:pPr>
            <w:r>
              <w:rPr>
                <w:rFonts w:hint="eastAsia"/>
              </w:rPr>
              <w:t>2</w:t>
            </w:r>
          </w:p>
        </w:tc>
        <w:tc>
          <w:tcPr>
            <w:tcW w:w="1621" w:type="pct"/>
            <w:vAlign w:val="center"/>
          </w:tcPr>
          <w:p w14:paraId="1591F6C1">
            <w:pPr>
              <w:pStyle w:val="196"/>
            </w:pPr>
            <w:r>
              <w:rPr>
                <w:rFonts w:hint="eastAsia"/>
              </w:rPr>
              <w:t>总氮</w:t>
            </w:r>
          </w:p>
        </w:tc>
        <w:tc>
          <w:tcPr>
            <w:tcW w:w="1279" w:type="pct"/>
            <w:vAlign w:val="center"/>
          </w:tcPr>
          <w:p w14:paraId="1BB40DC7">
            <w:pPr>
              <w:pStyle w:val="196"/>
            </w:pPr>
            <w:r>
              <w:rPr>
                <w:rFonts w:hint="eastAsia"/>
              </w:rPr>
              <w:t>15</w:t>
            </w:r>
          </w:p>
        </w:tc>
        <w:tc>
          <w:tcPr>
            <w:tcW w:w="1244" w:type="pct"/>
            <w:vAlign w:val="center"/>
          </w:tcPr>
          <w:p w14:paraId="65813F97">
            <w:pPr>
              <w:pStyle w:val="196"/>
            </w:pPr>
            <w:r>
              <w:rPr>
                <w:rFonts w:hint="eastAsia"/>
              </w:rPr>
              <w:t>15</w:t>
            </w:r>
          </w:p>
        </w:tc>
      </w:tr>
      <w:tr w14:paraId="7AAF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5EA7D358">
            <w:pPr>
              <w:pStyle w:val="196"/>
            </w:pPr>
            <w:r>
              <w:rPr>
                <w:rFonts w:hint="eastAsia"/>
              </w:rPr>
              <w:t>3</w:t>
            </w:r>
          </w:p>
        </w:tc>
        <w:tc>
          <w:tcPr>
            <w:tcW w:w="1621" w:type="pct"/>
            <w:vAlign w:val="center"/>
          </w:tcPr>
          <w:p w14:paraId="6763CFAD">
            <w:pPr>
              <w:pStyle w:val="196"/>
            </w:pPr>
            <w:r>
              <w:rPr>
                <w:rFonts w:hint="eastAsia"/>
              </w:rPr>
              <w:t>浊度≤</w:t>
            </w:r>
          </w:p>
        </w:tc>
        <w:tc>
          <w:tcPr>
            <w:tcW w:w="1279" w:type="pct"/>
            <w:vAlign w:val="center"/>
          </w:tcPr>
          <w:p w14:paraId="7B231196">
            <w:pPr>
              <w:pStyle w:val="196"/>
            </w:pPr>
            <w:r>
              <w:rPr>
                <w:rFonts w:hint="eastAsia"/>
              </w:rPr>
              <w:t>-</w:t>
            </w:r>
          </w:p>
        </w:tc>
        <w:tc>
          <w:tcPr>
            <w:tcW w:w="1244" w:type="pct"/>
            <w:vAlign w:val="center"/>
          </w:tcPr>
          <w:p w14:paraId="0B669D5C">
            <w:pPr>
              <w:pStyle w:val="196"/>
            </w:pPr>
            <w:r>
              <w:rPr>
                <w:rFonts w:hint="eastAsia"/>
              </w:rPr>
              <w:t>5</w:t>
            </w:r>
          </w:p>
        </w:tc>
      </w:tr>
      <w:tr w14:paraId="17D0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39186C97">
            <w:pPr>
              <w:pStyle w:val="196"/>
            </w:pPr>
            <w:r>
              <w:rPr>
                <w:rFonts w:hint="eastAsia"/>
              </w:rPr>
              <w:t>4</w:t>
            </w:r>
          </w:p>
        </w:tc>
        <w:tc>
          <w:tcPr>
            <w:tcW w:w="1621" w:type="pct"/>
            <w:vAlign w:val="center"/>
          </w:tcPr>
          <w:p w14:paraId="790ABFFC">
            <w:pPr>
              <w:pStyle w:val="196"/>
            </w:pPr>
            <w:r>
              <w:rPr>
                <w:rFonts w:hint="eastAsia"/>
              </w:rPr>
              <w:t>色度≤</w:t>
            </w:r>
          </w:p>
        </w:tc>
        <w:tc>
          <w:tcPr>
            <w:tcW w:w="1279" w:type="pct"/>
            <w:vAlign w:val="center"/>
          </w:tcPr>
          <w:p w14:paraId="2C740C4D">
            <w:pPr>
              <w:pStyle w:val="196"/>
            </w:pPr>
            <w:r>
              <w:rPr>
                <w:rFonts w:hint="eastAsia"/>
              </w:rPr>
              <w:t>20</w:t>
            </w:r>
          </w:p>
        </w:tc>
        <w:tc>
          <w:tcPr>
            <w:tcW w:w="1244" w:type="pct"/>
            <w:vAlign w:val="center"/>
          </w:tcPr>
          <w:p w14:paraId="7B08B338">
            <w:pPr>
              <w:pStyle w:val="196"/>
            </w:pPr>
            <w:r>
              <w:rPr>
                <w:rFonts w:hint="eastAsia"/>
              </w:rPr>
              <w:t>20</w:t>
            </w:r>
          </w:p>
        </w:tc>
      </w:tr>
      <w:tr w14:paraId="7A3A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334A39B5">
            <w:pPr>
              <w:pStyle w:val="196"/>
            </w:pPr>
            <w:r>
              <w:rPr>
                <w:rFonts w:hint="eastAsia"/>
              </w:rPr>
              <w:t>5</w:t>
            </w:r>
          </w:p>
        </w:tc>
        <w:tc>
          <w:tcPr>
            <w:tcW w:w="1621" w:type="pct"/>
            <w:vAlign w:val="center"/>
          </w:tcPr>
          <w:p w14:paraId="41949857">
            <w:pPr>
              <w:pStyle w:val="196"/>
            </w:pPr>
            <w:r>
              <w:rPr>
                <w:rFonts w:hint="eastAsia"/>
              </w:rPr>
              <w:t>BOD</w:t>
            </w:r>
            <w:r>
              <w:rPr>
                <w:rFonts w:hint="eastAsia"/>
                <w:vertAlign w:val="subscript"/>
              </w:rPr>
              <w:t>5</w:t>
            </w:r>
            <w:r>
              <w:rPr>
                <w:rFonts w:hint="eastAsia"/>
              </w:rPr>
              <w:t>≤</w:t>
            </w:r>
          </w:p>
        </w:tc>
        <w:tc>
          <w:tcPr>
            <w:tcW w:w="1279" w:type="pct"/>
            <w:vAlign w:val="center"/>
          </w:tcPr>
          <w:p w14:paraId="7CA5154C">
            <w:pPr>
              <w:pStyle w:val="196"/>
            </w:pPr>
            <w:r>
              <w:rPr>
                <w:rFonts w:hint="eastAsia"/>
              </w:rPr>
              <w:t>10</w:t>
            </w:r>
          </w:p>
        </w:tc>
        <w:tc>
          <w:tcPr>
            <w:tcW w:w="1244" w:type="pct"/>
            <w:vAlign w:val="center"/>
          </w:tcPr>
          <w:p w14:paraId="642F00B0">
            <w:pPr>
              <w:pStyle w:val="196"/>
            </w:pPr>
            <w:r>
              <w:rPr>
                <w:rFonts w:hint="eastAsia"/>
              </w:rPr>
              <w:t>10</w:t>
            </w:r>
          </w:p>
        </w:tc>
      </w:tr>
      <w:tr w14:paraId="7D86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2B5C2434">
            <w:pPr>
              <w:pStyle w:val="196"/>
            </w:pPr>
            <w:r>
              <w:rPr>
                <w:rFonts w:hint="eastAsia"/>
              </w:rPr>
              <w:t>6</w:t>
            </w:r>
          </w:p>
        </w:tc>
        <w:tc>
          <w:tcPr>
            <w:tcW w:w="1621" w:type="pct"/>
            <w:vAlign w:val="center"/>
          </w:tcPr>
          <w:p w14:paraId="08E598AA">
            <w:pPr>
              <w:pStyle w:val="196"/>
            </w:pPr>
            <w:r>
              <w:rPr>
                <w:rFonts w:hint="eastAsia"/>
              </w:rPr>
              <w:t>COD</w:t>
            </w:r>
            <w:r>
              <w:rPr>
                <w:rFonts w:hint="eastAsia"/>
                <w:vertAlign w:val="subscript"/>
              </w:rPr>
              <w:t>cr</w:t>
            </w:r>
            <w:r>
              <w:rPr>
                <w:rFonts w:hint="eastAsia"/>
              </w:rPr>
              <w:t>≤</w:t>
            </w:r>
          </w:p>
        </w:tc>
        <w:tc>
          <w:tcPr>
            <w:tcW w:w="1279" w:type="pct"/>
            <w:vAlign w:val="center"/>
          </w:tcPr>
          <w:p w14:paraId="6B1E66F4">
            <w:pPr>
              <w:pStyle w:val="196"/>
            </w:pPr>
            <w:r>
              <w:rPr>
                <w:rFonts w:hint="eastAsia"/>
              </w:rPr>
              <w:t>50</w:t>
            </w:r>
          </w:p>
        </w:tc>
        <w:tc>
          <w:tcPr>
            <w:tcW w:w="1244" w:type="pct"/>
            <w:vAlign w:val="center"/>
          </w:tcPr>
          <w:p w14:paraId="08609D7F">
            <w:pPr>
              <w:pStyle w:val="196"/>
            </w:pPr>
            <w:r>
              <w:rPr>
                <w:rFonts w:hint="eastAsia"/>
              </w:rPr>
              <w:t>50</w:t>
            </w:r>
          </w:p>
        </w:tc>
      </w:tr>
      <w:tr w14:paraId="457A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392E2A4F">
            <w:pPr>
              <w:pStyle w:val="196"/>
            </w:pPr>
            <w:r>
              <w:rPr>
                <w:rFonts w:hint="eastAsia"/>
              </w:rPr>
              <w:t>7</w:t>
            </w:r>
          </w:p>
        </w:tc>
        <w:tc>
          <w:tcPr>
            <w:tcW w:w="1621" w:type="pct"/>
            <w:vAlign w:val="center"/>
          </w:tcPr>
          <w:p w14:paraId="3B19DC0F">
            <w:pPr>
              <w:pStyle w:val="196"/>
            </w:pPr>
            <w:r>
              <w:rPr>
                <w:rFonts w:hint="eastAsia"/>
              </w:rPr>
              <w:t>铁≤</w:t>
            </w:r>
          </w:p>
        </w:tc>
        <w:tc>
          <w:tcPr>
            <w:tcW w:w="1279" w:type="pct"/>
            <w:vAlign w:val="center"/>
          </w:tcPr>
          <w:p w14:paraId="6A1C109A">
            <w:pPr>
              <w:pStyle w:val="196"/>
            </w:pPr>
            <w:r>
              <w:rPr>
                <w:rFonts w:hint="eastAsia"/>
              </w:rPr>
              <w:t>0.5</w:t>
            </w:r>
          </w:p>
        </w:tc>
        <w:tc>
          <w:tcPr>
            <w:tcW w:w="1244" w:type="pct"/>
            <w:vAlign w:val="center"/>
          </w:tcPr>
          <w:p w14:paraId="51B5C607">
            <w:pPr>
              <w:pStyle w:val="196"/>
            </w:pPr>
            <w:r>
              <w:rPr>
                <w:rFonts w:hint="eastAsia"/>
              </w:rPr>
              <w:t>0.3</w:t>
            </w:r>
          </w:p>
        </w:tc>
      </w:tr>
      <w:tr w14:paraId="791D7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12DC74AB">
            <w:pPr>
              <w:pStyle w:val="196"/>
            </w:pPr>
            <w:r>
              <w:rPr>
                <w:rFonts w:hint="eastAsia"/>
              </w:rPr>
              <w:t>8</w:t>
            </w:r>
          </w:p>
        </w:tc>
        <w:tc>
          <w:tcPr>
            <w:tcW w:w="1621" w:type="pct"/>
            <w:vAlign w:val="center"/>
          </w:tcPr>
          <w:p w14:paraId="2E746ED5">
            <w:pPr>
              <w:pStyle w:val="196"/>
            </w:pPr>
            <w:r>
              <w:rPr>
                <w:rFonts w:hint="eastAsia"/>
              </w:rPr>
              <w:t>锰≤</w:t>
            </w:r>
          </w:p>
        </w:tc>
        <w:tc>
          <w:tcPr>
            <w:tcW w:w="1279" w:type="pct"/>
            <w:vAlign w:val="center"/>
          </w:tcPr>
          <w:p w14:paraId="43CCA963">
            <w:pPr>
              <w:pStyle w:val="196"/>
            </w:pPr>
            <w:r>
              <w:rPr>
                <w:rFonts w:hint="eastAsia"/>
              </w:rPr>
              <w:t>0.2</w:t>
            </w:r>
          </w:p>
        </w:tc>
        <w:tc>
          <w:tcPr>
            <w:tcW w:w="1244" w:type="pct"/>
            <w:vAlign w:val="center"/>
          </w:tcPr>
          <w:p w14:paraId="1D8B03CC">
            <w:pPr>
              <w:pStyle w:val="196"/>
            </w:pPr>
            <w:r>
              <w:rPr>
                <w:rFonts w:hint="eastAsia"/>
              </w:rPr>
              <w:t>0.1</w:t>
            </w:r>
          </w:p>
        </w:tc>
      </w:tr>
      <w:tr w14:paraId="57D0F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9A6136F">
            <w:pPr>
              <w:pStyle w:val="196"/>
            </w:pPr>
            <w:r>
              <w:rPr>
                <w:rFonts w:hint="eastAsia"/>
              </w:rPr>
              <w:t>9</w:t>
            </w:r>
          </w:p>
        </w:tc>
        <w:tc>
          <w:tcPr>
            <w:tcW w:w="1621" w:type="pct"/>
            <w:vAlign w:val="center"/>
          </w:tcPr>
          <w:p w14:paraId="734475BE">
            <w:pPr>
              <w:pStyle w:val="196"/>
            </w:pPr>
            <w:r>
              <w:rPr>
                <w:rFonts w:hint="eastAsia"/>
              </w:rPr>
              <w:t>氯化物≤</w:t>
            </w:r>
          </w:p>
        </w:tc>
        <w:tc>
          <w:tcPr>
            <w:tcW w:w="1279" w:type="pct"/>
            <w:vAlign w:val="center"/>
          </w:tcPr>
          <w:p w14:paraId="2465F3EF">
            <w:pPr>
              <w:pStyle w:val="196"/>
            </w:pPr>
            <w:r>
              <w:rPr>
                <w:rFonts w:hint="eastAsia"/>
              </w:rPr>
              <w:t>400</w:t>
            </w:r>
          </w:p>
        </w:tc>
        <w:tc>
          <w:tcPr>
            <w:tcW w:w="1244" w:type="pct"/>
            <w:vAlign w:val="center"/>
          </w:tcPr>
          <w:p w14:paraId="764BDFAD">
            <w:pPr>
              <w:pStyle w:val="196"/>
            </w:pPr>
            <w:r>
              <w:rPr>
                <w:rFonts w:hint="eastAsia"/>
              </w:rPr>
              <w:t>250</w:t>
            </w:r>
          </w:p>
        </w:tc>
      </w:tr>
      <w:tr w14:paraId="1CB74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06B287BF">
            <w:pPr>
              <w:pStyle w:val="196"/>
            </w:pPr>
            <w:r>
              <w:rPr>
                <w:rFonts w:hint="eastAsia"/>
              </w:rPr>
              <w:t>10</w:t>
            </w:r>
          </w:p>
        </w:tc>
        <w:tc>
          <w:tcPr>
            <w:tcW w:w="1621" w:type="pct"/>
            <w:vAlign w:val="center"/>
          </w:tcPr>
          <w:p w14:paraId="0A0E5300">
            <w:pPr>
              <w:pStyle w:val="196"/>
            </w:pPr>
            <w:r>
              <w:rPr>
                <w:rFonts w:hint="eastAsia"/>
              </w:rPr>
              <w:t>二氧化硅≤</w:t>
            </w:r>
          </w:p>
        </w:tc>
        <w:tc>
          <w:tcPr>
            <w:tcW w:w="1279" w:type="pct"/>
            <w:vAlign w:val="center"/>
          </w:tcPr>
          <w:p w14:paraId="6292EBB5">
            <w:pPr>
              <w:pStyle w:val="196"/>
            </w:pPr>
            <w:r>
              <w:rPr>
                <w:rFonts w:hint="eastAsia"/>
              </w:rPr>
              <w:t>50</w:t>
            </w:r>
          </w:p>
        </w:tc>
        <w:tc>
          <w:tcPr>
            <w:tcW w:w="1244" w:type="pct"/>
            <w:vAlign w:val="center"/>
          </w:tcPr>
          <w:p w14:paraId="39696E3F">
            <w:pPr>
              <w:pStyle w:val="196"/>
            </w:pPr>
            <w:r>
              <w:rPr>
                <w:rFonts w:hint="eastAsia"/>
              </w:rPr>
              <w:t>30</w:t>
            </w:r>
          </w:p>
        </w:tc>
      </w:tr>
      <w:tr w14:paraId="787D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3ED8DE9F">
            <w:pPr>
              <w:pStyle w:val="196"/>
            </w:pPr>
            <w:r>
              <w:rPr>
                <w:rFonts w:hint="eastAsia"/>
              </w:rPr>
              <w:t>11</w:t>
            </w:r>
          </w:p>
        </w:tc>
        <w:tc>
          <w:tcPr>
            <w:tcW w:w="1621" w:type="pct"/>
            <w:vAlign w:val="center"/>
          </w:tcPr>
          <w:p w14:paraId="20E1412C">
            <w:pPr>
              <w:pStyle w:val="196"/>
            </w:pPr>
            <w:r>
              <w:rPr>
                <w:rFonts w:hint="eastAsia"/>
              </w:rPr>
              <w:t>总硬度（以CaCO</w:t>
            </w:r>
            <w:r>
              <w:rPr>
                <w:rFonts w:hint="eastAsia"/>
                <w:vertAlign w:val="subscript"/>
              </w:rPr>
              <w:t>3</w:t>
            </w:r>
            <w:r>
              <w:rPr>
                <w:rFonts w:hint="eastAsia"/>
              </w:rPr>
              <w:t>计）≤</w:t>
            </w:r>
          </w:p>
        </w:tc>
        <w:tc>
          <w:tcPr>
            <w:tcW w:w="1279" w:type="pct"/>
            <w:vAlign w:val="center"/>
          </w:tcPr>
          <w:p w14:paraId="7C8DEC6E">
            <w:pPr>
              <w:pStyle w:val="196"/>
            </w:pPr>
            <w:r>
              <w:rPr>
                <w:rFonts w:hint="eastAsia"/>
              </w:rPr>
              <w:t>450</w:t>
            </w:r>
          </w:p>
        </w:tc>
        <w:tc>
          <w:tcPr>
            <w:tcW w:w="1244" w:type="pct"/>
            <w:vAlign w:val="center"/>
          </w:tcPr>
          <w:p w14:paraId="6BB421AF">
            <w:pPr>
              <w:pStyle w:val="196"/>
            </w:pPr>
            <w:r>
              <w:rPr>
                <w:rFonts w:hint="eastAsia"/>
              </w:rPr>
              <w:t>450</w:t>
            </w:r>
          </w:p>
        </w:tc>
      </w:tr>
      <w:tr w14:paraId="4829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2A07098">
            <w:pPr>
              <w:pStyle w:val="196"/>
            </w:pPr>
            <w:r>
              <w:rPr>
                <w:rFonts w:hint="eastAsia"/>
              </w:rPr>
              <w:t>12</w:t>
            </w:r>
          </w:p>
        </w:tc>
        <w:tc>
          <w:tcPr>
            <w:tcW w:w="1621" w:type="pct"/>
            <w:vAlign w:val="center"/>
          </w:tcPr>
          <w:p w14:paraId="100C716E">
            <w:pPr>
              <w:pStyle w:val="196"/>
            </w:pPr>
            <w:r>
              <w:rPr>
                <w:rFonts w:hint="eastAsia"/>
              </w:rPr>
              <w:t>总碱度（以CaCO</w:t>
            </w:r>
            <w:r>
              <w:rPr>
                <w:rFonts w:hint="eastAsia"/>
                <w:vertAlign w:val="subscript"/>
              </w:rPr>
              <w:t>3</w:t>
            </w:r>
            <w:r>
              <w:rPr>
                <w:rFonts w:hint="eastAsia"/>
              </w:rPr>
              <w:t>计）≤</w:t>
            </w:r>
          </w:p>
        </w:tc>
        <w:tc>
          <w:tcPr>
            <w:tcW w:w="1279" w:type="pct"/>
            <w:vAlign w:val="center"/>
          </w:tcPr>
          <w:p w14:paraId="48684654">
            <w:pPr>
              <w:pStyle w:val="196"/>
            </w:pPr>
            <w:r>
              <w:rPr>
                <w:rFonts w:hint="eastAsia"/>
              </w:rPr>
              <w:t>350</w:t>
            </w:r>
          </w:p>
        </w:tc>
        <w:tc>
          <w:tcPr>
            <w:tcW w:w="1244" w:type="pct"/>
            <w:vAlign w:val="center"/>
          </w:tcPr>
          <w:p w14:paraId="635ED549">
            <w:pPr>
              <w:pStyle w:val="196"/>
            </w:pPr>
            <w:r>
              <w:rPr>
                <w:rFonts w:hint="eastAsia"/>
              </w:rPr>
              <w:t>350</w:t>
            </w:r>
          </w:p>
        </w:tc>
      </w:tr>
      <w:tr w14:paraId="3F7F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317448D">
            <w:pPr>
              <w:pStyle w:val="196"/>
            </w:pPr>
            <w:r>
              <w:rPr>
                <w:rFonts w:hint="eastAsia"/>
              </w:rPr>
              <w:t>13</w:t>
            </w:r>
          </w:p>
        </w:tc>
        <w:tc>
          <w:tcPr>
            <w:tcW w:w="1621" w:type="pct"/>
            <w:vAlign w:val="center"/>
          </w:tcPr>
          <w:p w14:paraId="5EADC2D7">
            <w:pPr>
              <w:pStyle w:val="196"/>
            </w:pPr>
            <w:r>
              <w:rPr>
                <w:rFonts w:hint="eastAsia"/>
              </w:rPr>
              <w:t>硫酸盐≤</w:t>
            </w:r>
          </w:p>
        </w:tc>
        <w:tc>
          <w:tcPr>
            <w:tcW w:w="1279" w:type="pct"/>
            <w:vAlign w:val="center"/>
          </w:tcPr>
          <w:p w14:paraId="4B18A86B">
            <w:pPr>
              <w:pStyle w:val="196"/>
            </w:pPr>
            <w:r>
              <w:rPr>
                <w:rFonts w:hint="eastAsia"/>
              </w:rPr>
              <w:t>600</w:t>
            </w:r>
          </w:p>
        </w:tc>
        <w:tc>
          <w:tcPr>
            <w:tcW w:w="1244" w:type="pct"/>
            <w:vAlign w:val="center"/>
          </w:tcPr>
          <w:p w14:paraId="0C01E372">
            <w:pPr>
              <w:pStyle w:val="196"/>
            </w:pPr>
            <w:r>
              <w:rPr>
                <w:rFonts w:hint="eastAsia"/>
              </w:rPr>
              <w:t>250</w:t>
            </w:r>
          </w:p>
        </w:tc>
      </w:tr>
      <w:tr w14:paraId="3C68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10BA1462">
            <w:pPr>
              <w:pStyle w:val="196"/>
            </w:pPr>
            <w:r>
              <w:rPr>
                <w:rFonts w:hint="eastAsia"/>
              </w:rPr>
              <w:t>14</w:t>
            </w:r>
          </w:p>
        </w:tc>
        <w:tc>
          <w:tcPr>
            <w:tcW w:w="1621" w:type="pct"/>
            <w:vAlign w:val="center"/>
          </w:tcPr>
          <w:p w14:paraId="4DAC9D7C">
            <w:pPr>
              <w:pStyle w:val="196"/>
            </w:pPr>
            <w:r>
              <w:rPr>
                <w:rFonts w:hint="eastAsia"/>
              </w:rPr>
              <w:t>氨氮≤</w:t>
            </w:r>
          </w:p>
        </w:tc>
        <w:tc>
          <w:tcPr>
            <w:tcW w:w="1279" w:type="pct"/>
            <w:vAlign w:val="center"/>
          </w:tcPr>
          <w:p w14:paraId="72228C7D">
            <w:pPr>
              <w:pStyle w:val="196"/>
            </w:pPr>
            <w:r>
              <w:rPr>
                <w:rFonts w:hint="eastAsia"/>
              </w:rPr>
              <w:t>5</w:t>
            </w:r>
          </w:p>
        </w:tc>
        <w:tc>
          <w:tcPr>
            <w:tcW w:w="1244" w:type="pct"/>
            <w:vAlign w:val="center"/>
          </w:tcPr>
          <w:p w14:paraId="32748D93">
            <w:pPr>
              <w:pStyle w:val="196"/>
            </w:pPr>
            <w:r>
              <w:rPr>
                <w:rFonts w:hint="eastAsia"/>
              </w:rPr>
              <w:t>5</w:t>
            </w:r>
          </w:p>
        </w:tc>
      </w:tr>
      <w:tr w14:paraId="7EC9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D98F2A9">
            <w:pPr>
              <w:pStyle w:val="196"/>
            </w:pPr>
            <w:r>
              <w:rPr>
                <w:rFonts w:hint="eastAsia"/>
              </w:rPr>
              <w:t>15</w:t>
            </w:r>
          </w:p>
        </w:tc>
        <w:tc>
          <w:tcPr>
            <w:tcW w:w="1621" w:type="pct"/>
            <w:vAlign w:val="center"/>
          </w:tcPr>
          <w:p w14:paraId="6FA24862">
            <w:pPr>
              <w:pStyle w:val="196"/>
            </w:pPr>
            <w:r>
              <w:rPr>
                <w:rFonts w:hint="eastAsia"/>
              </w:rPr>
              <w:t>总磷≤</w:t>
            </w:r>
          </w:p>
        </w:tc>
        <w:tc>
          <w:tcPr>
            <w:tcW w:w="1279" w:type="pct"/>
            <w:vAlign w:val="center"/>
          </w:tcPr>
          <w:p w14:paraId="3FBFD5B5">
            <w:pPr>
              <w:pStyle w:val="196"/>
            </w:pPr>
            <w:r>
              <w:rPr>
                <w:rFonts w:hint="eastAsia"/>
              </w:rPr>
              <w:t>0.5</w:t>
            </w:r>
          </w:p>
        </w:tc>
        <w:tc>
          <w:tcPr>
            <w:tcW w:w="1244" w:type="pct"/>
            <w:vAlign w:val="center"/>
          </w:tcPr>
          <w:p w14:paraId="3D764F34">
            <w:pPr>
              <w:pStyle w:val="196"/>
            </w:pPr>
            <w:r>
              <w:rPr>
                <w:rFonts w:hint="eastAsia"/>
              </w:rPr>
              <w:t>0.5</w:t>
            </w:r>
          </w:p>
        </w:tc>
      </w:tr>
      <w:tr w14:paraId="75EF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0E3D06D7">
            <w:pPr>
              <w:pStyle w:val="196"/>
            </w:pPr>
            <w:r>
              <w:rPr>
                <w:rFonts w:hint="eastAsia"/>
              </w:rPr>
              <w:t>16</w:t>
            </w:r>
          </w:p>
        </w:tc>
        <w:tc>
          <w:tcPr>
            <w:tcW w:w="1621" w:type="pct"/>
            <w:vAlign w:val="center"/>
          </w:tcPr>
          <w:p w14:paraId="563C21D3">
            <w:pPr>
              <w:pStyle w:val="196"/>
            </w:pPr>
            <w:r>
              <w:rPr>
                <w:rFonts w:hint="eastAsia"/>
              </w:rPr>
              <w:t>溶解性总固体≤</w:t>
            </w:r>
          </w:p>
        </w:tc>
        <w:tc>
          <w:tcPr>
            <w:tcW w:w="1279" w:type="pct"/>
            <w:vAlign w:val="center"/>
          </w:tcPr>
          <w:p w14:paraId="5BEA6C93">
            <w:pPr>
              <w:pStyle w:val="196"/>
            </w:pPr>
            <w:r>
              <w:rPr>
                <w:rFonts w:hint="eastAsia"/>
              </w:rPr>
              <w:t>1500</w:t>
            </w:r>
          </w:p>
        </w:tc>
        <w:tc>
          <w:tcPr>
            <w:tcW w:w="1244" w:type="pct"/>
            <w:vAlign w:val="center"/>
          </w:tcPr>
          <w:p w14:paraId="4B5423D6">
            <w:pPr>
              <w:pStyle w:val="196"/>
            </w:pPr>
            <w:r>
              <w:rPr>
                <w:rFonts w:hint="eastAsia"/>
              </w:rPr>
              <w:t>1000</w:t>
            </w:r>
          </w:p>
        </w:tc>
      </w:tr>
      <w:tr w14:paraId="4A70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03ECAEF0">
            <w:pPr>
              <w:pStyle w:val="196"/>
            </w:pPr>
            <w:r>
              <w:rPr>
                <w:rFonts w:hint="eastAsia"/>
              </w:rPr>
              <w:t>17</w:t>
            </w:r>
          </w:p>
        </w:tc>
        <w:tc>
          <w:tcPr>
            <w:tcW w:w="1621" w:type="pct"/>
            <w:vAlign w:val="center"/>
          </w:tcPr>
          <w:p w14:paraId="29FFCFBB">
            <w:pPr>
              <w:pStyle w:val="196"/>
            </w:pPr>
            <w:r>
              <w:rPr>
                <w:rFonts w:hint="eastAsia"/>
              </w:rPr>
              <w:t>石油类≤</w:t>
            </w:r>
          </w:p>
        </w:tc>
        <w:tc>
          <w:tcPr>
            <w:tcW w:w="1279" w:type="pct"/>
            <w:vAlign w:val="center"/>
          </w:tcPr>
          <w:p w14:paraId="55D108A8">
            <w:pPr>
              <w:pStyle w:val="196"/>
            </w:pPr>
            <w:r>
              <w:rPr>
                <w:rFonts w:hint="eastAsia"/>
              </w:rPr>
              <w:t>1</w:t>
            </w:r>
          </w:p>
        </w:tc>
        <w:tc>
          <w:tcPr>
            <w:tcW w:w="1244" w:type="pct"/>
            <w:vAlign w:val="center"/>
          </w:tcPr>
          <w:p w14:paraId="4F45F90F">
            <w:pPr>
              <w:pStyle w:val="196"/>
            </w:pPr>
            <w:r>
              <w:rPr>
                <w:rFonts w:hint="eastAsia"/>
              </w:rPr>
              <w:t>1</w:t>
            </w:r>
          </w:p>
        </w:tc>
      </w:tr>
      <w:tr w14:paraId="6C9D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5DE0FE18">
            <w:pPr>
              <w:pStyle w:val="196"/>
            </w:pPr>
            <w:r>
              <w:rPr>
                <w:rFonts w:hint="eastAsia"/>
              </w:rPr>
              <w:t>18</w:t>
            </w:r>
          </w:p>
        </w:tc>
        <w:tc>
          <w:tcPr>
            <w:tcW w:w="1621" w:type="pct"/>
            <w:vAlign w:val="center"/>
          </w:tcPr>
          <w:p w14:paraId="1B80B989">
            <w:pPr>
              <w:pStyle w:val="196"/>
            </w:pPr>
            <w:r>
              <w:rPr>
                <w:rFonts w:hint="eastAsia"/>
              </w:rPr>
              <w:t>阴离子表面活性剂≤</w:t>
            </w:r>
          </w:p>
        </w:tc>
        <w:tc>
          <w:tcPr>
            <w:tcW w:w="1279" w:type="pct"/>
            <w:vAlign w:val="center"/>
          </w:tcPr>
          <w:p w14:paraId="345A75F1">
            <w:pPr>
              <w:pStyle w:val="196"/>
            </w:pPr>
            <w:r>
              <w:rPr>
                <w:rFonts w:hint="eastAsia"/>
              </w:rPr>
              <w:t>0.5</w:t>
            </w:r>
          </w:p>
        </w:tc>
        <w:tc>
          <w:tcPr>
            <w:tcW w:w="1244" w:type="pct"/>
            <w:vAlign w:val="center"/>
          </w:tcPr>
          <w:p w14:paraId="0D6B68BC">
            <w:pPr>
              <w:pStyle w:val="196"/>
            </w:pPr>
            <w:r>
              <w:rPr>
                <w:rFonts w:hint="eastAsia"/>
              </w:rPr>
              <w:t>0.5</w:t>
            </w:r>
          </w:p>
        </w:tc>
      </w:tr>
      <w:tr w14:paraId="7B6C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7637743D">
            <w:pPr>
              <w:pStyle w:val="196"/>
            </w:pPr>
            <w:r>
              <w:rPr>
                <w:rFonts w:hint="eastAsia"/>
              </w:rPr>
              <w:t>19</w:t>
            </w:r>
          </w:p>
        </w:tc>
        <w:tc>
          <w:tcPr>
            <w:tcW w:w="1621" w:type="pct"/>
            <w:vAlign w:val="center"/>
          </w:tcPr>
          <w:p w14:paraId="48733B2D">
            <w:pPr>
              <w:pStyle w:val="196"/>
            </w:pPr>
            <w:r>
              <w:rPr>
                <w:rFonts w:hint="eastAsia"/>
              </w:rPr>
              <w:t>余氯≤</w:t>
            </w:r>
          </w:p>
        </w:tc>
        <w:tc>
          <w:tcPr>
            <w:tcW w:w="1279" w:type="pct"/>
            <w:vAlign w:val="center"/>
          </w:tcPr>
          <w:p w14:paraId="07B2004C">
            <w:pPr>
              <w:pStyle w:val="196"/>
            </w:pPr>
            <w:r>
              <w:rPr>
                <w:rFonts w:hint="eastAsia"/>
              </w:rPr>
              <w:t>0.1~0.2</w:t>
            </w:r>
          </w:p>
        </w:tc>
        <w:tc>
          <w:tcPr>
            <w:tcW w:w="1244" w:type="pct"/>
            <w:vAlign w:val="center"/>
          </w:tcPr>
          <w:p w14:paraId="52C21A02">
            <w:pPr>
              <w:pStyle w:val="196"/>
            </w:pPr>
            <w:r>
              <w:rPr>
                <w:rFonts w:hint="eastAsia"/>
              </w:rPr>
              <w:t>0.1~0.2</w:t>
            </w:r>
          </w:p>
        </w:tc>
      </w:tr>
      <w:tr w14:paraId="3A20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857" w:type="pct"/>
            <w:vAlign w:val="center"/>
          </w:tcPr>
          <w:p w14:paraId="0F680CE3">
            <w:pPr>
              <w:pStyle w:val="196"/>
            </w:pPr>
            <w:r>
              <w:rPr>
                <w:rFonts w:hint="eastAsia"/>
              </w:rPr>
              <w:t>20</w:t>
            </w:r>
          </w:p>
        </w:tc>
        <w:tc>
          <w:tcPr>
            <w:tcW w:w="1621" w:type="pct"/>
            <w:vAlign w:val="center"/>
          </w:tcPr>
          <w:p w14:paraId="25C316F1">
            <w:pPr>
              <w:pStyle w:val="196"/>
            </w:pPr>
            <w:r>
              <w:rPr>
                <w:rFonts w:hint="eastAsia"/>
              </w:rPr>
              <w:t>粪大肠杆菌群≤</w:t>
            </w:r>
          </w:p>
        </w:tc>
        <w:tc>
          <w:tcPr>
            <w:tcW w:w="1279" w:type="pct"/>
            <w:vAlign w:val="center"/>
          </w:tcPr>
          <w:p w14:paraId="4853D10D">
            <w:pPr>
              <w:pStyle w:val="196"/>
            </w:pPr>
            <w:r>
              <w:rPr>
                <w:rFonts w:hint="eastAsia"/>
              </w:rPr>
              <w:t>1000</w:t>
            </w:r>
          </w:p>
        </w:tc>
        <w:tc>
          <w:tcPr>
            <w:tcW w:w="1244" w:type="pct"/>
            <w:vAlign w:val="center"/>
          </w:tcPr>
          <w:p w14:paraId="5287ADB9">
            <w:pPr>
              <w:pStyle w:val="196"/>
            </w:pPr>
            <w:r>
              <w:rPr>
                <w:rFonts w:hint="eastAsia"/>
              </w:rPr>
              <w:t>1000</w:t>
            </w:r>
          </w:p>
        </w:tc>
      </w:tr>
    </w:tbl>
    <w:p w14:paraId="095F3437">
      <w:pPr>
        <w:pStyle w:val="86"/>
      </w:pPr>
      <w:r>
        <w:rPr>
          <w:rFonts w:hint="eastAsia"/>
        </w:rPr>
        <w:t>船舶水污染物排放控制标准</w:t>
      </w:r>
    </w:p>
    <w:tbl>
      <w:tblPr>
        <w:tblStyle w:val="3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06"/>
        <w:gridCol w:w="983"/>
        <w:gridCol w:w="2898"/>
        <w:gridCol w:w="3585"/>
      </w:tblGrid>
      <w:tr w14:paraId="05A9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5" w:type="pct"/>
            <w:vAlign w:val="center"/>
          </w:tcPr>
          <w:p w14:paraId="2462DB61">
            <w:pPr>
              <w:pStyle w:val="196"/>
              <w:rPr>
                <w:b/>
                <w:bCs/>
              </w:rPr>
            </w:pPr>
            <w:r>
              <w:rPr>
                <w:rFonts w:hint="eastAsia"/>
                <w:b/>
                <w:bCs/>
              </w:rPr>
              <w:t>污染物种类</w:t>
            </w:r>
          </w:p>
        </w:tc>
        <w:tc>
          <w:tcPr>
            <w:tcW w:w="542" w:type="pct"/>
            <w:vAlign w:val="center"/>
          </w:tcPr>
          <w:p w14:paraId="7F86D0F5">
            <w:pPr>
              <w:pStyle w:val="196"/>
              <w:rPr>
                <w:b/>
                <w:bCs/>
              </w:rPr>
            </w:pPr>
            <w:r>
              <w:rPr>
                <w:rFonts w:hint="eastAsia"/>
                <w:b/>
                <w:bCs/>
              </w:rPr>
              <w:t>水域类别</w:t>
            </w:r>
          </w:p>
        </w:tc>
        <w:tc>
          <w:tcPr>
            <w:tcW w:w="1597" w:type="pct"/>
            <w:vAlign w:val="center"/>
          </w:tcPr>
          <w:p w14:paraId="720B3419">
            <w:pPr>
              <w:pStyle w:val="196"/>
              <w:rPr>
                <w:b/>
                <w:bCs/>
              </w:rPr>
            </w:pPr>
            <w:r>
              <w:rPr>
                <w:rFonts w:hint="eastAsia"/>
                <w:b/>
                <w:bCs/>
              </w:rPr>
              <w:t>船舶类别</w:t>
            </w:r>
          </w:p>
        </w:tc>
        <w:tc>
          <w:tcPr>
            <w:tcW w:w="1976" w:type="pct"/>
            <w:vAlign w:val="center"/>
          </w:tcPr>
          <w:p w14:paraId="32DA8EE8">
            <w:pPr>
              <w:pStyle w:val="196"/>
              <w:rPr>
                <w:b/>
                <w:bCs/>
              </w:rPr>
            </w:pPr>
            <w:r>
              <w:rPr>
                <w:rFonts w:hint="eastAsia"/>
                <w:b/>
                <w:bCs/>
              </w:rPr>
              <w:t>规定</w:t>
            </w:r>
          </w:p>
        </w:tc>
      </w:tr>
      <w:tr w14:paraId="4B1F6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85" w:type="pct"/>
            <w:vMerge w:val="restart"/>
            <w:vAlign w:val="center"/>
          </w:tcPr>
          <w:p w14:paraId="43B503CD">
            <w:pPr>
              <w:pStyle w:val="196"/>
            </w:pPr>
            <w:r>
              <w:rPr>
                <w:rFonts w:hint="eastAsia"/>
              </w:rPr>
              <w:t>船舶含油污水</w:t>
            </w:r>
          </w:p>
        </w:tc>
        <w:tc>
          <w:tcPr>
            <w:tcW w:w="542" w:type="pct"/>
            <w:vMerge w:val="restart"/>
            <w:vAlign w:val="center"/>
          </w:tcPr>
          <w:p w14:paraId="125FA6C4">
            <w:pPr>
              <w:pStyle w:val="196"/>
            </w:pPr>
            <w:r>
              <w:rPr>
                <w:rFonts w:hint="eastAsia"/>
              </w:rPr>
              <w:t>内河</w:t>
            </w:r>
          </w:p>
        </w:tc>
        <w:tc>
          <w:tcPr>
            <w:tcW w:w="1597" w:type="pct"/>
            <w:vAlign w:val="center"/>
          </w:tcPr>
          <w:p w14:paraId="7A8D7821">
            <w:pPr>
              <w:pStyle w:val="196"/>
            </w:pPr>
            <w:r>
              <w:rPr>
                <w:rFonts w:hint="eastAsia"/>
              </w:rPr>
              <w:t>2021年1月1日之前建造的船舶</w:t>
            </w:r>
          </w:p>
        </w:tc>
        <w:tc>
          <w:tcPr>
            <w:tcW w:w="1976" w:type="pct"/>
            <w:vAlign w:val="center"/>
          </w:tcPr>
          <w:p w14:paraId="20467C68">
            <w:pPr>
              <w:pStyle w:val="196"/>
            </w:pPr>
            <w:r>
              <w:rPr>
                <w:rFonts w:hint="eastAsia"/>
              </w:rPr>
              <w:t>自2018年7月1日起，按油污水处理装置出水口石油类浓度15mg/L，或收集并排入接收设施。</w:t>
            </w:r>
          </w:p>
        </w:tc>
      </w:tr>
      <w:tr w14:paraId="4BEF7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14:paraId="0E32FE57">
            <w:pPr>
              <w:pStyle w:val="196"/>
            </w:pPr>
          </w:p>
        </w:tc>
        <w:tc>
          <w:tcPr>
            <w:tcW w:w="0" w:type="auto"/>
            <w:vMerge w:val="continue"/>
            <w:vAlign w:val="center"/>
          </w:tcPr>
          <w:p w14:paraId="5553FB23">
            <w:pPr>
              <w:pStyle w:val="196"/>
            </w:pPr>
          </w:p>
        </w:tc>
        <w:tc>
          <w:tcPr>
            <w:tcW w:w="1597" w:type="pct"/>
            <w:vAlign w:val="center"/>
          </w:tcPr>
          <w:p w14:paraId="11D65C03">
            <w:pPr>
              <w:pStyle w:val="196"/>
            </w:pPr>
            <w:r>
              <w:rPr>
                <w:rFonts w:hint="eastAsia"/>
              </w:rPr>
              <w:t>2021年1月1日之后建造的船舶</w:t>
            </w:r>
          </w:p>
        </w:tc>
        <w:tc>
          <w:tcPr>
            <w:tcW w:w="1976" w:type="pct"/>
            <w:vAlign w:val="center"/>
          </w:tcPr>
          <w:p w14:paraId="6794A0F3">
            <w:pPr>
              <w:pStyle w:val="196"/>
            </w:pPr>
            <w:r>
              <w:rPr>
                <w:rFonts w:hint="eastAsia"/>
              </w:rPr>
              <w:t>收集并排入接收设施</w:t>
            </w:r>
          </w:p>
        </w:tc>
      </w:tr>
    </w:tbl>
    <w:p w14:paraId="287928CE">
      <w:pPr>
        <w:pStyle w:val="86"/>
      </w:pPr>
      <w:r>
        <w:rPr>
          <w:rFonts w:hint="eastAsia"/>
        </w:rPr>
        <w:t>生活污水回用执行标准</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3118"/>
        <w:gridCol w:w="1985"/>
        <w:gridCol w:w="3112"/>
      </w:tblGrid>
      <w:tr w14:paraId="0579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46" w:type="dxa"/>
            <w:vAlign w:val="center"/>
          </w:tcPr>
          <w:p w14:paraId="785D3EC1">
            <w:pPr>
              <w:pStyle w:val="218"/>
              <w:rPr>
                <w:b/>
                <w:bCs/>
                <w:color w:val="auto"/>
              </w:rPr>
            </w:pPr>
            <w:r>
              <w:rPr>
                <w:rFonts w:hint="eastAsia"/>
                <w:b/>
                <w:bCs/>
                <w:color w:val="auto"/>
              </w:rPr>
              <w:t>序号</w:t>
            </w:r>
          </w:p>
        </w:tc>
        <w:tc>
          <w:tcPr>
            <w:tcW w:w="3118" w:type="dxa"/>
            <w:vAlign w:val="center"/>
          </w:tcPr>
          <w:p w14:paraId="2C3D6581">
            <w:pPr>
              <w:pStyle w:val="218"/>
              <w:rPr>
                <w:b/>
                <w:bCs/>
                <w:color w:val="auto"/>
              </w:rPr>
            </w:pPr>
            <w:r>
              <w:rPr>
                <w:rFonts w:hint="eastAsia"/>
                <w:b/>
                <w:bCs/>
                <w:color w:val="auto"/>
              </w:rPr>
              <w:t>项目</w:t>
            </w:r>
          </w:p>
        </w:tc>
        <w:tc>
          <w:tcPr>
            <w:tcW w:w="1985" w:type="dxa"/>
            <w:vAlign w:val="center"/>
          </w:tcPr>
          <w:p w14:paraId="4A6BD536">
            <w:pPr>
              <w:pStyle w:val="218"/>
              <w:rPr>
                <w:b/>
                <w:bCs/>
                <w:color w:val="auto"/>
              </w:rPr>
            </w:pPr>
            <w:r>
              <w:rPr>
                <w:rFonts w:hint="eastAsia"/>
                <w:b/>
                <w:bCs/>
                <w:color w:val="auto"/>
              </w:rPr>
              <w:t>冲厕、车辆冲洗</w:t>
            </w:r>
          </w:p>
        </w:tc>
        <w:tc>
          <w:tcPr>
            <w:tcW w:w="3112" w:type="dxa"/>
            <w:vAlign w:val="center"/>
          </w:tcPr>
          <w:p w14:paraId="25DF602C">
            <w:pPr>
              <w:pStyle w:val="218"/>
              <w:rPr>
                <w:b/>
                <w:bCs/>
                <w:color w:val="auto"/>
              </w:rPr>
            </w:pPr>
            <w:r>
              <w:rPr>
                <w:rFonts w:hint="eastAsia"/>
                <w:b/>
                <w:bCs/>
                <w:color w:val="auto"/>
              </w:rPr>
              <w:t>城市绿化、道路清扫、消防、建筑施工</w:t>
            </w:r>
          </w:p>
        </w:tc>
      </w:tr>
      <w:tr w14:paraId="603F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4AD5DBB">
            <w:pPr>
              <w:pStyle w:val="218"/>
              <w:rPr>
                <w:color w:val="auto"/>
              </w:rPr>
            </w:pPr>
            <w:r>
              <w:rPr>
                <w:color w:val="auto"/>
              </w:rPr>
              <w:t>1</w:t>
            </w:r>
          </w:p>
        </w:tc>
        <w:tc>
          <w:tcPr>
            <w:tcW w:w="3118" w:type="dxa"/>
            <w:vAlign w:val="center"/>
          </w:tcPr>
          <w:p w14:paraId="59F194FE">
            <w:pPr>
              <w:pStyle w:val="218"/>
              <w:rPr>
                <w:color w:val="auto"/>
              </w:rPr>
            </w:pPr>
            <w:r>
              <w:rPr>
                <w:color w:val="auto"/>
              </w:rPr>
              <w:t>pH</w:t>
            </w:r>
          </w:p>
        </w:tc>
        <w:tc>
          <w:tcPr>
            <w:tcW w:w="1985" w:type="dxa"/>
            <w:vAlign w:val="center"/>
          </w:tcPr>
          <w:p w14:paraId="23EDA7BF">
            <w:pPr>
              <w:pStyle w:val="218"/>
              <w:rPr>
                <w:color w:val="auto"/>
              </w:rPr>
            </w:pPr>
            <w:r>
              <w:rPr>
                <w:color w:val="auto"/>
              </w:rPr>
              <w:t>6.0~9.0</w:t>
            </w:r>
          </w:p>
        </w:tc>
        <w:tc>
          <w:tcPr>
            <w:tcW w:w="3112" w:type="dxa"/>
            <w:vAlign w:val="center"/>
          </w:tcPr>
          <w:p w14:paraId="6F490B32">
            <w:pPr>
              <w:pStyle w:val="218"/>
              <w:rPr>
                <w:color w:val="auto"/>
              </w:rPr>
            </w:pPr>
            <w:r>
              <w:rPr>
                <w:color w:val="auto"/>
              </w:rPr>
              <w:t>6.0-9.0</w:t>
            </w:r>
          </w:p>
        </w:tc>
      </w:tr>
      <w:tr w14:paraId="4905B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F68A8EE">
            <w:pPr>
              <w:pStyle w:val="218"/>
              <w:rPr>
                <w:color w:val="auto"/>
              </w:rPr>
            </w:pPr>
            <w:r>
              <w:rPr>
                <w:rFonts w:hint="eastAsia"/>
                <w:color w:val="auto"/>
              </w:rPr>
              <w:t>2</w:t>
            </w:r>
          </w:p>
        </w:tc>
        <w:tc>
          <w:tcPr>
            <w:tcW w:w="3118" w:type="dxa"/>
            <w:vAlign w:val="center"/>
          </w:tcPr>
          <w:p w14:paraId="6D259D02">
            <w:pPr>
              <w:pStyle w:val="218"/>
              <w:rPr>
                <w:color w:val="auto"/>
              </w:rPr>
            </w:pPr>
            <w:r>
              <w:rPr>
                <w:rFonts w:hint="eastAsia"/>
                <w:color w:val="auto"/>
              </w:rPr>
              <w:t>色度</w:t>
            </w:r>
            <w:r>
              <w:rPr>
                <w:rFonts w:hint="eastAsia"/>
                <w:color w:val="auto"/>
                <w:lang w:eastAsia="zh-CN"/>
              </w:rPr>
              <w:t>，</w:t>
            </w:r>
            <w:r>
              <w:rPr>
                <w:rFonts w:hint="eastAsia"/>
                <w:color w:val="auto"/>
              </w:rPr>
              <w:t>铂钴色度单位</w:t>
            </w:r>
          </w:p>
        </w:tc>
        <w:tc>
          <w:tcPr>
            <w:tcW w:w="1985" w:type="dxa"/>
            <w:vAlign w:val="center"/>
          </w:tcPr>
          <w:p w14:paraId="57053AF4">
            <w:pPr>
              <w:pStyle w:val="218"/>
              <w:rPr>
                <w:color w:val="auto"/>
              </w:rPr>
            </w:pPr>
            <w:r>
              <w:rPr>
                <w:rFonts w:hint="eastAsia"/>
                <w:color w:val="auto"/>
              </w:rPr>
              <w:t>15</w:t>
            </w:r>
          </w:p>
        </w:tc>
        <w:tc>
          <w:tcPr>
            <w:tcW w:w="3112" w:type="dxa"/>
            <w:vAlign w:val="center"/>
          </w:tcPr>
          <w:p w14:paraId="7EB38BC3">
            <w:pPr>
              <w:pStyle w:val="218"/>
              <w:rPr>
                <w:color w:val="auto"/>
              </w:rPr>
            </w:pPr>
            <w:r>
              <w:rPr>
                <w:rFonts w:hint="eastAsia"/>
                <w:color w:val="auto"/>
              </w:rPr>
              <w:t>30</w:t>
            </w:r>
          </w:p>
        </w:tc>
      </w:tr>
      <w:tr w14:paraId="0EBC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A897A4A">
            <w:pPr>
              <w:pStyle w:val="218"/>
              <w:rPr>
                <w:color w:val="auto"/>
              </w:rPr>
            </w:pPr>
            <w:r>
              <w:rPr>
                <w:rFonts w:hint="eastAsia"/>
                <w:color w:val="auto"/>
              </w:rPr>
              <w:t>3</w:t>
            </w:r>
          </w:p>
        </w:tc>
        <w:tc>
          <w:tcPr>
            <w:tcW w:w="3118" w:type="dxa"/>
            <w:vAlign w:val="center"/>
          </w:tcPr>
          <w:p w14:paraId="07256B1D">
            <w:pPr>
              <w:pStyle w:val="218"/>
              <w:rPr>
                <w:color w:val="auto"/>
              </w:rPr>
            </w:pPr>
            <w:r>
              <w:rPr>
                <w:rFonts w:hint="eastAsia"/>
                <w:color w:val="auto"/>
              </w:rPr>
              <w:t>嗅</w:t>
            </w:r>
          </w:p>
        </w:tc>
        <w:tc>
          <w:tcPr>
            <w:tcW w:w="1985" w:type="dxa"/>
            <w:vAlign w:val="center"/>
          </w:tcPr>
          <w:p w14:paraId="418ADF53">
            <w:pPr>
              <w:pStyle w:val="218"/>
              <w:rPr>
                <w:color w:val="auto"/>
              </w:rPr>
            </w:pPr>
            <w:r>
              <w:rPr>
                <w:rFonts w:hint="eastAsia"/>
                <w:color w:val="auto"/>
              </w:rPr>
              <w:t>无不快感</w:t>
            </w:r>
          </w:p>
        </w:tc>
        <w:tc>
          <w:tcPr>
            <w:tcW w:w="3112" w:type="dxa"/>
            <w:vAlign w:val="center"/>
          </w:tcPr>
          <w:p w14:paraId="07A637F1">
            <w:pPr>
              <w:pStyle w:val="218"/>
              <w:rPr>
                <w:color w:val="auto"/>
              </w:rPr>
            </w:pPr>
            <w:r>
              <w:rPr>
                <w:rFonts w:hint="eastAsia"/>
                <w:color w:val="auto"/>
              </w:rPr>
              <w:t>无不快感</w:t>
            </w:r>
          </w:p>
        </w:tc>
      </w:tr>
      <w:tr w14:paraId="4614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A764B06">
            <w:pPr>
              <w:pStyle w:val="218"/>
              <w:rPr>
                <w:color w:val="auto"/>
              </w:rPr>
            </w:pPr>
            <w:r>
              <w:rPr>
                <w:rFonts w:hint="eastAsia"/>
                <w:color w:val="auto"/>
              </w:rPr>
              <w:t>4</w:t>
            </w:r>
          </w:p>
        </w:tc>
        <w:tc>
          <w:tcPr>
            <w:tcW w:w="3118" w:type="dxa"/>
            <w:vAlign w:val="center"/>
          </w:tcPr>
          <w:p w14:paraId="27292396">
            <w:pPr>
              <w:pStyle w:val="218"/>
              <w:rPr>
                <w:color w:val="auto"/>
              </w:rPr>
            </w:pPr>
            <w:r>
              <w:rPr>
                <w:rFonts w:hint="eastAsia"/>
                <w:color w:val="auto"/>
              </w:rPr>
              <w:t>浊度/NTU</w:t>
            </w:r>
          </w:p>
        </w:tc>
        <w:tc>
          <w:tcPr>
            <w:tcW w:w="1985" w:type="dxa"/>
            <w:vAlign w:val="center"/>
          </w:tcPr>
          <w:p w14:paraId="7046F573">
            <w:pPr>
              <w:pStyle w:val="218"/>
              <w:rPr>
                <w:color w:val="auto"/>
              </w:rPr>
            </w:pPr>
            <w:r>
              <w:rPr>
                <w:rFonts w:hint="eastAsia"/>
                <w:color w:val="auto"/>
              </w:rPr>
              <w:t>5</w:t>
            </w:r>
          </w:p>
        </w:tc>
        <w:tc>
          <w:tcPr>
            <w:tcW w:w="3112" w:type="dxa"/>
            <w:vAlign w:val="center"/>
          </w:tcPr>
          <w:p w14:paraId="6D433350">
            <w:pPr>
              <w:pStyle w:val="218"/>
              <w:rPr>
                <w:color w:val="auto"/>
              </w:rPr>
            </w:pPr>
            <w:r>
              <w:rPr>
                <w:rFonts w:hint="eastAsia"/>
                <w:color w:val="auto"/>
              </w:rPr>
              <w:t>10</w:t>
            </w:r>
          </w:p>
        </w:tc>
      </w:tr>
      <w:tr w14:paraId="3D4F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87420DF">
            <w:pPr>
              <w:pStyle w:val="218"/>
              <w:rPr>
                <w:color w:val="auto"/>
              </w:rPr>
            </w:pPr>
            <w:r>
              <w:rPr>
                <w:rFonts w:hint="eastAsia"/>
                <w:color w:val="auto"/>
              </w:rPr>
              <w:t>5</w:t>
            </w:r>
          </w:p>
        </w:tc>
        <w:tc>
          <w:tcPr>
            <w:tcW w:w="3118" w:type="dxa"/>
            <w:vAlign w:val="center"/>
          </w:tcPr>
          <w:p w14:paraId="3A1DCE00">
            <w:pPr>
              <w:pStyle w:val="218"/>
              <w:rPr>
                <w:color w:val="auto"/>
              </w:rPr>
            </w:pPr>
            <w:r>
              <w:rPr>
                <w:rFonts w:hint="eastAsia"/>
                <w:color w:val="auto"/>
              </w:rPr>
              <w:t>五日生化需氧量</w:t>
            </w:r>
            <w:r>
              <w:rPr>
                <w:rFonts w:hint="eastAsia"/>
                <w:color w:val="auto"/>
                <w:lang w:eastAsia="zh-CN"/>
              </w:rPr>
              <w:t>（</w:t>
            </w:r>
            <w:r>
              <w:rPr>
                <w:rFonts w:hint="eastAsia"/>
                <w:color w:val="auto"/>
              </w:rPr>
              <w:t>BOD</w:t>
            </w:r>
            <w:r>
              <w:rPr>
                <w:rFonts w:hint="eastAsia"/>
                <w:color w:val="auto"/>
                <w:vertAlign w:val="subscript"/>
              </w:rPr>
              <w:t>5</w:t>
            </w:r>
            <w:r>
              <w:rPr>
                <w:rFonts w:hint="eastAsia"/>
                <w:color w:val="auto"/>
                <w:vertAlign w:val="subscript"/>
                <w:lang w:eastAsia="zh-CN"/>
              </w:rPr>
              <w:t>）</w:t>
            </w:r>
            <w:r>
              <w:rPr>
                <w:rFonts w:hint="eastAsia"/>
                <w:color w:val="auto"/>
              </w:rPr>
              <w:t>/(mg/L)</w:t>
            </w:r>
          </w:p>
        </w:tc>
        <w:tc>
          <w:tcPr>
            <w:tcW w:w="1985" w:type="dxa"/>
            <w:vAlign w:val="center"/>
          </w:tcPr>
          <w:p w14:paraId="24749850">
            <w:pPr>
              <w:pStyle w:val="218"/>
              <w:rPr>
                <w:color w:val="auto"/>
              </w:rPr>
            </w:pPr>
            <w:r>
              <w:rPr>
                <w:rFonts w:hint="eastAsia"/>
                <w:color w:val="auto"/>
              </w:rPr>
              <w:t>10</w:t>
            </w:r>
          </w:p>
        </w:tc>
        <w:tc>
          <w:tcPr>
            <w:tcW w:w="3112" w:type="dxa"/>
            <w:vAlign w:val="center"/>
          </w:tcPr>
          <w:p w14:paraId="28040563">
            <w:pPr>
              <w:pStyle w:val="218"/>
              <w:rPr>
                <w:color w:val="auto"/>
              </w:rPr>
            </w:pPr>
            <w:r>
              <w:rPr>
                <w:rFonts w:hint="eastAsia"/>
                <w:color w:val="auto"/>
              </w:rPr>
              <w:t>10</w:t>
            </w:r>
          </w:p>
        </w:tc>
      </w:tr>
      <w:tr w14:paraId="230B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C6F4322">
            <w:pPr>
              <w:pStyle w:val="218"/>
              <w:rPr>
                <w:color w:val="auto"/>
              </w:rPr>
            </w:pPr>
            <w:r>
              <w:rPr>
                <w:rFonts w:hint="eastAsia"/>
                <w:color w:val="auto"/>
              </w:rPr>
              <w:t>6</w:t>
            </w:r>
          </w:p>
        </w:tc>
        <w:tc>
          <w:tcPr>
            <w:tcW w:w="3118" w:type="dxa"/>
            <w:vAlign w:val="center"/>
          </w:tcPr>
          <w:p w14:paraId="436F345C">
            <w:pPr>
              <w:pStyle w:val="218"/>
              <w:rPr>
                <w:color w:val="auto"/>
              </w:rPr>
            </w:pPr>
            <w:r>
              <w:rPr>
                <w:rFonts w:hint="eastAsia"/>
                <w:color w:val="auto"/>
              </w:rPr>
              <w:t>氨氮/(mg/L)</w:t>
            </w:r>
          </w:p>
        </w:tc>
        <w:tc>
          <w:tcPr>
            <w:tcW w:w="1985" w:type="dxa"/>
            <w:vAlign w:val="center"/>
          </w:tcPr>
          <w:p w14:paraId="1C38926D">
            <w:pPr>
              <w:pStyle w:val="218"/>
              <w:rPr>
                <w:color w:val="auto"/>
              </w:rPr>
            </w:pPr>
            <w:r>
              <w:rPr>
                <w:rFonts w:hint="eastAsia"/>
                <w:color w:val="auto"/>
              </w:rPr>
              <w:t>5</w:t>
            </w:r>
          </w:p>
        </w:tc>
        <w:tc>
          <w:tcPr>
            <w:tcW w:w="3112" w:type="dxa"/>
            <w:vAlign w:val="center"/>
          </w:tcPr>
          <w:p w14:paraId="415633BE">
            <w:pPr>
              <w:pStyle w:val="218"/>
              <w:rPr>
                <w:color w:val="auto"/>
              </w:rPr>
            </w:pPr>
            <w:r>
              <w:rPr>
                <w:rFonts w:hint="eastAsia"/>
                <w:color w:val="auto"/>
              </w:rPr>
              <w:t>8</w:t>
            </w:r>
          </w:p>
        </w:tc>
      </w:tr>
      <w:tr w14:paraId="28F0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897E620">
            <w:pPr>
              <w:pStyle w:val="218"/>
              <w:rPr>
                <w:color w:val="auto"/>
              </w:rPr>
            </w:pPr>
            <w:r>
              <w:rPr>
                <w:rFonts w:hint="eastAsia"/>
                <w:color w:val="auto"/>
              </w:rPr>
              <w:t>7</w:t>
            </w:r>
          </w:p>
        </w:tc>
        <w:tc>
          <w:tcPr>
            <w:tcW w:w="3118" w:type="dxa"/>
            <w:vAlign w:val="center"/>
          </w:tcPr>
          <w:p w14:paraId="16640B61">
            <w:pPr>
              <w:pStyle w:val="218"/>
              <w:rPr>
                <w:color w:val="auto"/>
              </w:rPr>
            </w:pPr>
            <w:r>
              <w:rPr>
                <w:rFonts w:hint="eastAsia"/>
                <w:color w:val="auto"/>
              </w:rPr>
              <w:t>阴离子表面活性剂/</w:t>
            </w:r>
            <w:r>
              <w:rPr>
                <w:rFonts w:hint="eastAsia"/>
                <w:color w:val="auto"/>
                <w:lang w:eastAsia="zh-CN"/>
              </w:rPr>
              <w:t>（</w:t>
            </w:r>
            <w:r>
              <w:rPr>
                <w:rFonts w:hint="eastAsia"/>
                <w:color w:val="auto"/>
              </w:rPr>
              <w:t>mg/L）</w:t>
            </w:r>
          </w:p>
        </w:tc>
        <w:tc>
          <w:tcPr>
            <w:tcW w:w="1985" w:type="dxa"/>
            <w:vAlign w:val="center"/>
          </w:tcPr>
          <w:p w14:paraId="17155318">
            <w:pPr>
              <w:pStyle w:val="218"/>
              <w:rPr>
                <w:color w:val="auto"/>
              </w:rPr>
            </w:pPr>
            <w:r>
              <w:rPr>
                <w:rFonts w:hint="eastAsia"/>
                <w:color w:val="auto"/>
              </w:rPr>
              <w:t>0.5</w:t>
            </w:r>
          </w:p>
        </w:tc>
        <w:tc>
          <w:tcPr>
            <w:tcW w:w="3112" w:type="dxa"/>
            <w:vAlign w:val="center"/>
          </w:tcPr>
          <w:p w14:paraId="282184CE">
            <w:pPr>
              <w:pStyle w:val="218"/>
              <w:rPr>
                <w:color w:val="auto"/>
              </w:rPr>
            </w:pPr>
            <w:r>
              <w:rPr>
                <w:rFonts w:hint="eastAsia"/>
                <w:color w:val="auto"/>
              </w:rPr>
              <w:t>0.5</w:t>
            </w:r>
          </w:p>
        </w:tc>
      </w:tr>
      <w:tr w14:paraId="71B6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1151D70">
            <w:pPr>
              <w:pStyle w:val="218"/>
              <w:rPr>
                <w:color w:val="auto"/>
              </w:rPr>
            </w:pPr>
            <w:r>
              <w:rPr>
                <w:rFonts w:hint="eastAsia"/>
                <w:color w:val="auto"/>
              </w:rPr>
              <w:t>8</w:t>
            </w:r>
          </w:p>
        </w:tc>
        <w:tc>
          <w:tcPr>
            <w:tcW w:w="3118" w:type="dxa"/>
            <w:vAlign w:val="center"/>
          </w:tcPr>
          <w:p w14:paraId="12172B3B">
            <w:pPr>
              <w:pStyle w:val="218"/>
              <w:rPr>
                <w:color w:val="auto"/>
              </w:rPr>
            </w:pPr>
            <w:r>
              <w:rPr>
                <w:rFonts w:hint="eastAsia"/>
                <w:color w:val="auto"/>
              </w:rPr>
              <w:t>铁/(mg/L)</w:t>
            </w:r>
          </w:p>
        </w:tc>
        <w:tc>
          <w:tcPr>
            <w:tcW w:w="1985" w:type="dxa"/>
            <w:vAlign w:val="center"/>
          </w:tcPr>
          <w:p w14:paraId="1DE22C3C">
            <w:pPr>
              <w:pStyle w:val="218"/>
              <w:rPr>
                <w:color w:val="auto"/>
              </w:rPr>
            </w:pPr>
            <w:r>
              <w:rPr>
                <w:rFonts w:hint="eastAsia"/>
                <w:color w:val="auto"/>
              </w:rPr>
              <w:t>0.3</w:t>
            </w:r>
          </w:p>
        </w:tc>
        <w:tc>
          <w:tcPr>
            <w:tcW w:w="3112" w:type="dxa"/>
            <w:vAlign w:val="center"/>
          </w:tcPr>
          <w:p w14:paraId="08C7BD50">
            <w:pPr>
              <w:pStyle w:val="218"/>
              <w:rPr>
                <w:color w:val="auto"/>
              </w:rPr>
            </w:pPr>
            <w:r>
              <w:rPr>
                <w:rFonts w:hint="eastAsia"/>
                <w:color w:val="auto"/>
              </w:rPr>
              <w:t>-</w:t>
            </w:r>
          </w:p>
        </w:tc>
      </w:tr>
      <w:tr w14:paraId="6665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99ECB6F">
            <w:pPr>
              <w:pStyle w:val="218"/>
              <w:rPr>
                <w:color w:val="auto"/>
              </w:rPr>
            </w:pPr>
            <w:r>
              <w:rPr>
                <w:rFonts w:hint="eastAsia"/>
                <w:color w:val="auto"/>
              </w:rPr>
              <w:t>9</w:t>
            </w:r>
          </w:p>
        </w:tc>
        <w:tc>
          <w:tcPr>
            <w:tcW w:w="3118" w:type="dxa"/>
            <w:vAlign w:val="center"/>
          </w:tcPr>
          <w:p w14:paraId="5BEF596F">
            <w:pPr>
              <w:pStyle w:val="218"/>
              <w:rPr>
                <w:color w:val="auto"/>
              </w:rPr>
            </w:pPr>
            <w:r>
              <w:rPr>
                <w:rFonts w:hint="eastAsia"/>
                <w:color w:val="auto"/>
              </w:rPr>
              <w:t>锰/(mg/L)</w:t>
            </w:r>
          </w:p>
        </w:tc>
        <w:tc>
          <w:tcPr>
            <w:tcW w:w="1985" w:type="dxa"/>
            <w:vAlign w:val="center"/>
          </w:tcPr>
          <w:p w14:paraId="0846D7C3">
            <w:pPr>
              <w:pStyle w:val="218"/>
              <w:rPr>
                <w:color w:val="auto"/>
              </w:rPr>
            </w:pPr>
            <w:r>
              <w:rPr>
                <w:rFonts w:hint="eastAsia"/>
                <w:color w:val="auto"/>
              </w:rPr>
              <w:t>0.1</w:t>
            </w:r>
          </w:p>
        </w:tc>
        <w:tc>
          <w:tcPr>
            <w:tcW w:w="3112" w:type="dxa"/>
            <w:vAlign w:val="center"/>
          </w:tcPr>
          <w:p w14:paraId="20CFFE8D">
            <w:pPr>
              <w:pStyle w:val="218"/>
              <w:rPr>
                <w:color w:val="auto"/>
              </w:rPr>
            </w:pPr>
            <w:r>
              <w:rPr>
                <w:rFonts w:hint="eastAsia"/>
                <w:color w:val="auto"/>
              </w:rPr>
              <w:t>-</w:t>
            </w:r>
          </w:p>
        </w:tc>
      </w:tr>
      <w:tr w14:paraId="7EAE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2D1B343">
            <w:pPr>
              <w:pStyle w:val="218"/>
              <w:rPr>
                <w:color w:val="auto"/>
              </w:rPr>
            </w:pPr>
            <w:r>
              <w:rPr>
                <w:rFonts w:hint="eastAsia"/>
                <w:color w:val="auto"/>
              </w:rPr>
              <w:t>10</w:t>
            </w:r>
          </w:p>
        </w:tc>
        <w:tc>
          <w:tcPr>
            <w:tcW w:w="3118" w:type="dxa"/>
            <w:vAlign w:val="center"/>
          </w:tcPr>
          <w:p w14:paraId="51D70075">
            <w:pPr>
              <w:pStyle w:val="218"/>
              <w:rPr>
                <w:color w:val="auto"/>
              </w:rPr>
            </w:pPr>
            <w:r>
              <w:rPr>
                <w:rFonts w:hint="eastAsia"/>
                <w:color w:val="auto"/>
              </w:rPr>
              <w:t>溶解性总固体/</w:t>
            </w:r>
            <w:r>
              <w:rPr>
                <w:rFonts w:hint="eastAsia"/>
                <w:color w:val="auto"/>
                <w:lang w:eastAsia="zh-CN"/>
              </w:rPr>
              <w:t>（</w:t>
            </w:r>
            <w:r>
              <w:rPr>
                <w:rFonts w:hint="eastAsia"/>
                <w:color w:val="auto"/>
              </w:rPr>
              <w:t>mg/L）</w:t>
            </w:r>
          </w:p>
        </w:tc>
        <w:tc>
          <w:tcPr>
            <w:tcW w:w="1985" w:type="dxa"/>
            <w:vAlign w:val="center"/>
          </w:tcPr>
          <w:p w14:paraId="403970A8">
            <w:pPr>
              <w:pStyle w:val="218"/>
              <w:rPr>
                <w:color w:val="auto"/>
              </w:rPr>
            </w:pPr>
            <w:r>
              <w:rPr>
                <w:rFonts w:hint="eastAsia"/>
                <w:color w:val="auto"/>
              </w:rPr>
              <w:t>1000(2000)</w:t>
            </w:r>
            <w:r>
              <w:rPr>
                <w:rFonts w:hint="eastAsia"/>
                <w:color w:val="auto"/>
                <w:vertAlign w:val="superscript"/>
              </w:rPr>
              <w:t>a</w:t>
            </w:r>
          </w:p>
        </w:tc>
        <w:tc>
          <w:tcPr>
            <w:tcW w:w="3112" w:type="dxa"/>
            <w:vAlign w:val="center"/>
          </w:tcPr>
          <w:p w14:paraId="76A3A2F0">
            <w:pPr>
              <w:pStyle w:val="218"/>
              <w:rPr>
                <w:color w:val="auto"/>
              </w:rPr>
            </w:pPr>
            <w:r>
              <w:rPr>
                <w:rFonts w:hint="eastAsia"/>
                <w:color w:val="auto"/>
              </w:rPr>
              <w:t>1000(2000)</w:t>
            </w:r>
            <w:r>
              <w:rPr>
                <w:rFonts w:hint="eastAsia"/>
                <w:color w:val="auto"/>
                <w:vertAlign w:val="superscript"/>
              </w:rPr>
              <w:t>a</w:t>
            </w:r>
          </w:p>
        </w:tc>
      </w:tr>
      <w:tr w14:paraId="1BFC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098BE0D">
            <w:pPr>
              <w:pStyle w:val="218"/>
              <w:rPr>
                <w:color w:val="auto"/>
              </w:rPr>
            </w:pPr>
            <w:r>
              <w:rPr>
                <w:rFonts w:hint="eastAsia"/>
                <w:color w:val="auto"/>
              </w:rPr>
              <w:t>11</w:t>
            </w:r>
          </w:p>
        </w:tc>
        <w:tc>
          <w:tcPr>
            <w:tcW w:w="3118" w:type="dxa"/>
            <w:vAlign w:val="center"/>
          </w:tcPr>
          <w:p w14:paraId="4EBFB018">
            <w:pPr>
              <w:pStyle w:val="218"/>
              <w:rPr>
                <w:color w:val="auto"/>
              </w:rPr>
            </w:pPr>
            <w:r>
              <w:rPr>
                <w:rFonts w:hint="eastAsia"/>
                <w:color w:val="auto"/>
              </w:rPr>
              <w:t>溶解氧/(mg/L)</w:t>
            </w:r>
          </w:p>
        </w:tc>
        <w:tc>
          <w:tcPr>
            <w:tcW w:w="1985" w:type="dxa"/>
            <w:vAlign w:val="center"/>
          </w:tcPr>
          <w:p w14:paraId="2AD36B7A">
            <w:pPr>
              <w:pStyle w:val="218"/>
              <w:rPr>
                <w:color w:val="auto"/>
              </w:rPr>
            </w:pPr>
            <w:r>
              <w:rPr>
                <w:rFonts w:hint="eastAsia"/>
                <w:color w:val="auto"/>
              </w:rPr>
              <w:t>2</w:t>
            </w:r>
          </w:p>
        </w:tc>
        <w:tc>
          <w:tcPr>
            <w:tcW w:w="3112" w:type="dxa"/>
            <w:vAlign w:val="center"/>
          </w:tcPr>
          <w:p w14:paraId="0BCEEA3C">
            <w:pPr>
              <w:pStyle w:val="218"/>
              <w:rPr>
                <w:color w:val="auto"/>
              </w:rPr>
            </w:pPr>
            <w:r>
              <w:rPr>
                <w:rFonts w:hint="eastAsia"/>
                <w:color w:val="auto"/>
              </w:rPr>
              <w:t>2</w:t>
            </w:r>
          </w:p>
        </w:tc>
      </w:tr>
      <w:tr w14:paraId="2B7A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9A42886">
            <w:pPr>
              <w:pStyle w:val="218"/>
              <w:rPr>
                <w:color w:val="auto"/>
              </w:rPr>
            </w:pPr>
            <w:r>
              <w:rPr>
                <w:rFonts w:hint="eastAsia"/>
                <w:color w:val="auto"/>
              </w:rPr>
              <w:t>12</w:t>
            </w:r>
          </w:p>
        </w:tc>
        <w:tc>
          <w:tcPr>
            <w:tcW w:w="3118" w:type="dxa"/>
            <w:vAlign w:val="center"/>
          </w:tcPr>
          <w:p w14:paraId="39B36B5B">
            <w:pPr>
              <w:pStyle w:val="218"/>
              <w:rPr>
                <w:color w:val="auto"/>
              </w:rPr>
            </w:pPr>
            <w:r>
              <w:rPr>
                <w:rFonts w:hint="eastAsia"/>
                <w:color w:val="auto"/>
              </w:rPr>
              <w:t>总氯/(mg/L)≥</w:t>
            </w:r>
          </w:p>
        </w:tc>
        <w:tc>
          <w:tcPr>
            <w:tcW w:w="1985" w:type="dxa"/>
            <w:vAlign w:val="center"/>
          </w:tcPr>
          <w:p w14:paraId="332A5142">
            <w:pPr>
              <w:pStyle w:val="218"/>
              <w:rPr>
                <w:color w:val="auto"/>
              </w:rPr>
            </w:pPr>
            <w:r>
              <w:rPr>
                <w:rFonts w:hint="eastAsia"/>
                <w:color w:val="auto"/>
              </w:rPr>
              <w:t>1.0（出厂），0.2（管网末端）</w:t>
            </w:r>
          </w:p>
        </w:tc>
        <w:tc>
          <w:tcPr>
            <w:tcW w:w="3112" w:type="dxa"/>
            <w:vAlign w:val="center"/>
          </w:tcPr>
          <w:p w14:paraId="797C2A96">
            <w:pPr>
              <w:pStyle w:val="218"/>
              <w:rPr>
                <w:color w:val="auto"/>
              </w:rPr>
            </w:pPr>
            <w:r>
              <w:rPr>
                <w:rFonts w:hint="eastAsia"/>
                <w:color w:val="auto"/>
              </w:rPr>
              <w:t>1.0（出厂）0.2</w:t>
            </w:r>
            <w:r>
              <w:rPr>
                <w:rFonts w:hint="eastAsia"/>
                <w:color w:val="auto"/>
                <w:vertAlign w:val="superscript"/>
              </w:rPr>
              <w:t>b</w:t>
            </w:r>
            <w:r>
              <w:rPr>
                <w:rFonts w:hint="eastAsia"/>
                <w:color w:val="auto"/>
              </w:rPr>
              <w:t>（管网末端）</w:t>
            </w:r>
          </w:p>
        </w:tc>
      </w:tr>
      <w:tr w14:paraId="4BB4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00A3A60">
            <w:pPr>
              <w:pStyle w:val="218"/>
              <w:rPr>
                <w:color w:val="auto"/>
              </w:rPr>
            </w:pPr>
            <w:r>
              <w:rPr>
                <w:rFonts w:hint="eastAsia"/>
                <w:color w:val="auto"/>
              </w:rPr>
              <w:t>13</w:t>
            </w:r>
          </w:p>
        </w:tc>
        <w:tc>
          <w:tcPr>
            <w:tcW w:w="3118" w:type="dxa"/>
            <w:vAlign w:val="center"/>
          </w:tcPr>
          <w:p w14:paraId="436E48F2">
            <w:pPr>
              <w:pStyle w:val="218"/>
              <w:rPr>
                <w:color w:val="auto"/>
              </w:rPr>
            </w:pPr>
            <w:r>
              <w:rPr>
                <w:rFonts w:hint="eastAsia"/>
                <w:color w:val="auto"/>
              </w:rPr>
              <w:t>大肠埃希氏菌/（MPN/100mL或CFU/100mL）</w:t>
            </w:r>
          </w:p>
        </w:tc>
        <w:tc>
          <w:tcPr>
            <w:tcW w:w="1985" w:type="dxa"/>
            <w:vAlign w:val="center"/>
          </w:tcPr>
          <w:p w14:paraId="78F13E1B">
            <w:pPr>
              <w:pStyle w:val="218"/>
              <w:rPr>
                <w:color w:val="auto"/>
              </w:rPr>
            </w:pPr>
            <w:r>
              <w:rPr>
                <w:rFonts w:hint="eastAsia"/>
                <w:color w:val="auto"/>
              </w:rPr>
              <w:t>无</w:t>
            </w:r>
            <w:r>
              <w:rPr>
                <w:rFonts w:hint="eastAsia"/>
                <w:color w:val="auto"/>
                <w:vertAlign w:val="superscript"/>
              </w:rPr>
              <w:t>c</w:t>
            </w:r>
          </w:p>
        </w:tc>
        <w:tc>
          <w:tcPr>
            <w:tcW w:w="3112" w:type="dxa"/>
            <w:vAlign w:val="center"/>
          </w:tcPr>
          <w:p w14:paraId="59E89BFA">
            <w:pPr>
              <w:pStyle w:val="218"/>
              <w:rPr>
                <w:color w:val="auto"/>
              </w:rPr>
            </w:pPr>
            <w:r>
              <w:rPr>
                <w:rFonts w:hint="eastAsia"/>
                <w:color w:val="auto"/>
              </w:rPr>
              <w:t>无</w:t>
            </w:r>
            <w:r>
              <w:rPr>
                <w:rFonts w:hint="eastAsia"/>
                <w:color w:val="auto"/>
                <w:vertAlign w:val="superscript"/>
              </w:rPr>
              <w:t>c</w:t>
            </w:r>
          </w:p>
        </w:tc>
      </w:tr>
      <w:tr w14:paraId="0D1D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295A784">
            <w:pPr>
              <w:pStyle w:val="218"/>
              <w:rPr>
                <w:color w:val="auto"/>
              </w:rPr>
            </w:pPr>
            <w:r>
              <w:rPr>
                <w:rFonts w:hint="eastAsia"/>
                <w:color w:val="auto"/>
              </w:rPr>
              <w:t>注</w:t>
            </w:r>
          </w:p>
        </w:tc>
        <w:tc>
          <w:tcPr>
            <w:tcW w:w="8215" w:type="dxa"/>
            <w:gridSpan w:val="3"/>
            <w:vAlign w:val="center"/>
          </w:tcPr>
          <w:p w14:paraId="0F4F26BF">
            <w:pPr>
              <w:pStyle w:val="218"/>
              <w:jc w:val="left"/>
              <w:rPr>
                <w:color w:val="auto"/>
              </w:rPr>
            </w:pPr>
            <w:r>
              <w:rPr>
                <w:rFonts w:hint="eastAsia"/>
                <w:color w:val="auto"/>
              </w:rPr>
              <w:t>“</w:t>
            </w:r>
            <w:r>
              <w:rPr>
                <w:rFonts w:hint="eastAsia"/>
                <w:color w:val="auto"/>
                <w:lang w:eastAsia="zh-CN"/>
              </w:rPr>
              <w:t>－</w:t>
            </w:r>
            <w:r>
              <w:rPr>
                <w:rFonts w:hint="eastAsia"/>
                <w:color w:val="auto"/>
              </w:rPr>
              <w:t>”表示对此项无要求</w:t>
            </w:r>
          </w:p>
          <w:p w14:paraId="26097CDF">
            <w:pPr>
              <w:pStyle w:val="218"/>
              <w:jc w:val="left"/>
              <w:rPr>
                <w:color w:val="auto"/>
              </w:rPr>
            </w:pPr>
            <w:r>
              <w:rPr>
                <w:rFonts w:hint="eastAsia"/>
                <w:color w:val="auto"/>
              </w:rPr>
              <w:t>a 括号内指标值为沿海及本地水源中溶解性固体含量较高的区域的指标</w:t>
            </w:r>
          </w:p>
          <w:p w14:paraId="55083C78">
            <w:pPr>
              <w:pStyle w:val="218"/>
              <w:jc w:val="left"/>
              <w:rPr>
                <w:color w:val="auto"/>
              </w:rPr>
            </w:pPr>
            <w:r>
              <w:rPr>
                <w:rFonts w:hint="eastAsia"/>
                <w:color w:val="auto"/>
              </w:rPr>
              <w:t>b 用于城市绿化时</w:t>
            </w:r>
            <w:r>
              <w:rPr>
                <w:rFonts w:hint="eastAsia"/>
                <w:color w:val="auto"/>
                <w:lang w:eastAsia="zh-CN"/>
              </w:rPr>
              <w:t>，</w:t>
            </w:r>
            <w:r>
              <w:rPr>
                <w:rFonts w:hint="eastAsia"/>
                <w:color w:val="auto"/>
              </w:rPr>
              <w:t>不应超过2.5 mg/L</w:t>
            </w:r>
          </w:p>
          <w:p w14:paraId="280CC63B">
            <w:pPr>
              <w:pStyle w:val="218"/>
              <w:jc w:val="left"/>
              <w:rPr>
                <w:color w:val="auto"/>
              </w:rPr>
            </w:pPr>
            <w:r>
              <w:rPr>
                <w:rFonts w:hint="eastAsia"/>
                <w:color w:val="auto"/>
              </w:rPr>
              <w:t>c 大肠埃希氏菌不应检出</w:t>
            </w:r>
          </w:p>
        </w:tc>
      </w:tr>
    </w:tbl>
    <w:p w14:paraId="3DAF18BB">
      <w:pPr>
        <w:pStyle w:val="93"/>
        <w:rPr>
          <w:rFonts w:cs="Times New Roman"/>
        </w:rPr>
      </w:pPr>
      <w:r>
        <w:rPr>
          <w:rFonts w:hint="eastAsia"/>
        </w:rPr>
        <w:t>3、噪声排放标准</w:t>
      </w:r>
    </w:p>
    <w:p w14:paraId="0154875E">
      <w:pPr>
        <w:pStyle w:val="93"/>
      </w:pPr>
      <w:r>
        <w:rPr>
          <w:rFonts w:hint="eastAsia"/>
        </w:rPr>
        <w:t>建筑施工期执行《建筑施工场界环境噪声排放标准》（GB12523-2011），见表2.3-10。</w:t>
      </w:r>
    </w:p>
    <w:p w14:paraId="22D9D4ED">
      <w:pPr>
        <w:pStyle w:val="86"/>
      </w:pPr>
      <w:r>
        <w:rPr>
          <w:rFonts w:hint="eastAsia"/>
        </w:rPr>
        <w:t>建筑施工场界环境噪声排放标准</w:t>
      </w:r>
    </w:p>
    <w:tbl>
      <w:tblPr>
        <w:tblStyle w:val="38"/>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3103"/>
        <w:gridCol w:w="2818"/>
        <w:gridCol w:w="3366"/>
      </w:tblGrid>
      <w:tr w14:paraId="0155DFB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671" w:type="pct"/>
            <w:vMerge w:val="restart"/>
            <w:tcBorders>
              <w:top w:val="single" w:color="000000" w:sz="4" w:space="0"/>
              <w:left w:val="single" w:color="000000" w:sz="4" w:space="0"/>
              <w:bottom w:val="single" w:color="000000" w:sz="4" w:space="0"/>
              <w:right w:val="single" w:color="000000" w:sz="4" w:space="0"/>
            </w:tcBorders>
            <w:vAlign w:val="center"/>
          </w:tcPr>
          <w:p w14:paraId="19CA4F49">
            <w:pPr>
              <w:pStyle w:val="196"/>
              <w:rPr>
                <w:szCs w:val="21"/>
              </w:rPr>
            </w:pPr>
            <w:r>
              <w:rPr>
                <w:rFonts w:hint="eastAsia"/>
              </w:rPr>
              <w:t>标准</w:t>
            </w:r>
          </w:p>
        </w:tc>
        <w:tc>
          <w:tcPr>
            <w:tcW w:w="3329" w:type="pct"/>
            <w:gridSpan w:val="2"/>
            <w:tcBorders>
              <w:top w:val="single" w:color="000000" w:sz="4" w:space="0"/>
              <w:left w:val="nil"/>
              <w:bottom w:val="single" w:color="000000" w:sz="4" w:space="0"/>
              <w:right w:val="single" w:color="000000" w:sz="4" w:space="0"/>
            </w:tcBorders>
            <w:vAlign w:val="center"/>
          </w:tcPr>
          <w:p w14:paraId="01505191">
            <w:pPr>
              <w:pStyle w:val="196"/>
            </w:pPr>
            <w:r>
              <w:rPr>
                <w:rFonts w:hint="eastAsia"/>
              </w:rPr>
              <w:t>标准值（dB（A））</w:t>
            </w:r>
          </w:p>
        </w:tc>
      </w:tr>
      <w:tr w14:paraId="0FC1D64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6732104">
            <w:pPr>
              <w:pStyle w:val="196"/>
              <w:rPr>
                <w:szCs w:val="21"/>
              </w:rPr>
            </w:pPr>
          </w:p>
        </w:tc>
        <w:tc>
          <w:tcPr>
            <w:tcW w:w="1517" w:type="pct"/>
            <w:tcBorders>
              <w:top w:val="single" w:color="000000" w:sz="4" w:space="0"/>
              <w:left w:val="nil"/>
              <w:bottom w:val="single" w:color="000000" w:sz="4" w:space="0"/>
              <w:right w:val="single" w:color="000000" w:sz="4" w:space="0"/>
            </w:tcBorders>
            <w:vAlign w:val="center"/>
          </w:tcPr>
          <w:p w14:paraId="19C67B62">
            <w:pPr>
              <w:pStyle w:val="196"/>
            </w:pPr>
            <w:r>
              <w:rPr>
                <w:rFonts w:hint="eastAsia"/>
              </w:rPr>
              <w:t>昼间</w:t>
            </w:r>
          </w:p>
        </w:tc>
        <w:tc>
          <w:tcPr>
            <w:tcW w:w="1812" w:type="pct"/>
            <w:tcBorders>
              <w:top w:val="single" w:color="000000" w:sz="4" w:space="0"/>
              <w:left w:val="nil"/>
              <w:bottom w:val="single" w:color="000000" w:sz="4" w:space="0"/>
              <w:right w:val="single" w:color="000000" w:sz="4" w:space="0"/>
            </w:tcBorders>
            <w:vAlign w:val="center"/>
          </w:tcPr>
          <w:p w14:paraId="6E7814C6">
            <w:pPr>
              <w:pStyle w:val="196"/>
            </w:pPr>
            <w:r>
              <w:rPr>
                <w:rFonts w:hint="eastAsia"/>
              </w:rPr>
              <w:t>夜间</w:t>
            </w:r>
          </w:p>
        </w:tc>
      </w:tr>
      <w:tr w14:paraId="625D6A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00" w:hRule="atLeast"/>
          <w:jc w:val="center"/>
        </w:trPr>
        <w:tc>
          <w:tcPr>
            <w:tcW w:w="1671" w:type="pct"/>
            <w:tcBorders>
              <w:top w:val="single" w:color="000000" w:sz="4" w:space="0"/>
              <w:left w:val="single" w:color="000000" w:sz="4" w:space="0"/>
              <w:bottom w:val="single" w:color="000000" w:sz="4" w:space="0"/>
              <w:right w:val="single" w:color="000000" w:sz="4" w:space="0"/>
            </w:tcBorders>
            <w:vAlign w:val="center"/>
          </w:tcPr>
          <w:p w14:paraId="1A4666CB">
            <w:pPr>
              <w:pStyle w:val="196"/>
            </w:pPr>
            <w:r>
              <w:rPr>
                <w:rFonts w:hint="eastAsia"/>
              </w:rPr>
              <w:t>《建筑施工场界环境噪声排放标准》（GB12523-2011）</w:t>
            </w:r>
          </w:p>
        </w:tc>
        <w:tc>
          <w:tcPr>
            <w:tcW w:w="1517" w:type="pct"/>
            <w:tcBorders>
              <w:top w:val="single" w:color="000000" w:sz="4" w:space="0"/>
              <w:left w:val="nil"/>
              <w:bottom w:val="single" w:color="000000" w:sz="4" w:space="0"/>
              <w:right w:val="single" w:color="000000" w:sz="4" w:space="0"/>
            </w:tcBorders>
            <w:vAlign w:val="center"/>
          </w:tcPr>
          <w:p w14:paraId="19E23D09">
            <w:pPr>
              <w:pStyle w:val="196"/>
            </w:pPr>
            <w:r>
              <w:rPr>
                <w:rFonts w:hint="eastAsia"/>
              </w:rPr>
              <w:t>70</w:t>
            </w:r>
          </w:p>
        </w:tc>
        <w:tc>
          <w:tcPr>
            <w:tcW w:w="1812" w:type="pct"/>
            <w:tcBorders>
              <w:top w:val="single" w:color="000000" w:sz="4" w:space="0"/>
              <w:left w:val="nil"/>
              <w:bottom w:val="single" w:color="000000" w:sz="4" w:space="0"/>
              <w:right w:val="single" w:color="000000" w:sz="4" w:space="0"/>
            </w:tcBorders>
            <w:vAlign w:val="center"/>
          </w:tcPr>
          <w:p w14:paraId="174C3A18">
            <w:pPr>
              <w:pStyle w:val="196"/>
            </w:pPr>
            <w:r>
              <w:rPr>
                <w:rFonts w:hint="eastAsia"/>
              </w:rPr>
              <w:t>55</w:t>
            </w:r>
          </w:p>
        </w:tc>
      </w:tr>
    </w:tbl>
    <w:p w14:paraId="34CDC080">
      <w:pPr>
        <w:pStyle w:val="93"/>
        <w:rPr>
          <w:rFonts w:cs="Times New Roman"/>
        </w:rPr>
      </w:pPr>
      <w:r>
        <w:rPr>
          <w:rFonts w:hint="eastAsia"/>
        </w:rPr>
        <w:t>依据《工业企业厂界环境噪声排放标准》（GB12348-2008），工业生产区执行3类标准，道路交通干线两侧以及航道西侧区域内执行4类标准、夜间突发噪声最大值不超过标准限值的15dB（A）。运营期码头陆域北侧、西侧和南侧噪声执行《工业企业厂界环境噪声排放标准》（GB12348-2008）3类标准，东侧靠近内河航道，执行4类标准。具体标准值见表2.3-11。</w:t>
      </w:r>
    </w:p>
    <w:p w14:paraId="545EAC17">
      <w:pPr>
        <w:pStyle w:val="86"/>
        <w:rPr>
          <w:bCs/>
          <w:sz w:val="21"/>
        </w:rPr>
      </w:pPr>
      <w:r>
        <w:rPr>
          <w:rFonts w:hint="eastAsia"/>
        </w:rPr>
        <w:t xml:space="preserve">工业企业厂界环境噪声排放标准（单位： </w:t>
      </w:r>
      <w:r>
        <w:rPr>
          <w:rFonts w:hint="eastAsia"/>
          <w:bCs/>
        </w:rPr>
        <w:t>dB（A））</w:t>
      </w:r>
    </w:p>
    <w:tbl>
      <w:tblPr>
        <w:tblStyle w:val="38"/>
        <w:tblW w:w="52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63"/>
        <w:gridCol w:w="1249"/>
        <w:gridCol w:w="1249"/>
        <w:gridCol w:w="5200"/>
      </w:tblGrid>
      <w:tr w14:paraId="37C4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32" w:type="pct"/>
            <w:tcBorders>
              <w:top w:val="single" w:color="auto" w:sz="4" w:space="0"/>
              <w:left w:val="single" w:color="auto" w:sz="4" w:space="0"/>
              <w:bottom w:val="single" w:color="auto" w:sz="4" w:space="0"/>
              <w:right w:val="single" w:color="auto" w:sz="4" w:space="0"/>
            </w:tcBorders>
            <w:vAlign w:val="center"/>
          </w:tcPr>
          <w:p w14:paraId="4EFCD408">
            <w:pPr>
              <w:pStyle w:val="196"/>
            </w:pPr>
            <w:r>
              <w:rPr>
                <w:rFonts w:hint="eastAsia"/>
              </w:rPr>
              <w:t>声环境功能区类型</w:t>
            </w:r>
          </w:p>
        </w:tc>
        <w:tc>
          <w:tcPr>
            <w:tcW w:w="660" w:type="pct"/>
            <w:tcBorders>
              <w:top w:val="single" w:color="auto" w:sz="4" w:space="0"/>
              <w:left w:val="single" w:color="auto" w:sz="4" w:space="0"/>
              <w:bottom w:val="single" w:color="auto" w:sz="4" w:space="0"/>
              <w:right w:val="single" w:color="auto" w:sz="4" w:space="0"/>
            </w:tcBorders>
            <w:vAlign w:val="center"/>
          </w:tcPr>
          <w:p w14:paraId="545F2367">
            <w:pPr>
              <w:pStyle w:val="196"/>
            </w:pPr>
            <w:r>
              <w:rPr>
                <w:rFonts w:hint="eastAsia"/>
              </w:rPr>
              <w:t>昼间</w:t>
            </w:r>
          </w:p>
        </w:tc>
        <w:tc>
          <w:tcPr>
            <w:tcW w:w="660" w:type="pct"/>
            <w:tcBorders>
              <w:top w:val="single" w:color="auto" w:sz="4" w:space="0"/>
              <w:left w:val="single" w:color="auto" w:sz="4" w:space="0"/>
              <w:bottom w:val="single" w:color="auto" w:sz="4" w:space="0"/>
              <w:right w:val="single" w:color="auto" w:sz="4" w:space="0"/>
            </w:tcBorders>
            <w:vAlign w:val="center"/>
          </w:tcPr>
          <w:p w14:paraId="60DE00DB">
            <w:pPr>
              <w:pStyle w:val="196"/>
            </w:pPr>
            <w:r>
              <w:rPr>
                <w:rFonts w:hint="eastAsia"/>
              </w:rPr>
              <w:t>夜间</w:t>
            </w:r>
          </w:p>
        </w:tc>
        <w:tc>
          <w:tcPr>
            <w:tcW w:w="2748" w:type="pct"/>
            <w:tcBorders>
              <w:top w:val="single" w:color="auto" w:sz="4" w:space="0"/>
              <w:left w:val="single" w:color="auto" w:sz="4" w:space="0"/>
              <w:bottom w:val="single" w:color="auto" w:sz="4" w:space="0"/>
              <w:right w:val="single" w:color="auto" w:sz="4" w:space="0"/>
            </w:tcBorders>
            <w:vAlign w:val="center"/>
          </w:tcPr>
          <w:p w14:paraId="3FD3B49D">
            <w:pPr>
              <w:pStyle w:val="196"/>
            </w:pPr>
            <w:r>
              <w:rPr>
                <w:rFonts w:hint="eastAsia"/>
              </w:rPr>
              <w:t>依据</w:t>
            </w:r>
          </w:p>
        </w:tc>
      </w:tr>
      <w:tr w14:paraId="59B7F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32" w:type="pct"/>
            <w:tcBorders>
              <w:top w:val="single" w:color="auto" w:sz="4" w:space="0"/>
              <w:left w:val="single" w:color="auto" w:sz="4" w:space="0"/>
              <w:bottom w:val="single" w:color="auto" w:sz="4" w:space="0"/>
              <w:right w:val="single" w:color="auto" w:sz="4" w:space="0"/>
            </w:tcBorders>
            <w:vAlign w:val="center"/>
          </w:tcPr>
          <w:p w14:paraId="137F4E84">
            <w:pPr>
              <w:pStyle w:val="196"/>
            </w:pPr>
            <w:r>
              <w:rPr>
                <w:rFonts w:hint="eastAsia"/>
              </w:rPr>
              <w:t>3</w:t>
            </w:r>
          </w:p>
        </w:tc>
        <w:tc>
          <w:tcPr>
            <w:tcW w:w="660" w:type="pct"/>
            <w:tcBorders>
              <w:top w:val="single" w:color="auto" w:sz="4" w:space="0"/>
              <w:left w:val="single" w:color="auto" w:sz="4" w:space="0"/>
              <w:bottom w:val="single" w:color="auto" w:sz="4" w:space="0"/>
              <w:right w:val="single" w:color="auto" w:sz="4" w:space="0"/>
            </w:tcBorders>
            <w:vAlign w:val="center"/>
          </w:tcPr>
          <w:p w14:paraId="15F3CD89">
            <w:pPr>
              <w:pStyle w:val="196"/>
            </w:pPr>
            <w:r>
              <w:rPr>
                <w:rFonts w:hint="eastAsia"/>
              </w:rPr>
              <w:t>65</w:t>
            </w:r>
          </w:p>
        </w:tc>
        <w:tc>
          <w:tcPr>
            <w:tcW w:w="660" w:type="pct"/>
            <w:tcBorders>
              <w:top w:val="single" w:color="auto" w:sz="4" w:space="0"/>
              <w:left w:val="single" w:color="auto" w:sz="4" w:space="0"/>
              <w:bottom w:val="single" w:color="auto" w:sz="4" w:space="0"/>
              <w:right w:val="single" w:color="auto" w:sz="4" w:space="0"/>
            </w:tcBorders>
            <w:vAlign w:val="center"/>
          </w:tcPr>
          <w:p w14:paraId="4520C15C">
            <w:pPr>
              <w:pStyle w:val="196"/>
            </w:pPr>
            <w:r>
              <w:rPr>
                <w:rFonts w:hint="eastAsia"/>
              </w:rPr>
              <w:t>55</w:t>
            </w:r>
          </w:p>
        </w:tc>
        <w:tc>
          <w:tcPr>
            <w:tcW w:w="2748" w:type="pct"/>
            <w:vMerge w:val="restart"/>
            <w:tcBorders>
              <w:top w:val="nil"/>
              <w:left w:val="single" w:color="auto" w:sz="4" w:space="0"/>
              <w:bottom w:val="single" w:color="auto" w:sz="4" w:space="0"/>
              <w:right w:val="single" w:color="auto" w:sz="4" w:space="0"/>
            </w:tcBorders>
            <w:vAlign w:val="center"/>
          </w:tcPr>
          <w:p w14:paraId="14A6AFEE">
            <w:pPr>
              <w:pStyle w:val="196"/>
            </w:pPr>
            <w:r>
              <w:rPr>
                <w:rFonts w:hint="eastAsia"/>
              </w:rPr>
              <w:t>《工业企业厂界环境噪声排放标准》（GB12348-2008）</w:t>
            </w:r>
          </w:p>
        </w:tc>
      </w:tr>
      <w:tr w14:paraId="26E8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932" w:type="pct"/>
            <w:tcBorders>
              <w:top w:val="single" w:color="auto" w:sz="4" w:space="0"/>
              <w:left w:val="single" w:color="auto" w:sz="4" w:space="0"/>
              <w:bottom w:val="single" w:color="auto" w:sz="4" w:space="0"/>
              <w:right w:val="single" w:color="auto" w:sz="4" w:space="0"/>
            </w:tcBorders>
            <w:vAlign w:val="center"/>
          </w:tcPr>
          <w:p w14:paraId="01B9CC52">
            <w:pPr>
              <w:pStyle w:val="196"/>
            </w:pPr>
            <w:r>
              <w:rPr>
                <w:rFonts w:hint="eastAsia"/>
              </w:rPr>
              <w:t>4</w:t>
            </w:r>
          </w:p>
        </w:tc>
        <w:tc>
          <w:tcPr>
            <w:tcW w:w="660" w:type="pct"/>
            <w:tcBorders>
              <w:top w:val="single" w:color="auto" w:sz="4" w:space="0"/>
              <w:left w:val="single" w:color="auto" w:sz="4" w:space="0"/>
              <w:bottom w:val="single" w:color="auto" w:sz="4" w:space="0"/>
              <w:right w:val="single" w:color="auto" w:sz="4" w:space="0"/>
            </w:tcBorders>
            <w:vAlign w:val="center"/>
          </w:tcPr>
          <w:p w14:paraId="4FE008B4">
            <w:pPr>
              <w:pStyle w:val="196"/>
            </w:pPr>
            <w:r>
              <w:rPr>
                <w:rFonts w:hint="eastAsia"/>
              </w:rPr>
              <w:t>70</w:t>
            </w:r>
          </w:p>
        </w:tc>
        <w:tc>
          <w:tcPr>
            <w:tcW w:w="660" w:type="pct"/>
            <w:tcBorders>
              <w:top w:val="single" w:color="auto" w:sz="4" w:space="0"/>
              <w:left w:val="single" w:color="auto" w:sz="4" w:space="0"/>
              <w:bottom w:val="single" w:color="auto" w:sz="4" w:space="0"/>
              <w:right w:val="single" w:color="auto" w:sz="4" w:space="0"/>
            </w:tcBorders>
            <w:vAlign w:val="center"/>
          </w:tcPr>
          <w:p w14:paraId="60BAD3F5">
            <w:pPr>
              <w:pStyle w:val="196"/>
            </w:pPr>
            <w:r>
              <w:rPr>
                <w:rFonts w:hint="eastAsia"/>
              </w:rPr>
              <w:t>55</w:t>
            </w:r>
          </w:p>
        </w:tc>
        <w:tc>
          <w:tcPr>
            <w:tcW w:w="0" w:type="auto"/>
            <w:vMerge w:val="continue"/>
            <w:tcBorders>
              <w:top w:val="nil"/>
              <w:left w:val="single" w:color="auto" w:sz="4" w:space="0"/>
              <w:bottom w:val="single" w:color="auto" w:sz="4" w:space="0"/>
              <w:right w:val="single" w:color="auto" w:sz="4" w:space="0"/>
            </w:tcBorders>
            <w:vAlign w:val="center"/>
          </w:tcPr>
          <w:p w14:paraId="7A62446D">
            <w:pPr>
              <w:pStyle w:val="196"/>
              <w:rPr>
                <w:szCs w:val="21"/>
              </w:rPr>
            </w:pPr>
          </w:p>
        </w:tc>
      </w:tr>
    </w:tbl>
    <w:p w14:paraId="308A5B40">
      <w:pPr>
        <w:pStyle w:val="93"/>
        <w:rPr>
          <w:rFonts w:cs="Times New Roman"/>
        </w:rPr>
      </w:pPr>
      <w:r>
        <w:rPr>
          <w:rFonts w:hint="eastAsia"/>
        </w:rPr>
        <w:t>4、固体废物排放标准</w:t>
      </w:r>
    </w:p>
    <w:p w14:paraId="46DB74A0">
      <w:pPr>
        <w:pStyle w:val="93"/>
      </w:pPr>
      <w:r>
        <w:rPr>
          <w:rFonts w:hint="eastAsia"/>
        </w:rPr>
        <w:t>一般固废的暂存参考执行《一般工业固体废物贮存和填埋污染控制标准》（GB18599-2020）的规定要求。危险固废贮存执行《危险废物贮存污染控制标准》（GB 18597-2023）要求。船舶固废按照《船舶水污染物排放控制标准》（GB3552-2018）中船舶垃圾控制要求执行。</w:t>
      </w:r>
    </w:p>
    <w:p w14:paraId="6C15F7D0">
      <w:pPr>
        <w:pStyle w:val="80"/>
        <w:rPr>
          <w:rFonts w:cs="Times New Roman"/>
        </w:rPr>
      </w:pPr>
      <w:bookmarkStart w:id="81" w:name="_Toc182171805"/>
      <w:r>
        <w:rPr>
          <w:rFonts w:hint="eastAsia"/>
        </w:rPr>
        <w:t>评价工作等级</w:t>
      </w:r>
      <w:bookmarkEnd w:id="81"/>
    </w:p>
    <w:p w14:paraId="21D0D0AA">
      <w:pPr>
        <w:pStyle w:val="82"/>
      </w:pPr>
      <w:r>
        <w:rPr>
          <w:rFonts w:hint="eastAsia"/>
        </w:rPr>
        <w:t>评价工作等级</w:t>
      </w:r>
    </w:p>
    <w:p w14:paraId="62E1C506">
      <w:pPr>
        <w:pStyle w:val="84"/>
      </w:pPr>
      <w:r>
        <w:rPr>
          <w:rFonts w:hint="eastAsia"/>
        </w:rPr>
        <w:t>地表水环境影响评价</w:t>
      </w:r>
      <w:r>
        <w:rPr>
          <w:rFonts w:hint="eastAsia"/>
          <w:kern w:val="0"/>
        </w:rPr>
        <w:t>工作等级</w:t>
      </w:r>
    </w:p>
    <w:p w14:paraId="0A506B06">
      <w:pPr>
        <w:adjustRightInd w:val="0"/>
        <w:snapToGrid w:val="0"/>
        <w:ind w:firstLine="480"/>
        <w:rPr>
          <w:szCs w:val="24"/>
        </w:rPr>
      </w:pPr>
      <w:r>
        <w:rPr>
          <w:rFonts w:hint="eastAsia" w:ascii="宋体" w:hAnsi="宋体"/>
          <w:szCs w:val="24"/>
        </w:rPr>
        <w:t>码头建设会对水体产生扰动，属于“水文要素影响型”，同时码头项目运营期产生生活污水和生产废水，属于“水污染影响型”，综合判断本项目属于复合型建设项目，需分别确定水文要素影响和水污染影响的地表水环境评价等级。</w:t>
      </w:r>
    </w:p>
    <w:p w14:paraId="4A26719D">
      <w:pPr>
        <w:adjustRightInd w:val="0"/>
        <w:snapToGrid w:val="0"/>
        <w:ind w:firstLine="480"/>
        <w:rPr>
          <w:rFonts w:hint="eastAsia" w:ascii="宋体" w:hAnsi="宋体"/>
          <w:szCs w:val="24"/>
        </w:rPr>
      </w:pPr>
    </w:p>
    <w:p w14:paraId="2B7A8917">
      <w:pPr>
        <w:adjustRightInd w:val="0"/>
        <w:snapToGrid w:val="0"/>
        <w:ind w:firstLine="480"/>
        <w:rPr>
          <w:rFonts w:hint="eastAsia" w:ascii="宋体" w:hAnsi="宋体"/>
          <w:szCs w:val="24"/>
        </w:rPr>
        <w:sectPr>
          <w:pgSz w:w="11907" w:h="16840"/>
          <w:pgMar w:top="1418" w:right="1418" w:bottom="1418" w:left="1418" w:header="851" w:footer="992" w:gutter="0"/>
          <w:cols w:space="720" w:num="1"/>
          <w:docGrid w:type="lines" w:linePitch="312" w:charSpace="0"/>
        </w:sectPr>
      </w:pPr>
    </w:p>
    <w:p w14:paraId="449A6F0F">
      <w:pPr>
        <w:pStyle w:val="86"/>
      </w:pPr>
      <w:r>
        <w:rPr>
          <w:rFonts w:hint="eastAsia"/>
        </w:rPr>
        <w:t>水文要素影响型建设项目评价等级判定</w:t>
      </w:r>
    </w:p>
    <w:tbl>
      <w:tblPr>
        <w:tblStyle w:val="38"/>
        <w:tblW w:w="50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796"/>
        <w:gridCol w:w="2004"/>
        <w:gridCol w:w="1629"/>
        <w:gridCol w:w="2685"/>
        <w:gridCol w:w="2688"/>
        <w:gridCol w:w="2906"/>
      </w:tblGrid>
      <w:tr w14:paraId="68D8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Merge w:val="restart"/>
            <w:vAlign w:val="center"/>
          </w:tcPr>
          <w:p w14:paraId="73A363D2">
            <w:pPr>
              <w:pStyle w:val="196"/>
            </w:pPr>
            <w:bookmarkStart w:id="82" w:name="_Hlk14850441"/>
            <w:r>
              <w:rPr>
                <w:rFonts w:hint="eastAsia"/>
              </w:rPr>
              <w:t>评价等级</w:t>
            </w:r>
            <w:bookmarkEnd w:id="82"/>
          </w:p>
        </w:tc>
        <w:tc>
          <w:tcPr>
            <w:tcW w:w="1789" w:type="dxa"/>
            <w:vAlign w:val="center"/>
          </w:tcPr>
          <w:p w14:paraId="5E39532B">
            <w:pPr>
              <w:pStyle w:val="196"/>
            </w:pPr>
            <w:r>
              <w:rPr>
                <w:rFonts w:hint="eastAsia"/>
              </w:rPr>
              <w:t>水温</w:t>
            </w:r>
          </w:p>
        </w:tc>
        <w:tc>
          <w:tcPr>
            <w:tcW w:w="3620" w:type="dxa"/>
            <w:gridSpan w:val="2"/>
            <w:vAlign w:val="center"/>
          </w:tcPr>
          <w:p w14:paraId="58387767">
            <w:pPr>
              <w:pStyle w:val="196"/>
            </w:pPr>
            <w:r>
              <w:rPr>
                <w:rFonts w:hint="eastAsia"/>
              </w:rPr>
              <w:t>径流</w:t>
            </w:r>
          </w:p>
        </w:tc>
        <w:tc>
          <w:tcPr>
            <w:tcW w:w="8255" w:type="dxa"/>
            <w:gridSpan w:val="3"/>
            <w:vAlign w:val="center"/>
          </w:tcPr>
          <w:p w14:paraId="0949A202">
            <w:pPr>
              <w:pStyle w:val="196"/>
            </w:pPr>
            <w:r>
              <w:rPr>
                <w:rFonts w:hint="eastAsia"/>
              </w:rPr>
              <w:t>受影响地表水域</w:t>
            </w:r>
          </w:p>
        </w:tc>
      </w:tr>
      <w:tr w14:paraId="0DE0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dxa"/>
            <w:vMerge w:val="continue"/>
            <w:vAlign w:val="center"/>
          </w:tcPr>
          <w:p w14:paraId="61A25549">
            <w:pPr>
              <w:pStyle w:val="196"/>
            </w:pPr>
          </w:p>
        </w:tc>
        <w:tc>
          <w:tcPr>
            <w:tcW w:w="1789" w:type="dxa"/>
            <w:vMerge w:val="restart"/>
            <w:vAlign w:val="center"/>
          </w:tcPr>
          <w:p w14:paraId="2BAEC164">
            <w:pPr>
              <w:pStyle w:val="196"/>
            </w:pPr>
            <w:r>
              <w:rPr>
                <w:rFonts w:hint="eastAsia"/>
              </w:rPr>
              <w:t>年径流量与总库容百分比α/%</w:t>
            </w:r>
          </w:p>
        </w:tc>
        <w:tc>
          <w:tcPr>
            <w:tcW w:w="1997" w:type="dxa"/>
            <w:vMerge w:val="restart"/>
            <w:vAlign w:val="center"/>
          </w:tcPr>
          <w:p w14:paraId="6A3DD412">
            <w:pPr>
              <w:pStyle w:val="196"/>
            </w:pPr>
            <w:r>
              <w:rPr>
                <w:rFonts w:hint="eastAsia"/>
              </w:rPr>
              <w:t>兴利库容占年径流量百分比β/%</w:t>
            </w:r>
          </w:p>
        </w:tc>
        <w:tc>
          <w:tcPr>
            <w:tcW w:w="1623" w:type="dxa"/>
            <w:vMerge w:val="restart"/>
            <w:vAlign w:val="center"/>
          </w:tcPr>
          <w:p w14:paraId="60FD9FF6">
            <w:pPr>
              <w:pStyle w:val="196"/>
            </w:pPr>
            <w:r>
              <w:rPr>
                <w:rFonts w:hint="eastAsia"/>
              </w:rPr>
              <w:t>取水量占多年平均径流量百分比γ/%</w:t>
            </w:r>
          </w:p>
        </w:tc>
        <w:tc>
          <w:tcPr>
            <w:tcW w:w="5357" w:type="dxa"/>
            <w:gridSpan w:val="2"/>
            <w:shd w:val="clear" w:color="auto" w:fill="D7D7D7"/>
            <w:vAlign w:val="center"/>
          </w:tcPr>
          <w:p w14:paraId="7CEE9002">
            <w:pPr>
              <w:pStyle w:val="196"/>
            </w:pPr>
            <w:r>
              <w:rPr>
                <w:rFonts w:hint="eastAsia"/>
              </w:rPr>
              <w:t>工程垂直投影面积及外扩范围A</w:t>
            </w:r>
            <w:r>
              <w:rPr>
                <w:rFonts w:hint="eastAsia"/>
                <w:vertAlign w:val="subscript"/>
              </w:rPr>
              <w:t>1</w:t>
            </w:r>
            <w:r>
              <w:rPr>
                <w:rFonts w:hint="eastAsia"/>
              </w:rPr>
              <w:t>/km</w:t>
            </w:r>
            <w:r>
              <w:rPr>
                <w:rFonts w:hint="eastAsia"/>
                <w:vertAlign w:val="superscript"/>
              </w:rPr>
              <w:t>2</w:t>
            </w:r>
            <w:r>
              <w:rPr>
                <w:rFonts w:hint="eastAsia"/>
              </w:rPr>
              <w:t>；工程扰动</w:t>
            </w:r>
            <w:r>
              <w:rPr>
                <w:rFonts w:hint="eastAsia"/>
                <w:lang w:eastAsia="zh-CN"/>
              </w:rPr>
              <w:t>基底面积</w:t>
            </w:r>
            <w:r>
              <w:rPr>
                <w:rFonts w:hint="eastAsia"/>
              </w:rPr>
              <w:t>A</w:t>
            </w:r>
            <w:r>
              <w:rPr>
                <w:rFonts w:hint="eastAsia"/>
                <w:vertAlign w:val="subscript"/>
              </w:rPr>
              <w:t>2</w:t>
            </w:r>
            <w:r>
              <w:rPr>
                <w:rFonts w:hint="eastAsia"/>
              </w:rPr>
              <w:t>/km</w:t>
            </w:r>
            <w:r>
              <w:rPr>
                <w:rFonts w:hint="eastAsia"/>
                <w:vertAlign w:val="superscript"/>
              </w:rPr>
              <w:t>2</w:t>
            </w:r>
            <w:r>
              <w:rPr>
                <w:rFonts w:hint="eastAsia"/>
              </w:rPr>
              <w:t>；过水断面宽度占用比例或占用水域面积比例R/%</w:t>
            </w:r>
          </w:p>
        </w:tc>
        <w:tc>
          <w:tcPr>
            <w:tcW w:w="2898" w:type="dxa"/>
            <w:vAlign w:val="center"/>
          </w:tcPr>
          <w:p w14:paraId="67178F4A">
            <w:pPr>
              <w:pStyle w:val="196"/>
            </w:pPr>
            <w:r>
              <w:rPr>
                <w:rFonts w:hint="eastAsia"/>
              </w:rPr>
              <w:t>工程垂直投影面积及外扩范围A</w:t>
            </w:r>
            <w:r>
              <w:rPr>
                <w:rFonts w:hint="eastAsia"/>
                <w:vertAlign w:val="subscript"/>
              </w:rPr>
              <w:t>1</w:t>
            </w:r>
            <w:r>
              <w:rPr>
                <w:rFonts w:hint="eastAsia"/>
              </w:rPr>
              <w:t>/km</w:t>
            </w:r>
            <w:r>
              <w:rPr>
                <w:rFonts w:hint="eastAsia"/>
                <w:vertAlign w:val="superscript"/>
              </w:rPr>
              <w:t>2</w:t>
            </w:r>
            <w:r>
              <w:rPr>
                <w:rFonts w:hint="eastAsia"/>
              </w:rPr>
              <w:t>；工程扰动</w:t>
            </w:r>
            <w:r>
              <w:rPr>
                <w:rFonts w:hint="eastAsia"/>
                <w:lang w:eastAsia="zh-CN"/>
              </w:rPr>
              <w:t>水深</w:t>
            </w:r>
            <w:r>
              <w:rPr>
                <w:rFonts w:hint="eastAsia"/>
              </w:rPr>
              <w:t>面积A</w:t>
            </w:r>
            <w:r>
              <w:rPr>
                <w:rFonts w:hint="eastAsia"/>
                <w:vertAlign w:val="subscript"/>
              </w:rPr>
              <w:t>2</w:t>
            </w:r>
            <w:r>
              <w:rPr>
                <w:rFonts w:hint="eastAsia"/>
              </w:rPr>
              <w:t>/km</w:t>
            </w:r>
            <w:r>
              <w:rPr>
                <w:rFonts w:hint="eastAsia"/>
                <w:vertAlign w:val="superscript"/>
              </w:rPr>
              <w:t>2</w:t>
            </w:r>
          </w:p>
        </w:tc>
      </w:tr>
      <w:tr w14:paraId="15F3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 w:type="dxa"/>
            <w:vMerge w:val="continue"/>
            <w:vAlign w:val="center"/>
          </w:tcPr>
          <w:p w14:paraId="0BC01184">
            <w:pPr>
              <w:pStyle w:val="196"/>
            </w:pPr>
          </w:p>
        </w:tc>
        <w:tc>
          <w:tcPr>
            <w:tcW w:w="300" w:type="dxa"/>
            <w:vMerge w:val="continue"/>
            <w:vAlign w:val="center"/>
          </w:tcPr>
          <w:p w14:paraId="626CA13C">
            <w:pPr>
              <w:pStyle w:val="196"/>
            </w:pPr>
          </w:p>
        </w:tc>
        <w:tc>
          <w:tcPr>
            <w:tcW w:w="300" w:type="dxa"/>
            <w:vMerge w:val="continue"/>
            <w:vAlign w:val="center"/>
          </w:tcPr>
          <w:p w14:paraId="7C72620B">
            <w:pPr>
              <w:pStyle w:val="196"/>
            </w:pPr>
          </w:p>
        </w:tc>
        <w:tc>
          <w:tcPr>
            <w:tcW w:w="300" w:type="dxa"/>
            <w:vMerge w:val="continue"/>
            <w:vAlign w:val="center"/>
          </w:tcPr>
          <w:p w14:paraId="4B284BBD">
            <w:pPr>
              <w:pStyle w:val="196"/>
            </w:pPr>
          </w:p>
        </w:tc>
        <w:tc>
          <w:tcPr>
            <w:tcW w:w="2677" w:type="dxa"/>
            <w:shd w:val="clear" w:color="auto" w:fill="D7D7D7"/>
            <w:vAlign w:val="center"/>
          </w:tcPr>
          <w:p w14:paraId="63EE625B">
            <w:pPr>
              <w:pStyle w:val="196"/>
            </w:pPr>
            <w:r>
              <w:rPr>
                <w:rFonts w:hint="eastAsia"/>
              </w:rPr>
              <w:t>河流</w:t>
            </w:r>
          </w:p>
        </w:tc>
        <w:tc>
          <w:tcPr>
            <w:tcW w:w="2680" w:type="dxa"/>
            <w:vAlign w:val="center"/>
          </w:tcPr>
          <w:p w14:paraId="4B402EF3">
            <w:pPr>
              <w:pStyle w:val="196"/>
            </w:pPr>
            <w:r>
              <w:rPr>
                <w:rFonts w:hint="eastAsia"/>
              </w:rPr>
              <w:t>湖库</w:t>
            </w:r>
          </w:p>
        </w:tc>
        <w:tc>
          <w:tcPr>
            <w:tcW w:w="2898" w:type="dxa"/>
            <w:vAlign w:val="center"/>
          </w:tcPr>
          <w:p w14:paraId="7855FDB6">
            <w:pPr>
              <w:pStyle w:val="196"/>
            </w:pPr>
            <w:r>
              <w:rPr>
                <w:rFonts w:hint="eastAsia"/>
              </w:rPr>
              <w:t>入海河口、近岸海域</w:t>
            </w:r>
          </w:p>
        </w:tc>
      </w:tr>
      <w:tr w14:paraId="4FBAF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08" w:type="dxa"/>
            <w:vAlign w:val="center"/>
          </w:tcPr>
          <w:p w14:paraId="2A93EF55">
            <w:pPr>
              <w:pStyle w:val="196"/>
            </w:pPr>
            <w:r>
              <w:rPr>
                <w:rFonts w:hint="eastAsia"/>
              </w:rPr>
              <w:t>一级</w:t>
            </w:r>
          </w:p>
        </w:tc>
        <w:tc>
          <w:tcPr>
            <w:tcW w:w="1789" w:type="dxa"/>
            <w:vAlign w:val="center"/>
          </w:tcPr>
          <w:p w14:paraId="085157AA">
            <w:pPr>
              <w:pStyle w:val="196"/>
            </w:pPr>
            <w:r>
              <w:rPr>
                <w:rFonts w:hint="eastAsia"/>
              </w:rPr>
              <w:t>α≤10；或稳定分层</w:t>
            </w:r>
          </w:p>
        </w:tc>
        <w:tc>
          <w:tcPr>
            <w:tcW w:w="1997" w:type="dxa"/>
            <w:vAlign w:val="center"/>
          </w:tcPr>
          <w:p w14:paraId="339CC8AF">
            <w:pPr>
              <w:pStyle w:val="196"/>
            </w:pPr>
            <w:r>
              <w:rPr>
                <w:rFonts w:hint="eastAsia"/>
              </w:rPr>
              <w:t>β≥20；或完全年调节与多年调节</w:t>
            </w:r>
          </w:p>
        </w:tc>
        <w:tc>
          <w:tcPr>
            <w:tcW w:w="1623" w:type="dxa"/>
            <w:vAlign w:val="center"/>
          </w:tcPr>
          <w:p w14:paraId="20CBB6B2">
            <w:pPr>
              <w:pStyle w:val="196"/>
            </w:pPr>
            <w:r>
              <w:rPr>
                <w:rFonts w:hint="eastAsia"/>
              </w:rPr>
              <w:t>γ≥30</w:t>
            </w:r>
          </w:p>
        </w:tc>
        <w:tc>
          <w:tcPr>
            <w:tcW w:w="2677" w:type="dxa"/>
            <w:shd w:val="clear" w:color="auto" w:fill="FFFFFF" w:themeFill="background1"/>
            <w:vAlign w:val="center"/>
          </w:tcPr>
          <w:p w14:paraId="422C8B54">
            <w:pPr>
              <w:pStyle w:val="196"/>
              <w:rPr>
                <w:lang w:val="en-US"/>
              </w:rPr>
            </w:pPr>
            <w:r>
              <w:rPr>
                <w:rFonts w:hint="eastAsia"/>
                <w:lang w:val="en-US"/>
              </w:rPr>
              <w:t>A</w:t>
            </w:r>
            <w:r>
              <w:rPr>
                <w:rFonts w:hint="eastAsia"/>
                <w:vertAlign w:val="subscript"/>
                <w:lang w:val="en-US"/>
              </w:rPr>
              <w:t>1</w:t>
            </w:r>
            <w:r>
              <w:rPr>
                <w:rFonts w:hint="eastAsia"/>
                <w:lang w:val="en-US"/>
              </w:rPr>
              <w:t>≥0.3；</w:t>
            </w:r>
            <w:r>
              <w:rPr>
                <w:rFonts w:hint="eastAsia"/>
              </w:rPr>
              <w:t>或</w:t>
            </w:r>
            <w:r>
              <w:rPr>
                <w:rFonts w:hint="eastAsia"/>
                <w:lang w:val="en-US"/>
              </w:rPr>
              <w:t>A</w:t>
            </w:r>
            <w:r>
              <w:rPr>
                <w:rFonts w:hint="eastAsia"/>
                <w:vertAlign w:val="subscript"/>
                <w:lang w:val="en-US"/>
              </w:rPr>
              <w:t>2</w:t>
            </w:r>
            <w:r>
              <w:rPr>
                <w:rFonts w:hint="eastAsia"/>
                <w:lang w:val="en-US"/>
              </w:rPr>
              <w:t>≥1.5；</w:t>
            </w:r>
            <w:r>
              <w:rPr>
                <w:rFonts w:hint="eastAsia"/>
              </w:rPr>
              <w:t>或</w:t>
            </w:r>
            <w:r>
              <w:rPr>
                <w:rFonts w:hint="eastAsia"/>
                <w:lang w:val="en-US"/>
              </w:rPr>
              <w:t>R≥10</w:t>
            </w:r>
          </w:p>
        </w:tc>
        <w:tc>
          <w:tcPr>
            <w:tcW w:w="2680" w:type="dxa"/>
            <w:vAlign w:val="center"/>
          </w:tcPr>
          <w:p w14:paraId="41E9E5FD">
            <w:pPr>
              <w:pStyle w:val="196"/>
              <w:rPr>
                <w:lang w:val="en-US"/>
              </w:rPr>
            </w:pPr>
            <w:r>
              <w:rPr>
                <w:rFonts w:hint="eastAsia"/>
                <w:lang w:val="en-US"/>
              </w:rPr>
              <w:t>A</w:t>
            </w:r>
            <w:r>
              <w:rPr>
                <w:rFonts w:hint="eastAsia"/>
                <w:vertAlign w:val="subscript"/>
                <w:lang w:val="en-US"/>
              </w:rPr>
              <w:t>1</w:t>
            </w:r>
            <w:r>
              <w:rPr>
                <w:rFonts w:hint="eastAsia"/>
                <w:lang w:val="en-US"/>
              </w:rPr>
              <w:t>≥0.3；</w:t>
            </w:r>
            <w:r>
              <w:rPr>
                <w:rFonts w:hint="eastAsia"/>
              </w:rPr>
              <w:t>或</w:t>
            </w:r>
            <w:r>
              <w:rPr>
                <w:rFonts w:hint="eastAsia"/>
                <w:lang w:val="en-US"/>
              </w:rPr>
              <w:t>A</w:t>
            </w:r>
            <w:r>
              <w:rPr>
                <w:rFonts w:hint="eastAsia"/>
                <w:vertAlign w:val="subscript"/>
                <w:lang w:val="en-US"/>
              </w:rPr>
              <w:t>2</w:t>
            </w:r>
            <w:r>
              <w:rPr>
                <w:rFonts w:hint="eastAsia"/>
                <w:lang w:val="en-US"/>
              </w:rPr>
              <w:t>≥1.5；</w:t>
            </w:r>
            <w:r>
              <w:rPr>
                <w:rFonts w:hint="eastAsia"/>
              </w:rPr>
              <w:t>或</w:t>
            </w:r>
            <w:r>
              <w:rPr>
                <w:rFonts w:hint="eastAsia"/>
                <w:lang w:val="en-US"/>
              </w:rPr>
              <w:t>R≥20</w:t>
            </w:r>
          </w:p>
        </w:tc>
        <w:tc>
          <w:tcPr>
            <w:tcW w:w="2898" w:type="dxa"/>
            <w:vAlign w:val="center"/>
          </w:tcPr>
          <w:p w14:paraId="4528F7E5">
            <w:pPr>
              <w:pStyle w:val="196"/>
            </w:pPr>
            <w:r>
              <w:rPr>
                <w:rFonts w:hint="eastAsia"/>
              </w:rPr>
              <w:t>A</w:t>
            </w:r>
            <w:r>
              <w:rPr>
                <w:rFonts w:hint="eastAsia"/>
                <w:vertAlign w:val="subscript"/>
              </w:rPr>
              <w:t>1</w:t>
            </w:r>
            <w:r>
              <w:rPr>
                <w:rFonts w:hint="eastAsia"/>
              </w:rPr>
              <w:t>≥0.5；或A</w:t>
            </w:r>
            <w:r>
              <w:rPr>
                <w:rFonts w:hint="eastAsia"/>
                <w:vertAlign w:val="subscript"/>
              </w:rPr>
              <w:t>2</w:t>
            </w:r>
            <w:r>
              <w:rPr>
                <w:rFonts w:hint="eastAsia"/>
              </w:rPr>
              <w:t>≥3</w:t>
            </w:r>
          </w:p>
        </w:tc>
      </w:tr>
      <w:tr w14:paraId="01603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Align w:val="center"/>
          </w:tcPr>
          <w:p w14:paraId="527BD708">
            <w:pPr>
              <w:pStyle w:val="196"/>
            </w:pPr>
            <w:r>
              <w:rPr>
                <w:rFonts w:hint="eastAsia"/>
              </w:rPr>
              <w:t>二级</w:t>
            </w:r>
          </w:p>
        </w:tc>
        <w:tc>
          <w:tcPr>
            <w:tcW w:w="1789" w:type="dxa"/>
            <w:vAlign w:val="center"/>
          </w:tcPr>
          <w:p w14:paraId="73F52BDD">
            <w:pPr>
              <w:pStyle w:val="196"/>
            </w:pPr>
            <w:r>
              <w:rPr>
                <w:rFonts w:hint="eastAsia"/>
              </w:rPr>
              <w:t>20&gt;α&gt;10；或不稳定分层</w:t>
            </w:r>
          </w:p>
        </w:tc>
        <w:tc>
          <w:tcPr>
            <w:tcW w:w="1997" w:type="dxa"/>
            <w:vAlign w:val="center"/>
          </w:tcPr>
          <w:p w14:paraId="1FA0B4F3">
            <w:pPr>
              <w:pStyle w:val="196"/>
            </w:pPr>
            <w:r>
              <w:rPr>
                <w:rFonts w:hint="eastAsia"/>
              </w:rPr>
              <w:t>20&gt;β&gt;2；或季；调节与不完全年调节</w:t>
            </w:r>
          </w:p>
        </w:tc>
        <w:tc>
          <w:tcPr>
            <w:tcW w:w="1623" w:type="dxa"/>
            <w:vAlign w:val="center"/>
          </w:tcPr>
          <w:p w14:paraId="734A84E6">
            <w:pPr>
              <w:pStyle w:val="196"/>
            </w:pPr>
            <w:r>
              <w:rPr>
                <w:rFonts w:hint="eastAsia"/>
              </w:rPr>
              <w:t>30&gt;γ&gt;10</w:t>
            </w:r>
          </w:p>
        </w:tc>
        <w:tc>
          <w:tcPr>
            <w:tcW w:w="2677" w:type="dxa"/>
            <w:shd w:val="clear" w:color="auto" w:fill="FFFFFF" w:themeFill="background1"/>
            <w:vAlign w:val="center"/>
          </w:tcPr>
          <w:p w14:paraId="0CD9555B">
            <w:pPr>
              <w:pStyle w:val="196"/>
            </w:pPr>
            <w:r>
              <w:rPr>
                <w:rFonts w:hint="eastAsia"/>
              </w:rPr>
              <w:t>0.3&gt;A</w:t>
            </w:r>
            <w:r>
              <w:rPr>
                <w:rFonts w:hint="eastAsia"/>
                <w:vertAlign w:val="subscript"/>
              </w:rPr>
              <w:t>1</w:t>
            </w:r>
            <w:r>
              <w:rPr>
                <w:rFonts w:hint="eastAsia"/>
              </w:rPr>
              <w:t>&gt;0.05；或1.5&gt;A</w:t>
            </w:r>
            <w:r>
              <w:rPr>
                <w:rFonts w:hint="eastAsia"/>
                <w:vertAlign w:val="subscript"/>
              </w:rPr>
              <w:t>2</w:t>
            </w:r>
            <w:r>
              <w:rPr>
                <w:rFonts w:hint="eastAsia"/>
              </w:rPr>
              <w:t>&gt;0.2；或10&gt;R&gt;5</w:t>
            </w:r>
          </w:p>
        </w:tc>
        <w:tc>
          <w:tcPr>
            <w:tcW w:w="2680" w:type="dxa"/>
            <w:vAlign w:val="center"/>
          </w:tcPr>
          <w:p w14:paraId="08AC49D2">
            <w:pPr>
              <w:pStyle w:val="196"/>
            </w:pPr>
            <w:r>
              <w:rPr>
                <w:rFonts w:hint="eastAsia"/>
              </w:rPr>
              <w:t>0.3&gt;A</w:t>
            </w:r>
            <w:r>
              <w:rPr>
                <w:rFonts w:hint="eastAsia"/>
                <w:vertAlign w:val="subscript"/>
              </w:rPr>
              <w:t>1</w:t>
            </w:r>
            <w:r>
              <w:rPr>
                <w:rFonts w:hint="eastAsia"/>
              </w:rPr>
              <w:t>&gt;0.05；或1.5&gt;A</w:t>
            </w:r>
            <w:r>
              <w:rPr>
                <w:rFonts w:hint="eastAsia"/>
                <w:vertAlign w:val="subscript"/>
              </w:rPr>
              <w:t>2</w:t>
            </w:r>
            <w:r>
              <w:rPr>
                <w:rFonts w:hint="eastAsia"/>
              </w:rPr>
              <w:t>&gt;0.2: 或20&gt;R&gt;5</w:t>
            </w:r>
          </w:p>
        </w:tc>
        <w:tc>
          <w:tcPr>
            <w:tcW w:w="2898" w:type="dxa"/>
            <w:vAlign w:val="center"/>
          </w:tcPr>
          <w:p w14:paraId="5498B4E3">
            <w:pPr>
              <w:pStyle w:val="196"/>
            </w:pPr>
            <w:r>
              <w:rPr>
                <w:rFonts w:hint="eastAsia"/>
              </w:rPr>
              <w:t>0.5&gt;A</w:t>
            </w:r>
            <w:r>
              <w:rPr>
                <w:rFonts w:hint="eastAsia"/>
                <w:vertAlign w:val="subscript"/>
              </w:rPr>
              <w:t>1</w:t>
            </w:r>
            <w:r>
              <w:rPr>
                <w:rFonts w:hint="eastAsia"/>
              </w:rPr>
              <w:t>&gt;0.15；或3&gt;A</w:t>
            </w:r>
            <w:r>
              <w:rPr>
                <w:rFonts w:hint="eastAsia"/>
                <w:vertAlign w:val="subscript"/>
              </w:rPr>
              <w:t>2</w:t>
            </w:r>
            <w:r>
              <w:rPr>
                <w:rFonts w:hint="eastAsia"/>
              </w:rPr>
              <w:t>&gt;0.5</w:t>
            </w:r>
          </w:p>
        </w:tc>
      </w:tr>
      <w:tr w14:paraId="6E63E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vAlign w:val="center"/>
          </w:tcPr>
          <w:p w14:paraId="6394CAC0">
            <w:pPr>
              <w:pStyle w:val="196"/>
            </w:pPr>
            <w:r>
              <w:rPr>
                <w:rFonts w:hint="eastAsia"/>
              </w:rPr>
              <w:t>三级</w:t>
            </w:r>
          </w:p>
        </w:tc>
        <w:tc>
          <w:tcPr>
            <w:tcW w:w="1789" w:type="dxa"/>
            <w:vAlign w:val="center"/>
          </w:tcPr>
          <w:p w14:paraId="5E330A94">
            <w:pPr>
              <w:pStyle w:val="196"/>
            </w:pPr>
            <w:r>
              <w:rPr>
                <w:rFonts w:hint="eastAsia"/>
              </w:rPr>
              <w:t>α≥20；或混合型</w:t>
            </w:r>
          </w:p>
        </w:tc>
        <w:tc>
          <w:tcPr>
            <w:tcW w:w="1997" w:type="dxa"/>
            <w:vAlign w:val="center"/>
          </w:tcPr>
          <w:p w14:paraId="6729CB78">
            <w:pPr>
              <w:pStyle w:val="196"/>
            </w:pPr>
            <w:r>
              <w:rPr>
                <w:rFonts w:hint="eastAsia"/>
              </w:rPr>
              <w:t>β≤2；或无调节</w:t>
            </w:r>
          </w:p>
        </w:tc>
        <w:tc>
          <w:tcPr>
            <w:tcW w:w="1623" w:type="dxa"/>
            <w:vAlign w:val="center"/>
          </w:tcPr>
          <w:p w14:paraId="496FB686">
            <w:pPr>
              <w:pStyle w:val="196"/>
            </w:pPr>
            <w:r>
              <w:rPr>
                <w:rFonts w:hint="eastAsia"/>
              </w:rPr>
              <w:t>γ≤10</w:t>
            </w:r>
          </w:p>
        </w:tc>
        <w:tc>
          <w:tcPr>
            <w:tcW w:w="2677" w:type="dxa"/>
            <w:shd w:val="clear" w:color="auto" w:fill="D7D7D7"/>
            <w:vAlign w:val="center"/>
          </w:tcPr>
          <w:p w14:paraId="5DBA1D27">
            <w:pPr>
              <w:pStyle w:val="196"/>
              <w:rPr>
                <w:lang w:val="en-US"/>
              </w:rPr>
            </w:pPr>
            <w:r>
              <w:rPr>
                <w:rFonts w:hint="eastAsia"/>
                <w:lang w:val="en-US"/>
              </w:rPr>
              <w:t>A</w:t>
            </w:r>
            <w:r>
              <w:rPr>
                <w:rFonts w:hint="eastAsia"/>
                <w:vertAlign w:val="subscript"/>
                <w:lang w:val="en-US"/>
              </w:rPr>
              <w:t>1</w:t>
            </w:r>
            <w:r>
              <w:rPr>
                <w:rFonts w:hint="eastAsia"/>
                <w:lang w:val="en-US"/>
              </w:rPr>
              <w:t>≤0.05；</w:t>
            </w:r>
            <w:r>
              <w:rPr>
                <w:rFonts w:hint="eastAsia"/>
              </w:rPr>
              <w:t>或</w:t>
            </w:r>
            <w:r>
              <w:rPr>
                <w:rFonts w:hint="eastAsia"/>
                <w:lang w:val="en-US"/>
              </w:rPr>
              <w:t>A</w:t>
            </w:r>
            <w:r>
              <w:rPr>
                <w:rFonts w:hint="eastAsia"/>
                <w:vertAlign w:val="subscript"/>
                <w:lang w:val="en-US"/>
              </w:rPr>
              <w:t>2</w:t>
            </w:r>
            <w:r>
              <w:rPr>
                <w:rFonts w:hint="eastAsia"/>
                <w:lang w:val="en-US"/>
              </w:rPr>
              <w:t>≤0.2；</w:t>
            </w:r>
            <w:r>
              <w:rPr>
                <w:rFonts w:hint="eastAsia"/>
              </w:rPr>
              <w:t>或</w:t>
            </w:r>
            <w:r>
              <w:rPr>
                <w:rFonts w:hint="eastAsia"/>
                <w:lang w:val="en-US"/>
              </w:rPr>
              <w:t>R≤5</w:t>
            </w:r>
          </w:p>
        </w:tc>
        <w:tc>
          <w:tcPr>
            <w:tcW w:w="2680" w:type="dxa"/>
            <w:vAlign w:val="center"/>
          </w:tcPr>
          <w:p w14:paraId="47FD3F47">
            <w:pPr>
              <w:pStyle w:val="196"/>
              <w:rPr>
                <w:lang w:val="en-US"/>
              </w:rPr>
            </w:pPr>
            <w:r>
              <w:rPr>
                <w:rFonts w:hint="eastAsia"/>
                <w:lang w:val="en-US"/>
              </w:rPr>
              <w:t>A</w:t>
            </w:r>
            <w:r>
              <w:rPr>
                <w:rFonts w:hint="eastAsia"/>
                <w:vertAlign w:val="subscript"/>
                <w:lang w:val="en-US"/>
              </w:rPr>
              <w:t>1</w:t>
            </w:r>
            <w:r>
              <w:rPr>
                <w:rFonts w:hint="eastAsia"/>
                <w:lang w:val="en-US"/>
              </w:rPr>
              <w:t>≤0.05；</w:t>
            </w:r>
            <w:r>
              <w:rPr>
                <w:rFonts w:hint="eastAsia"/>
              </w:rPr>
              <w:t>或</w:t>
            </w:r>
            <w:r>
              <w:rPr>
                <w:rFonts w:hint="eastAsia"/>
                <w:lang w:val="en-US"/>
              </w:rPr>
              <w:t>A</w:t>
            </w:r>
            <w:r>
              <w:rPr>
                <w:rFonts w:hint="eastAsia"/>
                <w:vertAlign w:val="subscript"/>
                <w:lang w:val="en-US"/>
              </w:rPr>
              <w:t>2</w:t>
            </w:r>
            <w:r>
              <w:rPr>
                <w:rFonts w:hint="eastAsia"/>
                <w:lang w:val="en-US"/>
              </w:rPr>
              <w:t>≤0.2；</w:t>
            </w:r>
            <w:r>
              <w:rPr>
                <w:rFonts w:hint="eastAsia"/>
              </w:rPr>
              <w:t>或</w:t>
            </w:r>
            <w:r>
              <w:rPr>
                <w:rFonts w:hint="eastAsia"/>
                <w:lang w:val="en-US"/>
              </w:rPr>
              <w:t>R≤5</w:t>
            </w:r>
          </w:p>
        </w:tc>
        <w:tc>
          <w:tcPr>
            <w:tcW w:w="2898" w:type="dxa"/>
            <w:vAlign w:val="center"/>
          </w:tcPr>
          <w:p w14:paraId="59716607">
            <w:pPr>
              <w:pStyle w:val="196"/>
            </w:pPr>
            <w:r>
              <w:rPr>
                <w:rFonts w:hint="eastAsia"/>
              </w:rPr>
              <w:t>A</w:t>
            </w:r>
            <w:r>
              <w:rPr>
                <w:rFonts w:hint="eastAsia"/>
                <w:vertAlign w:val="subscript"/>
              </w:rPr>
              <w:t>1</w:t>
            </w:r>
            <w:r>
              <w:rPr>
                <w:rFonts w:hint="eastAsia"/>
              </w:rPr>
              <w:t>≤0.15；或A</w:t>
            </w:r>
            <w:r>
              <w:rPr>
                <w:rFonts w:hint="eastAsia"/>
                <w:vertAlign w:val="subscript"/>
              </w:rPr>
              <w:t>2</w:t>
            </w:r>
            <w:r>
              <w:rPr>
                <w:rFonts w:hint="eastAsia"/>
              </w:rPr>
              <w:t>≤0.5</w:t>
            </w:r>
          </w:p>
        </w:tc>
      </w:tr>
      <w:tr w14:paraId="30BA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72" w:type="dxa"/>
            <w:gridSpan w:val="7"/>
            <w:vAlign w:val="center"/>
          </w:tcPr>
          <w:p w14:paraId="0ADCCE33">
            <w:pPr>
              <w:pStyle w:val="196"/>
              <w:jc w:val="left"/>
            </w:pPr>
            <w:r>
              <w:rPr>
                <w:rFonts w:hint="eastAsia"/>
              </w:rPr>
              <w:t>注1：影响范围涉及饮用水水源保护区、重点保护与珍稀水生生物的栖息地、重要水生生物的自然产卵场、自然保护区等保护目标，评价等级应不低于二级。</w:t>
            </w:r>
          </w:p>
          <w:p w14:paraId="53DF3D70">
            <w:pPr>
              <w:pStyle w:val="196"/>
              <w:jc w:val="left"/>
            </w:pPr>
            <w:r>
              <w:rPr>
                <w:rFonts w:hint="eastAsia"/>
              </w:rPr>
              <w:t>注2：跨流域调水、引水式电站、可能受到大型河流感潮河段咸潮影响的建设项目，评价等级不低于二级。</w:t>
            </w:r>
          </w:p>
          <w:p w14:paraId="3644D365">
            <w:pPr>
              <w:pStyle w:val="196"/>
              <w:jc w:val="left"/>
            </w:pPr>
            <w:r>
              <w:rPr>
                <w:rFonts w:hint="eastAsia"/>
              </w:rPr>
              <w:t>注3：造成入海河口（湾口）宽度束窄（束窄尺度达到原宽度的5%以上</w:t>
            </w:r>
            <w:r>
              <w:rPr>
                <w:rFonts w:hint="eastAsia"/>
                <w:lang w:eastAsia="zh-CN"/>
              </w:rPr>
              <w:t>）</w:t>
            </w:r>
            <w:r>
              <w:rPr>
                <w:rFonts w:hint="eastAsia"/>
              </w:rPr>
              <w:t>，评价等级应不低于二级。</w:t>
            </w:r>
          </w:p>
          <w:p w14:paraId="096E9E24">
            <w:pPr>
              <w:pStyle w:val="196"/>
              <w:jc w:val="left"/>
            </w:pPr>
            <w:r>
              <w:rPr>
                <w:rFonts w:hint="eastAsia"/>
              </w:rPr>
              <w:t>注4：对不透水的单方向建筑尺度较长的水工建筑物（如防波堤、导流堤等</w:t>
            </w:r>
            <w:r>
              <w:rPr>
                <w:rFonts w:hint="eastAsia"/>
                <w:lang w:eastAsia="zh-CN"/>
              </w:rPr>
              <w:t>）</w:t>
            </w:r>
            <w:r>
              <w:rPr>
                <w:rFonts w:hint="eastAsia"/>
              </w:rPr>
              <w:t>，其与潮流或水流主流向切线垂直方向投影长度大于2km时，评价等级应不低于二级。</w:t>
            </w:r>
          </w:p>
          <w:p w14:paraId="73B57363">
            <w:pPr>
              <w:pStyle w:val="196"/>
              <w:jc w:val="left"/>
            </w:pPr>
            <w:r>
              <w:rPr>
                <w:rFonts w:hint="eastAsia"/>
              </w:rPr>
              <w:t>注5：允许在一类海域建设的项目，评价等级为一级。</w:t>
            </w:r>
          </w:p>
          <w:p w14:paraId="13189288">
            <w:pPr>
              <w:pStyle w:val="196"/>
              <w:jc w:val="left"/>
            </w:pPr>
            <w:r>
              <w:rPr>
                <w:rFonts w:hint="eastAsia"/>
              </w:rPr>
              <w:t>注6：同时存在多个水文要素影响的建设项目，分别判定各水文要素影响评价等级，并取其中最高等级作为水文要素影响型建设项目评价等级。</w:t>
            </w:r>
          </w:p>
        </w:tc>
      </w:tr>
      <w:tr w14:paraId="656E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372" w:type="dxa"/>
            <w:gridSpan w:val="7"/>
            <w:vAlign w:val="center"/>
          </w:tcPr>
          <w:p w14:paraId="6F39D608">
            <w:pPr>
              <w:pStyle w:val="196"/>
              <w:jc w:val="left"/>
            </w:pPr>
            <w:r>
              <w:rPr>
                <w:rFonts w:hint="eastAsia"/>
              </w:rPr>
              <w:t>计算过程及依据：</w:t>
            </w:r>
          </w:p>
          <w:p w14:paraId="18D4D28A">
            <w:pPr>
              <w:pStyle w:val="196"/>
              <w:jc w:val="left"/>
            </w:pPr>
            <w:r>
              <w:rPr>
                <w:rFonts w:hint="eastAsia"/>
              </w:rPr>
              <w:t>A1：本项目码头为采用挖入式港池的布置形式，码头结构为钢筋砼扶壁式，与高桩梁板结构型式不同，不会向水面外扩，垂直方向不占用水域，不产生垂直投影面积，因此A1为0。</w:t>
            </w:r>
          </w:p>
          <w:p w14:paraId="379DC5AF">
            <w:pPr>
              <w:pStyle w:val="196"/>
              <w:jc w:val="left"/>
            </w:pPr>
            <w:r>
              <w:rPr>
                <w:rFonts w:hint="eastAsia"/>
              </w:rPr>
              <w:t>A2：本项目港池面积约为0.02km</w:t>
            </w:r>
            <w:r>
              <w:rPr>
                <w:rFonts w:hint="eastAsia"/>
                <w:vertAlign w:val="superscript"/>
              </w:rPr>
              <w:t>2</w:t>
            </w:r>
            <w:r>
              <w:rPr>
                <w:rFonts w:hint="eastAsia"/>
              </w:rPr>
              <w:t>，项目工程扰动</w:t>
            </w:r>
            <w:r>
              <w:rPr>
                <w:rFonts w:hint="eastAsia"/>
                <w:lang w:eastAsia="zh-CN"/>
              </w:rPr>
              <w:t>水深</w:t>
            </w:r>
            <w:r>
              <w:rPr>
                <w:rFonts w:hint="eastAsia"/>
              </w:rPr>
              <w:t>面积为本项目挖入式港池的面积，因此A2为0.02km</w:t>
            </w:r>
            <w:r>
              <w:rPr>
                <w:rFonts w:hint="eastAsia"/>
                <w:vertAlign w:val="superscript"/>
              </w:rPr>
              <w:t>2</w:t>
            </w:r>
            <w:r>
              <w:rPr>
                <w:rFonts w:hint="eastAsia"/>
              </w:rPr>
              <w:t>。</w:t>
            </w:r>
          </w:p>
          <w:p w14:paraId="3AB5A457">
            <w:pPr>
              <w:pStyle w:val="196"/>
              <w:jc w:val="left"/>
            </w:pPr>
            <w:r>
              <w:rPr>
                <w:rFonts w:hint="eastAsia"/>
              </w:rPr>
              <w:t>R：本项目为挖入式港池，不占用盐河过水断面及水域面积，因此R为0。</w:t>
            </w:r>
          </w:p>
        </w:tc>
      </w:tr>
    </w:tbl>
    <w:p w14:paraId="57A47C35">
      <w:pPr>
        <w:adjustRightInd w:val="0"/>
        <w:snapToGrid w:val="0"/>
        <w:ind w:firstLine="480"/>
        <w:rPr>
          <w:rFonts w:hint="eastAsia" w:ascii="宋体" w:hAnsi="宋体"/>
          <w:szCs w:val="24"/>
        </w:rPr>
      </w:pPr>
    </w:p>
    <w:p w14:paraId="3E359B5A">
      <w:pPr>
        <w:adjustRightInd w:val="0"/>
        <w:snapToGrid w:val="0"/>
        <w:ind w:firstLine="480"/>
        <w:rPr>
          <w:szCs w:val="24"/>
        </w:rPr>
        <w:sectPr>
          <w:pgSz w:w="16840" w:h="11907" w:orient="landscape"/>
          <w:pgMar w:top="1418" w:right="1418" w:bottom="1418" w:left="1418" w:header="851" w:footer="992" w:gutter="0"/>
          <w:cols w:space="720" w:num="1"/>
          <w:docGrid w:type="lines" w:linePitch="326" w:charSpace="0"/>
        </w:sectPr>
      </w:pPr>
    </w:p>
    <w:p w14:paraId="4F6557DE">
      <w:pPr>
        <w:adjustRightInd w:val="0"/>
        <w:snapToGrid w:val="0"/>
        <w:ind w:firstLine="480"/>
        <w:rPr>
          <w:szCs w:val="24"/>
        </w:rPr>
      </w:pPr>
      <w:r>
        <w:rPr>
          <w:rFonts w:hint="eastAsia" w:ascii="宋体" w:hAnsi="宋体"/>
          <w:szCs w:val="24"/>
        </w:rPr>
        <w:t>（</w:t>
      </w:r>
      <w:r>
        <w:rPr>
          <w:rFonts w:hint="eastAsia"/>
          <w:szCs w:val="24"/>
        </w:rPr>
        <w:t>1</w:t>
      </w:r>
      <w:r>
        <w:rPr>
          <w:rFonts w:hint="eastAsia" w:ascii="宋体" w:hAnsi="宋体"/>
          <w:szCs w:val="24"/>
        </w:rPr>
        <w:t>）水文要素影响</w:t>
      </w:r>
      <w:r>
        <w:rPr>
          <w:rFonts w:hint="eastAsia" w:ascii="宋体" w:hAnsi="宋体"/>
          <w:szCs w:val="24"/>
          <w:lang w:eastAsia="zh-CN"/>
        </w:rPr>
        <w:t>性</w:t>
      </w:r>
      <w:r>
        <w:rPr>
          <w:rFonts w:hint="eastAsia" w:ascii="宋体" w:hAnsi="宋体"/>
          <w:szCs w:val="24"/>
        </w:rPr>
        <w:t>评价等级确定</w:t>
      </w:r>
    </w:p>
    <w:p w14:paraId="7DE8C03A">
      <w:pPr>
        <w:pStyle w:val="93"/>
      </w:pPr>
      <w:r>
        <w:rPr>
          <w:rFonts w:hint="eastAsia"/>
        </w:rPr>
        <w:t>本项目采用挖入式港池的布置形式，码头结构为钢筋砼扶壁式。根据上表，其中水工建筑工程（码头）对水域的垂直投影面积及外扩面积A</w:t>
      </w:r>
      <w:r>
        <w:rPr>
          <w:rFonts w:hint="eastAsia"/>
          <w:vertAlign w:val="subscript"/>
        </w:rPr>
        <w:t>l</w:t>
      </w:r>
      <w:r>
        <w:rPr>
          <w:rFonts w:hint="eastAsia"/>
        </w:rPr>
        <w:t>为0，小于0.05km</w:t>
      </w:r>
      <w:r>
        <w:rPr>
          <w:rFonts w:hint="eastAsia"/>
          <w:vertAlign w:val="superscript"/>
        </w:rPr>
        <w:t>2</w:t>
      </w:r>
      <w:r>
        <w:rPr>
          <w:rFonts w:hint="eastAsia"/>
        </w:rPr>
        <w:t>，工程扰动</w:t>
      </w:r>
      <w:r>
        <w:rPr>
          <w:rFonts w:hint="eastAsia"/>
          <w:lang w:eastAsia="zh-CN"/>
        </w:rPr>
        <w:t>基底面积</w:t>
      </w:r>
      <w:r>
        <w:rPr>
          <w:rFonts w:hint="eastAsia"/>
        </w:rPr>
        <w:t>A</w:t>
      </w:r>
      <w:r>
        <w:rPr>
          <w:rFonts w:hint="eastAsia"/>
          <w:vertAlign w:val="subscript"/>
        </w:rPr>
        <w:t>2</w:t>
      </w:r>
      <w:r>
        <w:rPr>
          <w:rFonts w:hint="eastAsia"/>
        </w:rPr>
        <w:t>约为0.02km</w:t>
      </w:r>
      <w:r>
        <w:rPr>
          <w:rFonts w:hint="eastAsia"/>
          <w:vertAlign w:val="superscript"/>
        </w:rPr>
        <w:t>2</w:t>
      </w:r>
      <w:r>
        <w:rPr>
          <w:rFonts w:hint="eastAsia"/>
        </w:rPr>
        <w:t>，&lt;0.5km</w:t>
      </w:r>
      <w:r>
        <w:rPr>
          <w:rFonts w:hint="eastAsia"/>
          <w:vertAlign w:val="superscript"/>
        </w:rPr>
        <w:t>2</w:t>
      </w:r>
      <w:r>
        <w:rPr>
          <w:rFonts w:hint="eastAsia"/>
        </w:rPr>
        <w:t>，过水断面宽度占用比例或占用水域面积（比例R为0，小于5。因此地表水环境水文要素影响</w:t>
      </w:r>
      <w:r>
        <w:rPr>
          <w:rFonts w:hint="eastAsia"/>
          <w:lang w:eastAsia="zh-CN"/>
        </w:rPr>
        <w:t>性</w:t>
      </w:r>
      <w:r>
        <w:rPr>
          <w:rFonts w:hint="eastAsia"/>
        </w:rPr>
        <w:t>评价等级判定为三级。</w:t>
      </w:r>
    </w:p>
    <w:p w14:paraId="65237671">
      <w:pPr>
        <w:pStyle w:val="93"/>
      </w:pPr>
      <w:r>
        <w:rPr>
          <w:rFonts w:hint="eastAsia"/>
        </w:rPr>
        <w:t>根据《水运工程建设项目环境影响评价指南》（JTS105-2021）中的河港工程评价等级划分表，本项目属于干散货（煤炭）工程项目，不涉及重要生境，水环境影响评价中的水文动力环境、冲淤环境评价、水质和沉积物环境评价等级为三级，详见下表2.4-2。</w:t>
      </w:r>
    </w:p>
    <w:p w14:paraId="1C83B32E">
      <w:pPr>
        <w:pStyle w:val="86"/>
      </w:pPr>
      <w:r>
        <w:rPr>
          <w:rFonts w:hint="eastAsia"/>
        </w:rPr>
        <w:t>河港建设项目评价等级划分表</w:t>
      </w:r>
    </w:p>
    <w:tbl>
      <w:tblPr>
        <w:tblStyle w:val="38"/>
        <w:tblW w:w="8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8"/>
        <w:gridCol w:w="1211"/>
        <w:gridCol w:w="1293"/>
        <w:gridCol w:w="1133"/>
        <w:gridCol w:w="1215"/>
        <w:gridCol w:w="1216"/>
        <w:gridCol w:w="1270"/>
      </w:tblGrid>
      <w:tr w14:paraId="5D48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Merge w:val="restart"/>
            <w:tcBorders>
              <w:top w:val="single" w:color="auto" w:sz="4" w:space="0"/>
              <w:left w:val="single" w:color="auto" w:sz="4" w:space="0"/>
              <w:bottom w:val="single" w:color="auto" w:sz="4" w:space="0"/>
              <w:right w:val="single" w:color="auto" w:sz="4" w:space="0"/>
            </w:tcBorders>
            <w:vAlign w:val="center"/>
          </w:tcPr>
          <w:p w14:paraId="037DB54B">
            <w:pPr>
              <w:pStyle w:val="196"/>
              <w:rPr>
                <w:lang w:val="en-US"/>
              </w:rPr>
            </w:pPr>
            <w:r>
              <w:rPr>
                <w:rFonts w:hint="eastAsia"/>
                <w:b/>
                <w:bCs/>
                <w:lang w:val="en-US"/>
              </w:rPr>
              <w:t>港口性质</w:t>
            </w:r>
          </w:p>
        </w:tc>
        <w:tc>
          <w:tcPr>
            <w:tcW w:w="1211" w:type="dxa"/>
            <w:vMerge w:val="restart"/>
            <w:tcBorders>
              <w:top w:val="single" w:color="auto" w:sz="4" w:space="0"/>
              <w:left w:val="single" w:color="auto" w:sz="4" w:space="0"/>
              <w:bottom w:val="single" w:color="auto" w:sz="4" w:space="0"/>
              <w:right w:val="single" w:color="auto" w:sz="4" w:space="0"/>
            </w:tcBorders>
            <w:vAlign w:val="center"/>
          </w:tcPr>
          <w:p w14:paraId="08A0BFF6">
            <w:pPr>
              <w:pStyle w:val="196"/>
              <w:rPr>
                <w:lang w:val="en-US"/>
              </w:rPr>
            </w:pPr>
            <w:r>
              <w:rPr>
                <w:rFonts w:hint="eastAsia"/>
                <w:b/>
                <w:bCs/>
                <w:lang w:val="en-US"/>
              </w:rPr>
              <w:t>工程特性</w:t>
            </w:r>
          </w:p>
        </w:tc>
        <w:tc>
          <w:tcPr>
            <w:tcW w:w="1293" w:type="dxa"/>
            <w:vMerge w:val="restart"/>
            <w:tcBorders>
              <w:top w:val="single" w:color="auto" w:sz="4" w:space="0"/>
              <w:left w:val="single" w:color="auto" w:sz="4" w:space="0"/>
              <w:bottom w:val="single" w:color="auto" w:sz="4" w:space="0"/>
              <w:right w:val="single" w:color="auto" w:sz="4" w:space="0"/>
            </w:tcBorders>
            <w:vAlign w:val="center"/>
          </w:tcPr>
          <w:p w14:paraId="19F0FF4F">
            <w:pPr>
              <w:pStyle w:val="196"/>
              <w:rPr>
                <w:lang w:val="en-US"/>
              </w:rPr>
            </w:pPr>
            <w:r>
              <w:rPr>
                <w:rFonts w:hint="eastAsia"/>
                <w:b/>
                <w:bCs/>
                <w:lang w:val="en-US"/>
              </w:rPr>
              <w:t>环境敏感性</w:t>
            </w:r>
          </w:p>
        </w:tc>
        <w:tc>
          <w:tcPr>
            <w:tcW w:w="1133" w:type="dxa"/>
            <w:vMerge w:val="restart"/>
            <w:tcBorders>
              <w:top w:val="single" w:color="auto" w:sz="4" w:space="0"/>
              <w:left w:val="single" w:color="auto" w:sz="4" w:space="0"/>
              <w:bottom w:val="single" w:color="auto" w:sz="4" w:space="0"/>
              <w:right w:val="single" w:color="auto" w:sz="4" w:space="0"/>
            </w:tcBorders>
            <w:vAlign w:val="center"/>
          </w:tcPr>
          <w:p w14:paraId="4D7F435A">
            <w:pPr>
              <w:pStyle w:val="196"/>
              <w:rPr>
                <w:lang w:val="en-US"/>
              </w:rPr>
            </w:pPr>
            <w:r>
              <w:rPr>
                <w:rFonts w:hint="eastAsia"/>
                <w:b/>
                <w:bCs/>
                <w:lang w:val="en-US"/>
              </w:rPr>
              <w:t>生态影响</w:t>
            </w:r>
          </w:p>
          <w:p w14:paraId="2647C2BE">
            <w:pPr>
              <w:pStyle w:val="196"/>
              <w:rPr>
                <w:lang w:val="en-US"/>
              </w:rPr>
            </w:pPr>
            <w:r>
              <w:rPr>
                <w:rFonts w:hint="eastAsia"/>
                <w:b/>
                <w:bCs/>
                <w:lang w:val="en-US"/>
              </w:rPr>
              <w:t>评价等级</w:t>
            </w:r>
          </w:p>
        </w:tc>
        <w:tc>
          <w:tcPr>
            <w:tcW w:w="3701" w:type="dxa"/>
            <w:gridSpan w:val="3"/>
            <w:tcBorders>
              <w:top w:val="single" w:color="auto" w:sz="4" w:space="0"/>
              <w:left w:val="single" w:color="auto" w:sz="4" w:space="0"/>
              <w:bottom w:val="single" w:color="auto" w:sz="4" w:space="0"/>
              <w:right w:val="single" w:color="auto" w:sz="4" w:space="0"/>
            </w:tcBorders>
            <w:vAlign w:val="center"/>
          </w:tcPr>
          <w:p w14:paraId="2A06ADD8">
            <w:pPr>
              <w:pStyle w:val="196"/>
              <w:rPr>
                <w:b/>
                <w:bCs/>
                <w:lang w:val="en-US"/>
              </w:rPr>
            </w:pPr>
            <w:r>
              <w:rPr>
                <w:rFonts w:hint="eastAsia"/>
                <w:b/>
                <w:bCs/>
                <w:lang w:val="en-US"/>
              </w:rPr>
              <w:t>水环境影响评价等级</w:t>
            </w:r>
          </w:p>
        </w:tc>
      </w:tr>
      <w:tr w14:paraId="4711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E6E50A9">
            <w:pPr>
              <w:pStyle w:val="196"/>
              <w:rPr>
                <w:lang w:val="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192FF8">
            <w:pPr>
              <w:pStyle w:val="196"/>
              <w:rPr>
                <w:lang w:val="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6522F5C">
            <w:pPr>
              <w:pStyle w:val="196"/>
              <w:rPr>
                <w:lang w:val="en-US"/>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9EFB657">
            <w:pPr>
              <w:pStyle w:val="196"/>
              <w:rPr>
                <w:lang w:val="en-US"/>
              </w:rPr>
            </w:pPr>
          </w:p>
        </w:tc>
        <w:tc>
          <w:tcPr>
            <w:tcW w:w="1215" w:type="dxa"/>
            <w:tcBorders>
              <w:top w:val="single" w:color="auto" w:sz="4" w:space="0"/>
              <w:left w:val="single" w:color="auto" w:sz="4" w:space="0"/>
              <w:bottom w:val="single" w:color="auto" w:sz="4" w:space="0"/>
              <w:right w:val="single" w:color="auto" w:sz="4" w:space="0"/>
            </w:tcBorders>
            <w:vAlign w:val="center"/>
          </w:tcPr>
          <w:p w14:paraId="4C32D9E2">
            <w:pPr>
              <w:pStyle w:val="196"/>
              <w:rPr>
                <w:b/>
                <w:bCs/>
                <w:lang w:val="en-US"/>
              </w:rPr>
            </w:pPr>
            <w:r>
              <w:rPr>
                <w:rFonts w:hint="eastAsia"/>
                <w:b/>
                <w:bCs/>
                <w:lang w:val="en-US"/>
              </w:rPr>
              <w:t>水文动力 环境</w:t>
            </w:r>
          </w:p>
        </w:tc>
        <w:tc>
          <w:tcPr>
            <w:tcW w:w="1216" w:type="dxa"/>
            <w:tcBorders>
              <w:top w:val="single" w:color="auto" w:sz="4" w:space="0"/>
              <w:left w:val="single" w:color="auto" w:sz="4" w:space="0"/>
              <w:bottom w:val="single" w:color="auto" w:sz="4" w:space="0"/>
              <w:right w:val="single" w:color="auto" w:sz="4" w:space="0"/>
            </w:tcBorders>
            <w:vAlign w:val="center"/>
          </w:tcPr>
          <w:p w14:paraId="55DD885E">
            <w:pPr>
              <w:pStyle w:val="196"/>
              <w:rPr>
                <w:b/>
                <w:bCs/>
                <w:lang w:val="en-US"/>
              </w:rPr>
            </w:pPr>
            <w:r>
              <w:rPr>
                <w:rFonts w:hint="eastAsia"/>
                <w:b/>
                <w:bCs/>
                <w:lang w:val="en-US"/>
              </w:rPr>
              <w:t>冲淤环境</w:t>
            </w:r>
          </w:p>
        </w:tc>
        <w:tc>
          <w:tcPr>
            <w:tcW w:w="1270" w:type="dxa"/>
            <w:tcBorders>
              <w:top w:val="single" w:color="auto" w:sz="4" w:space="0"/>
              <w:left w:val="single" w:color="auto" w:sz="4" w:space="0"/>
              <w:bottom w:val="single" w:color="auto" w:sz="4" w:space="0"/>
              <w:right w:val="single" w:color="auto" w:sz="4" w:space="0"/>
            </w:tcBorders>
            <w:vAlign w:val="center"/>
          </w:tcPr>
          <w:p w14:paraId="2EC5731D">
            <w:pPr>
              <w:pStyle w:val="196"/>
              <w:rPr>
                <w:b/>
                <w:bCs/>
                <w:lang w:val="en-US"/>
              </w:rPr>
            </w:pPr>
            <w:r>
              <w:rPr>
                <w:rFonts w:hint="eastAsia"/>
                <w:b/>
                <w:bCs/>
                <w:lang w:val="en-US"/>
              </w:rPr>
              <w:t>水质和沉</w:t>
            </w:r>
          </w:p>
          <w:p w14:paraId="67DDE7C4">
            <w:pPr>
              <w:pStyle w:val="196"/>
              <w:rPr>
                <w:b/>
                <w:bCs/>
                <w:lang w:val="en-US"/>
              </w:rPr>
            </w:pPr>
            <w:r>
              <w:rPr>
                <w:rFonts w:hint="eastAsia"/>
                <w:b/>
                <w:bCs/>
                <w:lang w:val="en-US"/>
              </w:rPr>
              <w:t>积物环境</w:t>
            </w:r>
          </w:p>
        </w:tc>
      </w:tr>
      <w:tr w14:paraId="6CC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8" w:type="dxa"/>
            <w:vMerge w:val="restart"/>
            <w:tcBorders>
              <w:top w:val="nil"/>
              <w:left w:val="single" w:color="auto" w:sz="4" w:space="0"/>
              <w:bottom w:val="single" w:color="auto" w:sz="4" w:space="0"/>
              <w:right w:val="single" w:color="auto" w:sz="4" w:space="0"/>
            </w:tcBorders>
            <w:vAlign w:val="center"/>
          </w:tcPr>
          <w:p w14:paraId="783604F1">
            <w:pPr>
              <w:pStyle w:val="196"/>
              <w:rPr>
                <w:lang w:val="en-US"/>
              </w:rPr>
            </w:pPr>
            <w:r>
              <w:rPr>
                <w:rFonts w:hint="eastAsia"/>
                <w:lang w:val="en-US"/>
              </w:rPr>
              <w:t>干散货码头工程</w:t>
            </w:r>
          </w:p>
        </w:tc>
        <w:tc>
          <w:tcPr>
            <w:tcW w:w="1211" w:type="dxa"/>
            <w:vMerge w:val="restart"/>
            <w:tcBorders>
              <w:top w:val="nil"/>
              <w:left w:val="single" w:color="auto" w:sz="4" w:space="0"/>
              <w:bottom w:val="single" w:color="auto" w:sz="4" w:space="0"/>
              <w:right w:val="single" w:color="auto" w:sz="4" w:space="0"/>
            </w:tcBorders>
            <w:vAlign w:val="center"/>
          </w:tcPr>
          <w:p w14:paraId="4B687AD3">
            <w:pPr>
              <w:pStyle w:val="196"/>
              <w:rPr>
                <w:lang w:val="en-US"/>
              </w:rPr>
            </w:pPr>
            <w:r>
              <w:rPr>
                <w:rFonts w:hint="eastAsia"/>
                <w:lang w:val="en-US"/>
              </w:rPr>
              <w:t>新开港区</w:t>
            </w:r>
          </w:p>
        </w:tc>
        <w:tc>
          <w:tcPr>
            <w:tcW w:w="1293" w:type="dxa"/>
            <w:tcBorders>
              <w:top w:val="single" w:color="auto" w:sz="4" w:space="0"/>
              <w:left w:val="single" w:color="auto" w:sz="4" w:space="0"/>
              <w:bottom w:val="single" w:color="auto" w:sz="4" w:space="0"/>
              <w:right w:val="single" w:color="auto" w:sz="4" w:space="0"/>
            </w:tcBorders>
            <w:vAlign w:val="center"/>
          </w:tcPr>
          <w:p w14:paraId="023CD270">
            <w:pPr>
              <w:pStyle w:val="196"/>
              <w:rPr>
                <w:lang w:val="en-US"/>
              </w:rPr>
            </w:pPr>
            <w:r>
              <w:rPr>
                <w:rFonts w:hint="eastAsia"/>
                <w:lang w:val="en-US"/>
              </w:rPr>
              <w:t>重要生境</w:t>
            </w:r>
          </w:p>
        </w:tc>
        <w:tc>
          <w:tcPr>
            <w:tcW w:w="1133" w:type="dxa"/>
            <w:tcBorders>
              <w:top w:val="single" w:color="auto" w:sz="4" w:space="0"/>
              <w:left w:val="single" w:color="auto" w:sz="4" w:space="0"/>
              <w:bottom w:val="single" w:color="auto" w:sz="4" w:space="0"/>
              <w:right w:val="single" w:color="auto" w:sz="4" w:space="0"/>
            </w:tcBorders>
            <w:vAlign w:val="center"/>
          </w:tcPr>
          <w:p w14:paraId="7261C7BC">
            <w:pPr>
              <w:pStyle w:val="196"/>
              <w:rPr>
                <w:lang w:val="en-US"/>
              </w:rPr>
            </w:pPr>
            <w:r>
              <w:rPr>
                <w:rFonts w:hint="eastAsia"/>
                <w:lang w:val="en-US"/>
              </w:rPr>
              <w:t>一</w:t>
            </w:r>
          </w:p>
        </w:tc>
        <w:tc>
          <w:tcPr>
            <w:tcW w:w="1215" w:type="dxa"/>
            <w:tcBorders>
              <w:top w:val="single" w:color="auto" w:sz="4" w:space="0"/>
              <w:left w:val="single" w:color="auto" w:sz="4" w:space="0"/>
              <w:bottom w:val="single" w:color="auto" w:sz="4" w:space="0"/>
              <w:right w:val="single" w:color="auto" w:sz="4" w:space="0"/>
            </w:tcBorders>
            <w:vAlign w:val="center"/>
          </w:tcPr>
          <w:p w14:paraId="2C386838">
            <w:pPr>
              <w:pStyle w:val="196"/>
              <w:rPr>
                <w:lang w:val="en-US"/>
              </w:rPr>
            </w:pPr>
            <w:r>
              <w:rPr>
                <w:rFonts w:hint="eastAsia"/>
                <w:lang w:val="en-US"/>
              </w:rPr>
              <w:t>一</w:t>
            </w:r>
          </w:p>
        </w:tc>
        <w:tc>
          <w:tcPr>
            <w:tcW w:w="1216" w:type="dxa"/>
            <w:tcBorders>
              <w:top w:val="single" w:color="auto" w:sz="4" w:space="0"/>
              <w:left w:val="single" w:color="auto" w:sz="4" w:space="0"/>
              <w:bottom w:val="single" w:color="auto" w:sz="4" w:space="0"/>
              <w:right w:val="single" w:color="auto" w:sz="4" w:space="0"/>
            </w:tcBorders>
            <w:vAlign w:val="center"/>
          </w:tcPr>
          <w:p w14:paraId="0B02EC90">
            <w:pPr>
              <w:pStyle w:val="196"/>
              <w:rPr>
                <w:lang w:val="en-US"/>
              </w:rPr>
            </w:pPr>
            <w:r>
              <w:rPr>
                <w:rFonts w:hint="eastAsia"/>
                <w:lang w:val="en-US"/>
              </w:rPr>
              <w:t>一</w:t>
            </w:r>
          </w:p>
        </w:tc>
        <w:tc>
          <w:tcPr>
            <w:tcW w:w="1270" w:type="dxa"/>
            <w:tcBorders>
              <w:top w:val="single" w:color="auto" w:sz="4" w:space="0"/>
              <w:left w:val="single" w:color="auto" w:sz="4" w:space="0"/>
              <w:bottom w:val="single" w:color="auto" w:sz="4" w:space="0"/>
              <w:right w:val="single" w:color="auto" w:sz="4" w:space="0"/>
            </w:tcBorders>
            <w:vAlign w:val="center"/>
          </w:tcPr>
          <w:p w14:paraId="0A39F6FB">
            <w:pPr>
              <w:pStyle w:val="196"/>
              <w:rPr>
                <w:lang w:val="en-US"/>
              </w:rPr>
            </w:pPr>
            <w:r>
              <w:rPr>
                <w:rFonts w:hint="eastAsia"/>
                <w:lang w:val="en-US"/>
              </w:rPr>
              <w:t>一</w:t>
            </w:r>
          </w:p>
        </w:tc>
      </w:tr>
      <w:tr w14:paraId="1C380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4EDAED2C">
            <w:pPr>
              <w:pStyle w:val="196"/>
              <w:rPr>
                <w:lang w:val="en-US"/>
              </w:rPr>
            </w:pPr>
          </w:p>
        </w:tc>
        <w:tc>
          <w:tcPr>
            <w:tcW w:w="0" w:type="auto"/>
            <w:vMerge w:val="continue"/>
            <w:tcBorders>
              <w:top w:val="nil"/>
              <w:left w:val="single" w:color="auto" w:sz="4" w:space="0"/>
              <w:bottom w:val="single" w:color="auto" w:sz="4" w:space="0"/>
              <w:right w:val="single" w:color="auto" w:sz="4" w:space="0"/>
            </w:tcBorders>
            <w:vAlign w:val="center"/>
          </w:tcPr>
          <w:p w14:paraId="3FC98C06">
            <w:pPr>
              <w:pStyle w:val="196"/>
              <w:rPr>
                <w:lang w:val="en-US"/>
              </w:rPr>
            </w:pPr>
          </w:p>
        </w:tc>
        <w:tc>
          <w:tcPr>
            <w:tcW w:w="1293" w:type="dxa"/>
            <w:tcBorders>
              <w:top w:val="single" w:color="auto" w:sz="4" w:space="0"/>
              <w:left w:val="single" w:color="auto" w:sz="4" w:space="0"/>
              <w:bottom w:val="single" w:color="auto" w:sz="4" w:space="0"/>
              <w:right w:val="single" w:color="auto" w:sz="4" w:space="0"/>
            </w:tcBorders>
            <w:vAlign w:val="center"/>
          </w:tcPr>
          <w:p w14:paraId="320D9042">
            <w:pPr>
              <w:pStyle w:val="196"/>
              <w:rPr>
                <w:lang w:val="en-US"/>
              </w:rPr>
            </w:pPr>
            <w:r>
              <w:rPr>
                <w:rFonts w:hint="eastAsia"/>
                <w:lang w:val="en-US"/>
              </w:rPr>
              <w:t>一般区域</w:t>
            </w:r>
          </w:p>
        </w:tc>
        <w:tc>
          <w:tcPr>
            <w:tcW w:w="1133" w:type="dxa"/>
            <w:tcBorders>
              <w:top w:val="single" w:color="auto" w:sz="4" w:space="0"/>
              <w:left w:val="single" w:color="auto" w:sz="4" w:space="0"/>
              <w:bottom w:val="single" w:color="auto" w:sz="4" w:space="0"/>
              <w:right w:val="single" w:color="auto" w:sz="4" w:space="0"/>
            </w:tcBorders>
            <w:vAlign w:val="center"/>
          </w:tcPr>
          <w:p w14:paraId="4D63F1CB">
            <w:pPr>
              <w:pStyle w:val="196"/>
              <w:rPr>
                <w:lang w:val="en-US"/>
              </w:rPr>
            </w:pPr>
            <w:r>
              <w:rPr>
                <w:rFonts w:hint="eastAsia"/>
                <w:lang w:val="en-US"/>
              </w:rPr>
              <w:t>二</w:t>
            </w:r>
          </w:p>
        </w:tc>
        <w:tc>
          <w:tcPr>
            <w:tcW w:w="1215" w:type="dxa"/>
            <w:tcBorders>
              <w:top w:val="single" w:color="auto" w:sz="4" w:space="0"/>
              <w:left w:val="single" w:color="auto" w:sz="4" w:space="0"/>
              <w:bottom w:val="single" w:color="auto" w:sz="4" w:space="0"/>
              <w:right w:val="single" w:color="auto" w:sz="4" w:space="0"/>
            </w:tcBorders>
            <w:vAlign w:val="center"/>
          </w:tcPr>
          <w:p w14:paraId="0E3FCCF8">
            <w:pPr>
              <w:pStyle w:val="196"/>
              <w:rPr>
                <w:lang w:val="en-US"/>
              </w:rPr>
            </w:pPr>
            <w:r>
              <w:rPr>
                <w:rFonts w:hint="eastAsia"/>
                <w:lang w:val="en-US"/>
              </w:rPr>
              <w:t>二</w:t>
            </w:r>
          </w:p>
        </w:tc>
        <w:tc>
          <w:tcPr>
            <w:tcW w:w="1216" w:type="dxa"/>
            <w:tcBorders>
              <w:top w:val="single" w:color="auto" w:sz="4" w:space="0"/>
              <w:left w:val="single" w:color="auto" w:sz="4" w:space="0"/>
              <w:bottom w:val="single" w:color="auto" w:sz="4" w:space="0"/>
              <w:right w:val="single" w:color="auto" w:sz="4" w:space="0"/>
            </w:tcBorders>
            <w:vAlign w:val="center"/>
          </w:tcPr>
          <w:p w14:paraId="40A6FFDD">
            <w:pPr>
              <w:pStyle w:val="196"/>
              <w:rPr>
                <w:lang w:val="en-US"/>
              </w:rPr>
            </w:pPr>
            <w:r>
              <w:rPr>
                <w:rFonts w:hint="eastAsia"/>
                <w:lang w:val="en-US"/>
              </w:rPr>
              <w:t>二</w:t>
            </w:r>
          </w:p>
        </w:tc>
        <w:tc>
          <w:tcPr>
            <w:tcW w:w="1270" w:type="dxa"/>
            <w:tcBorders>
              <w:top w:val="single" w:color="auto" w:sz="4" w:space="0"/>
              <w:left w:val="single" w:color="auto" w:sz="4" w:space="0"/>
              <w:bottom w:val="single" w:color="auto" w:sz="4" w:space="0"/>
              <w:right w:val="single" w:color="auto" w:sz="4" w:space="0"/>
            </w:tcBorders>
            <w:vAlign w:val="center"/>
          </w:tcPr>
          <w:p w14:paraId="61B29CD9">
            <w:pPr>
              <w:pStyle w:val="196"/>
              <w:rPr>
                <w:lang w:val="en-US"/>
              </w:rPr>
            </w:pPr>
            <w:r>
              <w:rPr>
                <w:rFonts w:hint="eastAsia"/>
                <w:lang w:val="en-US"/>
              </w:rPr>
              <w:t>二</w:t>
            </w:r>
          </w:p>
        </w:tc>
      </w:tr>
      <w:tr w14:paraId="56D3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2CCA7C7C">
            <w:pPr>
              <w:pStyle w:val="196"/>
              <w:rPr>
                <w:lang w:val="en-US"/>
              </w:rPr>
            </w:pPr>
          </w:p>
        </w:tc>
        <w:tc>
          <w:tcPr>
            <w:tcW w:w="1211" w:type="dxa"/>
            <w:vMerge w:val="restart"/>
            <w:tcBorders>
              <w:top w:val="nil"/>
              <w:left w:val="single" w:color="auto" w:sz="4" w:space="0"/>
              <w:bottom w:val="single" w:color="auto" w:sz="4" w:space="0"/>
              <w:right w:val="single" w:color="auto" w:sz="4" w:space="0"/>
            </w:tcBorders>
            <w:shd w:val="clear" w:color="auto" w:fill="BEBEBE"/>
            <w:vAlign w:val="center"/>
          </w:tcPr>
          <w:p w14:paraId="6F1677E3">
            <w:pPr>
              <w:pStyle w:val="196"/>
              <w:rPr>
                <w:lang w:val="en-US"/>
              </w:rPr>
            </w:pPr>
            <w:r>
              <w:rPr>
                <w:rFonts w:hint="eastAsia"/>
                <w:lang w:val="en-US"/>
              </w:rPr>
              <w:t>现有港区</w:t>
            </w:r>
          </w:p>
        </w:tc>
        <w:tc>
          <w:tcPr>
            <w:tcW w:w="1293" w:type="dxa"/>
            <w:tcBorders>
              <w:top w:val="single" w:color="auto" w:sz="4" w:space="0"/>
              <w:left w:val="single" w:color="auto" w:sz="4" w:space="0"/>
              <w:bottom w:val="single" w:color="auto" w:sz="4" w:space="0"/>
              <w:right w:val="single" w:color="auto" w:sz="4" w:space="0"/>
            </w:tcBorders>
            <w:vAlign w:val="center"/>
          </w:tcPr>
          <w:p w14:paraId="4C022D4F">
            <w:pPr>
              <w:pStyle w:val="196"/>
              <w:rPr>
                <w:lang w:val="en-US"/>
              </w:rPr>
            </w:pPr>
            <w:r>
              <w:rPr>
                <w:rFonts w:hint="eastAsia"/>
                <w:lang w:val="en-US"/>
              </w:rPr>
              <w:t>重要生境</w:t>
            </w:r>
          </w:p>
        </w:tc>
        <w:tc>
          <w:tcPr>
            <w:tcW w:w="1133" w:type="dxa"/>
            <w:tcBorders>
              <w:top w:val="single" w:color="auto" w:sz="4" w:space="0"/>
              <w:left w:val="single" w:color="auto" w:sz="4" w:space="0"/>
              <w:bottom w:val="single" w:color="auto" w:sz="4" w:space="0"/>
              <w:right w:val="single" w:color="auto" w:sz="4" w:space="0"/>
            </w:tcBorders>
            <w:vAlign w:val="center"/>
          </w:tcPr>
          <w:p w14:paraId="0A9114A2">
            <w:pPr>
              <w:pStyle w:val="196"/>
              <w:rPr>
                <w:lang w:val="en-US"/>
              </w:rPr>
            </w:pPr>
            <w:r>
              <w:rPr>
                <w:rFonts w:hint="eastAsia"/>
                <w:lang w:val="en-US"/>
              </w:rPr>
              <w:t>二</w:t>
            </w:r>
          </w:p>
        </w:tc>
        <w:tc>
          <w:tcPr>
            <w:tcW w:w="1215" w:type="dxa"/>
            <w:tcBorders>
              <w:top w:val="single" w:color="auto" w:sz="4" w:space="0"/>
              <w:left w:val="single" w:color="auto" w:sz="4" w:space="0"/>
              <w:bottom w:val="single" w:color="auto" w:sz="4" w:space="0"/>
              <w:right w:val="single" w:color="auto" w:sz="4" w:space="0"/>
            </w:tcBorders>
            <w:vAlign w:val="center"/>
          </w:tcPr>
          <w:p w14:paraId="7AD131A9">
            <w:pPr>
              <w:pStyle w:val="196"/>
              <w:rPr>
                <w:lang w:val="en-US"/>
              </w:rPr>
            </w:pPr>
            <w:r>
              <w:rPr>
                <w:rFonts w:hint="eastAsia"/>
                <w:lang w:val="en-US"/>
              </w:rPr>
              <w:t>二</w:t>
            </w:r>
          </w:p>
        </w:tc>
        <w:tc>
          <w:tcPr>
            <w:tcW w:w="1216" w:type="dxa"/>
            <w:tcBorders>
              <w:top w:val="single" w:color="auto" w:sz="4" w:space="0"/>
              <w:left w:val="single" w:color="auto" w:sz="4" w:space="0"/>
              <w:bottom w:val="single" w:color="auto" w:sz="4" w:space="0"/>
              <w:right w:val="single" w:color="auto" w:sz="4" w:space="0"/>
            </w:tcBorders>
            <w:vAlign w:val="center"/>
          </w:tcPr>
          <w:p w14:paraId="466B240B">
            <w:pPr>
              <w:pStyle w:val="196"/>
              <w:rPr>
                <w:lang w:val="en-US"/>
              </w:rPr>
            </w:pPr>
            <w:r>
              <w:rPr>
                <w:rFonts w:hint="eastAsia"/>
                <w:lang w:val="en-US"/>
              </w:rPr>
              <w:t>二</w:t>
            </w:r>
          </w:p>
        </w:tc>
        <w:tc>
          <w:tcPr>
            <w:tcW w:w="1270" w:type="dxa"/>
            <w:tcBorders>
              <w:top w:val="single" w:color="auto" w:sz="4" w:space="0"/>
              <w:left w:val="single" w:color="auto" w:sz="4" w:space="0"/>
              <w:bottom w:val="single" w:color="auto" w:sz="4" w:space="0"/>
              <w:right w:val="single" w:color="auto" w:sz="4" w:space="0"/>
            </w:tcBorders>
            <w:vAlign w:val="center"/>
          </w:tcPr>
          <w:p w14:paraId="17529962">
            <w:pPr>
              <w:pStyle w:val="196"/>
              <w:rPr>
                <w:lang w:val="en-US"/>
              </w:rPr>
            </w:pPr>
            <w:r>
              <w:rPr>
                <w:rFonts w:hint="eastAsia"/>
                <w:lang w:val="en-US"/>
              </w:rPr>
              <w:t>二</w:t>
            </w:r>
          </w:p>
        </w:tc>
      </w:tr>
      <w:tr w14:paraId="683F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nil"/>
              <w:left w:val="single" w:color="auto" w:sz="4" w:space="0"/>
              <w:bottom w:val="single" w:color="auto" w:sz="4" w:space="0"/>
              <w:right w:val="single" w:color="auto" w:sz="4" w:space="0"/>
            </w:tcBorders>
            <w:vAlign w:val="center"/>
          </w:tcPr>
          <w:p w14:paraId="77D439CE">
            <w:pPr>
              <w:pStyle w:val="196"/>
              <w:rPr>
                <w:lang w:val="en-US"/>
              </w:rPr>
            </w:pPr>
          </w:p>
        </w:tc>
        <w:tc>
          <w:tcPr>
            <w:tcW w:w="0" w:type="auto"/>
            <w:vMerge w:val="continue"/>
            <w:tcBorders>
              <w:top w:val="nil"/>
              <w:left w:val="single" w:color="auto" w:sz="4" w:space="0"/>
              <w:bottom w:val="single" w:color="auto" w:sz="4" w:space="0"/>
              <w:right w:val="single" w:color="auto" w:sz="4" w:space="0"/>
            </w:tcBorders>
            <w:vAlign w:val="center"/>
          </w:tcPr>
          <w:p w14:paraId="23BA7DC9">
            <w:pPr>
              <w:pStyle w:val="196"/>
              <w:rPr>
                <w:lang w:val="en-US"/>
              </w:rPr>
            </w:pPr>
          </w:p>
        </w:tc>
        <w:tc>
          <w:tcPr>
            <w:tcW w:w="1293" w:type="dxa"/>
            <w:tcBorders>
              <w:top w:val="single" w:color="auto" w:sz="4" w:space="0"/>
              <w:left w:val="single" w:color="auto" w:sz="4" w:space="0"/>
              <w:bottom w:val="single" w:color="auto" w:sz="4" w:space="0"/>
              <w:right w:val="single" w:color="auto" w:sz="4" w:space="0"/>
            </w:tcBorders>
            <w:shd w:val="clear" w:color="auto" w:fill="BEBEBE"/>
            <w:vAlign w:val="center"/>
          </w:tcPr>
          <w:p w14:paraId="44785BDD">
            <w:pPr>
              <w:pStyle w:val="196"/>
              <w:rPr>
                <w:lang w:val="en-US"/>
              </w:rPr>
            </w:pPr>
            <w:r>
              <w:rPr>
                <w:rFonts w:hint="eastAsia"/>
                <w:lang w:val="en-US"/>
              </w:rPr>
              <w:t>一般区域</w:t>
            </w:r>
          </w:p>
        </w:tc>
        <w:tc>
          <w:tcPr>
            <w:tcW w:w="1133" w:type="dxa"/>
            <w:tcBorders>
              <w:top w:val="single" w:color="auto" w:sz="4" w:space="0"/>
              <w:left w:val="single" w:color="auto" w:sz="4" w:space="0"/>
              <w:bottom w:val="single" w:color="auto" w:sz="4" w:space="0"/>
              <w:right w:val="single" w:color="auto" w:sz="4" w:space="0"/>
            </w:tcBorders>
            <w:shd w:val="clear" w:color="auto" w:fill="BEBEBE"/>
            <w:vAlign w:val="center"/>
          </w:tcPr>
          <w:p w14:paraId="586910F0">
            <w:pPr>
              <w:pStyle w:val="196"/>
              <w:rPr>
                <w:lang w:val="en-US"/>
              </w:rPr>
            </w:pPr>
            <w:r>
              <w:rPr>
                <w:rFonts w:hint="eastAsia"/>
                <w:lang w:val="en-US"/>
              </w:rPr>
              <w:t>三</w:t>
            </w:r>
          </w:p>
        </w:tc>
        <w:tc>
          <w:tcPr>
            <w:tcW w:w="1215" w:type="dxa"/>
            <w:tcBorders>
              <w:top w:val="single" w:color="auto" w:sz="4" w:space="0"/>
              <w:left w:val="single" w:color="auto" w:sz="4" w:space="0"/>
              <w:bottom w:val="single" w:color="auto" w:sz="4" w:space="0"/>
              <w:right w:val="single" w:color="auto" w:sz="4" w:space="0"/>
            </w:tcBorders>
            <w:shd w:val="clear" w:color="auto" w:fill="BEBEBE"/>
            <w:vAlign w:val="center"/>
          </w:tcPr>
          <w:p w14:paraId="51BBB75B">
            <w:pPr>
              <w:pStyle w:val="196"/>
              <w:rPr>
                <w:lang w:val="en-US"/>
              </w:rPr>
            </w:pPr>
            <w:r>
              <w:rPr>
                <w:rFonts w:hint="eastAsia"/>
                <w:lang w:val="en-US"/>
              </w:rPr>
              <w:t>三</w:t>
            </w:r>
          </w:p>
        </w:tc>
        <w:tc>
          <w:tcPr>
            <w:tcW w:w="1216" w:type="dxa"/>
            <w:tcBorders>
              <w:top w:val="single" w:color="auto" w:sz="4" w:space="0"/>
              <w:left w:val="single" w:color="auto" w:sz="4" w:space="0"/>
              <w:bottom w:val="single" w:color="auto" w:sz="4" w:space="0"/>
              <w:right w:val="single" w:color="auto" w:sz="4" w:space="0"/>
            </w:tcBorders>
            <w:shd w:val="clear" w:color="auto" w:fill="BEBEBE"/>
            <w:vAlign w:val="center"/>
          </w:tcPr>
          <w:p w14:paraId="2975F4AD">
            <w:pPr>
              <w:pStyle w:val="196"/>
              <w:rPr>
                <w:lang w:val="en-US"/>
              </w:rPr>
            </w:pPr>
            <w:r>
              <w:rPr>
                <w:rFonts w:hint="eastAsia"/>
                <w:lang w:val="en-US"/>
              </w:rPr>
              <w:t>三</w:t>
            </w:r>
          </w:p>
        </w:tc>
        <w:tc>
          <w:tcPr>
            <w:tcW w:w="1270" w:type="dxa"/>
            <w:tcBorders>
              <w:top w:val="single" w:color="auto" w:sz="4" w:space="0"/>
              <w:left w:val="single" w:color="auto" w:sz="4" w:space="0"/>
              <w:bottom w:val="single" w:color="auto" w:sz="4" w:space="0"/>
              <w:right w:val="single" w:color="auto" w:sz="4" w:space="0"/>
            </w:tcBorders>
            <w:shd w:val="clear" w:color="auto" w:fill="BEBEBE"/>
            <w:vAlign w:val="center"/>
          </w:tcPr>
          <w:p w14:paraId="2D3869CA">
            <w:pPr>
              <w:pStyle w:val="196"/>
              <w:rPr>
                <w:lang w:val="en-US"/>
              </w:rPr>
            </w:pPr>
            <w:r>
              <w:rPr>
                <w:rFonts w:hint="eastAsia"/>
                <w:lang w:val="en-US"/>
              </w:rPr>
              <w:t>三</w:t>
            </w:r>
          </w:p>
        </w:tc>
      </w:tr>
    </w:tbl>
    <w:p w14:paraId="5BE74A5F">
      <w:pPr>
        <w:adjustRightInd w:val="0"/>
        <w:snapToGrid w:val="0"/>
        <w:ind w:firstLine="480"/>
        <w:rPr>
          <w:szCs w:val="24"/>
        </w:rPr>
      </w:pPr>
      <w:r>
        <w:rPr>
          <w:rFonts w:hint="eastAsia" w:ascii="宋体" w:hAnsi="宋体"/>
          <w:szCs w:val="24"/>
        </w:rPr>
        <w:t>（</w:t>
      </w:r>
      <w:r>
        <w:rPr>
          <w:rFonts w:hint="eastAsia"/>
          <w:szCs w:val="24"/>
        </w:rPr>
        <w:t>2</w:t>
      </w:r>
      <w:r>
        <w:rPr>
          <w:rFonts w:hint="eastAsia" w:ascii="宋体" w:hAnsi="宋体"/>
          <w:szCs w:val="24"/>
        </w:rPr>
        <w:t>）水污染影响</w:t>
      </w:r>
      <w:r>
        <w:rPr>
          <w:rFonts w:hint="eastAsia" w:ascii="宋体" w:hAnsi="宋体"/>
          <w:szCs w:val="24"/>
          <w:lang w:eastAsia="zh-CN"/>
        </w:rPr>
        <w:t>性</w:t>
      </w:r>
      <w:r>
        <w:rPr>
          <w:rFonts w:hint="eastAsia" w:ascii="宋体" w:hAnsi="宋体"/>
          <w:szCs w:val="24"/>
        </w:rPr>
        <w:t>评价等级确定</w:t>
      </w:r>
    </w:p>
    <w:p w14:paraId="531D0E9B">
      <w:pPr>
        <w:adjustRightInd w:val="0"/>
        <w:snapToGrid w:val="0"/>
        <w:ind w:firstLine="480"/>
        <w:rPr>
          <w:rFonts w:hint="eastAsia" w:ascii="宋体" w:hAnsi="宋体"/>
          <w:szCs w:val="24"/>
        </w:rPr>
      </w:pPr>
      <w:r>
        <w:rPr>
          <w:rFonts w:hint="eastAsia" w:ascii="宋体" w:hAnsi="宋体"/>
          <w:szCs w:val="24"/>
        </w:rPr>
        <w:t>本项目施工期废水主要为施工船舶舱底油污水、施工船舶生活污水、疏浚</w:t>
      </w:r>
      <w:r>
        <w:rPr>
          <w:rFonts w:hint="eastAsia" w:ascii="宋体" w:hAnsi="宋体"/>
          <w:szCs w:val="24"/>
          <w:lang w:eastAsia="zh-CN"/>
        </w:rPr>
        <w:t>污泥浊水</w:t>
      </w:r>
      <w:r>
        <w:rPr>
          <w:rFonts w:hint="eastAsia" w:ascii="宋体" w:hAnsi="宋体"/>
          <w:szCs w:val="24"/>
        </w:rPr>
        <w:t>、陆域施工生活污水、施工车辆及机械冲洗废水。</w:t>
      </w:r>
    </w:p>
    <w:p w14:paraId="1CC61FF6">
      <w:pPr>
        <w:adjustRightInd w:val="0"/>
        <w:snapToGrid w:val="0"/>
        <w:ind w:firstLine="480"/>
        <w:rPr>
          <w:rFonts w:hint="eastAsia" w:ascii="宋体" w:hAnsi="宋体"/>
          <w:szCs w:val="24"/>
        </w:rPr>
      </w:pPr>
      <w:r>
        <w:rPr>
          <w:rFonts w:hint="eastAsia" w:ascii="宋体" w:hAnsi="宋体"/>
          <w:szCs w:val="24"/>
        </w:rPr>
        <w:t>其中施工船舶舱底油污水和施工船舶生活污水由船舶带走；</w:t>
      </w:r>
      <w:bookmarkStart w:id="83" w:name="_Hlk160650910"/>
      <w:r>
        <w:rPr>
          <w:rFonts w:hint="eastAsia" w:ascii="宋体" w:hAnsi="宋体"/>
          <w:szCs w:val="24"/>
        </w:rPr>
        <w:t>水下土方干化场余水经围堰、泄水口及后续沉淀池等预处理后部分回用，</w:t>
      </w:r>
      <w:bookmarkEnd w:id="83"/>
      <w:r>
        <w:rPr>
          <w:rFonts w:hint="eastAsia" w:ascii="宋体" w:hAnsi="宋体"/>
          <w:szCs w:val="24"/>
        </w:rPr>
        <w:t>部分满足《污水综合排放标准》（GB8978-1996）表4一级标准就近排入盐河，</w:t>
      </w:r>
      <w:r>
        <w:rPr>
          <w:rStyle w:val="140"/>
          <w:rFonts w:hint="eastAsia"/>
          <w:color w:val="auto"/>
        </w:rPr>
        <w:t>工程产生的水下方干化后弃方全部用于临时用地恢复</w:t>
      </w:r>
      <w:r>
        <w:rPr>
          <w:rFonts w:hint="eastAsia"/>
        </w:rPr>
        <w:t>。</w:t>
      </w:r>
      <w:r>
        <w:rPr>
          <w:rFonts w:hint="eastAsia" w:ascii="宋体" w:hAnsi="宋体"/>
          <w:szCs w:val="24"/>
        </w:rPr>
        <w:t>陆域施工生活污水依托国能涟水一期热电联产项目施工生活区临时生活污水处理站进行处理不外排；施工车辆及机械冲洗废水经沉淀池预处理后用作场地洒水抑尘不外排。</w:t>
      </w:r>
    </w:p>
    <w:p w14:paraId="77C4D710">
      <w:pPr>
        <w:adjustRightInd w:val="0"/>
        <w:snapToGrid w:val="0"/>
        <w:ind w:firstLine="480"/>
        <w:rPr>
          <w:szCs w:val="24"/>
        </w:rPr>
      </w:pPr>
      <w:r>
        <w:rPr>
          <w:rFonts w:hint="eastAsia" w:ascii="宋体" w:hAnsi="宋体"/>
          <w:szCs w:val="24"/>
        </w:rPr>
        <w:t>水下土方干化场余水排放至盐河按照60天计算，则平均流量为160m</w:t>
      </w:r>
      <w:r>
        <w:rPr>
          <w:rFonts w:hint="eastAsia" w:ascii="宋体" w:hAnsi="宋体"/>
          <w:szCs w:val="24"/>
          <w:vertAlign w:val="superscript"/>
        </w:rPr>
        <w:t>3</w:t>
      </w:r>
      <w:r>
        <w:rPr>
          <w:rFonts w:hint="eastAsia" w:ascii="宋体" w:hAnsi="宋体"/>
          <w:szCs w:val="24"/>
        </w:rPr>
        <w:t>/d＜200m</w:t>
      </w:r>
      <w:r>
        <w:rPr>
          <w:rFonts w:hint="eastAsia" w:ascii="宋体" w:hAnsi="宋体"/>
          <w:szCs w:val="24"/>
          <w:vertAlign w:val="superscript"/>
        </w:rPr>
        <w:t>3</w:t>
      </w:r>
      <w:r>
        <w:rPr>
          <w:rFonts w:hint="eastAsia" w:ascii="宋体" w:hAnsi="宋体"/>
          <w:szCs w:val="24"/>
        </w:rPr>
        <w:t xml:space="preserve">/d，排放SS </w:t>
      </w:r>
      <w:r>
        <w:rPr>
          <w:rFonts w:ascii="宋体" w:hAnsi="宋体"/>
          <w:szCs w:val="24"/>
        </w:rPr>
        <w:t>0.</w:t>
      </w:r>
      <w:r>
        <w:rPr>
          <w:rFonts w:hint="eastAsia" w:ascii="宋体" w:hAnsi="宋体"/>
          <w:szCs w:val="24"/>
        </w:rPr>
        <w:t>672t，折672kg，污染当量为W=168＜6000。因此，项目施工期水污染影响型地表水环境评价工作</w:t>
      </w:r>
      <w:r>
        <w:rPr>
          <w:rStyle w:val="140"/>
          <w:rFonts w:hint="eastAsia"/>
          <w:color w:val="auto"/>
        </w:rPr>
        <w:t>等级定为三级A</w:t>
      </w:r>
      <w:r>
        <w:rPr>
          <w:rFonts w:hint="eastAsia" w:ascii="宋体" w:hAnsi="宋体"/>
          <w:szCs w:val="24"/>
        </w:rPr>
        <w:t>。</w:t>
      </w:r>
    </w:p>
    <w:p w14:paraId="557B7194">
      <w:pPr>
        <w:pStyle w:val="93"/>
        <w:rPr>
          <w:kern w:val="0"/>
          <w:lang w:val="en-US"/>
        </w:rPr>
      </w:pPr>
      <w:r>
        <w:rPr>
          <w:rFonts w:hint="eastAsia"/>
          <w:kern w:val="0"/>
          <w:lang w:val="en-US"/>
        </w:rPr>
        <w:t>本项目码头营运期废水包括：船舶舱底油污水、船舶生活污水、陆域生活污水、初期雨水及码头冲洗废水等。</w:t>
      </w:r>
    </w:p>
    <w:p w14:paraId="7BC122D6">
      <w:pPr>
        <w:pStyle w:val="93"/>
        <w:rPr>
          <w:rFonts w:hint="eastAsia" w:ascii="宋体" w:hAnsi="宋体"/>
          <w:szCs w:val="24"/>
        </w:rPr>
      </w:pPr>
      <w:r>
        <w:rPr>
          <w:rFonts w:hint="eastAsia"/>
          <w:kern w:val="0"/>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kern w:val="0"/>
          <w:vertAlign w:val="superscript"/>
        </w:rPr>
        <w:t>3</w:t>
      </w:r>
      <w:r>
        <w:rPr>
          <w:rFonts w:hint="eastAsia"/>
          <w:kern w:val="0"/>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r>
        <w:rPr>
          <w:rFonts w:hint="eastAsia" w:ascii="宋体" w:hAnsi="宋体"/>
          <w:szCs w:val="24"/>
        </w:rPr>
        <w:t>因此，根据《环境影响评价技术导则</w:t>
      </w:r>
      <w:r>
        <w:rPr>
          <w:rFonts w:hint="eastAsia"/>
          <w:szCs w:val="24"/>
        </w:rPr>
        <w:t xml:space="preserve"> </w:t>
      </w:r>
      <w:r>
        <w:rPr>
          <w:rFonts w:hint="eastAsia" w:ascii="宋体" w:hAnsi="宋体"/>
          <w:szCs w:val="24"/>
        </w:rPr>
        <w:t>地表水环境》（</w:t>
      </w:r>
      <w:r>
        <w:rPr>
          <w:rFonts w:hint="eastAsia"/>
          <w:szCs w:val="24"/>
        </w:rPr>
        <w:t>HJ2.3-2018</w:t>
      </w:r>
      <w:r>
        <w:rPr>
          <w:rFonts w:hint="eastAsia" w:ascii="宋体" w:hAnsi="宋体"/>
          <w:szCs w:val="24"/>
        </w:rPr>
        <w:t>）表</w:t>
      </w:r>
      <w:r>
        <w:rPr>
          <w:rFonts w:hint="eastAsia"/>
          <w:szCs w:val="24"/>
        </w:rPr>
        <w:t>1</w:t>
      </w:r>
      <w:r>
        <w:rPr>
          <w:rFonts w:hint="eastAsia" w:ascii="宋体" w:hAnsi="宋体"/>
          <w:szCs w:val="24"/>
        </w:rPr>
        <w:t>，运营期水污染影响型地表水环境评价工作等级定为三级</w:t>
      </w:r>
      <w:r>
        <w:rPr>
          <w:rFonts w:hint="eastAsia"/>
          <w:szCs w:val="24"/>
        </w:rPr>
        <w:t>B</w:t>
      </w:r>
      <w:r>
        <w:rPr>
          <w:rFonts w:hint="eastAsia" w:ascii="宋体" w:hAnsi="宋体"/>
          <w:szCs w:val="24"/>
        </w:rPr>
        <w:t>。</w:t>
      </w:r>
    </w:p>
    <w:p w14:paraId="3B627769">
      <w:pPr>
        <w:pStyle w:val="93"/>
        <w:rPr>
          <w:szCs w:val="24"/>
        </w:rPr>
      </w:pPr>
      <w:r>
        <w:rPr>
          <w:rFonts w:hint="eastAsia"/>
        </w:rPr>
        <w:t>本项目为码头工程，属于水污染影响型和水文要素影响型兼有的复合影响型。综上所述，本项目地表水评价等级为水污染影响型三级B和水文要素影响型三级。水环境影响评价中的水文动力环境、冲淤环境、水质和沉积物环境评价等级为三级。</w:t>
      </w:r>
    </w:p>
    <w:p w14:paraId="4B8BC0CC">
      <w:pPr>
        <w:pStyle w:val="84"/>
      </w:pPr>
      <w:r>
        <w:rPr>
          <w:rFonts w:hint="eastAsia"/>
        </w:rPr>
        <w:t>大气环境影响评价工作等级</w:t>
      </w:r>
    </w:p>
    <w:p w14:paraId="4B704127">
      <w:pPr>
        <w:adjustRightInd w:val="0"/>
        <w:snapToGrid w:val="0"/>
        <w:ind w:firstLine="480"/>
        <w:rPr>
          <w:szCs w:val="24"/>
        </w:rPr>
      </w:pPr>
      <w:r>
        <w:rPr>
          <w:rFonts w:hint="eastAsia" w:ascii="宋体" w:hAnsi="宋体"/>
          <w:szCs w:val="24"/>
        </w:rPr>
        <w:t>根据《环境影响评价技术导则</w:t>
      </w:r>
      <w:r>
        <w:rPr>
          <w:rFonts w:hint="eastAsia"/>
          <w:szCs w:val="24"/>
        </w:rPr>
        <w:t xml:space="preserve"> </w:t>
      </w:r>
      <w:r>
        <w:rPr>
          <w:rFonts w:hint="eastAsia" w:ascii="宋体" w:hAnsi="宋体"/>
          <w:szCs w:val="24"/>
        </w:rPr>
        <w:t>大气环境》（</w:t>
      </w:r>
      <w:r>
        <w:rPr>
          <w:rFonts w:hint="eastAsia"/>
          <w:szCs w:val="24"/>
        </w:rPr>
        <w:t>HJ2.2-2018</w:t>
      </w:r>
      <w:r>
        <w:rPr>
          <w:rFonts w:hint="eastAsia" w:ascii="宋体" w:hAnsi="宋体"/>
          <w:szCs w:val="24"/>
        </w:rPr>
        <w:t>）的要求，选择估算模型对项目的大气环境评价工作进行分级，估算模型参数见下表</w:t>
      </w:r>
      <w:r>
        <w:rPr>
          <w:rFonts w:hint="eastAsia"/>
          <w:szCs w:val="24"/>
        </w:rPr>
        <w:t>2.4-3</w:t>
      </w:r>
      <w:r>
        <w:rPr>
          <w:rFonts w:hint="eastAsia" w:ascii="宋体" w:hAnsi="宋体"/>
          <w:szCs w:val="24"/>
        </w:rPr>
        <w:t>。</w:t>
      </w:r>
    </w:p>
    <w:p w14:paraId="2C80565A">
      <w:pPr>
        <w:pStyle w:val="86"/>
      </w:pPr>
      <w:r>
        <w:rPr>
          <w:rFonts w:hint="eastAsia"/>
        </w:rPr>
        <w:t>估算模型参数表</w:t>
      </w:r>
    </w:p>
    <w:tbl>
      <w:tblPr>
        <w:tblStyle w:val="38"/>
        <w:tblW w:w="5001"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623"/>
        <w:gridCol w:w="2324"/>
        <w:gridCol w:w="4643"/>
      </w:tblGrid>
      <w:tr w14:paraId="6C450A8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535" w:type="dxa"/>
            <w:gridSpan w:val="3"/>
            <w:tcBorders>
              <w:top w:val="single" w:color="auto" w:sz="2" w:space="0"/>
              <w:left w:val="single" w:color="auto" w:sz="2" w:space="0"/>
              <w:bottom w:val="single" w:color="auto" w:sz="4" w:space="0"/>
              <w:right w:val="single" w:color="auto" w:sz="4" w:space="0"/>
            </w:tcBorders>
            <w:vAlign w:val="center"/>
          </w:tcPr>
          <w:p w14:paraId="527D84B9">
            <w:pPr>
              <w:pStyle w:val="196"/>
              <w:rPr>
                <w:b/>
                <w:bCs/>
                <w:szCs w:val="21"/>
              </w:rPr>
            </w:pPr>
            <w:r>
              <w:rPr>
                <w:rFonts w:hint="eastAsia"/>
                <w:b/>
                <w:bCs/>
              </w:rPr>
              <w:t>参数</w:t>
            </w:r>
          </w:p>
        </w:tc>
        <w:tc>
          <w:tcPr>
            <w:tcW w:w="4532" w:type="dxa"/>
            <w:tcBorders>
              <w:top w:val="single" w:color="auto" w:sz="2" w:space="0"/>
              <w:left w:val="single" w:color="auto" w:sz="4" w:space="0"/>
              <w:bottom w:val="single" w:color="auto" w:sz="4" w:space="0"/>
              <w:right w:val="single" w:color="auto" w:sz="2" w:space="0"/>
            </w:tcBorders>
            <w:vAlign w:val="center"/>
          </w:tcPr>
          <w:p w14:paraId="345998BB">
            <w:pPr>
              <w:pStyle w:val="196"/>
              <w:rPr>
                <w:b/>
                <w:bCs/>
              </w:rPr>
            </w:pPr>
            <w:r>
              <w:rPr>
                <w:rFonts w:hint="eastAsia"/>
                <w:b/>
                <w:bCs/>
              </w:rPr>
              <w:t>取值</w:t>
            </w:r>
          </w:p>
        </w:tc>
      </w:tr>
      <w:tr w14:paraId="161EE2E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9" w:type="dxa"/>
            <w:vMerge w:val="restart"/>
            <w:tcBorders>
              <w:top w:val="single" w:color="auto" w:sz="4" w:space="0"/>
              <w:left w:val="single" w:color="auto" w:sz="2" w:space="0"/>
              <w:bottom w:val="single" w:color="auto" w:sz="4" w:space="0"/>
              <w:right w:val="single" w:color="auto" w:sz="4" w:space="0"/>
            </w:tcBorders>
            <w:vAlign w:val="center"/>
          </w:tcPr>
          <w:p w14:paraId="2FB10F7E">
            <w:pPr>
              <w:pStyle w:val="196"/>
            </w:pPr>
            <w:r>
              <w:rPr>
                <w:rFonts w:hint="eastAsia"/>
              </w:rPr>
              <w:t>城市/农村</w:t>
            </w:r>
          </w:p>
        </w:tc>
        <w:tc>
          <w:tcPr>
            <w:tcW w:w="2876" w:type="dxa"/>
            <w:gridSpan w:val="2"/>
            <w:tcBorders>
              <w:top w:val="single" w:color="auto" w:sz="4" w:space="0"/>
              <w:left w:val="single" w:color="auto" w:sz="4" w:space="0"/>
              <w:bottom w:val="single" w:color="auto" w:sz="4" w:space="0"/>
              <w:right w:val="single" w:color="auto" w:sz="4" w:space="0"/>
            </w:tcBorders>
            <w:vAlign w:val="center"/>
          </w:tcPr>
          <w:p w14:paraId="36AC2EC3">
            <w:pPr>
              <w:pStyle w:val="196"/>
            </w:pPr>
            <w:r>
              <w:rPr>
                <w:rFonts w:hint="eastAsia"/>
              </w:rPr>
              <w:t>城市/农村</w:t>
            </w:r>
          </w:p>
        </w:tc>
        <w:tc>
          <w:tcPr>
            <w:tcW w:w="4532" w:type="dxa"/>
            <w:tcBorders>
              <w:top w:val="single" w:color="auto" w:sz="4" w:space="0"/>
              <w:left w:val="single" w:color="auto" w:sz="4" w:space="0"/>
              <w:bottom w:val="single" w:color="auto" w:sz="4" w:space="0"/>
              <w:right w:val="single" w:color="auto" w:sz="2" w:space="0"/>
            </w:tcBorders>
            <w:vAlign w:val="center"/>
          </w:tcPr>
          <w:p w14:paraId="068ACE74">
            <w:pPr>
              <w:pStyle w:val="196"/>
            </w:pPr>
            <w:r>
              <w:rPr>
                <w:rFonts w:hint="eastAsia"/>
              </w:rPr>
              <w:t>城市</w:t>
            </w:r>
          </w:p>
        </w:tc>
      </w:tr>
      <w:tr w14:paraId="323DA5E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5" w:type="dxa"/>
            <w:vMerge w:val="continue"/>
            <w:tcBorders>
              <w:top w:val="single" w:color="auto" w:sz="4" w:space="0"/>
              <w:left w:val="single" w:color="auto" w:sz="2" w:space="0"/>
              <w:bottom w:val="single" w:color="auto" w:sz="4" w:space="0"/>
              <w:right w:val="single" w:color="auto" w:sz="4" w:space="0"/>
            </w:tcBorders>
            <w:vAlign w:val="center"/>
          </w:tcPr>
          <w:p w14:paraId="39F46D13">
            <w:pPr>
              <w:pStyle w:val="196"/>
              <w:rPr>
                <w:szCs w:val="21"/>
              </w:rPr>
            </w:pPr>
          </w:p>
        </w:tc>
        <w:tc>
          <w:tcPr>
            <w:tcW w:w="2876" w:type="dxa"/>
            <w:gridSpan w:val="2"/>
            <w:tcBorders>
              <w:top w:val="single" w:color="auto" w:sz="4" w:space="0"/>
              <w:left w:val="single" w:color="auto" w:sz="4" w:space="0"/>
              <w:bottom w:val="single" w:color="auto" w:sz="4" w:space="0"/>
              <w:right w:val="single" w:color="auto" w:sz="4" w:space="0"/>
            </w:tcBorders>
            <w:vAlign w:val="center"/>
          </w:tcPr>
          <w:p w14:paraId="7109369C">
            <w:pPr>
              <w:pStyle w:val="196"/>
            </w:pPr>
            <w:r>
              <w:rPr>
                <w:rFonts w:hint="eastAsia"/>
              </w:rPr>
              <w:t>人口数（城市选项时）</w:t>
            </w:r>
          </w:p>
        </w:tc>
        <w:tc>
          <w:tcPr>
            <w:tcW w:w="4532" w:type="dxa"/>
            <w:tcBorders>
              <w:top w:val="single" w:color="auto" w:sz="4" w:space="0"/>
              <w:left w:val="single" w:color="auto" w:sz="4" w:space="0"/>
              <w:bottom w:val="single" w:color="auto" w:sz="4" w:space="0"/>
              <w:right w:val="single" w:color="auto" w:sz="2" w:space="0"/>
            </w:tcBorders>
            <w:vAlign w:val="center"/>
          </w:tcPr>
          <w:p w14:paraId="0980EE2B">
            <w:pPr>
              <w:pStyle w:val="196"/>
            </w:pPr>
            <w:r>
              <w:t>100000</w:t>
            </w:r>
          </w:p>
        </w:tc>
      </w:tr>
      <w:tr w14:paraId="4F14E84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5" w:type="dxa"/>
            <w:gridSpan w:val="3"/>
            <w:tcBorders>
              <w:top w:val="single" w:color="auto" w:sz="4" w:space="0"/>
              <w:left w:val="single" w:color="auto" w:sz="2" w:space="0"/>
              <w:bottom w:val="single" w:color="auto" w:sz="4" w:space="0"/>
              <w:right w:val="single" w:color="auto" w:sz="4" w:space="0"/>
            </w:tcBorders>
            <w:vAlign w:val="center"/>
          </w:tcPr>
          <w:p w14:paraId="0211CD23">
            <w:pPr>
              <w:pStyle w:val="196"/>
            </w:pPr>
            <w:r>
              <w:rPr>
                <w:rFonts w:hint="eastAsia"/>
              </w:rPr>
              <w:t>最高环境温度</w:t>
            </w:r>
          </w:p>
        </w:tc>
        <w:tc>
          <w:tcPr>
            <w:tcW w:w="4532" w:type="dxa"/>
            <w:tcBorders>
              <w:top w:val="single" w:color="auto" w:sz="4" w:space="0"/>
              <w:left w:val="single" w:color="auto" w:sz="4" w:space="0"/>
              <w:bottom w:val="single" w:color="auto" w:sz="4" w:space="0"/>
              <w:right w:val="single" w:color="auto" w:sz="2" w:space="0"/>
            </w:tcBorders>
            <w:vAlign w:val="center"/>
          </w:tcPr>
          <w:p w14:paraId="7FF758C1">
            <w:pPr>
              <w:pStyle w:val="196"/>
            </w:pPr>
            <w:r>
              <w:rPr>
                <w:rFonts w:hint="eastAsia"/>
              </w:rPr>
              <w:t>39.5℃</w:t>
            </w:r>
          </w:p>
        </w:tc>
      </w:tr>
      <w:tr w14:paraId="0A3BFA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5" w:type="dxa"/>
            <w:gridSpan w:val="3"/>
            <w:tcBorders>
              <w:top w:val="single" w:color="auto" w:sz="4" w:space="0"/>
              <w:left w:val="single" w:color="auto" w:sz="2" w:space="0"/>
              <w:bottom w:val="single" w:color="auto" w:sz="4" w:space="0"/>
              <w:right w:val="single" w:color="auto" w:sz="4" w:space="0"/>
            </w:tcBorders>
            <w:vAlign w:val="center"/>
          </w:tcPr>
          <w:p w14:paraId="70203952">
            <w:pPr>
              <w:pStyle w:val="196"/>
            </w:pPr>
            <w:r>
              <w:rPr>
                <w:rFonts w:hint="eastAsia"/>
              </w:rPr>
              <w:t>最低环境温度</w:t>
            </w:r>
          </w:p>
        </w:tc>
        <w:tc>
          <w:tcPr>
            <w:tcW w:w="4532" w:type="dxa"/>
            <w:tcBorders>
              <w:top w:val="single" w:color="auto" w:sz="4" w:space="0"/>
              <w:left w:val="single" w:color="auto" w:sz="4" w:space="0"/>
              <w:bottom w:val="single" w:color="auto" w:sz="4" w:space="0"/>
              <w:right w:val="single" w:color="auto" w:sz="2" w:space="0"/>
            </w:tcBorders>
            <w:vAlign w:val="center"/>
          </w:tcPr>
          <w:p w14:paraId="1F43E1D9">
            <w:pPr>
              <w:pStyle w:val="196"/>
            </w:pPr>
            <w:r>
              <w:rPr>
                <w:rFonts w:hint="eastAsia"/>
              </w:rPr>
              <w:t>-21.5℃</w:t>
            </w:r>
          </w:p>
        </w:tc>
      </w:tr>
      <w:tr w14:paraId="25610BE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5" w:type="dxa"/>
            <w:gridSpan w:val="3"/>
            <w:tcBorders>
              <w:top w:val="single" w:color="auto" w:sz="4" w:space="0"/>
              <w:left w:val="single" w:color="auto" w:sz="2" w:space="0"/>
              <w:bottom w:val="single" w:color="auto" w:sz="4" w:space="0"/>
              <w:right w:val="single" w:color="auto" w:sz="4" w:space="0"/>
            </w:tcBorders>
            <w:vAlign w:val="center"/>
          </w:tcPr>
          <w:p w14:paraId="3A022094">
            <w:pPr>
              <w:pStyle w:val="196"/>
            </w:pPr>
            <w:r>
              <w:rPr>
                <w:rFonts w:hint="eastAsia"/>
              </w:rPr>
              <w:t>土地利用类型</w:t>
            </w:r>
          </w:p>
        </w:tc>
        <w:tc>
          <w:tcPr>
            <w:tcW w:w="4532" w:type="dxa"/>
            <w:tcBorders>
              <w:top w:val="single" w:color="auto" w:sz="4" w:space="0"/>
              <w:left w:val="single" w:color="auto" w:sz="4" w:space="0"/>
              <w:bottom w:val="single" w:color="auto" w:sz="4" w:space="0"/>
              <w:right w:val="single" w:color="auto" w:sz="2" w:space="0"/>
            </w:tcBorders>
            <w:vAlign w:val="center"/>
          </w:tcPr>
          <w:p w14:paraId="7EA89B76">
            <w:pPr>
              <w:pStyle w:val="196"/>
            </w:pPr>
            <w:r>
              <w:rPr>
                <w:rFonts w:hint="eastAsia"/>
              </w:rPr>
              <w:t>城市</w:t>
            </w:r>
          </w:p>
        </w:tc>
      </w:tr>
      <w:tr w14:paraId="7A8C377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35" w:type="dxa"/>
            <w:gridSpan w:val="3"/>
            <w:tcBorders>
              <w:top w:val="single" w:color="auto" w:sz="4" w:space="0"/>
              <w:left w:val="single" w:color="auto" w:sz="2" w:space="0"/>
              <w:bottom w:val="single" w:color="auto" w:sz="4" w:space="0"/>
              <w:right w:val="single" w:color="auto" w:sz="4" w:space="0"/>
            </w:tcBorders>
            <w:vAlign w:val="center"/>
          </w:tcPr>
          <w:p w14:paraId="1713924A">
            <w:pPr>
              <w:pStyle w:val="196"/>
            </w:pPr>
            <w:r>
              <w:rPr>
                <w:rFonts w:hint="eastAsia"/>
              </w:rPr>
              <w:t>区域湿度条件</w:t>
            </w:r>
          </w:p>
        </w:tc>
        <w:tc>
          <w:tcPr>
            <w:tcW w:w="4532" w:type="dxa"/>
            <w:tcBorders>
              <w:top w:val="single" w:color="auto" w:sz="4" w:space="0"/>
              <w:left w:val="single" w:color="auto" w:sz="4" w:space="0"/>
              <w:bottom w:val="single" w:color="auto" w:sz="4" w:space="0"/>
              <w:right w:val="single" w:color="auto" w:sz="2" w:space="0"/>
            </w:tcBorders>
            <w:vAlign w:val="center"/>
          </w:tcPr>
          <w:p w14:paraId="64DFD8C7">
            <w:pPr>
              <w:pStyle w:val="196"/>
            </w:pPr>
            <w:r>
              <w:rPr>
                <w:rFonts w:hint="eastAsia"/>
              </w:rPr>
              <w:t>中等湿度</w:t>
            </w:r>
          </w:p>
        </w:tc>
      </w:tr>
      <w:tr w14:paraId="02A369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7" w:type="dxa"/>
            <w:gridSpan w:val="2"/>
            <w:vMerge w:val="restart"/>
            <w:tcBorders>
              <w:top w:val="single" w:color="auto" w:sz="4" w:space="0"/>
              <w:left w:val="single" w:color="auto" w:sz="2" w:space="0"/>
              <w:bottom w:val="single" w:color="auto" w:sz="4" w:space="0"/>
              <w:right w:val="single" w:color="auto" w:sz="4" w:space="0"/>
            </w:tcBorders>
            <w:vAlign w:val="center"/>
          </w:tcPr>
          <w:p w14:paraId="70389CA8">
            <w:pPr>
              <w:pStyle w:val="196"/>
            </w:pPr>
            <w:r>
              <w:rPr>
                <w:rFonts w:hint="eastAsia"/>
              </w:rPr>
              <w:t>是否考虑地形</w:t>
            </w:r>
          </w:p>
        </w:tc>
        <w:tc>
          <w:tcPr>
            <w:tcW w:w="2268" w:type="dxa"/>
            <w:tcBorders>
              <w:top w:val="single" w:color="auto" w:sz="4" w:space="0"/>
              <w:left w:val="single" w:color="auto" w:sz="4" w:space="0"/>
              <w:bottom w:val="single" w:color="auto" w:sz="4" w:space="0"/>
              <w:right w:val="single" w:color="auto" w:sz="4" w:space="0"/>
            </w:tcBorders>
            <w:vAlign w:val="center"/>
          </w:tcPr>
          <w:p w14:paraId="46DEBD5C">
            <w:pPr>
              <w:pStyle w:val="196"/>
            </w:pPr>
            <w:r>
              <w:rPr>
                <w:rFonts w:hint="eastAsia"/>
              </w:rPr>
              <w:t>考虑地形</w:t>
            </w:r>
          </w:p>
        </w:tc>
        <w:tc>
          <w:tcPr>
            <w:tcW w:w="4532" w:type="dxa"/>
            <w:tcBorders>
              <w:top w:val="single" w:color="auto" w:sz="4" w:space="0"/>
              <w:left w:val="single" w:color="auto" w:sz="4" w:space="0"/>
              <w:bottom w:val="single" w:color="auto" w:sz="4" w:space="0"/>
              <w:right w:val="single" w:color="auto" w:sz="2" w:space="0"/>
            </w:tcBorders>
            <w:vAlign w:val="center"/>
          </w:tcPr>
          <w:p w14:paraId="6A1354A7">
            <w:pPr>
              <w:pStyle w:val="196"/>
            </w:pPr>
            <w:r>
              <w:rPr>
                <w:rFonts w:hint="eastAsia"/>
              </w:rPr>
              <w:t>■是   □否</w:t>
            </w:r>
          </w:p>
        </w:tc>
      </w:tr>
      <w:tr w14:paraId="45F4810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1" w:type="dxa"/>
            <w:gridSpan w:val="2"/>
            <w:vMerge w:val="continue"/>
            <w:tcBorders>
              <w:top w:val="single" w:color="auto" w:sz="4" w:space="0"/>
              <w:left w:val="single" w:color="auto" w:sz="2" w:space="0"/>
              <w:bottom w:val="single" w:color="auto" w:sz="4" w:space="0"/>
              <w:right w:val="single" w:color="auto" w:sz="4" w:space="0"/>
            </w:tcBorders>
            <w:vAlign w:val="center"/>
          </w:tcPr>
          <w:p w14:paraId="5214383C">
            <w:pPr>
              <w:pStyle w:val="196"/>
              <w:rPr>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CBE279E">
            <w:pPr>
              <w:pStyle w:val="196"/>
            </w:pPr>
            <w:r>
              <w:rPr>
                <w:rFonts w:hint="eastAsia"/>
              </w:rPr>
              <w:t>地形数据分辨率/m</w:t>
            </w:r>
          </w:p>
        </w:tc>
        <w:tc>
          <w:tcPr>
            <w:tcW w:w="4532" w:type="dxa"/>
            <w:tcBorders>
              <w:top w:val="single" w:color="auto" w:sz="4" w:space="0"/>
              <w:left w:val="single" w:color="auto" w:sz="4" w:space="0"/>
              <w:bottom w:val="single" w:color="auto" w:sz="4" w:space="0"/>
              <w:right w:val="single" w:color="auto" w:sz="2" w:space="0"/>
            </w:tcBorders>
            <w:vAlign w:val="center"/>
          </w:tcPr>
          <w:p w14:paraId="5602D6BA">
            <w:pPr>
              <w:pStyle w:val="196"/>
            </w:pPr>
            <w:r>
              <w:rPr>
                <w:rFonts w:hint="eastAsia"/>
              </w:rPr>
              <w:t>90</w:t>
            </w:r>
          </w:p>
        </w:tc>
      </w:tr>
      <w:tr w14:paraId="6300B9A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67" w:type="dxa"/>
            <w:gridSpan w:val="2"/>
            <w:vMerge w:val="restart"/>
            <w:tcBorders>
              <w:top w:val="single" w:color="auto" w:sz="4" w:space="0"/>
              <w:left w:val="single" w:color="auto" w:sz="2" w:space="0"/>
              <w:bottom w:val="single" w:color="auto" w:sz="4" w:space="0"/>
              <w:right w:val="single" w:color="auto" w:sz="4" w:space="0"/>
            </w:tcBorders>
            <w:vAlign w:val="center"/>
          </w:tcPr>
          <w:p w14:paraId="5005B843">
            <w:pPr>
              <w:pStyle w:val="196"/>
            </w:pPr>
            <w:r>
              <w:rPr>
                <w:rFonts w:hint="eastAsia"/>
              </w:rPr>
              <w:t>是否考虑岸线熏烟</w:t>
            </w:r>
          </w:p>
        </w:tc>
        <w:tc>
          <w:tcPr>
            <w:tcW w:w="2268" w:type="dxa"/>
            <w:tcBorders>
              <w:top w:val="single" w:color="auto" w:sz="4" w:space="0"/>
              <w:left w:val="single" w:color="auto" w:sz="4" w:space="0"/>
              <w:bottom w:val="single" w:color="auto" w:sz="4" w:space="0"/>
              <w:right w:val="single" w:color="auto" w:sz="4" w:space="0"/>
            </w:tcBorders>
            <w:vAlign w:val="center"/>
          </w:tcPr>
          <w:p w14:paraId="067AC553">
            <w:pPr>
              <w:pStyle w:val="196"/>
            </w:pPr>
            <w:r>
              <w:rPr>
                <w:rFonts w:hint="eastAsia"/>
              </w:rPr>
              <w:t>考虑岸线熏烟</w:t>
            </w:r>
          </w:p>
        </w:tc>
        <w:tc>
          <w:tcPr>
            <w:tcW w:w="4532" w:type="dxa"/>
            <w:tcBorders>
              <w:top w:val="single" w:color="auto" w:sz="4" w:space="0"/>
              <w:left w:val="single" w:color="auto" w:sz="4" w:space="0"/>
              <w:bottom w:val="single" w:color="auto" w:sz="4" w:space="0"/>
              <w:right w:val="single" w:color="auto" w:sz="2" w:space="0"/>
            </w:tcBorders>
            <w:vAlign w:val="center"/>
          </w:tcPr>
          <w:p w14:paraId="2EF0B29B">
            <w:pPr>
              <w:pStyle w:val="196"/>
            </w:pPr>
            <w:r>
              <w:rPr>
                <w:rFonts w:hint="eastAsia"/>
              </w:rPr>
              <w:t>□是   ■否</w:t>
            </w:r>
          </w:p>
        </w:tc>
      </w:tr>
      <w:tr w14:paraId="1A7E5B9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1" w:type="dxa"/>
            <w:gridSpan w:val="2"/>
            <w:vMerge w:val="continue"/>
            <w:tcBorders>
              <w:top w:val="single" w:color="auto" w:sz="4" w:space="0"/>
              <w:left w:val="single" w:color="auto" w:sz="2" w:space="0"/>
              <w:bottom w:val="single" w:color="auto" w:sz="4" w:space="0"/>
              <w:right w:val="single" w:color="auto" w:sz="4" w:space="0"/>
            </w:tcBorders>
            <w:vAlign w:val="center"/>
          </w:tcPr>
          <w:p w14:paraId="2DDF113D">
            <w:pPr>
              <w:pStyle w:val="196"/>
              <w:rPr>
                <w:szCs w:val="21"/>
              </w:rPr>
            </w:pPr>
          </w:p>
        </w:tc>
        <w:tc>
          <w:tcPr>
            <w:tcW w:w="2268" w:type="dxa"/>
            <w:tcBorders>
              <w:top w:val="single" w:color="auto" w:sz="4" w:space="0"/>
              <w:left w:val="single" w:color="auto" w:sz="4" w:space="0"/>
              <w:bottom w:val="single" w:color="auto" w:sz="4" w:space="0"/>
              <w:right w:val="single" w:color="auto" w:sz="4" w:space="0"/>
            </w:tcBorders>
            <w:vAlign w:val="center"/>
          </w:tcPr>
          <w:p w14:paraId="61A51545">
            <w:pPr>
              <w:pStyle w:val="196"/>
            </w:pPr>
            <w:r>
              <w:rPr>
                <w:rFonts w:hint="eastAsia"/>
              </w:rPr>
              <w:t>岸线距离/km</w:t>
            </w:r>
          </w:p>
        </w:tc>
        <w:tc>
          <w:tcPr>
            <w:tcW w:w="4532" w:type="dxa"/>
            <w:tcBorders>
              <w:top w:val="single" w:color="auto" w:sz="4" w:space="0"/>
              <w:left w:val="single" w:color="auto" w:sz="4" w:space="0"/>
              <w:bottom w:val="single" w:color="auto" w:sz="4" w:space="0"/>
              <w:right w:val="single" w:color="auto" w:sz="2" w:space="0"/>
            </w:tcBorders>
            <w:vAlign w:val="center"/>
          </w:tcPr>
          <w:p w14:paraId="152DD62E">
            <w:pPr>
              <w:pStyle w:val="196"/>
            </w:pPr>
            <w:r>
              <w:rPr>
                <w:rFonts w:hint="eastAsia"/>
              </w:rPr>
              <w:t>/</w:t>
            </w:r>
          </w:p>
        </w:tc>
      </w:tr>
      <w:tr w14:paraId="51656E5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11" w:type="dxa"/>
            <w:gridSpan w:val="2"/>
            <w:vMerge w:val="continue"/>
            <w:tcBorders>
              <w:top w:val="single" w:color="auto" w:sz="4" w:space="0"/>
              <w:left w:val="single" w:color="auto" w:sz="2" w:space="0"/>
              <w:bottom w:val="single" w:color="auto" w:sz="4" w:space="0"/>
              <w:right w:val="single" w:color="auto" w:sz="4" w:space="0"/>
            </w:tcBorders>
            <w:vAlign w:val="center"/>
          </w:tcPr>
          <w:p w14:paraId="7C8C37CB">
            <w:pPr>
              <w:pStyle w:val="196"/>
              <w:rPr>
                <w:szCs w:val="21"/>
              </w:rPr>
            </w:pPr>
          </w:p>
        </w:tc>
        <w:tc>
          <w:tcPr>
            <w:tcW w:w="2268" w:type="dxa"/>
            <w:tcBorders>
              <w:top w:val="single" w:color="auto" w:sz="4" w:space="0"/>
              <w:left w:val="single" w:color="auto" w:sz="4" w:space="0"/>
              <w:bottom w:val="single" w:color="auto" w:sz="2" w:space="0"/>
              <w:right w:val="single" w:color="auto" w:sz="4" w:space="0"/>
            </w:tcBorders>
            <w:vAlign w:val="center"/>
          </w:tcPr>
          <w:p w14:paraId="2A4570B1">
            <w:pPr>
              <w:pStyle w:val="196"/>
            </w:pPr>
            <w:r>
              <w:rPr>
                <w:rFonts w:hint="eastAsia"/>
              </w:rPr>
              <w:t>岸线方向/°</w:t>
            </w:r>
          </w:p>
        </w:tc>
        <w:tc>
          <w:tcPr>
            <w:tcW w:w="4532" w:type="dxa"/>
            <w:tcBorders>
              <w:top w:val="single" w:color="auto" w:sz="4" w:space="0"/>
              <w:left w:val="single" w:color="auto" w:sz="4" w:space="0"/>
              <w:bottom w:val="single" w:color="auto" w:sz="2" w:space="0"/>
              <w:right w:val="single" w:color="auto" w:sz="2" w:space="0"/>
            </w:tcBorders>
            <w:vAlign w:val="center"/>
          </w:tcPr>
          <w:p w14:paraId="4500F936">
            <w:pPr>
              <w:pStyle w:val="196"/>
            </w:pPr>
            <w:r>
              <w:rPr>
                <w:rFonts w:hint="eastAsia"/>
              </w:rPr>
              <w:t>/</w:t>
            </w:r>
          </w:p>
        </w:tc>
      </w:tr>
    </w:tbl>
    <w:p w14:paraId="3B463A99">
      <w:pPr>
        <w:pStyle w:val="93"/>
      </w:pPr>
      <w:bookmarkStart w:id="84" w:name="_Hlk181741661"/>
      <w:r>
        <w:rPr>
          <w:rFonts w:hint="eastAsia"/>
        </w:rPr>
        <w:t>本项目运营期，主要废气污染物为无组织排放的SO</w:t>
      </w:r>
      <w:r>
        <w:rPr>
          <w:rFonts w:hint="eastAsia"/>
          <w:vertAlign w:val="subscript"/>
        </w:rPr>
        <w:t>2</w:t>
      </w:r>
      <w:r>
        <w:rPr>
          <w:rFonts w:hint="eastAsia"/>
        </w:rPr>
        <w:t>、NOx、颗粒物、CO，利用估算模式分别计算无组织排放的各项污染物最大地面浓度占标率P</w:t>
      </w:r>
      <w:r>
        <w:rPr>
          <w:rFonts w:hint="eastAsia"/>
          <w:vertAlign w:val="subscript"/>
        </w:rPr>
        <w:t>i</w:t>
      </w:r>
      <w:r>
        <w:rPr>
          <w:rFonts w:hint="eastAsia"/>
        </w:rPr>
        <w:t>，最大地面浓度及占标率见表2.4-4，项目无组织排放的各因子大气污染物的最大占</w:t>
      </w:r>
      <w:r>
        <w:rPr>
          <w:rStyle w:val="140"/>
          <w:rFonts w:hint="eastAsia"/>
          <w:color w:val="auto"/>
        </w:rPr>
        <w:t>标率为</w:t>
      </w:r>
      <w:r>
        <w:rPr>
          <w:rStyle w:val="140"/>
          <w:color w:val="auto"/>
        </w:rPr>
        <w:t>9.355</w:t>
      </w:r>
      <w:r>
        <w:rPr>
          <w:rStyle w:val="140"/>
          <w:rFonts w:hint="eastAsia"/>
          <w:color w:val="auto"/>
        </w:rPr>
        <w:t>%＜10%</w:t>
      </w:r>
      <w:r>
        <w:rPr>
          <w:rFonts w:hint="eastAsia"/>
        </w:rPr>
        <w:t>，大气环境影响评价等级判断为二级。</w:t>
      </w:r>
    </w:p>
    <w:p w14:paraId="1042CE43">
      <w:pPr>
        <w:pStyle w:val="86"/>
      </w:pPr>
      <w:bookmarkStart w:id="85" w:name="_Hlk181741638"/>
      <w:r>
        <w:rPr>
          <w:rFonts w:hint="eastAsia"/>
        </w:rPr>
        <w:t>估算模式得出无组织废气正常排放各因子的P</w:t>
      </w:r>
      <w:r>
        <w:rPr>
          <w:rFonts w:hint="eastAsia"/>
          <w:vertAlign w:val="subscript"/>
        </w:rPr>
        <w:t>max</w:t>
      </w:r>
      <w:r>
        <w:rPr>
          <w:rFonts w:hint="eastAsia"/>
        </w:rPr>
        <w:t>值统计表</w:t>
      </w:r>
    </w:p>
    <w:bookmarkEnd w:id="85"/>
    <w:tbl>
      <w:tblPr>
        <w:tblStyle w:val="38"/>
        <w:tblW w:w="5000" w:type="pct"/>
        <w:tblInd w:w="0" w:type="dxa"/>
        <w:tblLayout w:type="autofit"/>
        <w:tblCellMar>
          <w:top w:w="0" w:type="dxa"/>
          <w:left w:w="108" w:type="dxa"/>
          <w:bottom w:w="0" w:type="dxa"/>
          <w:right w:w="108" w:type="dxa"/>
        </w:tblCellMar>
      </w:tblPr>
      <w:tblGrid>
        <w:gridCol w:w="656"/>
        <w:gridCol w:w="1582"/>
        <w:gridCol w:w="1100"/>
        <w:gridCol w:w="2087"/>
        <w:gridCol w:w="1611"/>
        <w:gridCol w:w="1120"/>
        <w:gridCol w:w="1131"/>
      </w:tblGrid>
      <w:tr w14:paraId="7A494B5B">
        <w:tblPrEx>
          <w:tblCellMar>
            <w:top w:w="0" w:type="dxa"/>
            <w:left w:w="108" w:type="dxa"/>
            <w:bottom w:w="0" w:type="dxa"/>
            <w:right w:w="108" w:type="dxa"/>
          </w:tblCellMar>
        </w:tblPrEx>
        <w:trPr>
          <w:trHeight w:val="324" w:hRule="atLeast"/>
        </w:trPr>
        <w:tc>
          <w:tcPr>
            <w:tcW w:w="37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EF892C">
            <w:pPr>
              <w:spacing w:line="240" w:lineRule="auto"/>
              <w:ind w:firstLine="0" w:firstLineChars="0"/>
              <w:jc w:val="center"/>
              <w:rPr>
                <w:rFonts w:eastAsia="等线" w:cs="Times New Roman"/>
                <w:kern w:val="0"/>
                <w:sz w:val="22"/>
                <w:szCs w:val="22"/>
              </w:rPr>
            </w:pPr>
            <w:r>
              <w:rPr>
                <w:rFonts w:hint="eastAsia" w:ascii="宋体" w:hAnsi="宋体" w:eastAsia="宋体" w:cs="Times New Roman"/>
                <w:kern w:val="0"/>
                <w:sz w:val="22"/>
                <w:szCs w:val="22"/>
              </w:rPr>
              <w:t>序号</w:t>
            </w:r>
          </w:p>
        </w:tc>
        <w:tc>
          <w:tcPr>
            <w:tcW w:w="878" w:type="pct"/>
            <w:tcBorders>
              <w:top w:val="single" w:color="auto" w:sz="4" w:space="0"/>
              <w:left w:val="nil"/>
              <w:bottom w:val="single" w:color="auto" w:sz="4" w:space="0"/>
              <w:right w:val="single" w:color="auto" w:sz="4" w:space="0"/>
            </w:tcBorders>
            <w:shd w:val="clear" w:color="auto" w:fill="auto"/>
            <w:noWrap/>
            <w:vAlign w:val="center"/>
          </w:tcPr>
          <w:p w14:paraId="196E5CF7">
            <w:pPr>
              <w:spacing w:line="240" w:lineRule="auto"/>
              <w:ind w:firstLine="0" w:firstLineChars="0"/>
              <w:jc w:val="center"/>
              <w:rPr>
                <w:rFonts w:eastAsia="等线" w:cs="Times New Roman"/>
                <w:b/>
                <w:bCs/>
                <w:kern w:val="0"/>
                <w:sz w:val="22"/>
                <w:szCs w:val="22"/>
              </w:rPr>
            </w:pPr>
            <w:r>
              <w:rPr>
                <w:rFonts w:hint="eastAsia" w:ascii="宋体" w:hAnsi="宋体" w:eastAsia="宋体" w:cs="Times New Roman"/>
                <w:b/>
                <w:bCs/>
                <w:kern w:val="0"/>
                <w:sz w:val="22"/>
                <w:szCs w:val="22"/>
              </w:rPr>
              <w:t>污染源</w:t>
            </w:r>
          </w:p>
        </w:tc>
        <w:tc>
          <w:tcPr>
            <w:tcW w:w="607" w:type="pct"/>
            <w:tcBorders>
              <w:top w:val="single" w:color="auto" w:sz="4" w:space="0"/>
              <w:left w:val="nil"/>
              <w:bottom w:val="single" w:color="auto" w:sz="4" w:space="0"/>
              <w:right w:val="single" w:color="auto" w:sz="4" w:space="0"/>
            </w:tcBorders>
            <w:shd w:val="clear" w:color="auto" w:fill="auto"/>
            <w:noWrap/>
            <w:vAlign w:val="center"/>
          </w:tcPr>
          <w:p w14:paraId="39F12C7F">
            <w:pPr>
              <w:spacing w:line="240" w:lineRule="auto"/>
              <w:ind w:firstLine="0" w:firstLineChars="0"/>
              <w:jc w:val="center"/>
              <w:rPr>
                <w:rFonts w:eastAsia="等线" w:cs="Times New Roman"/>
                <w:b/>
                <w:bCs/>
                <w:kern w:val="0"/>
                <w:sz w:val="22"/>
                <w:szCs w:val="22"/>
              </w:rPr>
            </w:pPr>
            <w:r>
              <w:rPr>
                <w:rFonts w:hint="eastAsia" w:ascii="宋体" w:hAnsi="宋体" w:eastAsia="宋体" w:cs="Times New Roman"/>
                <w:b/>
                <w:bCs/>
                <w:kern w:val="0"/>
                <w:sz w:val="22"/>
                <w:szCs w:val="22"/>
              </w:rPr>
              <w:t>评价因子</w:t>
            </w:r>
          </w:p>
        </w:tc>
        <w:tc>
          <w:tcPr>
            <w:tcW w:w="989" w:type="pct"/>
            <w:tcBorders>
              <w:top w:val="single" w:color="auto" w:sz="4" w:space="0"/>
              <w:left w:val="nil"/>
              <w:bottom w:val="single" w:color="auto" w:sz="4" w:space="0"/>
              <w:right w:val="single" w:color="auto" w:sz="4" w:space="0"/>
            </w:tcBorders>
            <w:shd w:val="clear" w:color="auto" w:fill="auto"/>
            <w:noWrap/>
            <w:vAlign w:val="center"/>
          </w:tcPr>
          <w:p w14:paraId="7444E9E3">
            <w:pPr>
              <w:spacing w:line="240" w:lineRule="auto"/>
              <w:ind w:firstLine="0" w:firstLineChars="0"/>
              <w:jc w:val="center"/>
              <w:rPr>
                <w:rFonts w:eastAsia="等线" w:cs="Times New Roman"/>
                <w:b/>
                <w:bCs/>
                <w:kern w:val="0"/>
                <w:sz w:val="22"/>
                <w:szCs w:val="22"/>
              </w:rPr>
            </w:pPr>
            <w:r>
              <w:rPr>
                <w:rFonts w:hint="eastAsia" w:ascii="宋体" w:hAnsi="宋体" w:eastAsia="宋体" w:cs="Times New Roman"/>
                <w:b/>
                <w:bCs/>
                <w:kern w:val="0"/>
                <w:sz w:val="22"/>
                <w:szCs w:val="22"/>
              </w:rPr>
              <w:t>评价标准</w:t>
            </w:r>
            <w:r>
              <w:rPr>
                <w:rFonts w:hint="eastAsia" w:ascii="宋体" w:hAnsi="宋体" w:eastAsia="宋体" w:cs="Times New Roman"/>
                <w:b/>
                <w:bCs/>
                <w:kern w:val="0"/>
                <w:sz w:val="22"/>
                <w:szCs w:val="22"/>
                <w:lang w:eastAsia="zh-CN"/>
              </w:rPr>
              <w:t>（</w:t>
            </w:r>
            <w:r>
              <w:rPr>
                <w:rFonts w:eastAsia="等线" w:cs="Times New Roman"/>
                <w:b/>
                <w:bCs/>
                <w:kern w:val="0"/>
                <w:sz w:val="22"/>
                <w:szCs w:val="22"/>
              </w:rPr>
              <w:t>μg/m³</w:t>
            </w:r>
            <w:r>
              <w:rPr>
                <w:rFonts w:hint="eastAsia" w:eastAsia="等线" w:cs="Times New Roman"/>
                <w:b/>
                <w:bCs/>
                <w:kern w:val="0"/>
                <w:sz w:val="22"/>
                <w:szCs w:val="22"/>
                <w:lang w:eastAsia="zh-CN"/>
              </w:rPr>
              <w:t>）</w:t>
            </w:r>
          </w:p>
        </w:tc>
        <w:tc>
          <w:tcPr>
            <w:tcW w:w="897" w:type="pct"/>
            <w:tcBorders>
              <w:top w:val="single" w:color="auto" w:sz="4" w:space="0"/>
              <w:left w:val="nil"/>
              <w:bottom w:val="single" w:color="auto" w:sz="4" w:space="0"/>
              <w:right w:val="single" w:color="auto" w:sz="4" w:space="0"/>
            </w:tcBorders>
            <w:shd w:val="clear" w:color="auto" w:fill="auto"/>
            <w:noWrap/>
            <w:vAlign w:val="center"/>
          </w:tcPr>
          <w:p w14:paraId="12CD9CEF">
            <w:pPr>
              <w:spacing w:line="240" w:lineRule="auto"/>
              <w:ind w:firstLine="0" w:firstLineChars="0"/>
              <w:jc w:val="center"/>
              <w:rPr>
                <w:rFonts w:eastAsia="等线" w:cs="Times New Roman"/>
                <w:b/>
                <w:bCs/>
                <w:kern w:val="0"/>
                <w:sz w:val="22"/>
                <w:szCs w:val="22"/>
              </w:rPr>
            </w:pPr>
            <w:r>
              <w:rPr>
                <w:rFonts w:eastAsia="等线" w:cs="Times New Roman"/>
                <w:b/>
                <w:bCs/>
                <w:kern w:val="0"/>
                <w:sz w:val="22"/>
                <w:szCs w:val="22"/>
              </w:rPr>
              <w:t>C</w:t>
            </w:r>
            <w:r>
              <w:rPr>
                <w:rFonts w:eastAsia="等线" w:cs="Times New Roman"/>
                <w:b/>
                <w:bCs/>
                <w:kern w:val="0"/>
                <w:sz w:val="22"/>
                <w:szCs w:val="22"/>
                <w:vertAlign w:val="subscript"/>
              </w:rPr>
              <w:t>max</w:t>
            </w:r>
            <w:r>
              <w:rPr>
                <w:rFonts w:eastAsia="等线" w:cs="Times New Roman"/>
                <w:b/>
                <w:bCs/>
                <w:kern w:val="0"/>
                <w:sz w:val="22"/>
                <w:szCs w:val="22"/>
              </w:rPr>
              <w:t> (μg/m³)</w:t>
            </w:r>
          </w:p>
        </w:tc>
        <w:tc>
          <w:tcPr>
            <w:tcW w:w="625" w:type="pct"/>
            <w:tcBorders>
              <w:top w:val="single" w:color="auto" w:sz="4" w:space="0"/>
              <w:left w:val="nil"/>
              <w:bottom w:val="single" w:color="auto" w:sz="4" w:space="0"/>
              <w:right w:val="single" w:color="auto" w:sz="4" w:space="0"/>
            </w:tcBorders>
            <w:shd w:val="clear" w:color="auto" w:fill="auto"/>
            <w:noWrap/>
            <w:vAlign w:val="center"/>
          </w:tcPr>
          <w:p w14:paraId="750A2CDA">
            <w:pPr>
              <w:spacing w:line="240" w:lineRule="auto"/>
              <w:ind w:firstLine="0" w:firstLineChars="0"/>
              <w:jc w:val="center"/>
              <w:rPr>
                <w:rFonts w:eastAsia="等线" w:cs="Times New Roman"/>
                <w:b/>
                <w:bCs/>
                <w:kern w:val="0"/>
                <w:sz w:val="22"/>
                <w:szCs w:val="22"/>
              </w:rPr>
            </w:pPr>
            <w:r>
              <w:rPr>
                <w:rFonts w:eastAsia="等线" w:cs="Times New Roman"/>
                <w:b/>
                <w:bCs/>
                <w:kern w:val="0"/>
                <w:sz w:val="22"/>
                <w:szCs w:val="22"/>
              </w:rPr>
              <w:t>P</w:t>
            </w:r>
            <w:r>
              <w:rPr>
                <w:rFonts w:eastAsia="等线" w:cs="Times New Roman"/>
                <w:b/>
                <w:bCs/>
                <w:kern w:val="0"/>
                <w:sz w:val="22"/>
                <w:szCs w:val="22"/>
                <w:vertAlign w:val="subscript"/>
              </w:rPr>
              <w:t>max</w:t>
            </w:r>
            <w:r>
              <w:rPr>
                <w:rFonts w:eastAsia="等线" w:cs="Times New Roman"/>
                <w:b/>
                <w:bCs/>
                <w:kern w:val="0"/>
                <w:sz w:val="22"/>
                <w:szCs w:val="22"/>
              </w:rPr>
              <w:t>(%)</w:t>
            </w:r>
          </w:p>
        </w:tc>
        <w:tc>
          <w:tcPr>
            <w:tcW w:w="631" w:type="pct"/>
            <w:tcBorders>
              <w:top w:val="single" w:color="auto" w:sz="4" w:space="0"/>
              <w:left w:val="nil"/>
              <w:bottom w:val="single" w:color="auto" w:sz="4" w:space="0"/>
              <w:right w:val="single" w:color="auto" w:sz="4" w:space="0"/>
            </w:tcBorders>
            <w:shd w:val="clear" w:color="auto" w:fill="auto"/>
            <w:noWrap/>
            <w:vAlign w:val="center"/>
          </w:tcPr>
          <w:p w14:paraId="22679198">
            <w:pPr>
              <w:spacing w:line="240" w:lineRule="auto"/>
              <w:ind w:firstLine="0" w:firstLineChars="0"/>
              <w:jc w:val="center"/>
              <w:rPr>
                <w:rFonts w:eastAsia="等线" w:cs="Times New Roman"/>
                <w:b/>
                <w:bCs/>
                <w:kern w:val="0"/>
                <w:sz w:val="22"/>
                <w:szCs w:val="22"/>
              </w:rPr>
            </w:pPr>
            <w:r>
              <w:rPr>
                <w:rFonts w:eastAsia="等线" w:cs="Times New Roman"/>
                <w:b/>
                <w:bCs/>
                <w:kern w:val="0"/>
                <w:sz w:val="22"/>
                <w:szCs w:val="22"/>
              </w:rPr>
              <w:t>D</w:t>
            </w:r>
            <w:r>
              <w:rPr>
                <w:rFonts w:eastAsia="等线" w:cs="Times New Roman"/>
                <w:b/>
                <w:bCs/>
                <w:kern w:val="0"/>
                <w:sz w:val="22"/>
                <w:szCs w:val="22"/>
                <w:vertAlign w:val="subscript"/>
              </w:rPr>
              <w:t>10%</w:t>
            </w:r>
            <w:r>
              <w:rPr>
                <w:rFonts w:eastAsia="等线" w:cs="Times New Roman"/>
                <w:b/>
                <w:bCs/>
                <w:kern w:val="0"/>
                <w:sz w:val="22"/>
                <w:szCs w:val="22"/>
              </w:rPr>
              <w:t>(m)</w:t>
            </w:r>
          </w:p>
        </w:tc>
      </w:tr>
      <w:tr w14:paraId="3A93622F">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68DCEBC6">
            <w:pPr>
              <w:spacing w:line="240" w:lineRule="auto"/>
              <w:ind w:firstLine="0" w:firstLineChars="0"/>
              <w:jc w:val="center"/>
              <w:rPr>
                <w:rFonts w:eastAsia="等线" w:cs="Times New Roman"/>
                <w:kern w:val="0"/>
                <w:sz w:val="22"/>
                <w:szCs w:val="22"/>
              </w:rPr>
            </w:pPr>
            <w:r>
              <w:rPr>
                <w:rFonts w:eastAsia="等线" w:cs="Times New Roman"/>
                <w:kern w:val="0"/>
                <w:sz w:val="22"/>
                <w:szCs w:val="22"/>
              </w:rPr>
              <w:t>1</w:t>
            </w:r>
          </w:p>
        </w:tc>
        <w:tc>
          <w:tcPr>
            <w:tcW w:w="878" w:type="pct"/>
            <w:vMerge w:val="restart"/>
            <w:tcBorders>
              <w:top w:val="nil"/>
              <w:left w:val="single" w:color="auto" w:sz="4" w:space="0"/>
              <w:bottom w:val="single" w:color="000000" w:sz="4" w:space="0"/>
              <w:right w:val="single" w:color="auto" w:sz="4" w:space="0"/>
            </w:tcBorders>
            <w:shd w:val="clear" w:color="auto" w:fill="auto"/>
            <w:noWrap/>
            <w:vAlign w:val="center"/>
          </w:tcPr>
          <w:p w14:paraId="7E4E05BC">
            <w:pPr>
              <w:spacing w:line="240" w:lineRule="auto"/>
              <w:ind w:firstLine="0" w:firstLineChars="0"/>
              <w:jc w:val="center"/>
              <w:rPr>
                <w:rFonts w:eastAsia="等线" w:cs="Times New Roman"/>
                <w:kern w:val="0"/>
                <w:sz w:val="22"/>
                <w:szCs w:val="22"/>
              </w:rPr>
            </w:pPr>
            <w:r>
              <w:rPr>
                <w:rFonts w:hint="eastAsia" w:ascii="宋体" w:hAnsi="宋体" w:eastAsia="宋体" w:cs="Times New Roman"/>
                <w:kern w:val="0"/>
                <w:sz w:val="22"/>
                <w:szCs w:val="22"/>
              </w:rPr>
              <w:t>船舶尾气面源</w:t>
            </w:r>
          </w:p>
        </w:tc>
        <w:tc>
          <w:tcPr>
            <w:tcW w:w="607" w:type="pct"/>
            <w:tcBorders>
              <w:top w:val="nil"/>
              <w:left w:val="nil"/>
              <w:bottom w:val="single" w:color="auto" w:sz="4" w:space="0"/>
              <w:right w:val="single" w:color="auto" w:sz="4" w:space="0"/>
            </w:tcBorders>
            <w:shd w:val="clear" w:color="auto" w:fill="auto"/>
            <w:noWrap/>
            <w:vAlign w:val="center"/>
          </w:tcPr>
          <w:p w14:paraId="123EF257">
            <w:pPr>
              <w:spacing w:line="240" w:lineRule="auto"/>
              <w:ind w:firstLine="0" w:firstLineChars="0"/>
              <w:jc w:val="center"/>
              <w:rPr>
                <w:rFonts w:eastAsia="等线" w:cs="Times New Roman"/>
                <w:kern w:val="0"/>
                <w:sz w:val="22"/>
                <w:szCs w:val="22"/>
              </w:rPr>
            </w:pPr>
            <w:r>
              <w:rPr>
                <w:rFonts w:eastAsia="等线" w:cs="Times New Roman"/>
                <w:kern w:val="0"/>
                <w:sz w:val="22"/>
                <w:szCs w:val="22"/>
              </w:rPr>
              <w:t>SO</w:t>
            </w:r>
            <w:r>
              <w:rPr>
                <w:rFonts w:eastAsia="等线" w:cs="Times New Roman"/>
                <w:kern w:val="0"/>
                <w:sz w:val="22"/>
                <w:szCs w:val="22"/>
                <w:vertAlign w:val="subscript"/>
              </w:rPr>
              <w:t>2</w:t>
            </w:r>
          </w:p>
        </w:tc>
        <w:tc>
          <w:tcPr>
            <w:tcW w:w="989" w:type="pct"/>
            <w:tcBorders>
              <w:top w:val="nil"/>
              <w:left w:val="nil"/>
              <w:bottom w:val="single" w:color="auto" w:sz="4" w:space="0"/>
              <w:right w:val="single" w:color="auto" w:sz="4" w:space="0"/>
            </w:tcBorders>
            <w:shd w:val="clear" w:color="auto" w:fill="auto"/>
            <w:noWrap/>
            <w:vAlign w:val="center"/>
          </w:tcPr>
          <w:p w14:paraId="13E39C98">
            <w:pPr>
              <w:spacing w:line="240" w:lineRule="auto"/>
              <w:ind w:firstLine="0" w:firstLineChars="0"/>
              <w:jc w:val="center"/>
              <w:rPr>
                <w:rFonts w:eastAsia="宋体" w:cs="Times New Roman"/>
                <w:sz w:val="23"/>
                <w:szCs w:val="23"/>
              </w:rPr>
            </w:pPr>
            <w:r>
              <w:rPr>
                <w:rFonts w:hint="eastAsia" w:eastAsia="宋体" w:cs="Times New Roman"/>
                <w:sz w:val="23"/>
                <w:szCs w:val="23"/>
              </w:rPr>
              <w:t>500</w:t>
            </w:r>
          </w:p>
        </w:tc>
        <w:tc>
          <w:tcPr>
            <w:tcW w:w="897" w:type="pct"/>
            <w:tcBorders>
              <w:top w:val="nil"/>
              <w:left w:val="nil"/>
              <w:bottom w:val="single" w:color="auto" w:sz="4" w:space="0"/>
              <w:right w:val="single" w:color="auto" w:sz="4" w:space="0"/>
            </w:tcBorders>
            <w:shd w:val="clear" w:color="auto" w:fill="auto"/>
            <w:noWrap/>
            <w:vAlign w:val="center"/>
          </w:tcPr>
          <w:p w14:paraId="1DFB3469">
            <w:pPr>
              <w:spacing w:line="240" w:lineRule="auto"/>
              <w:ind w:firstLine="0" w:firstLineChars="0"/>
              <w:jc w:val="center"/>
              <w:rPr>
                <w:rFonts w:eastAsia="宋体" w:cs="Times New Roman"/>
                <w:sz w:val="23"/>
                <w:szCs w:val="23"/>
              </w:rPr>
            </w:pPr>
            <w:r>
              <w:rPr>
                <w:rFonts w:eastAsia="等线" w:cs="Times New Roman"/>
                <w:sz w:val="22"/>
                <w:szCs w:val="22"/>
              </w:rPr>
              <w:t>0.215</w:t>
            </w:r>
          </w:p>
        </w:tc>
        <w:tc>
          <w:tcPr>
            <w:tcW w:w="625" w:type="pct"/>
            <w:tcBorders>
              <w:top w:val="nil"/>
              <w:left w:val="nil"/>
              <w:bottom w:val="single" w:color="auto" w:sz="4" w:space="0"/>
              <w:right w:val="single" w:color="auto" w:sz="4" w:space="0"/>
            </w:tcBorders>
            <w:shd w:val="clear" w:color="auto" w:fill="auto"/>
            <w:noWrap/>
            <w:vAlign w:val="center"/>
          </w:tcPr>
          <w:p w14:paraId="491654AB">
            <w:pPr>
              <w:spacing w:line="240" w:lineRule="auto"/>
              <w:ind w:firstLine="0" w:firstLineChars="0"/>
              <w:jc w:val="center"/>
              <w:rPr>
                <w:rFonts w:eastAsia="宋体" w:cs="Times New Roman"/>
                <w:sz w:val="23"/>
                <w:szCs w:val="23"/>
              </w:rPr>
            </w:pPr>
            <w:r>
              <w:rPr>
                <w:rFonts w:eastAsia="等线" w:cs="Times New Roman"/>
                <w:sz w:val="22"/>
                <w:szCs w:val="22"/>
              </w:rPr>
              <w:t>0.043</w:t>
            </w:r>
          </w:p>
        </w:tc>
        <w:tc>
          <w:tcPr>
            <w:tcW w:w="631" w:type="pct"/>
            <w:tcBorders>
              <w:top w:val="nil"/>
              <w:left w:val="nil"/>
              <w:bottom w:val="single" w:color="auto" w:sz="4" w:space="0"/>
              <w:right w:val="single" w:color="auto" w:sz="4" w:space="0"/>
            </w:tcBorders>
            <w:shd w:val="clear" w:color="auto" w:fill="auto"/>
            <w:noWrap/>
            <w:vAlign w:val="center"/>
          </w:tcPr>
          <w:p w14:paraId="78BB0A9F">
            <w:pPr>
              <w:spacing w:line="240" w:lineRule="auto"/>
              <w:ind w:firstLine="0" w:firstLineChars="0"/>
              <w:jc w:val="center"/>
              <w:rPr>
                <w:rFonts w:eastAsia="等线" w:cs="Times New Roman"/>
                <w:kern w:val="0"/>
                <w:sz w:val="22"/>
                <w:szCs w:val="22"/>
              </w:rPr>
            </w:pPr>
            <w:r>
              <w:rPr>
                <w:rFonts w:ascii="宋体" w:hAnsi="宋体" w:eastAsia="宋体"/>
                <w:sz w:val="23"/>
                <w:szCs w:val="23"/>
              </w:rPr>
              <w:t>/</w:t>
            </w:r>
          </w:p>
        </w:tc>
      </w:tr>
      <w:tr w14:paraId="47720F0F">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432A789F">
            <w:pPr>
              <w:spacing w:line="240" w:lineRule="auto"/>
              <w:ind w:firstLine="0" w:firstLineChars="0"/>
              <w:jc w:val="center"/>
              <w:rPr>
                <w:rFonts w:eastAsia="等线" w:cs="Times New Roman"/>
                <w:kern w:val="0"/>
                <w:sz w:val="22"/>
                <w:szCs w:val="22"/>
              </w:rPr>
            </w:pPr>
            <w:r>
              <w:rPr>
                <w:rFonts w:eastAsia="等线" w:cs="Times New Roman"/>
                <w:kern w:val="0"/>
                <w:sz w:val="22"/>
                <w:szCs w:val="22"/>
              </w:rPr>
              <w:t>2</w:t>
            </w:r>
          </w:p>
        </w:tc>
        <w:tc>
          <w:tcPr>
            <w:tcW w:w="878" w:type="pct"/>
            <w:vMerge w:val="continue"/>
            <w:tcBorders>
              <w:top w:val="nil"/>
              <w:left w:val="single" w:color="auto" w:sz="4" w:space="0"/>
              <w:bottom w:val="single" w:color="000000" w:sz="4" w:space="0"/>
              <w:right w:val="single" w:color="auto" w:sz="4" w:space="0"/>
            </w:tcBorders>
            <w:vAlign w:val="center"/>
          </w:tcPr>
          <w:p w14:paraId="4F62338B">
            <w:pPr>
              <w:spacing w:line="240" w:lineRule="auto"/>
              <w:ind w:firstLine="0" w:firstLineChars="0"/>
              <w:rPr>
                <w:rFonts w:eastAsia="等线" w:cs="Times New Roman"/>
                <w:kern w:val="0"/>
                <w:sz w:val="22"/>
                <w:szCs w:val="22"/>
              </w:rPr>
            </w:pPr>
          </w:p>
        </w:tc>
        <w:tc>
          <w:tcPr>
            <w:tcW w:w="607" w:type="pct"/>
            <w:tcBorders>
              <w:top w:val="nil"/>
              <w:left w:val="nil"/>
              <w:bottom w:val="single" w:color="auto" w:sz="4" w:space="0"/>
              <w:right w:val="single" w:color="auto" w:sz="4" w:space="0"/>
            </w:tcBorders>
            <w:shd w:val="clear" w:color="auto" w:fill="auto"/>
            <w:noWrap/>
            <w:vAlign w:val="center"/>
          </w:tcPr>
          <w:p w14:paraId="056035CA">
            <w:pPr>
              <w:spacing w:line="240" w:lineRule="auto"/>
              <w:ind w:firstLine="0" w:firstLineChars="0"/>
              <w:jc w:val="center"/>
              <w:rPr>
                <w:rFonts w:eastAsia="等线" w:cs="Times New Roman"/>
                <w:kern w:val="0"/>
                <w:sz w:val="22"/>
                <w:szCs w:val="22"/>
              </w:rPr>
            </w:pPr>
            <w:r>
              <w:rPr>
                <w:rFonts w:eastAsia="等线" w:cs="Times New Roman"/>
                <w:kern w:val="0"/>
                <w:sz w:val="22"/>
                <w:szCs w:val="22"/>
              </w:rPr>
              <w:t>NO</w:t>
            </w:r>
            <w:r>
              <w:rPr>
                <w:rFonts w:eastAsia="等线" w:cs="Times New Roman"/>
                <w:kern w:val="0"/>
                <w:sz w:val="22"/>
                <w:szCs w:val="22"/>
                <w:vertAlign w:val="subscript"/>
              </w:rPr>
              <w:t>2</w:t>
            </w:r>
          </w:p>
        </w:tc>
        <w:tc>
          <w:tcPr>
            <w:tcW w:w="989" w:type="pct"/>
            <w:tcBorders>
              <w:top w:val="nil"/>
              <w:left w:val="nil"/>
              <w:bottom w:val="single" w:color="auto" w:sz="4" w:space="0"/>
              <w:right w:val="single" w:color="auto" w:sz="4" w:space="0"/>
            </w:tcBorders>
            <w:shd w:val="clear" w:color="auto" w:fill="auto"/>
            <w:noWrap/>
            <w:vAlign w:val="center"/>
          </w:tcPr>
          <w:p w14:paraId="56FC3523">
            <w:pPr>
              <w:spacing w:line="240" w:lineRule="auto"/>
              <w:ind w:firstLine="0" w:firstLineChars="0"/>
              <w:jc w:val="center"/>
              <w:rPr>
                <w:rFonts w:eastAsia="宋体" w:cs="Times New Roman"/>
                <w:sz w:val="23"/>
                <w:szCs w:val="23"/>
              </w:rPr>
            </w:pPr>
            <w:r>
              <w:rPr>
                <w:rFonts w:hint="eastAsia" w:eastAsia="宋体" w:cs="Times New Roman"/>
                <w:sz w:val="23"/>
                <w:szCs w:val="23"/>
              </w:rPr>
              <w:t>200</w:t>
            </w:r>
          </w:p>
        </w:tc>
        <w:tc>
          <w:tcPr>
            <w:tcW w:w="897" w:type="pct"/>
            <w:tcBorders>
              <w:top w:val="nil"/>
              <w:left w:val="nil"/>
              <w:bottom w:val="single" w:color="auto" w:sz="4" w:space="0"/>
              <w:right w:val="single" w:color="auto" w:sz="4" w:space="0"/>
            </w:tcBorders>
            <w:shd w:val="clear" w:color="auto" w:fill="auto"/>
            <w:noWrap/>
            <w:vAlign w:val="center"/>
          </w:tcPr>
          <w:p w14:paraId="248F66BE">
            <w:pPr>
              <w:spacing w:line="240" w:lineRule="auto"/>
              <w:ind w:firstLine="0" w:firstLineChars="0"/>
              <w:jc w:val="center"/>
              <w:rPr>
                <w:rFonts w:eastAsia="宋体" w:cs="Times New Roman"/>
                <w:sz w:val="23"/>
                <w:szCs w:val="23"/>
              </w:rPr>
            </w:pPr>
            <w:r>
              <w:rPr>
                <w:rFonts w:eastAsia="等线" w:cs="Times New Roman"/>
                <w:sz w:val="22"/>
                <w:szCs w:val="22"/>
              </w:rPr>
              <w:t>17.598</w:t>
            </w:r>
          </w:p>
        </w:tc>
        <w:tc>
          <w:tcPr>
            <w:tcW w:w="625" w:type="pct"/>
            <w:tcBorders>
              <w:top w:val="nil"/>
              <w:left w:val="nil"/>
              <w:bottom w:val="single" w:color="auto" w:sz="4" w:space="0"/>
              <w:right w:val="single" w:color="auto" w:sz="4" w:space="0"/>
            </w:tcBorders>
            <w:shd w:val="clear" w:color="auto" w:fill="auto"/>
            <w:noWrap/>
            <w:vAlign w:val="center"/>
          </w:tcPr>
          <w:p w14:paraId="2C65577F">
            <w:pPr>
              <w:spacing w:line="240" w:lineRule="auto"/>
              <w:ind w:firstLine="0" w:firstLineChars="0"/>
              <w:jc w:val="center"/>
              <w:rPr>
                <w:rFonts w:eastAsia="宋体" w:cs="Times New Roman"/>
                <w:sz w:val="23"/>
                <w:szCs w:val="23"/>
              </w:rPr>
            </w:pPr>
            <w:r>
              <w:rPr>
                <w:rFonts w:eastAsia="等线" w:cs="Times New Roman"/>
                <w:sz w:val="22"/>
                <w:szCs w:val="22"/>
              </w:rPr>
              <w:t>8.799</w:t>
            </w:r>
          </w:p>
        </w:tc>
        <w:tc>
          <w:tcPr>
            <w:tcW w:w="631" w:type="pct"/>
            <w:tcBorders>
              <w:top w:val="nil"/>
              <w:left w:val="nil"/>
              <w:bottom w:val="single" w:color="auto" w:sz="4" w:space="0"/>
              <w:right w:val="single" w:color="auto" w:sz="4" w:space="0"/>
            </w:tcBorders>
            <w:shd w:val="clear" w:color="auto" w:fill="auto"/>
            <w:noWrap/>
            <w:vAlign w:val="center"/>
          </w:tcPr>
          <w:p w14:paraId="46DA801F">
            <w:pPr>
              <w:spacing w:line="240" w:lineRule="auto"/>
              <w:ind w:firstLine="0" w:firstLineChars="0"/>
              <w:jc w:val="center"/>
              <w:rPr>
                <w:rFonts w:eastAsia="等线" w:cs="Times New Roman"/>
                <w:kern w:val="0"/>
                <w:sz w:val="22"/>
                <w:szCs w:val="22"/>
              </w:rPr>
            </w:pPr>
            <w:r>
              <w:rPr>
                <w:rFonts w:ascii="宋体" w:hAnsi="宋体" w:eastAsia="宋体"/>
                <w:sz w:val="23"/>
                <w:szCs w:val="23"/>
              </w:rPr>
              <w:t>/</w:t>
            </w:r>
          </w:p>
        </w:tc>
      </w:tr>
      <w:tr w14:paraId="25262C81">
        <w:tblPrEx>
          <w:tblCellMar>
            <w:top w:w="0" w:type="dxa"/>
            <w:left w:w="108" w:type="dxa"/>
            <w:bottom w:w="0" w:type="dxa"/>
            <w:right w:w="108" w:type="dxa"/>
          </w:tblCellMar>
        </w:tblPrEx>
        <w:trPr>
          <w:trHeight w:val="276"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454AB36B">
            <w:pPr>
              <w:spacing w:line="240" w:lineRule="auto"/>
              <w:ind w:firstLine="0" w:firstLineChars="0"/>
              <w:jc w:val="center"/>
              <w:rPr>
                <w:rFonts w:eastAsia="等线" w:cs="Times New Roman"/>
                <w:kern w:val="0"/>
                <w:sz w:val="22"/>
                <w:szCs w:val="22"/>
              </w:rPr>
            </w:pPr>
            <w:r>
              <w:rPr>
                <w:rFonts w:eastAsia="等线" w:cs="Times New Roman"/>
                <w:sz w:val="22"/>
                <w:szCs w:val="22"/>
              </w:rPr>
              <w:t>3</w:t>
            </w:r>
          </w:p>
        </w:tc>
        <w:tc>
          <w:tcPr>
            <w:tcW w:w="878" w:type="pct"/>
            <w:vMerge w:val="restart"/>
            <w:tcBorders>
              <w:top w:val="nil"/>
              <w:left w:val="single" w:color="auto" w:sz="4" w:space="0"/>
              <w:bottom w:val="single" w:color="000000" w:sz="4" w:space="0"/>
              <w:right w:val="single" w:color="auto" w:sz="4" w:space="0"/>
            </w:tcBorders>
            <w:shd w:val="clear" w:color="auto" w:fill="auto"/>
            <w:noWrap/>
            <w:vAlign w:val="center"/>
          </w:tcPr>
          <w:p w14:paraId="5DD1E2AA">
            <w:pPr>
              <w:spacing w:line="240" w:lineRule="auto"/>
              <w:ind w:firstLine="0" w:firstLineChars="0"/>
              <w:jc w:val="center"/>
              <w:rPr>
                <w:rFonts w:eastAsia="等线" w:cs="Times New Roman"/>
                <w:kern w:val="0"/>
                <w:sz w:val="22"/>
                <w:szCs w:val="22"/>
              </w:rPr>
            </w:pPr>
            <w:r>
              <w:rPr>
                <w:rFonts w:eastAsia="等线" w:cs="Times New Roman"/>
                <w:kern w:val="0"/>
                <w:sz w:val="22"/>
                <w:szCs w:val="22"/>
              </w:rPr>
              <w:t>1</w:t>
            </w:r>
            <w:r>
              <w:rPr>
                <w:rFonts w:hint="eastAsia" w:ascii="宋体" w:hAnsi="宋体" w:eastAsia="宋体" w:cs="Times New Roman"/>
                <w:kern w:val="0"/>
                <w:sz w:val="22"/>
                <w:szCs w:val="22"/>
              </w:rPr>
              <w:t>泊位卸船</w:t>
            </w:r>
          </w:p>
        </w:tc>
        <w:tc>
          <w:tcPr>
            <w:tcW w:w="607" w:type="pct"/>
            <w:tcBorders>
              <w:top w:val="nil"/>
              <w:left w:val="nil"/>
              <w:bottom w:val="single" w:color="auto" w:sz="4" w:space="0"/>
              <w:right w:val="single" w:color="auto" w:sz="4" w:space="0"/>
            </w:tcBorders>
            <w:shd w:val="clear" w:color="auto" w:fill="auto"/>
            <w:noWrap/>
            <w:vAlign w:val="center"/>
          </w:tcPr>
          <w:p w14:paraId="57F188F2">
            <w:pPr>
              <w:spacing w:line="240" w:lineRule="auto"/>
              <w:ind w:firstLine="0" w:firstLineChars="0"/>
              <w:jc w:val="center"/>
              <w:rPr>
                <w:rFonts w:eastAsia="等线" w:cs="Times New Roman"/>
                <w:kern w:val="0"/>
                <w:sz w:val="22"/>
                <w:szCs w:val="22"/>
              </w:rPr>
            </w:pPr>
            <w:r>
              <w:rPr>
                <w:rFonts w:eastAsia="等线" w:cs="Times New Roman"/>
                <w:kern w:val="0"/>
                <w:sz w:val="22"/>
                <w:szCs w:val="22"/>
              </w:rPr>
              <w:t>TSP</w:t>
            </w:r>
          </w:p>
        </w:tc>
        <w:tc>
          <w:tcPr>
            <w:tcW w:w="989" w:type="pct"/>
            <w:tcBorders>
              <w:top w:val="nil"/>
              <w:left w:val="nil"/>
              <w:bottom w:val="single" w:color="auto" w:sz="4" w:space="0"/>
              <w:right w:val="single" w:color="auto" w:sz="4" w:space="0"/>
            </w:tcBorders>
            <w:shd w:val="clear" w:color="auto" w:fill="auto"/>
            <w:noWrap/>
            <w:vAlign w:val="center"/>
          </w:tcPr>
          <w:p w14:paraId="681F890C">
            <w:pPr>
              <w:spacing w:line="240" w:lineRule="auto"/>
              <w:ind w:firstLine="0" w:firstLineChars="0"/>
              <w:jc w:val="center"/>
              <w:rPr>
                <w:rFonts w:eastAsia="等线" w:cs="Times New Roman"/>
                <w:kern w:val="0"/>
                <w:sz w:val="22"/>
                <w:szCs w:val="22"/>
              </w:rPr>
            </w:pPr>
            <w:r>
              <w:rPr>
                <w:rFonts w:eastAsia="宋体" w:cs="Times New Roman"/>
                <w:sz w:val="23"/>
                <w:szCs w:val="23"/>
              </w:rPr>
              <w:t>900.0</w:t>
            </w:r>
          </w:p>
        </w:tc>
        <w:tc>
          <w:tcPr>
            <w:tcW w:w="897" w:type="pct"/>
            <w:tcBorders>
              <w:top w:val="nil"/>
              <w:left w:val="nil"/>
              <w:bottom w:val="single" w:color="auto" w:sz="4" w:space="0"/>
              <w:right w:val="single" w:color="auto" w:sz="4" w:space="0"/>
            </w:tcBorders>
            <w:shd w:val="clear" w:color="auto" w:fill="auto"/>
            <w:noWrap/>
            <w:vAlign w:val="center"/>
          </w:tcPr>
          <w:p w14:paraId="1CD98919">
            <w:pPr>
              <w:spacing w:line="240" w:lineRule="auto"/>
              <w:ind w:firstLine="0" w:firstLineChars="0"/>
              <w:jc w:val="center"/>
              <w:rPr>
                <w:rFonts w:eastAsia="等线" w:cs="Times New Roman"/>
                <w:kern w:val="0"/>
                <w:sz w:val="22"/>
                <w:szCs w:val="22"/>
              </w:rPr>
            </w:pPr>
            <w:r>
              <w:rPr>
                <w:rFonts w:eastAsia="等线" w:cs="Times New Roman"/>
                <w:sz w:val="23"/>
                <w:szCs w:val="23"/>
              </w:rPr>
              <w:t>84.198</w:t>
            </w:r>
          </w:p>
        </w:tc>
        <w:tc>
          <w:tcPr>
            <w:tcW w:w="625" w:type="pct"/>
            <w:tcBorders>
              <w:top w:val="nil"/>
              <w:left w:val="nil"/>
              <w:bottom w:val="single" w:color="auto" w:sz="4" w:space="0"/>
              <w:right w:val="single" w:color="auto" w:sz="4" w:space="0"/>
            </w:tcBorders>
            <w:shd w:val="clear" w:color="auto" w:fill="auto"/>
            <w:noWrap/>
            <w:vAlign w:val="center"/>
          </w:tcPr>
          <w:p w14:paraId="606D4199">
            <w:pPr>
              <w:spacing w:line="240" w:lineRule="auto"/>
              <w:ind w:firstLine="0" w:firstLineChars="0"/>
              <w:jc w:val="center"/>
              <w:rPr>
                <w:rFonts w:eastAsia="等线" w:cs="Times New Roman"/>
                <w:kern w:val="0"/>
                <w:sz w:val="22"/>
                <w:szCs w:val="22"/>
              </w:rPr>
            </w:pPr>
            <w:r>
              <w:rPr>
                <w:rFonts w:eastAsia="等线" w:cs="Times New Roman"/>
                <w:sz w:val="23"/>
                <w:szCs w:val="23"/>
              </w:rPr>
              <w:t>9.355</w:t>
            </w:r>
          </w:p>
        </w:tc>
        <w:tc>
          <w:tcPr>
            <w:tcW w:w="631" w:type="pct"/>
            <w:tcBorders>
              <w:top w:val="nil"/>
              <w:left w:val="nil"/>
              <w:bottom w:val="single" w:color="auto" w:sz="4" w:space="0"/>
              <w:right w:val="single" w:color="auto" w:sz="4" w:space="0"/>
            </w:tcBorders>
            <w:shd w:val="clear" w:color="auto" w:fill="auto"/>
            <w:noWrap/>
            <w:vAlign w:val="center"/>
          </w:tcPr>
          <w:p w14:paraId="5A7A694A">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r w14:paraId="4FF7482F">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44860490">
            <w:pPr>
              <w:spacing w:line="240" w:lineRule="auto"/>
              <w:ind w:firstLine="0" w:firstLineChars="0"/>
              <w:jc w:val="center"/>
              <w:rPr>
                <w:rFonts w:eastAsia="等线" w:cs="Times New Roman"/>
                <w:kern w:val="0"/>
                <w:sz w:val="22"/>
                <w:szCs w:val="22"/>
              </w:rPr>
            </w:pPr>
            <w:r>
              <w:rPr>
                <w:rFonts w:eastAsia="等线" w:cs="Times New Roman"/>
                <w:sz w:val="22"/>
                <w:szCs w:val="22"/>
              </w:rPr>
              <w:t>4</w:t>
            </w:r>
          </w:p>
        </w:tc>
        <w:tc>
          <w:tcPr>
            <w:tcW w:w="878" w:type="pct"/>
            <w:vMerge w:val="continue"/>
            <w:tcBorders>
              <w:top w:val="nil"/>
              <w:left w:val="single" w:color="auto" w:sz="4" w:space="0"/>
              <w:bottom w:val="single" w:color="000000" w:sz="4" w:space="0"/>
              <w:right w:val="single" w:color="auto" w:sz="4" w:space="0"/>
            </w:tcBorders>
            <w:vAlign w:val="center"/>
          </w:tcPr>
          <w:p w14:paraId="6469EEE3">
            <w:pPr>
              <w:spacing w:line="240" w:lineRule="auto"/>
              <w:ind w:firstLine="0" w:firstLineChars="0"/>
              <w:rPr>
                <w:rFonts w:eastAsia="等线" w:cs="Times New Roman"/>
                <w:kern w:val="0"/>
                <w:sz w:val="22"/>
                <w:szCs w:val="22"/>
              </w:rPr>
            </w:pPr>
          </w:p>
        </w:tc>
        <w:tc>
          <w:tcPr>
            <w:tcW w:w="607" w:type="pct"/>
            <w:tcBorders>
              <w:top w:val="nil"/>
              <w:left w:val="nil"/>
              <w:bottom w:val="single" w:color="auto" w:sz="4" w:space="0"/>
              <w:right w:val="single" w:color="auto" w:sz="4" w:space="0"/>
            </w:tcBorders>
            <w:shd w:val="clear" w:color="auto" w:fill="auto"/>
            <w:noWrap/>
            <w:vAlign w:val="center"/>
          </w:tcPr>
          <w:p w14:paraId="4EFE6DDB">
            <w:pPr>
              <w:spacing w:line="240" w:lineRule="auto"/>
              <w:ind w:firstLine="0" w:firstLineChars="0"/>
              <w:jc w:val="center"/>
              <w:rPr>
                <w:rFonts w:eastAsia="等线" w:cs="Times New Roman"/>
                <w:kern w:val="0"/>
                <w:sz w:val="22"/>
                <w:szCs w:val="22"/>
              </w:rPr>
            </w:pPr>
            <w:r>
              <w:rPr>
                <w:rFonts w:eastAsia="等线" w:cs="Times New Roman"/>
                <w:kern w:val="0"/>
                <w:sz w:val="22"/>
                <w:szCs w:val="22"/>
              </w:rPr>
              <w:t>PM</w:t>
            </w:r>
            <w:r>
              <w:rPr>
                <w:rFonts w:eastAsia="等线" w:cs="Times New Roman"/>
                <w:kern w:val="0"/>
                <w:sz w:val="22"/>
                <w:szCs w:val="22"/>
                <w:vertAlign w:val="subscript"/>
              </w:rPr>
              <w:t>10</w:t>
            </w:r>
          </w:p>
        </w:tc>
        <w:tc>
          <w:tcPr>
            <w:tcW w:w="989" w:type="pct"/>
            <w:tcBorders>
              <w:top w:val="nil"/>
              <w:left w:val="nil"/>
              <w:bottom w:val="single" w:color="auto" w:sz="4" w:space="0"/>
              <w:right w:val="single" w:color="auto" w:sz="4" w:space="0"/>
            </w:tcBorders>
            <w:shd w:val="clear" w:color="auto" w:fill="auto"/>
            <w:noWrap/>
            <w:vAlign w:val="center"/>
          </w:tcPr>
          <w:p w14:paraId="11C939E9">
            <w:pPr>
              <w:spacing w:line="240" w:lineRule="auto"/>
              <w:ind w:firstLine="0" w:firstLineChars="0"/>
              <w:jc w:val="center"/>
              <w:rPr>
                <w:rFonts w:eastAsia="等线" w:cs="Times New Roman"/>
                <w:kern w:val="0"/>
                <w:sz w:val="22"/>
                <w:szCs w:val="22"/>
              </w:rPr>
            </w:pPr>
            <w:r>
              <w:rPr>
                <w:rFonts w:eastAsia="宋体" w:cs="Times New Roman"/>
                <w:sz w:val="23"/>
                <w:szCs w:val="23"/>
              </w:rPr>
              <w:t>450.0</w:t>
            </w:r>
          </w:p>
        </w:tc>
        <w:tc>
          <w:tcPr>
            <w:tcW w:w="897" w:type="pct"/>
            <w:tcBorders>
              <w:top w:val="nil"/>
              <w:left w:val="nil"/>
              <w:bottom w:val="single" w:color="auto" w:sz="4" w:space="0"/>
              <w:right w:val="single" w:color="auto" w:sz="4" w:space="0"/>
            </w:tcBorders>
            <w:shd w:val="clear" w:color="auto" w:fill="auto"/>
            <w:noWrap/>
            <w:vAlign w:val="center"/>
          </w:tcPr>
          <w:p w14:paraId="6FBF60D4">
            <w:pPr>
              <w:spacing w:line="240" w:lineRule="auto"/>
              <w:ind w:firstLine="0" w:firstLineChars="0"/>
              <w:jc w:val="center"/>
              <w:rPr>
                <w:rFonts w:eastAsia="等线" w:cs="Times New Roman"/>
                <w:kern w:val="0"/>
                <w:sz w:val="22"/>
                <w:szCs w:val="22"/>
              </w:rPr>
            </w:pPr>
            <w:r>
              <w:rPr>
                <w:rFonts w:eastAsia="等线" w:cs="Times New Roman"/>
                <w:sz w:val="23"/>
                <w:szCs w:val="23"/>
              </w:rPr>
              <w:t>16.509</w:t>
            </w:r>
          </w:p>
        </w:tc>
        <w:tc>
          <w:tcPr>
            <w:tcW w:w="625" w:type="pct"/>
            <w:tcBorders>
              <w:top w:val="nil"/>
              <w:left w:val="nil"/>
              <w:bottom w:val="single" w:color="auto" w:sz="4" w:space="0"/>
              <w:right w:val="single" w:color="auto" w:sz="4" w:space="0"/>
            </w:tcBorders>
            <w:shd w:val="clear" w:color="auto" w:fill="auto"/>
            <w:noWrap/>
            <w:vAlign w:val="center"/>
          </w:tcPr>
          <w:p w14:paraId="1BF2A645">
            <w:pPr>
              <w:spacing w:line="240" w:lineRule="auto"/>
              <w:ind w:firstLine="0" w:firstLineChars="0"/>
              <w:jc w:val="center"/>
              <w:rPr>
                <w:rFonts w:eastAsia="等线" w:cs="Times New Roman"/>
                <w:kern w:val="0"/>
                <w:sz w:val="22"/>
                <w:szCs w:val="22"/>
              </w:rPr>
            </w:pPr>
            <w:r>
              <w:rPr>
                <w:rFonts w:eastAsia="等线" w:cs="Times New Roman"/>
                <w:sz w:val="23"/>
                <w:szCs w:val="23"/>
              </w:rPr>
              <w:t>3.669</w:t>
            </w:r>
          </w:p>
        </w:tc>
        <w:tc>
          <w:tcPr>
            <w:tcW w:w="631" w:type="pct"/>
            <w:tcBorders>
              <w:top w:val="nil"/>
              <w:left w:val="nil"/>
              <w:bottom w:val="single" w:color="auto" w:sz="4" w:space="0"/>
              <w:right w:val="single" w:color="auto" w:sz="4" w:space="0"/>
            </w:tcBorders>
            <w:shd w:val="clear" w:color="auto" w:fill="auto"/>
            <w:noWrap/>
            <w:vAlign w:val="center"/>
          </w:tcPr>
          <w:p w14:paraId="46E16548">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r w14:paraId="19D508F1">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5C99026C">
            <w:pPr>
              <w:spacing w:line="240" w:lineRule="auto"/>
              <w:ind w:firstLine="0" w:firstLineChars="0"/>
              <w:jc w:val="center"/>
              <w:rPr>
                <w:rFonts w:eastAsia="等线" w:cs="Times New Roman"/>
                <w:kern w:val="0"/>
                <w:sz w:val="22"/>
                <w:szCs w:val="22"/>
              </w:rPr>
            </w:pPr>
            <w:r>
              <w:rPr>
                <w:rFonts w:eastAsia="等线" w:cs="Times New Roman"/>
                <w:sz w:val="22"/>
                <w:szCs w:val="22"/>
              </w:rPr>
              <w:t>5</w:t>
            </w:r>
          </w:p>
        </w:tc>
        <w:tc>
          <w:tcPr>
            <w:tcW w:w="878" w:type="pct"/>
            <w:vMerge w:val="continue"/>
            <w:tcBorders>
              <w:top w:val="nil"/>
              <w:left w:val="single" w:color="auto" w:sz="4" w:space="0"/>
              <w:bottom w:val="single" w:color="000000" w:sz="4" w:space="0"/>
              <w:right w:val="single" w:color="auto" w:sz="4" w:space="0"/>
            </w:tcBorders>
            <w:vAlign w:val="center"/>
          </w:tcPr>
          <w:p w14:paraId="74FED0C8">
            <w:pPr>
              <w:spacing w:line="240" w:lineRule="auto"/>
              <w:ind w:firstLine="0" w:firstLineChars="0"/>
              <w:rPr>
                <w:rFonts w:eastAsia="等线" w:cs="Times New Roman"/>
                <w:kern w:val="0"/>
                <w:sz w:val="22"/>
                <w:szCs w:val="22"/>
              </w:rPr>
            </w:pPr>
          </w:p>
        </w:tc>
        <w:tc>
          <w:tcPr>
            <w:tcW w:w="607" w:type="pct"/>
            <w:tcBorders>
              <w:top w:val="nil"/>
              <w:left w:val="nil"/>
              <w:bottom w:val="single" w:color="auto" w:sz="4" w:space="0"/>
              <w:right w:val="single" w:color="auto" w:sz="4" w:space="0"/>
            </w:tcBorders>
            <w:shd w:val="clear" w:color="auto" w:fill="auto"/>
            <w:noWrap/>
            <w:vAlign w:val="center"/>
          </w:tcPr>
          <w:p w14:paraId="6E9C89E8">
            <w:pPr>
              <w:spacing w:line="240" w:lineRule="auto"/>
              <w:ind w:firstLine="0" w:firstLineChars="0"/>
              <w:jc w:val="center"/>
              <w:rPr>
                <w:rFonts w:eastAsia="等线" w:cs="Times New Roman"/>
                <w:kern w:val="0"/>
                <w:sz w:val="22"/>
                <w:szCs w:val="22"/>
              </w:rPr>
            </w:pPr>
            <w:r>
              <w:rPr>
                <w:rFonts w:eastAsia="等线" w:cs="Times New Roman"/>
                <w:kern w:val="0"/>
                <w:sz w:val="22"/>
                <w:szCs w:val="22"/>
              </w:rPr>
              <w:t>PM</w:t>
            </w:r>
            <w:r>
              <w:rPr>
                <w:rFonts w:eastAsia="等线" w:cs="Times New Roman"/>
                <w:kern w:val="0"/>
                <w:sz w:val="22"/>
                <w:szCs w:val="22"/>
                <w:vertAlign w:val="subscript"/>
              </w:rPr>
              <w:t>2.5</w:t>
            </w:r>
          </w:p>
        </w:tc>
        <w:tc>
          <w:tcPr>
            <w:tcW w:w="989" w:type="pct"/>
            <w:tcBorders>
              <w:top w:val="nil"/>
              <w:left w:val="nil"/>
              <w:bottom w:val="single" w:color="auto" w:sz="4" w:space="0"/>
              <w:right w:val="single" w:color="auto" w:sz="4" w:space="0"/>
            </w:tcBorders>
            <w:shd w:val="clear" w:color="auto" w:fill="auto"/>
            <w:noWrap/>
            <w:vAlign w:val="center"/>
          </w:tcPr>
          <w:p w14:paraId="06636FDD">
            <w:pPr>
              <w:spacing w:line="240" w:lineRule="auto"/>
              <w:ind w:firstLine="0" w:firstLineChars="0"/>
              <w:jc w:val="center"/>
              <w:rPr>
                <w:rFonts w:eastAsia="等线" w:cs="Times New Roman"/>
                <w:kern w:val="0"/>
                <w:sz w:val="22"/>
                <w:szCs w:val="22"/>
              </w:rPr>
            </w:pPr>
            <w:r>
              <w:rPr>
                <w:rFonts w:eastAsia="宋体" w:cs="Times New Roman"/>
                <w:sz w:val="23"/>
                <w:szCs w:val="23"/>
              </w:rPr>
              <w:t>225.0</w:t>
            </w:r>
          </w:p>
        </w:tc>
        <w:tc>
          <w:tcPr>
            <w:tcW w:w="897" w:type="pct"/>
            <w:tcBorders>
              <w:top w:val="nil"/>
              <w:left w:val="nil"/>
              <w:bottom w:val="single" w:color="auto" w:sz="4" w:space="0"/>
              <w:right w:val="single" w:color="auto" w:sz="4" w:space="0"/>
            </w:tcBorders>
            <w:shd w:val="clear" w:color="auto" w:fill="auto"/>
            <w:noWrap/>
            <w:vAlign w:val="center"/>
          </w:tcPr>
          <w:p w14:paraId="2FC71806">
            <w:pPr>
              <w:spacing w:line="240" w:lineRule="auto"/>
              <w:ind w:firstLine="0" w:firstLineChars="0"/>
              <w:jc w:val="center"/>
              <w:rPr>
                <w:rFonts w:eastAsia="等线" w:cs="Times New Roman"/>
                <w:kern w:val="0"/>
                <w:sz w:val="22"/>
                <w:szCs w:val="22"/>
              </w:rPr>
            </w:pPr>
            <w:r>
              <w:rPr>
                <w:rFonts w:eastAsia="等线" w:cs="Times New Roman"/>
                <w:sz w:val="23"/>
                <w:szCs w:val="23"/>
              </w:rPr>
              <w:t>3.467</w:t>
            </w:r>
          </w:p>
        </w:tc>
        <w:tc>
          <w:tcPr>
            <w:tcW w:w="625" w:type="pct"/>
            <w:tcBorders>
              <w:top w:val="nil"/>
              <w:left w:val="nil"/>
              <w:bottom w:val="single" w:color="auto" w:sz="4" w:space="0"/>
              <w:right w:val="single" w:color="auto" w:sz="4" w:space="0"/>
            </w:tcBorders>
            <w:shd w:val="clear" w:color="auto" w:fill="auto"/>
            <w:noWrap/>
            <w:vAlign w:val="center"/>
          </w:tcPr>
          <w:p w14:paraId="03F17480">
            <w:pPr>
              <w:spacing w:line="240" w:lineRule="auto"/>
              <w:ind w:firstLine="0" w:firstLineChars="0"/>
              <w:jc w:val="center"/>
              <w:rPr>
                <w:rFonts w:eastAsia="等线" w:cs="Times New Roman"/>
                <w:kern w:val="0"/>
                <w:sz w:val="22"/>
                <w:szCs w:val="22"/>
              </w:rPr>
            </w:pPr>
            <w:r>
              <w:rPr>
                <w:rFonts w:eastAsia="等线" w:cs="Times New Roman"/>
                <w:sz w:val="23"/>
                <w:szCs w:val="23"/>
              </w:rPr>
              <w:t>1.541</w:t>
            </w:r>
          </w:p>
        </w:tc>
        <w:tc>
          <w:tcPr>
            <w:tcW w:w="631" w:type="pct"/>
            <w:tcBorders>
              <w:top w:val="nil"/>
              <w:left w:val="nil"/>
              <w:bottom w:val="single" w:color="auto" w:sz="4" w:space="0"/>
              <w:right w:val="single" w:color="auto" w:sz="4" w:space="0"/>
            </w:tcBorders>
            <w:shd w:val="clear" w:color="auto" w:fill="auto"/>
            <w:noWrap/>
            <w:vAlign w:val="center"/>
          </w:tcPr>
          <w:p w14:paraId="610F0F91">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r w14:paraId="416B567E">
        <w:tblPrEx>
          <w:tblCellMar>
            <w:top w:w="0" w:type="dxa"/>
            <w:left w:w="108" w:type="dxa"/>
            <w:bottom w:w="0" w:type="dxa"/>
            <w:right w:w="108" w:type="dxa"/>
          </w:tblCellMar>
        </w:tblPrEx>
        <w:trPr>
          <w:trHeight w:val="276"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1CC4C22C">
            <w:pPr>
              <w:spacing w:line="240" w:lineRule="auto"/>
              <w:ind w:firstLine="0" w:firstLineChars="0"/>
              <w:jc w:val="center"/>
              <w:rPr>
                <w:rFonts w:eastAsia="等线" w:cs="Times New Roman"/>
                <w:kern w:val="0"/>
                <w:sz w:val="22"/>
                <w:szCs w:val="22"/>
              </w:rPr>
            </w:pPr>
            <w:r>
              <w:rPr>
                <w:rFonts w:eastAsia="等线" w:cs="Times New Roman"/>
                <w:sz w:val="22"/>
                <w:szCs w:val="22"/>
              </w:rPr>
              <w:t>6</w:t>
            </w:r>
          </w:p>
        </w:tc>
        <w:tc>
          <w:tcPr>
            <w:tcW w:w="878" w:type="pct"/>
            <w:vMerge w:val="restart"/>
            <w:tcBorders>
              <w:top w:val="nil"/>
              <w:left w:val="single" w:color="auto" w:sz="4" w:space="0"/>
              <w:bottom w:val="single" w:color="000000" w:sz="4" w:space="0"/>
              <w:right w:val="single" w:color="auto" w:sz="4" w:space="0"/>
            </w:tcBorders>
            <w:shd w:val="clear" w:color="auto" w:fill="auto"/>
            <w:noWrap/>
            <w:vAlign w:val="center"/>
          </w:tcPr>
          <w:p w14:paraId="4359C370">
            <w:pPr>
              <w:spacing w:line="240" w:lineRule="auto"/>
              <w:ind w:firstLine="0" w:firstLineChars="0"/>
              <w:jc w:val="center"/>
              <w:rPr>
                <w:rFonts w:eastAsia="等线" w:cs="Times New Roman"/>
                <w:kern w:val="0"/>
                <w:sz w:val="22"/>
                <w:szCs w:val="22"/>
              </w:rPr>
            </w:pPr>
            <w:r>
              <w:rPr>
                <w:rFonts w:eastAsia="等线" w:cs="Times New Roman"/>
                <w:kern w:val="0"/>
                <w:sz w:val="22"/>
                <w:szCs w:val="22"/>
              </w:rPr>
              <w:t>2</w:t>
            </w:r>
            <w:r>
              <w:rPr>
                <w:rFonts w:hint="eastAsia" w:ascii="宋体" w:hAnsi="宋体" w:eastAsia="宋体" w:cs="Times New Roman"/>
                <w:kern w:val="0"/>
                <w:sz w:val="22"/>
                <w:szCs w:val="22"/>
              </w:rPr>
              <w:t>泊位卸船</w:t>
            </w:r>
          </w:p>
        </w:tc>
        <w:tc>
          <w:tcPr>
            <w:tcW w:w="607" w:type="pct"/>
            <w:tcBorders>
              <w:top w:val="nil"/>
              <w:left w:val="nil"/>
              <w:bottom w:val="single" w:color="auto" w:sz="4" w:space="0"/>
              <w:right w:val="single" w:color="auto" w:sz="4" w:space="0"/>
            </w:tcBorders>
            <w:shd w:val="clear" w:color="auto" w:fill="auto"/>
            <w:noWrap/>
            <w:vAlign w:val="center"/>
          </w:tcPr>
          <w:p w14:paraId="65AB7507">
            <w:pPr>
              <w:spacing w:line="240" w:lineRule="auto"/>
              <w:ind w:firstLine="0" w:firstLineChars="0"/>
              <w:jc w:val="center"/>
              <w:rPr>
                <w:rFonts w:eastAsia="等线" w:cs="Times New Roman"/>
                <w:kern w:val="0"/>
                <w:sz w:val="22"/>
                <w:szCs w:val="22"/>
              </w:rPr>
            </w:pPr>
            <w:r>
              <w:rPr>
                <w:rFonts w:eastAsia="等线" w:cs="Times New Roman"/>
                <w:kern w:val="0"/>
                <w:sz w:val="22"/>
                <w:szCs w:val="22"/>
              </w:rPr>
              <w:t>TSP</w:t>
            </w:r>
          </w:p>
        </w:tc>
        <w:tc>
          <w:tcPr>
            <w:tcW w:w="989" w:type="pct"/>
            <w:tcBorders>
              <w:top w:val="nil"/>
              <w:left w:val="nil"/>
              <w:bottom w:val="single" w:color="auto" w:sz="4" w:space="0"/>
              <w:right w:val="single" w:color="auto" w:sz="4" w:space="0"/>
            </w:tcBorders>
            <w:shd w:val="clear" w:color="auto" w:fill="auto"/>
            <w:noWrap/>
            <w:vAlign w:val="center"/>
          </w:tcPr>
          <w:p w14:paraId="7DB58979">
            <w:pPr>
              <w:spacing w:line="240" w:lineRule="auto"/>
              <w:ind w:firstLine="0" w:firstLineChars="0"/>
              <w:jc w:val="center"/>
              <w:rPr>
                <w:rFonts w:eastAsia="等线" w:cs="Times New Roman"/>
                <w:kern w:val="0"/>
                <w:sz w:val="22"/>
                <w:szCs w:val="22"/>
              </w:rPr>
            </w:pPr>
            <w:r>
              <w:rPr>
                <w:rFonts w:eastAsia="宋体" w:cs="Times New Roman"/>
                <w:sz w:val="23"/>
                <w:szCs w:val="23"/>
              </w:rPr>
              <w:t>900.0</w:t>
            </w:r>
          </w:p>
        </w:tc>
        <w:tc>
          <w:tcPr>
            <w:tcW w:w="897" w:type="pct"/>
            <w:tcBorders>
              <w:top w:val="nil"/>
              <w:left w:val="nil"/>
              <w:bottom w:val="single" w:color="auto" w:sz="4" w:space="0"/>
              <w:right w:val="single" w:color="auto" w:sz="4" w:space="0"/>
            </w:tcBorders>
            <w:shd w:val="clear" w:color="auto" w:fill="auto"/>
            <w:noWrap/>
            <w:vAlign w:val="center"/>
          </w:tcPr>
          <w:p w14:paraId="3867D16E">
            <w:pPr>
              <w:spacing w:line="240" w:lineRule="auto"/>
              <w:ind w:firstLine="0" w:firstLineChars="0"/>
              <w:jc w:val="center"/>
              <w:rPr>
                <w:rFonts w:eastAsia="等线" w:cs="Times New Roman"/>
                <w:kern w:val="0"/>
                <w:sz w:val="22"/>
                <w:szCs w:val="22"/>
              </w:rPr>
            </w:pPr>
            <w:r>
              <w:rPr>
                <w:rFonts w:eastAsia="等线" w:cs="Times New Roman"/>
                <w:sz w:val="23"/>
                <w:szCs w:val="23"/>
              </w:rPr>
              <w:t>84.198</w:t>
            </w:r>
          </w:p>
        </w:tc>
        <w:tc>
          <w:tcPr>
            <w:tcW w:w="625" w:type="pct"/>
            <w:tcBorders>
              <w:top w:val="nil"/>
              <w:left w:val="nil"/>
              <w:bottom w:val="single" w:color="auto" w:sz="4" w:space="0"/>
              <w:right w:val="single" w:color="auto" w:sz="4" w:space="0"/>
            </w:tcBorders>
            <w:shd w:val="clear" w:color="auto" w:fill="auto"/>
            <w:noWrap/>
            <w:vAlign w:val="center"/>
          </w:tcPr>
          <w:p w14:paraId="01DA4726">
            <w:pPr>
              <w:spacing w:line="240" w:lineRule="auto"/>
              <w:ind w:firstLine="0" w:firstLineChars="0"/>
              <w:jc w:val="center"/>
              <w:rPr>
                <w:rFonts w:eastAsia="等线" w:cs="Times New Roman"/>
                <w:kern w:val="0"/>
                <w:sz w:val="22"/>
                <w:szCs w:val="22"/>
              </w:rPr>
            </w:pPr>
            <w:r>
              <w:rPr>
                <w:rFonts w:eastAsia="等线" w:cs="Times New Roman"/>
                <w:sz w:val="23"/>
                <w:szCs w:val="23"/>
              </w:rPr>
              <w:t>9.355</w:t>
            </w:r>
          </w:p>
        </w:tc>
        <w:tc>
          <w:tcPr>
            <w:tcW w:w="631" w:type="pct"/>
            <w:tcBorders>
              <w:top w:val="nil"/>
              <w:left w:val="nil"/>
              <w:bottom w:val="single" w:color="auto" w:sz="4" w:space="0"/>
              <w:right w:val="single" w:color="auto" w:sz="4" w:space="0"/>
            </w:tcBorders>
            <w:shd w:val="clear" w:color="auto" w:fill="auto"/>
            <w:noWrap/>
            <w:vAlign w:val="center"/>
          </w:tcPr>
          <w:p w14:paraId="2DE83CA5">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r w14:paraId="70A4F93D">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000000" w:fill="FAFAFA"/>
            <w:noWrap/>
            <w:vAlign w:val="center"/>
          </w:tcPr>
          <w:p w14:paraId="4DE1F45E">
            <w:pPr>
              <w:spacing w:line="240" w:lineRule="auto"/>
              <w:ind w:firstLine="0" w:firstLineChars="0"/>
              <w:jc w:val="center"/>
              <w:rPr>
                <w:rFonts w:eastAsia="等线" w:cs="Times New Roman"/>
                <w:kern w:val="0"/>
                <w:sz w:val="22"/>
                <w:szCs w:val="22"/>
              </w:rPr>
            </w:pPr>
            <w:r>
              <w:rPr>
                <w:rFonts w:eastAsia="等线" w:cs="Times New Roman"/>
                <w:sz w:val="22"/>
                <w:szCs w:val="22"/>
              </w:rPr>
              <w:t>7</w:t>
            </w:r>
          </w:p>
        </w:tc>
        <w:tc>
          <w:tcPr>
            <w:tcW w:w="878" w:type="pct"/>
            <w:vMerge w:val="continue"/>
            <w:tcBorders>
              <w:top w:val="nil"/>
              <w:left w:val="single" w:color="auto" w:sz="4" w:space="0"/>
              <w:bottom w:val="single" w:color="000000" w:sz="4" w:space="0"/>
              <w:right w:val="single" w:color="auto" w:sz="4" w:space="0"/>
            </w:tcBorders>
            <w:vAlign w:val="center"/>
          </w:tcPr>
          <w:p w14:paraId="706896C2">
            <w:pPr>
              <w:spacing w:line="240" w:lineRule="auto"/>
              <w:ind w:firstLine="0" w:firstLineChars="0"/>
              <w:rPr>
                <w:rFonts w:eastAsia="等线" w:cs="Times New Roman"/>
                <w:kern w:val="0"/>
                <w:sz w:val="22"/>
                <w:szCs w:val="22"/>
              </w:rPr>
            </w:pPr>
          </w:p>
        </w:tc>
        <w:tc>
          <w:tcPr>
            <w:tcW w:w="607" w:type="pct"/>
            <w:tcBorders>
              <w:top w:val="nil"/>
              <w:left w:val="nil"/>
              <w:bottom w:val="single" w:color="auto" w:sz="4" w:space="0"/>
              <w:right w:val="single" w:color="auto" w:sz="4" w:space="0"/>
            </w:tcBorders>
            <w:shd w:val="clear" w:color="auto" w:fill="auto"/>
            <w:noWrap/>
            <w:vAlign w:val="center"/>
          </w:tcPr>
          <w:p w14:paraId="776C7DCB">
            <w:pPr>
              <w:spacing w:line="240" w:lineRule="auto"/>
              <w:ind w:firstLine="0" w:firstLineChars="0"/>
              <w:jc w:val="center"/>
              <w:rPr>
                <w:rFonts w:eastAsia="等线" w:cs="Times New Roman"/>
                <w:kern w:val="0"/>
                <w:sz w:val="22"/>
                <w:szCs w:val="22"/>
              </w:rPr>
            </w:pPr>
            <w:r>
              <w:rPr>
                <w:rFonts w:eastAsia="等线" w:cs="Times New Roman"/>
                <w:kern w:val="0"/>
                <w:sz w:val="22"/>
                <w:szCs w:val="22"/>
              </w:rPr>
              <w:t>PM</w:t>
            </w:r>
            <w:r>
              <w:rPr>
                <w:rFonts w:eastAsia="等线" w:cs="Times New Roman"/>
                <w:kern w:val="0"/>
                <w:sz w:val="22"/>
                <w:szCs w:val="22"/>
                <w:vertAlign w:val="subscript"/>
              </w:rPr>
              <w:t>10</w:t>
            </w:r>
          </w:p>
        </w:tc>
        <w:tc>
          <w:tcPr>
            <w:tcW w:w="989" w:type="pct"/>
            <w:tcBorders>
              <w:top w:val="nil"/>
              <w:left w:val="nil"/>
              <w:bottom w:val="single" w:color="auto" w:sz="4" w:space="0"/>
              <w:right w:val="single" w:color="auto" w:sz="4" w:space="0"/>
            </w:tcBorders>
            <w:shd w:val="clear" w:color="auto" w:fill="auto"/>
            <w:noWrap/>
            <w:vAlign w:val="center"/>
          </w:tcPr>
          <w:p w14:paraId="1822D58D">
            <w:pPr>
              <w:spacing w:line="240" w:lineRule="auto"/>
              <w:ind w:firstLine="0" w:firstLineChars="0"/>
              <w:jc w:val="center"/>
              <w:rPr>
                <w:rFonts w:eastAsia="等线" w:cs="Times New Roman"/>
                <w:kern w:val="0"/>
                <w:sz w:val="22"/>
                <w:szCs w:val="22"/>
              </w:rPr>
            </w:pPr>
            <w:r>
              <w:rPr>
                <w:rFonts w:eastAsia="宋体" w:cs="Times New Roman"/>
                <w:sz w:val="23"/>
                <w:szCs w:val="23"/>
              </w:rPr>
              <w:t>450.0</w:t>
            </w:r>
          </w:p>
        </w:tc>
        <w:tc>
          <w:tcPr>
            <w:tcW w:w="897" w:type="pct"/>
            <w:tcBorders>
              <w:top w:val="nil"/>
              <w:left w:val="nil"/>
              <w:bottom w:val="single" w:color="auto" w:sz="4" w:space="0"/>
              <w:right w:val="single" w:color="auto" w:sz="4" w:space="0"/>
            </w:tcBorders>
            <w:shd w:val="clear" w:color="auto" w:fill="auto"/>
            <w:noWrap/>
            <w:vAlign w:val="center"/>
          </w:tcPr>
          <w:p w14:paraId="0B673EFE">
            <w:pPr>
              <w:spacing w:line="240" w:lineRule="auto"/>
              <w:ind w:firstLine="0" w:firstLineChars="0"/>
              <w:jc w:val="center"/>
              <w:rPr>
                <w:rFonts w:eastAsia="等线" w:cs="Times New Roman"/>
                <w:kern w:val="0"/>
                <w:sz w:val="22"/>
                <w:szCs w:val="22"/>
              </w:rPr>
            </w:pPr>
            <w:r>
              <w:rPr>
                <w:rFonts w:eastAsia="等线" w:cs="Times New Roman"/>
                <w:sz w:val="23"/>
                <w:szCs w:val="23"/>
              </w:rPr>
              <w:t>16.509</w:t>
            </w:r>
          </w:p>
        </w:tc>
        <w:tc>
          <w:tcPr>
            <w:tcW w:w="625" w:type="pct"/>
            <w:tcBorders>
              <w:top w:val="nil"/>
              <w:left w:val="nil"/>
              <w:bottom w:val="single" w:color="auto" w:sz="4" w:space="0"/>
              <w:right w:val="single" w:color="auto" w:sz="4" w:space="0"/>
            </w:tcBorders>
            <w:shd w:val="clear" w:color="auto" w:fill="auto"/>
            <w:noWrap/>
            <w:vAlign w:val="center"/>
          </w:tcPr>
          <w:p w14:paraId="12E855AA">
            <w:pPr>
              <w:spacing w:line="240" w:lineRule="auto"/>
              <w:ind w:firstLine="0" w:firstLineChars="0"/>
              <w:jc w:val="center"/>
              <w:rPr>
                <w:rFonts w:eastAsia="等线" w:cs="Times New Roman"/>
                <w:kern w:val="0"/>
                <w:sz w:val="22"/>
                <w:szCs w:val="22"/>
              </w:rPr>
            </w:pPr>
            <w:r>
              <w:rPr>
                <w:rFonts w:eastAsia="等线" w:cs="Times New Roman"/>
                <w:sz w:val="23"/>
                <w:szCs w:val="23"/>
              </w:rPr>
              <w:t>3.669</w:t>
            </w:r>
          </w:p>
        </w:tc>
        <w:tc>
          <w:tcPr>
            <w:tcW w:w="631" w:type="pct"/>
            <w:tcBorders>
              <w:top w:val="nil"/>
              <w:left w:val="nil"/>
              <w:bottom w:val="single" w:color="auto" w:sz="4" w:space="0"/>
              <w:right w:val="single" w:color="auto" w:sz="4" w:space="0"/>
            </w:tcBorders>
            <w:shd w:val="clear" w:color="auto" w:fill="auto"/>
            <w:noWrap/>
            <w:vAlign w:val="center"/>
          </w:tcPr>
          <w:p w14:paraId="762B27DB">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r w14:paraId="79E3D2B7">
        <w:tblPrEx>
          <w:tblCellMar>
            <w:top w:w="0" w:type="dxa"/>
            <w:left w:w="108" w:type="dxa"/>
            <w:bottom w:w="0" w:type="dxa"/>
            <w:right w:w="108" w:type="dxa"/>
          </w:tblCellMar>
        </w:tblPrEx>
        <w:trPr>
          <w:trHeight w:val="324" w:hRule="atLeast"/>
        </w:trPr>
        <w:tc>
          <w:tcPr>
            <w:tcW w:w="372" w:type="pct"/>
            <w:tcBorders>
              <w:top w:val="nil"/>
              <w:left w:val="single" w:color="auto" w:sz="4" w:space="0"/>
              <w:bottom w:val="single" w:color="auto" w:sz="4" w:space="0"/>
              <w:right w:val="single" w:color="auto" w:sz="4" w:space="0"/>
            </w:tcBorders>
            <w:shd w:val="clear" w:color="auto" w:fill="auto"/>
            <w:noWrap/>
            <w:vAlign w:val="center"/>
          </w:tcPr>
          <w:p w14:paraId="03FA7C98">
            <w:pPr>
              <w:spacing w:line="240" w:lineRule="auto"/>
              <w:ind w:firstLine="0" w:firstLineChars="0"/>
              <w:jc w:val="center"/>
              <w:rPr>
                <w:rFonts w:eastAsia="等线" w:cs="Times New Roman"/>
                <w:kern w:val="0"/>
                <w:sz w:val="22"/>
                <w:szCs w:val="22"/>
              </w:rPr>
            </w:pPr>
            <w:r>
              <w:rPr>
                <w:rFonts w:eastAsia="等线" w:cs="Times New Roman"/>
                <w:sz w:val="22"/>
                <w:szCs w:val="22"/>
              </w:rPr>
              <w:t>8</w:t>
            </w:r>
          </w:p>
        </w:tc>
        <w:tc>
          <w:tcPr>
            <w:tcW w:w="878" w:type="pct"/>
            <w:vMerge w:val="continue"/>
            <w:tcBorders>
              <w:top w:val="nil"/>
              <w:left w:val="single" w:color="auto" w:sz="4" w:space="0"/>
              <w:bottom w:val="single" w:color="000000" w:sz="4" w:space="0"/>
              <w:right w:val="single" w:color="auto" w:sz="4" w:space="0"/>
            </w:tcBorders>
            <w:vAlign w:val="center"/>
          </w:tcPr>
          <w:p w14:paraId="3B8A8832">
            <w:pPr>
              <w:spacing w:line="240" w:lineRule="auto"/>
              <w:ind w:firstLine="0" w:firstLineChars="0"/>
              <w:rPr>
                <w:rFonts w:eastAsia="等线" w:cs="Times New Roman"/>
                <w:kern w:val="0"/>
                <w:sz w:val="22"/>
                <w:szCs w:val="22"/>
              </w:rPr>
            </w:pPr>
          </w:p>
        </w:tc>
        <w:tc>
          <w:tcPr>
            <w:tcW w:w="607" w:type="pct"/>
            <w:tcBorders>
              <w:top w:val="nil"/>
              <w:left w:val="nil"/>
              <w:bottom w:val="single" w:color="auto" w:sz="4" w:space="0"/>
              <w:right w:val="single" w:color="auto" w:sz="4" w:space="0"/>
            </w:tcBorders>
            <w:shd w:val="clear" w:color="auto" w:fill="auto"/>
            <w:noWrap/>
            <w:vAlign w:val="center"/>
          </w:tcPr>
          <w:p w14:paraId="4C97A9C0">
            <w:pPr>
              <w:spacing w:line="240" w:lineRule="auto"/>
              <w:ind w:firstLine="0" w:firstLineChars="0"/>
              <w:jc w:val="center"/>
              <w:rPr>
                <w:rFonts w:eastAsia="等线" w:cs="Times New Roman"/>
                <w:kern w:val="0"/>
                <w:sz w:val="22"/>
                <w:szCs w:val="22"/>
              </w:rPr>
            </w:pPr>
            <w:r>
              <w:rPr>
                <w:rFonts w:eastAsia="等线" w:cs="Times New Roman"/>
                <w:kern w:val="0"/>
                <w:sz w:val="22"/>
                <w:szCs w:val="22"/>
              </w:rPr>
              <w:t>PM</w:t>
            </w:r>
            <w:r>
              <w:rPr>
                <w:rFonts w:eastAsia="等线" w:cs="Times New Roman"/>
                <w:kern w:val="0"/>
                <w:sz w:val="22"/>
                <w:szCs w:val="22"/>
                <w:vertAlign w:val="subscript"/>
              </w:rPr>
              <w:t>2.5</w:t>
            </w:r>
          </w:p>
        </w:tc>
        <w:tc>
          <w:tcPr>
            <w:tcW w:w="989" w:type="pct"/>
            <w:tcBorders>
              <w:top w:val="nil"/>
              <w:left w:val="nil"/>
              <w:bottom w:val="single" w:color="auto" w:sz="4" w:space="0"/>
              <w:right w:val="single" w:color="auto" w:sz="4" w:space="0"/>
            </w:tcBorders>
            <w:shd w:val="clear" w:color="auto" w:fill="auto"/>
            <w:noWrap/>
            <w:vAlign w:val="center"/>
          </w:tcPr>
          <w:p w14:paraId="7157FE71">
            <w:pPr>
              <w:spacing w:line="240" w:lineRule="auto"/>
              <w:ind w:firstLine="0" w:firstLineChars="0"/>
              <w:jc w:val="center"/>
              <w:rPr>
                <w:rFonts w:eastAsia="等线" w:cs="Times New Roman"/>
                <w:kern w:val="0"/>
                <w:sz w:val="22"/>
                <w:szCs w:val="22"/>
              </w:rPr>
            </w:pPr>
            <w:r>
              <w:rPr>
                <w:rFonts w:eastAsia="宋体" w:cs="Times New Roman"/>
                <w:sz w:val="23"/>
                <w:szCs w:val="23"/>
              </w:rPr>
              <w:t>225.0</w:t>
            </w:r>
          </w:p>
        </w:tc>
        <w:tc>
          <w:tcPr>
            <w:tcW w:w="897" w:type="pct"/>
            <w:tcBorders>
              <w:top w:val="nil"/>
              <w:left w:val="nil"/>
              <w:bottom w:val="single" w:color="auto" w:sz="4" w:space="0"/>
              <w:right w:val="single" w:color="auto" w:sz="4" w:space="0"/>
            </w:tcBorders>
            <w:shd w:val="clear" w:color="auto" w:fill="auto"/>
            <w:noWrap/>
            <w:vAlign w:val="center"/>
          </w:tcPr>
          <w:p w14:paraId="57C93122">
            <w:pPr>
              <w:spacing w:line="240" w:lineRule="auto"/>
              <w:ind w:firstLine="0" w:firstLineChars="0"/>
              <w:jc w:val="center"/>
              <w:rPr>
                <w:rFonts w:eastAsia="等线" w:cs="Times New Roman"/>
                <w:kern w:val="0"/>
                <w:sz w:val="22"/>
                <w:szCs w:val="22"/>
              </w:rPr>
            </w:pPr>
            <w:r>
              <w:rPr>
                <w:rFonts w:eastAsia="等线" w:cs="Times New Roman"/>
                <w:sz w:val="23"/>
                <w:szCs w:val="23"/>
              </w:rPr>
              <w:t>3.467</w:t>
            </w:r>
          </w:p>
        </w:tc>
        <w:tc>
          <w:tcPr>
            <w:tcW w:w="625" w:type="pct"/>
            <w:tcBorders>
              <w:top w:val="nil"/>
              <w:left w:val="nil"/>
              <w:bottom w:val="single" w:color="auto" w:sz="4" w:space="0"/>
              <w:right w:val="single" w:color="auto" w:sz="4" w:space="0"/>
            </w:tcBorders>
            <w:shd w:val="clear" w:color="auto" w:fill="auto"/>
            <w:noWrap/>
            <w:vAlign w:val="center"/>
          </w:tcPr>
          <w:p w14:paraId="5C6EB766">
            <w:pPr>
              <w:spacing w:line="240" w:lineRule="auto"/>
              <w:ind w:firstLine="0" w:firstLineChars="0"/>
              <w:jc w:val="center"/>
              <w:rPr>
                <w:rFonts w:eastAsia="等线" w:cs="Times New Roman"/>
                <w:kern w:val="0"/>
                <w:sz w:val="22"/>
                <w:szCs w:val="22"/>
              </w:rPr>
            </w:pPr>
            <w:r>
              <w:rPr>
                <w:rFonts w:eastAsia="等线" w:cs="Times New Roman"/>
                <w:sz w:val="23"/>
                <w:szCs w:val="23"/>
              </w:rPr>
              <w:t>1.541</w:t>
            </w:r>
          </w:p>
        </w:tc>
        <w:tc>
          <w:tcPr>
            <w:tcW w:w="631" w:type="pct"/>
            <w:tcBorders>
              <w:top w:val="nil"/>
              <w:left w:val="nil"/>
              <w:bottom w:val="single" w:color="auto" w:sz="4" w:space="0"/>
              <w:right w:val="single" w:color="auto" w:sz="4" w:space="0"/>
            </w:tcBorders>
            <w:shd w:val="clear" w:color="auto" w:fill="auto"/>
            <w:noWrap/>
            <w:vAlign w:val="center"/>
          </w:tcPr>
          <w:p w14:paraId="1E7E99ED">
            <w:pPr>
              <w:spacing w:line="240" w:lineRule="auto"/>
              <w:ind w:firstLine="0" w:firstLineChars="0"/>
              <w:jc w:val="center"/>
              <w:rPr>
                <w:rFonts w:eastAsia="等线" w:cs="Times New Roman"/>
                <w:kern w:val="0"/>
                <w:sz w:val="22"/>
                <w:szCs w:val="22"/>
              </w:rPr>
            </w:pPr>
            <w:r>
              <w:rPr>
                <w:rFonts w:eastAsia="等线" w:cs="Times New Roman"/>
                <w:kern w:val="0"/>
                <w:sz w:val="22"/>
                <w:szCs w:val="22"/>
              </w:rPr>
              <w:t>/</w:t>
            </w:r>
          </w:p>
        </w:tc>
      </w:tr>
    </w:tbl>
    <w:p w14:paraId="702C1760">
      <w:pPr>
        <w:pStyle w:val="91"/>
      </w:pPr>
      <w:r>
        <w:rPr>
          <w:rFonts w:hint="eastAsia"/>
        </w:rPr>
        <w:t>注：根据《环境影响评价技术导则 大气环境》（HJ 2.2-2018）</w:t>
      </w:r>
      <w:r>
        <w:t>5.3.2.1</w:t>
      </w:r>
      <w:r>
        <w:rPr>
          <w:rFonts w:hint="eastAsia"/>
        </w:rPr>
        <w:t>节，环境空气质量浓度标准一般选用GB 3095中1h平均质量浓度的二级浓度限值；对该标准中未包含的污染物，使用5.2确定的各评价因子1h平均质量浓度限值。对仅有8h平均质量浓度限值、日平均质量浓度限值或年平均质量浓度限值的，可分别按2倍、3倍、6倍折算为1h平均质量浓度限值。对于TSP、PM</w:t>
      </w:r>
      <w:r>
        <w:rPr>
          <w:rFonts w:hint="eastAsia"/>
          <w:vertAlign w:val="subscript"/>
        </w:rPr>
        <w:t>10</w:t>
      </w:r>
      <w:r>
        <w:rPr>
          <w:rFonts w:hint="eastAsia"/>
        </w:rPr>
        <w:t>和PM</w:t>
      </w:r>
      <w:r>
        <w:rPr>
          <w:rFonts w:hint="eastAsia"/>
          <w:vertAlign w:val="subscript"/>
        </w:rPr>
        <w:t>2.5</w:t>
      </w:r>
      <w:r>
        <w:rPr>
          <w:rFonts w:hint="eastAsia"/>
        </w:rPr>
        <w:t>的1h平均质量浓度限值，均采用其日均质量浓度限值的3倍进行计算，即分别为900</w:t>
      </w:r>
      <w:r>
        <w:rPr>
          <w:rFonts w:eastAsia="等线" w:cs="Times New Roman"/>
          <w:bCs/>
          <w:sz w:val="22"/>
          <w:szCs w:val="22"/>
        </w:rPr>
        <w:t>μg/m³</w:t>
      </w:r>
      <w:r>
        <w:rPr>
          <w:rFonts w:hint="eastAsia"/>
        </w:rPr>
        <w:t>、450</w:t>
      </w:r>
      <w:r>
        <w:rPr>
          <w:rFonts w:eastAsia="等线" w:cs="Times New Roman"/>
          <w:bCs/>
          <w:sz w:val="22"/>
          <w:szCs w:val="22"/>
        </w:rPr>
        <w:t>μg/m³</w:t>
      </w:r>
      <w:r>
        <w:rPr>
          <w:rFonts w:hint="eastAsia"/>
        </w:rPr>
        <w:t>、225</w:t>
      </w:r>
      <w:r>
        <w:rPr>
          <w:rFonts w:eastAsia="等线" w:cs="Times New Roman"/>
          <w:bCs/>
          <w:sz w:val="22"/>
          <w:szCs w:val="22"/>
        </w:rPr>
        <w:t>μg/m³</w:t>
      </w:r>
      <w:r>
        <w:rPr>
          <w:rFonts w:hint="eastAsia"/>
        </w:rPr>
        <w:t>。</w:t>
      </w:r>
    </w:p>
    <w:bookmarkEnd w:id="84"/>
    <w:p w14:paraId="3417AA78">
      <w:pPr>
        <w:pStyle w:val="84"/>
      </w:pPr>
      <w:r>
        <w:rPr>
          <w:rFonts w:hint="eastAsia"/>
        </w:rPr>
        <w:t>噪声评价工作等级</w:t>
      </w:r>
    </w:p>
    <w:p w14:paraId="0AF39E54">
      <w:pPr>
        <w:pStyle w:val="93"/>
      </w:pPr>
      <w:r>
        <w:rPr>
          <w:rFonts w:hint="eastAsia"/>
        </w:rPr>
        <w:t>本项目位于淮安市涟水县朱码街道高台村国能涟水一期热电联产项目厂区内，所处声环境功能区为3类区，项目建成后主要噪声为码头装卸机械噪声和输送泵噪声，产生的噪声经距离等衰减后对周围声环境影响较小，噪声增加量不超过3dB（A），且受影响人口数量变化不大，根据《环境影响评价技术导则 声环境》（HJ2.4-2021）评价等级划分依据，本项目评价等级为三级。</w:t>
      </w:r>
    </w:p>
    <w:p w14:paraId="3F0DC319">
      <w:pPr>
        <w:pStyle w:val="84"/>
      </w:pPr>
      <w:r>
        <w:rPr>
          <w:rFonts w:hint="eastAsia"/>
        </w:rPr>
        <w:t>地下水评价工作等级</w:t>
      </w:r>
    </w:p>
    <w:p w14:paraId="0E0273F8">
      <w:pPr>
        <w:pStyle w:val="93"/>
      </w:pPr>
      <w:r>
        <w:rPr>
          <w:rFonts w:hint="eastAsia"/>
        </w:rPr>
        <w:t>根据《环境影响评价技术导则 地下水环境》（HJ610-2016），本项目属于“S水运130、干散货（含煤炭、矿石）、件杂、多用途、通用码头”，编写报告书，地下水环境影响评价类别为Ⅳ类，不开展地下水环境影响评价。</w:t>
      </w:r>
    </w:p>
    <w:p w14:paraId="0F27BB6D">
      <w:pPr>
        <w:pStyle w:val="86"/>
      </w:pPr>
      <w:r>
        <w:rPr>
          <w:rFonts w:hint="eastAsia"/>
        </w:rPr>
        <w:t>附录A地下水环境影响评价行业分类表</w:t>
      </w:r>
    </w:p>
    <w:tbl>
      <w:tblPr>
        <w:tblStyle w:val="3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4"/>
        <w:gridCol w:w="4504"/>
        <w:gridCol w:w="2405"/>
      </w:tblGrid>
      <w:tr w14:paraId="346E5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78" w:type="pct"/>
            <w:tcBorders>
              <w:top w:val="single" w:color="auto" w:sz="4" w:space="0"/>
              <w:left w:val="single" w:color="auto" w:sz="4" w:space="0"/>
              <w:bottom w:val="single" w:color="auto" w:sz="4" w:space="0"/>
              <w:right w:val="single" w:color="auto" w:sz="4" w:space="0"/>
            </w:tcBorders>
          </w:tcPr>
          <w:p w14:paraId="024DFF45">
            <w:pPr>
              <w:pStyle w:val="196"/>
              <w:rPr>
                <w:szCs w:val="21"/>
              </w:rPr>
            </w:pPr>
            <w:r>
              <w:rPr>
                <w:rFonts w:hint="eastAsia"/>
              </w:rPr>
              <w:t>环评类别</w:t>
            </w:r>
          </w:p>
          <w:p w14:paraId="0546B62A">
            <w:pPr>
              <w:pStyle w:val="196"/>
            </w:pPr>
            <w:r>
              <w:rPr>
                <w:rFonts w:hint="eastAsia"/>
              </w:rPr>
              <w:t>行业类别</w:t>
            </w:r>
          </w:p>
        </w:tc>
        <w:tc>
          <w:tcPr>
            <w:tcW w:w="2425" w:type="pct"/>
            <w:tcBorders>
              <w:top w:val="single" w:color="auto" w:sz="4" w:space="0"/>
              <w:left w:val="single" w:color="auto" w:sz="4" w:space="0"/>
              <w:bottom w:val="single" w:color="auto" w:sz="4" w:space="0"/>
              <w:right w:val="single" w:color="auto" w:sz="4" w:space="0"/>
            </w:tcBorders>
            <w:vAlign w:val="center"/>
          </w:tcPr>
          <w:p w14:paraId="04C7104D">
            <w:pPr>
              <w:pStyle w:val="196"/>
            </w:pPr>
            <w:r>
              <w:rPr>
                <w:rFonts w:hint="eastAsia"/>
              </w:rPr>
              <w:t>报告书</w:t>
            </w:r>
          </w:p>
        </w:tc>
        <w:tc>
          <w:tcPr>
            <w:tcW w:w="1295" w:type="pct"/>
            <w:tcBorders>
              <w:top w:val="single" w:color="auto" w:sz="4" w:space="0"/>
              <w:left w:val="single" w:color="auto" w:sz="4" w:space="0"/>
              <w:bottom w:val="single" w:color="auto" w:sz="4" w:space="0"/>
              <w:right w:val="single" w:color="auto" w:sz="4" w:space="0"/>
            </w:tcBorders>
            <w:vAlign w:val="center"/>
          </w:tcPr>
          <w:p w14:paraId="63C9166E">
            <w:pPr>
              <w:pStyle w:val="196"/>
            </w:pPr>
            <w:r>
              <w:rPr>
                <w:rFonts w:hint="eastAsia"/>
              </w:rPr>
              <w:t>地下水环境影响评价项目类别</w:t>
            </w:r>
          </w:p>
        </w:tc>
      </w:tr>
      <w:tr w14:paraId="52D3FA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8" w:type="pct"/>
            <w:tcBorders>
              <w:top w:val="single" w:color="auto" w:sz="4" w:space="0"/>
              <w:left w:val="single" w:color="auto" w:sz="4" w:space="0"/>
              <w:bottom w:val="single" w:color="auto" w:sz="4" w:space="0"/>
              <w:right w:val="single" w:color="auto" w:sz="4" w:space="0"/>
            </w:tcBorders>
            <w:vAlign w:val="center"/>
          </w:tcPr>
          <w:p w14:paraId="08A3D8D3">
            <w:pPr>
              <w:pStyle w:val="196"/>
            </w:pPr>
            <w:r>
              <w:rPr>
                <w:rFonts w:hint="eastAsia"/>
              </w:rPr>
              <w:t>干散货（含煤炭、矿石）、件杂、多用途、通用码头</w:t>
            </w:r>
          </w:p>
        </w:tc>
        <w:tc>
          <w:tcPr>
            <w:tcW w:w="2425" w:type="pct"/>
            <w:tcBorders>
              <w:top w:val="single" w:color="auto" w:sz="4" w:space="0"/>
              <w:left w:val="single" w:color="auto" w:sz="4" w:space="0"/>
              <w:bottom w:val="single" w:color="auto" w:sz="4" w:space="0"/>
              <w:right w:val="single" w:color="auto" w:sz="4" w:space="0"/>
            </w:tcBorders>
            <w:vAlign w:val="center"/>
          </w:tcPr>
          <w:p w14:paraId="10C1C124">
            <w:pPr>
              <w:pStyle w:val="196"/>
            </w:pPr>
            <w:r>
              <w:rPr>
                <w:rFonts w:hint="eastAsia"/>
              </w:rPr>
              <w:t>单个泊位1000吨级及以上的内河港口；单个泊位1万吨级及以上的沿海港口；涉及环境敏感区的</w:t>
            </w:r>
          </w:p>
        </w:tc>
        <w:tc>
          <w:tcPr>
            <w:tcW w:w="1295" w:type="pct"/>
            <w:tcBorders>
              <w:top w:val="single" w:color="auto" w:sz="4" w:space="0"/>
              <w:left w:val="single" w:color="auto" w:sz="4" w:space="0"/>
              <w:bottom w:val="single" w:color="auto" w:sz="4" w:space="0"/>
              <w:right w:val="single" w:color="auto" w:sz="4" w:space="0"/>
            </w:tcBorders>
            <w:vAlign w:val="center"/>
          </w:tcPr>
          <w:p w14:paraId="741B352D">
            <w:pPr>
              <w:pStyle w:val="196"/>
            </w:pPr>
            <w:r>
              <w:rPr>
                <w:rFonts w:hint="eastAsia"/>
              </w:rPr>
              <w:t>Ⅳ类</w:t>
            </w:r>
          </w:p>
        </w:tc>
      </w:tr>
    </w:tbl>
    <w:p w14:paraId="294D5DFD">
      <w:pPr>
        <w:pStyle w:val="84"/>
      </w:pPr>
      <w:r>
        <w:rPr>
          <w:rFonts w:hint="eastAsia"/>
        </w:rPr>
        <w:t>土壤评价工作等级</w:t>
      </w:r>
    </w:p>
    <w:p w14:paraId="181B863C">
      <w:pPr>
        <w:pStyle w:val="93"/>
        <w:rPr>
          <w:kern w:val="0"/>
          <w:szCs w:val="24"/>
        </w:rPr>
      </w:pPr>
      <w:r>
        <w:rPr>
          <w:rFonts w:hint="eastAsia"/>
        </w:rPr>
        <w:t>根据《环境影响评价技术导则土壤环境（试行）》（HJ964-2018）附录表A.1，本项目为通用码头，属于“交通运输仓储邮政业—其他”，本项目属于Ⅳ类项目，无需开展土壤环境影响评价。仅对码头前沿处沿河底泥开展现状监测及评价。</w:t>
      </w:r>
    </w:p>
    <w:p w14:paraId="72F95EAC">
      <w:pPr>
        <w:pStyle w:val="86"/>
        <w:rPr>
          <w:rFonts w:cs="Times New Roman"/>
        </w:rPr>
      </w:pPr>
      <w:r>
        <w:rPr>
          <w:rFonts w:hint="eastAsia"/>
        </w:rPr>
        <w:t>附录A.1土壤环境影响评价项目类别</w:t>
      </w:r>
    </w:p>
    <w:tbl>
      <w:tblPr>
        <w:tblStyle w:val="3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45"/>
        <w:gridCol w:w="1279"/>
        <w:gridCol w:w="3538"/>
        <w:gridCol w:w="1983"/>
        <w:gridCol w:w="1243"/>
      </w:tblGrid>
      <w:tr w14:paraId="1BD006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15" w:type="dxa"/>
            <w:vMerge w:val="restart"/>
            <w:tcBorders>
              <w:top w:val="single" w:color="auto" w:sz="2" w:space="0"/>
              <w:left w:val="single" w:color="auto" w:sz="2" w:space="0"/>
              <w:bottom w:val="single" w:color="auto" w:sz="2" w:space="0"/>
              <w:right w:val="single" w:color="auto" w:sz="2" w:space="0"/>
            </w:tcBorders>
            <w:vAlign w:val="center"/>
          </w:tcPr>
          <w:p w14:paraId="63B1D322">
            <w:pPr>
              <w:pStyle w:val="196"/>
              <w:rPr>
                <w:szCs w:val="21"/>
              </w:rPr>
            </w:pPr>
            <w:r>
              <w:rPr>
                <w:rFonts w:hint="eastAsia"/>
              </w:rPr>
              <w:t>行业类别</w:t>
            </w:r>
          </w:p>
        </w:tc>
        <w:tc>
          <w:tcPr>
            <w:tcW w:w="7850" w:type="dxa"/>
            <w:gridSpan w:val="4"/>
            <w:tcBorders>
              <w:top w:val="single" w:color="auto" w:sz="2" w:space="0"/>
              <w:left w:val="single" w:color="auto" w:sz="2" w:space="0"/>
              <w:bottom w:val="single" w:color="auto" w:sz="2" w:space="0"/>
              <w:right w:val="single" w:color="auto" w:sz="2" w:space="0"/>
            </w:tcBorders>
            <w:vAlign w:val="center"/>
          </w:tcPr>
          <w:p w14:paraId="37FDB9DC">
            <w:pPr>
              <w:pStyle w:val="196"/>
            </w:pPr>
            <w:r>
              <w:rPr>
                <w:rFonts w:hint="eastAsia"/>
              </w:rPr>
              <w:t>项目类别</w:t>
            </w:r>
          </w:p>
        </w:tc>
      </w:tr>
      <w:tr w14:paraId="7C3C1F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15" w:type="dxa"/>
            <w:vMerge w:val="continue"/>
            <w:tcBorders>
              <w:top w:val="single" w:color="auto" w:sz="2" w:space="0"/>
              <w:left w:val="single" w:color="auto" w:sz="2" w:space="0"/>
              <w:bottom w:val="single" w:color="auto" w:sz="2" w:space="0"/>
              <w:right w:val="single" w:color="auto" w:sz="2" w:space="0"/>
            </w:tcBorders>
            <w:vAlign w:val="center"/>
          </w:tcPr>
          <w:p w14:paraId="168659AE">
            <w:pPr>
              <w:pStyle w:val="196"/>
              <w:rPr>
                <w:szCs w:val="21"/>
              </w:rPr>
            </w:pPr>
          </w:p>
        </w:tc>
        <w:tc>
          <w:tcPr>
            <w:tcW w:w="1248" w:type="dxa"/>
            <w:tcBorders>
              <w:top w:val="single" w:color="auto" w:sz="2" w:space="0"/>
              <w:left w:val="single" w:color="auto" w:sz="2" w:space="0"/>
              <w:bottom w:val="single" w:color="auto" w:sz="2" w:space="0"/>
              <w:right w:val="single" w:color="auto" w:sz="2" w:space="0"/>
            </w:tcBorders>
            <w:vAlign w:val="center"/>
          </w:tcPr>
          <w:p w14:paraId="3B2B19F7">
            <w:pPr>
              <w:pStyle w:val="196"/>
            </w:pPr>
            <w:r>
              <w:rPr>
                <w:rFonts w:hint="eastAsia"/>
              </w:rPr>
              <w:t>I类</w:t>
            </w:r>
          </w:p>
        </w:tc>
        <w:tc>
          <w:tcPr>
            <w:tcW w:w="3453" w:type="dxa"/>
            <w:tcBorders>
              <w:top w:val="single" w:color="auto" w:sz="2" w:space="0"/>
              <w:left w:val="single" w:color="auto" w:sz="2" w:space="0"/>
              <w:bottom w:val="single" w:color="auto" w:sz="2" w:space="0"/>
              <w:right w:val="single" w:color="auto" w:sz="2" w:space="0"/>
            </w:tcBorders>
            <w:vAlign w:val="center"/>
          </w:tcPr>
          <w:p w14:paraId="7F8FE395">
            <w:pPr>
              <w:pStyle w:val="196"/>
            </w:pPr>
            <w:r>
              <w:rPr>
                <w:rFonts w:hint="eastAsia"/>
              </w:rPr>
              <w:t>Ⅱ类</w:t>
            </w:r>
          </w:p>
        </w:tc>
        <w:tc>
          <w:tcPr>
            <w:tcW w:w="1936" w:type="dxa"/>
            <w:tcBorders>
              <w:top w:val="single" w:color="auto" w:sz="2" w:space="0"/>
              <w:left w:val="single" w:color="auto" w:sz="2" w:space="0"/>
              <w:bottom w:val="single" w:color="auto" w:sz="2" w:space="0"/>
              <w:right w:val="single" w:color="auto" w:sz="2" w:space="0"/>
            </w:tcBorders>
            <w:vAlign w:val="center"/>
          </w:tcPr>
          <w:p w14:paraId="4E1AB693">
            <w:pPr>
              <w:pStyle w:val="196"/>
            </w:pPr>
            <w:r>
              <w:rPr>
                <w:rFonts w:hint="eastAsia"/>
              </w:rPr>
              <w:t>III类</w:t>
            </w:r>
          </w:p>
        </w:tc>
        <w:tc>
          <w:tcPr>
            <w:tcW w:w="1213" w:type="dxa"/>
            <w:tcBorders>
              <w:top w:val="single" w:color="auto" w:sz="2" w:space="0"/>
              <w:left w:val="single" w:color="auto" w:sz="2" w:space="0"/>
              <w:bottom w:val="single" w:color="auto" w:sz="2" w:space="0"/>
              <w:right w:val="single" w:color="auto" w:sz="2" w:space="0"/>
            </w:tcBorders>
            <w:vAlign w:val="center"/>
          </w:tcPr>
          <w:p w14:paraId="71DB1185">
            <w:pPr>
              <w:pStyle w:val="196"/>
            </w:pPr>
            <w:r>
              <w:rPr>
                <w:rFonts w:hint="eastAsia"/>
              </w:rPr>
              <w:t>Ⅳ类</w:t>
            </w:r>
          </w:p>
        </w:tc>
      </w:tr>
      <w:tr w14:paraId="75096D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215" w:type="dxa"/>
            <w:tcBorders>
              <w:top w:val="single" w:color="auto" w:sz="2" w:space="0"/>
              <w:left w:val="single" w:color="auto" w:sz="2" w:space="0"/>
              <w:bottom w:val="single" w:color="auto" w:sz="2" w:space="0"/>
              <w:right w:val="single" w:color="auto" w:sz="2" w:space="0"/>
            </w:tcBorders>
            <w:vAlign w:val="center"/>
          </w:tcPr>
          <w:p w14:paraId="2996A807">
            <w:pPr>
              <w:pStyle w:val="196"/>
            </w:pPr>
            <w:r>
              <w:rPr>
                <w:rFonts w:hint="eastAsia"/>
              </w:rPr>
              <w:t>交通运输仓储邮政业</w:t>
            </w:r>
          </w:p>
        </w:tc>
        <w:tc>
          <w:tcPr>
            <w:tcW w:w="1248" w:type="dxa"/>
            <w:tcBorders>
              <w:top w:val="single" w:color="auto" w:sz="2" w:space="0"/>
              <w:left w:val="single" w:color="auto" w:sz="2" w:space="0"/>
              <w:bottom w:val="single" w:color="auto" w:sz="2" w:space="0"/>
              <w:right w:val="single" w:color="auto" w:sz="2" w:space="0"/>
            </w:tcBorders>
            <w:vAlign w:val="center"/>
          </w:tcPr>
          <w:p w14:paraId="13B8D91B">
            <w:pPr>
              <w:pStyle w:val="196"/>
            </w:pPr>
            <w:r>
              <w:rPr>
                <w:rFonts w:hint="eastAsia"/>
              </w:rPr>
              <w:t>/</w:t>
            </w:r>
          </w:p>
        </w:tc>
        <w:tc>
          <w:tcPr>
            <w:tcW w:w="3453" w:type="dxa"/>
            <w:tcBorders>
              <w:top w:val="single" w:color="auto" w:sz="2" w:space="0"/>
              <w:left w:val="single" w:color="auto" w:sz="2" w:space="0"/>
              <w:bottom w:val="single" w:color="auto" w:sz="2" w:space="0"/>
              <w:right w:val="single" w:color="auto" w:sz="2" w:space="0"/>
            </w:tcBorders>
            <w:vAlign w:val="center"/>
          </w:tcPr>
          <w:p w14:paraId="356D9C01">
            <w:pPr>
              <w:pStyle w:val="196"/>
            </w:pPr>
            <w:r>
              <w:rPr>
                <w:rFonts w:hint="eastAsia"/>
              </w:rPr>
              <w:t>油库（不含加油站的油库）；机场的供油工程及油库；涉及危险品、化学品、石油、成品油储罐区的码头及仓储；石油及成品油的输送管线</w:t>
            </w:r>
          </w:p>
        </w:tc>
        <w:tc>
          <w:tcPr>
            <w:tcW w:w="1936" w:type="dxa"/>
            <w:tcBorders>
              <w:top w:val="single" w:color="auto" w:sz="2" w:space="0"/>
              <w:left w:val="single" w:color="auto" w:sz="2" w:space="0"/>
              <w:bottom w:val="single" w:color="auto" w:sz="2" w:space="0"/>
              <w:right w:val="single" w:color="auto" w:sz="2" w:space="0"/>
            </w:tcBorders>
            <w:vAlign w:val="center"/>
          </w:tcPr>
          <w:p w14:paraId="490698DF">
            <w:pPr>
              <w:pStyle w:val="196"/>
            </w:pPr>
            <w:r>
              <w:rPr>
                <w:rFonts w:hint="eastAsia"/>
              </w:rPr>
              <w:t>公路的加油站；铁路的维修场所</w:t>
            </w:r>
          </w:p>
        </w:tc>
        <w:tc>
          <w:tcPr>
            <w:tcW w:w="1213" w:type="dxa"/>
            <w:tcBorders>
              <w:top w:val="single" w:color="auto" w:sz="2" w:space="0"/>
              <w:left w:val="single" w:color="auto" w:sz="2" w:space="0"/>
              <w:bottom w:val="single" w:color="auto" w:sz="2" w:space="0"/>
              <w:right w:val="single" w:color="auto" w:sz="2" w:space="0"/>
            </w:tcBorders>
            <w:shd w:val="clear" w:color="auto" w:fill="A0D997"/>
            <w:vAlign w:val="center"/>
          </w:tcPr>
          <w:p w14:paraId="1D2379EE">
            <w:pPr>
              <w:pStyle w:val="196"/>
            </w:pPr>
            <w:r>
              <w:rPr>
                <w:rFonts w:hint="eastAsia"/>
              </w:rPr>
              <w:t>其他</w:t>
            </w:r>
          </w:p>
        </w:tc>
      </w:tr>
    </w:tbl>
    <w:p w14:paraId="05CA644E">
      <w:pPr>
        <w:pStyle w:val="84"/>
      </w:pPr>
      <w:r>
        <w:rPr>
          <w:rFonts w:hint="eastAsia"/>
        </w:rPr>
        <w:t>环境风险评价工作等级</w:t>
      </w:r>
    </w:p>
    <w:p w14:paraId="4076C41A">
      <w:pPr>
        <w:pStyle w:val="93"/>
      </w:pPr>
      <w:r>
        <w:rPr>
          <w:rFonts w:hint="eastAsia"/>
        </w:rPr>
        <w:t>根据项目涉及的物质（Q）及工艺系统危险性（M）和所在地的环境敏感性（E）确定环境风险潜势，再按照风险潜势判定环境风险评价工作等级。环境风险评价工作等级划分为一级、二级、三级、简单分析。</w:t>
      </w:r>
    </w:p>
    <w:p w14:paraId="274DE307">
      <w:pPr>
        <w:pStyle w:val="93"/>
        <w:rPr>
          <w:lang w:val="en-US"/>
        </w:rPr>
      </w:pPr>
      <w:r>
        <w:rPr>
          <w:rFonts w:hint="eastAsia"/>
          <w:lang w:val="en-US"/>
        </w:rPr>
        <w:t>1、风险物质数量与临界量比值（Q）</w:t>
      </w:r>
    </w:p>
    <w:p w14:paraId="720B4541">
      <w:pPr>
        <w:pStyle w:val="93"/>
        <w:rPr>
          <w:lang w:val="en-US"/>
        </w:rPr>
      </w:pPr>
      <w:r>
        <w:rPr>
          <w:rFonts w:hint="eastAsia"/>
        </w:rPr>
        <w:t>本项目运输的主要物质为热电厂燃料煤炭，属于无毒不易燃物质，不涉及危险化学品，因此</w:t>
      </w:r>
      <w:r>
        <w:rPr>
          <w:rFonts w:hint="eastAsia"/>
          <w:lang w:val="en-US"/>
        </w:rPr>
        <w:t>主要考虑施工期施工船舶和营运期的船舶燃料油量泄漏。</w:t>
      </w:r>
    </w:p>
    <w:p w14:paraId="356CB3EB">
      <w:pPr>
        <w:pStyle w:val="93"/>
        <w:rPr>
          <w:lang w:val="en-US"/>
        </w:rPr>
      </w:pPr>
      <w:r>
        <w:rPr>
          <w:rFonts w:hint="eastAsia"/>
          <w:lang w:val="en-US"/>
        </w:rPr>
        <w:t>（1）施工期</w:t>
      </w:r>
    </w:p>
    <w:p w14:paraId="263F0807">
      <w:pPr>
        <w:pStyle w:val="93"/>
        <w:rPr>
          <w:lang w:val="en-US"/>
        </w:rPr>
      </w:pPr>
      <w:r>
        <w:rPr>
          <w:rFonts w:hint="eastAsia"/>
          <w:lang w:val="en-US"/>
        </w:rPr>
        <w:t>参照《水上溢油环境风险评估技术导则》（JTT1143-2017）中7.2.1.1章节“新建水运工程建设项目的最大可信水上溢油事故溢油量，按照设计代表船型所载货油或者船用燃料油全部泄漏的数量确定”。</w:t>
      </w:r>
    </w:p>
    <w:p w14:paraId="5B23BD39">
      <w:pPr>
        <w:pStyle w:val="93"/>
        <w:rPr>
          <w:lang w:val="en-US"/>
        </w:rPr>
      </w:pPr>
      <w:r>
        <w:rPr>
          <w:rFonts w:hint="eastAsia"/>
          <w:lang w:val="en-US"/>
        </w:rPr>
        <w:t>项目新建3个1000吨级泊位，设计船型为1000吨级、500吨级；根据《水上溢油环境风险评估技术导则》（JT/T1143-2017）中表C.6散货船燃料油舱中燃油数量关系（详见表2.4-7），＜5000t散货船，燃油总舱容＜456m</w:t>
      </w:r>
      <w:r>
        <w:rPr>
          <w:rFonts w:hint="eastAsia"/>
          <w:vertAlign w:val="superscript"/>
          <w:lang w:val="en-US"/>
        </w:rPr>
        <w:t>3</w:t>
      </w:r>
      <w:r>
        <w:rPr>
          <w:rFonts w:hint="eastAsia"/>
          <w:lang w:val="en-US"/>
        </w:rPr>
        <w:t>，单舱燃油量＜61m</w:t>
      </w:r>
      <w:r>
        <w:rPr>
          <w:rFonts w:hint="eastAsia"/>
          <w:vertAlign w:val="superscript"/>
          <w:lang w:val="en-US"/>
        </w:rPr>
        <w:t>3</w:t>
      </w:r>
      <w:r>
        <w:rPr>
          <w:rFonts w:hint="eastAsia"/>
          <w:lang w:val="en-US"/>
        </w:rPr>
        <w:t>，燃油总量（载油率80%）＜365m</w:t>
      </w:r>
      <w:r>
        <w:rPr>
          <w:rFonts w:hint="eastAsia"/>
          <w:vertAlign w:val="superscript"/>
          <w:lang w:val="en-US"/>
        </w:rPr>
        <w:t>3</w:t>
      </w:r>
      <w:r>
        <w:rPr>
          <w:rFonts w:hint="eastAsia"/>
          <w:lang w:val="en-US"/>
        </w:rPr>
        <w:t>。本项目施工期清淤方式采用两栖反铲式清淤船疏浚，疏浚作业时，按1艘船型为500t考虑，燃油总舱容约为46m</w:t>
      </w:r>
      <w:r>
        <w:rPr>
          <w:rFonts w:hint="eastAsia"/>
          <w:vertAlign w:val="superscript"/>
          <w:lang w:val="en-US"/>
        </w:rPr>
        <w:t>3</w:t>
      </w:r>
      <w:r>
        <w:rPr>
          <w:rFonts w:hint="eastAsia"/>
          <w:lang w:val="en-US"/>
        </w:rPr>
        <w:t>（456m</w:t>
      </w:r>
      <w:r>
        <w:rPr>
          <w:rFonts w:hint="eastAsia"/>
          <w:vertAlign w:val="superscript"/>
          <w:lang w:val="en-US"/>
        </w:rPr>
        <w:t>3</w:t>
      </w:r>
      <w:r>
        <w:rPr>
          <w:rFonts w:hint="eastAsia"/>
          <w:lang w:val="en-US"/>
        </w:rPr>
        <w:t>×500/5000），燃油油舱单舱燃油量为6m</w:t>
      </w:r>
      <w:r>
        <w:rPr>
          <w:rFonts w:hint="eastAsia"/>
          <w:vertAlign w:val="superscript"/>
          <w:lang w:val="en-US"/>
        </w:rPr>
        <w:t>3</w:t>
      </w:r>
      <w:r>
        <w:rPr>
          <w:rFonts w:hint="eastAsia"/>
          <w:lang w:val="en-US"/>
        </w:rPr>
        <w:t>（61m</w:t>
      </w:r>
      <w:r>
        <w:rPr>
          <w:rFonts w:hint="eastAsia"/>
          <w:vertAlign w:val="superscript"/>
          <w:lang w:val="en-US"/>
        </w:rPr>
        <w:t>3</w:t>
      </w:r>
      <w:r>
        <w:rPr>
          <w:rFonts w:hint="eastAsia"/>
          <w:lang w:val="en-US"/>
        </w:rPr>
        <w:t>×500/5000）；本次环评燃油密度按照0.85t/m</w:t>
      </w:r>
      <w:r>
        <w:rPr>
          <w:rFonts w:hint="eastAsia"/>
          <w:vertAlign w:val="superscript"/>
          <w:lang w:val="en-US"/>
        </w:rPr>
        <w:t>3</w:t>
      </w:r>
      <w:r>
        <w:rPr>
          <w:rFonts w:hint="eastAsia"/>
          <w:lang w:val="en-US"/>
        </w:rPr>
        <w:t>计，则挖泥船携带燃油总量为39.1t，燃油油舱单舱燃油质量为5.1t。</w:t>
      </w:r>
    </w:p>
    <w:p w14:paraId="051F14E5">
      <w:pPr>
        <w:pStyle w:val="86"/>
      </w:pPr>
      <w:r>
        <w:rPr>
          <w:rFonts w:hint="eastAsia"/>
        </w:rPr>
        <w:t>散货船燃油舱中燃油数量关系</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704"/>
        <w:gridCol w:w="1704"/>
        <w:gridCol w:w="1704"/>
        <w:gridCol w:w="1705"/>
      </w:tblGrid>
      <w:tr w14:paraId="1E8AA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single" w:color="auto" w:sz="4" w:space="0"/>
              <w:bottom w:val="single" w:color="auto" w:sz="4" w:space="0"/>
              <w:right w:val="single" w:color="auto" w:sz="4" w:space="0"/>
            </w:tcBorders>
            <w:vAlign w:val="center"/>
          </w:tcPr>
          <w:p w14:paraId="147138DC">
            <w:pPr>
              <w:pStyle w:val="196"/>
            </w:pPr>
            <w:r>
              <w:rPr>
                <w:rFonts w:hint="eastAsia"/>
              </w:rPr>
              <w:t>散货船载重吨位（t）</w:t>
            </w:r>
          </w:p>
        </w:tc>
        <w:tc>
          <w:tcPr>
            <w:tcW w:w="1704" w:type="dxa"/>
            <w:tcBorders>
              <w:top w:val="single" w:color="auto" w:sz="4" w:space="0"/>
              <w:left w:val="single" w:color="auto" w:sz="4" w:space="0"/>
              <w:bottom w:val="single" w:color="auto" w:sz="4" w:space="0"/>
              <w:right w:val="single" w:color="auto" w:sz="4" w:space="0"/>
            </w:tcBorders>
            <w:vAlign w:val="center"/>
          </w:tcPr>
          <w:p w14:paraId="569F1514">
            <w:pPr>
              <w:pStyle w:val="196"/>
            </w:pPr>
            <w:r>
              <w:rPr>
                <w:rFonts w:hint="eastAsia"/>
              </w:rPr>
              <w:t>散货船总吨数GT</w:t>
            </w:r>
          </w:p>
        </w:tc>
        <w:tc>
          <w:tcPr>
            <w:tcW w:w="1704" w:type="dxa"/>
            <w:tcBorders>
              <w:top w:val="single" w:color="auto" w:sz="4" w:space="0"/>
              <w:left w:val="single" w:color="auto" w:sz="4" w:space="0"/>
              <w:bottom w:val="single" w:color="auto" w:sz="4" w:space="0"/>
              <w:right w:val="single" w:color="auto" w:sz="4" w:space="0"/>
            </w:tcBorders>
            <w:vAlign w:val="center"/>
          </w:tcPr>
          <w:p w14:paraId="2FF89335">
            <w:pPr>
              <w:pStyle w:val="196"/>
            </w:pPr>
            <w:r>
              <w:rPr>
                <w:rFonts w:hint="eastAsia"/>
              </w:rPr>
              <w:t>燃油总舱容（m</w:t>
            </w:r>
            <w:r>
              <w:rPr>
                <w:rFonts w:hint="eastAsia"/>
                <w:vertAlign w:val="superscript"/>
              </w:rPr>
              <w:t>3</w:t>
            </w:r>
            <w:r>
              <w:rPr>
                <w:rFonts w:hint="eastAsia"/>
              </w:rPr>
              <w:t>）</w:t>
            </w:r>
          </w:p>
        </w:tc>
        <w:tc>
          <w:tcPr>
            <w:tcW w:w="1704" w:type="dxa"/>
            <w:tcBorders>
              <w:top w:val="single" w:color="auto" w:sz="4" w:space="0"/>
              <w:left w:val="single" w:color="auto" w:sz="4" w:space="0"/>
              <w:bottom w:val="single" w:color="auto" w:sz="4" w:space="0"/>
              <w:right w:val="single" w:color="auto" w:sz="4" w:space="0"/>
            </w:tcBorders>
            <w:vAlign w:val="center"/>
          </w:tcPr>
          <w:p w14:paraId="6E342427">
            <w:pPr>
              <w:pStyle w:val="196"/>
            </w:pPr>
            <w:r>
              <w:rPr>
                <w:rFonts w:hint="eastAsia"/>
              </w:rPr>
              <w:t>燃油总量（载油率80%）（m</w:t>
            </w:r>
            <w:r>
              <w:rPr>
                <w:rFonts w:hint="eastAsia"/>
                <w:vertAlign w:val="superscript"/>
              </w:rPr>
              <w:t>3</w:t>
            </w:r>
            <w:r>
              <w:rPr>
                <w:rFonts w:hint="eastAsia"/>
              </w:rPr>
              <w:t>）</w:t>
            </w:r>
          </w:p>
        </w:tc>
        <w:tc>
          <w:tcPr>
            <w:tcW w:w="1705" w:type="dxa"/>
            <w:tcBorders>
              <w:top w:val="single" w:color="auto" w:sz="4" w:space="0"/>
              <w:left w:val="single" w:color="auto" w:sz="4" w:space="0"/>
              <w:bottom w:val="single" w:color="auto" w:sz="4" w:space="0"/>
              <w:right w:val="single" w:color="auto" w:sz="4" w:space="0"/>
            </w:tcBorders>
            <w:vAlign w:val="center"/>
          </w:tcPr>
          <w:p w14:paraId="615BEC72">
            <w:pPr>
              <w:pStyle w:val="196"/>
            </w:pPr>
            <w:r>
              <w:rPr>
                <w:rFonts w:hint="eastAsia"/>
              </w:rPr>
              <w:t>燃油舱单舱燃油量（m</w:t>
            </w:r>
            <w:r>
              <w:rPr>
                <w:rFonts w:hint="eastAsia"/>
                <w:vertAlign w:val="superscript"/>
              </w:rPr>
              <w:t>3</w:t>
            </w:r>
            <w:r>
              <w:rPr>
                <w:rFonts w:hint="eastAsia"/>
              </w:rPr>
              <w:t>）</w:t>
            </w:r>
          </w:p>
        </w:tc>
      </w:tr>
      <w:tr w14:paraId="65FB8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8" w:type="dxa"/>
            <w:tcBorders>
              <w:top w:val="single" w:color="auto" w:sz="4" w:space="0"/>
              <w:left w:val="single" w:color="auto" w:sz="4" w:space="0"/>
              <w:bottom w:val="single" w:color="auto" w:sz="4" w:space="0"/>
              <w:right w:val="single" w:color="auto" w:sz="4" w:space="0"/>
            </w:tcBorders>
            <w:vAlign w:val="center"/>
          </w:tcPr>
          <w:p w14:paraId="48AAB05B">
            <w:pPr>
              <w:pStyle w:val="196"/>
            </w:pPr>
            <w:r>
              <w:rPr>
                <w:rFonts w:hint="eastAsia"/>
                <w:lang w:eastAsia="zh-CN"/>
              </w:rPr>
              <w:t>&lt;</w:t>
            </w:r>
            <w:r>
              <w:rPr>
                <w:rFonts w:hint="eastAsia"/>
              </w:rPr>
              <w:t>5000</w:t>
            </w:r>
          </w:p>
        </w:tc>
        <w:tc>
          <w:tcPr>
            <w:tcW w:w="1704" w:type="dxa"/>
            <w:tcBorders>
              <w:top w:val="single" w:color="auto" w:sz="4" w:space="0"/>
              <w:left w:val="single" w:color="auto" w:sz="4" w:space="0"/>
              <w:bottom w:val="single" w:color="auto" w:sz="4" w:space="0"/>
              <w:right w:val="single" w:color="auto" w:sz="4" w:space="0"/>
            </w:tcBorders>
            <w:vAlign w:val="center"/>
          </w:tcPr>
          <w:p w14:paraId="573C61A8">
            <w:pPr>
              <w:pStyle w:val="196"/>
            </w:pPr>
            <w:r>
              <w:rPr>
                <w:rFonts w:hint="eastAsia"/>
                <w:lang w:eastAsia="zh-CN"/>
              </w:rPr>
              <w:t>&lt;</w:t>
            </w:r>
            <w:r>
              <w:rPr>
                <w:rFonts w:hint="eastAsia"/>
              </w:rPr>
              <w:t>3800</w:t>
            </w:r>
          </w:p>
        </w:tc>
        <w:tc>
          <w:tcPr>
            <w:tcW w:w="1704" w:type="dxa"/>
            <w:tcBorders>
              <w:top w:val="single" w:color="auto" w:sz="4" w:space="0"/>
              <w:left w:val="single" w:color="auto" w:sz="4" w:space="0"/>
              <w:bottom w:val="single" w:color="auto" w:sz="4" w:space="0"/>
              <w:right w:val="single" w:color="auto" w:sz="4" w:space="0"/>
            </w:tcBorders>
            <w:vAlign w:val="center"/>
          </w:tcPr>
          <w:p w14:paraId="427B58A0">
            <w:pPr>
              <w:pStyle w:val="196"/>
            </w:pPr>
            <w:r>
              <w:rPr>
                <w:rFonts w:hint="eastAsia"/>
                <w:lang w:eastAsia="zh-CN"/>
              </w:rPr>
              <w:t>&lt;</w:t>
            </w:r>
            <w:r>
              <w:rPr>
                <w:rFonts w:hint="eastAsia"/>
              </w:rPr>
              <w:t>456</w:t>
            </w:r>
          </w:p>
        </w:tc>
        <w:tc>
          <w:tcPr>
            <w:tcW w:w="1704" w:type="dxa"/>
            <w:tcBorders>
              <w:top w:val="single" w:color="auto" w:sz="4" w:space="0"/>
              <w:left w:val="single" w:color="auto" w:sz="4" w:space="0"/>
              <w:bottom w:val="single" w:color="auto" w:sz="4" w:space="0"/>
              <w:right w:val="single" w:color="auto" w:sz="4" w:space="0"/>
            </w:tcBorders>
            <w:vAlign w:val="center"/>
          </w:tcPr>
          <w:p w14:paraId="1103CFDD">
            <w:pPr>
              <w:pStyle w:val="196"/>
            </w:pPr>
            <w:r>
              <w:rPr>
                <w:rFonts w:hint="eastAsia"/>
                <w:lang w:eastAsia="zh-CN"/>
              </w:rPr>
              <w:t>&lt;</w:t>
            </w:r>
            <w:r>
              <w:rPr>
                <w:rFonts w:hint="eastAsia"/>
              </w:rPr>
              <w:t>365</w:t>
            </w:r>
          </w:p>
        </w:tc>
        <w:tc>
          <w:tcPr>
            <w:tcW w:w="1705" w:type="dxa"/>
            <w:tcBorders>
              <w:top w:val="single" w:color="auto" w:sz="4" w:space="0"/>
              <w:left w:val="single" w:color="auto" w:sz="4" w:space="0"/>
              <w:bottom w:val="single" w:color="auto" w:sz="4" w:space="0"/>
              <w:right w:val="single" w:color="auto" w:sz="4" w:space="0"/>
            </w:tcBorders>
            <w:vAlign w:val="center"/>
          </w:tcPr>
          <w:p w14:paraId="5A4A0DAD">
            <w:pPr>
              <w:pStyle w:val="196"/>
            </w:pPr>
            <w:r>
              <w:rPr>
                <w:rFonts w:hint="eastAsia"/>
                <w:lang w:eastAsia="zh-CN"/>
              </w:rPr>
              <w:t>&lt;</w:t>
            </w:r>
            <w:r>
              <w:rPr>
                <w:rFonts w:hint="eastAsia"/>
              </w:rPr>
              <w:t>61</w:t>
            </w:r>
          </w:p>
        </w:tc>
      </w:tr>
    </w:tbl>
    <w:p w14:paraId="7EAE79F7">
      <w:pPr>
        <w:pStyle w:val="93"/>
        <w:rPr>
          <w:lang w:val="en-US"/>
        </w:rPr>
      </w:pPr>
      <w:r>
        <w:rPr>
          <w:rFonts w:hint="eastAsia"/>
          <w:lang w:val="en-US"/>
        </w:rPr>
        <w:t>根据《建设项目环境风险评价技术导则》（HJ169-2018）附录B，船舶燃油属于其中“381油类物质”，临界量为2500t；根据前述计算，得到判定情况见表2.4-8。</w:t>
      </w:r>
    </w:p>
    <w:p w14:paraId="0689F38B">
      <w:pPr>
        <w:pStyle w:val="86"/>
      </w:pPr>
      <w:r>
        <w:rPr>
          <w:rFonts w:hint="eastAsia"/>
        </w:rPr>
        <w:t>建设项目风险物质Q值情况（施工期）</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371"/>
        <w:gridCol w:w="954"/>
        <w:gridCol w:w="2028"/>
        <w:gridCol w:w="1536"/>
        <w:gridCol w:w="1521"/>
      </w:tblGrid>
      <w:tr w14:paraId="2181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vAlign w:val="center"/>
          </w:tcPr>
          <w:p w14:paraId="7550C3E1">
            <w:pPr>
              <w:pStyle w:val="196"/>
            </w:pPr>
            <w:r>
              <w:rPr>
                <w:rFonts w:hint="eastAsia"/>
              </w:rPr>
              <w:t>序号</w:t>
            </w:r>
          </w:p>
        </w:tc>
        <w:tc>
          <w:tcPr>
            <w:tcW w:w="1277" w:type="pct"/>
            <w:vAlign w:val="center"/>
          </w:tcPr>
          <w:p w14:paraId="36778B45">
            <w:pPr>
              <w:pStyle w:val="196"/>
            </w:pPr>
            <w:r>
              <w:rPr>
                <w:rFonts w:hint="eastAsia"/>
              </w:rPr>
              <w:t>危险物质名称</w:t>
            </w:r>
          </w:p>
        </w:tc>
        <w:tc>
          <w:tcPr>
            <w:tcW w:w="514" w:type="pct"/>
            <w:vAlign w:val="center"/>
          </w:tcPr>
          <w:p w14:paraId="2326ABB6">
            <w:pPr>
              <w:pStyle w:val="196"/>
            </w:pPr>
            <w:r>
              <w:rPr>
                <w:rFonts w:hint="eastAsia"/>
              </w:rPr>
              <w:t>CAS号</w:t>
            </w:r>
          </w:p>
        </w:tc>
        <w:tc>
          <w:tcPr>
            <w:tcW w:w="1092" w:type="pct"/>
            <w:vAlign w:val="center"/>
          </w:tcPr>
          <w:p w14:paraId="1D963033">
            <w:pPr>
              <w:pStyle w:val="196"/>
            </w:pPr>
            <w:r>
              <w:rPr>
                <w:rFonts w:hint="eastAsia"/>
              </w:rPr>
              <w:t>最大存在总量q</w:t>
            </w:r>
            <w:r>
              <w:rPr>
                <w:rFonts w:hint="eastAsia"/>
                <w:vertAlign w:val="subscript"/>
              </w:rPr>
              <w:t>n</w:t>
            </w:r>
            <w:r>
              <w:rPr>
                <w:rFonts w:hint="eastAsia"/>
              </w:rPr>
              <w:t>/t</w:t>
            </w:r>
          </w:p>
        </w:tc>
        <w:tc>
          <w:tcPr>
            <w:tcW w:w="824" w:type="pct"/>
            <w:vAlign w:val="center"/>
          </w:tcPr>
          <w:p w14:paraId="25C3C828">
            <w:pPr>
              <w:pStyle w:val="196"/>
            </w:pPr>
            <w:r>
              <w:rPr>
                <w:rFonts w:hint="eastAsia"/>
              </w:rPr>
              <w:t>临界量Q</w:t>
            </w:r>
            <w:r>
              <w:rPr>
                <w:rFonts w:hint="eastAsia"/>
                <w:vertAlign w:val="subscript"/>
              </w:rPr>
              <w:t>n</w:t>
            </w:r>
            <w:r>
              <w:rPr>
                <w:rFonts w:hint="eastAsia"/>
              </w:rPr>
              <w:t>/t</w:t>
            </w:r>
          </w:p>
        </w:tc>
        <w:tc>
          <w:tcPr>
            <w:tcW w:w="819" w:type="pct"/>
            <w:vAlign w:val="center"/>
          </w:tcPr>
          <w:p w14:paraId="62E25FC6">
            <w:pPr>
              <w:pStyle w:val="196"/>
            </w:pPr>
            <w:r>
              <w:rPr>
                <w:rFonts w:hint="eastAsia"/>
              </w:rPr>
              <w:t>该种危险物质Q值</w:t>
            </w:r>
          </w:p>
        </w:tc>
      </w:tr>
      <w:tr w14:paraId="7D9B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0" w:type="pct"/>
            <w:vAlign w:val="center"/>
          </w:tcPr>
          <w:p w14:paraId="72AC8C06">
            <w:pPr>
              <w:pStyle w:val="196"/>
            </w:pPr>
            <w:r>
              <w:rPr>
                <w:rFonts w:hint="eastAsia"/>
              </w:rPr>
              <w:t>1</w:t>
            </w:r>
          </w:p>
        </w:tc>
        <w:tc>
          <w:tcPr>
            <w:tcW w:w="1277" w:type="pct"/>
            <w:vAlign w:val="center"/>
          </w:tcPr>
          <w:p w14:paraId="6084AD40">
            <w:pPr>
              <w:pStyle w:val="196"/>
            </w:pPr>
            <w:r>
              <w:rPr>
                <w:rFonts w:hint="eastAsia"/>
              </w:rPr>
              <w:t>油类物质（船用燃油）</w:t>
            </w:r>
          </w:p>
        </w:tc>
        <w:tc>
          <w:tcPr>
            <w:tcW w:w="514" w:type="pct"/>
            <w:vAlign w:val="center"/>
          </w:tcPr>
          <w:p w14:paraId="5CF75FD1">
            <w:pPr>
              <w:pStyle w:val="196"/>
            </w:pPr>
            <w:r>
              <w:rPr>
                <w:rFonts w:hint="eastAsia"/>
              </w:rPr>
              <w:t>/</w:t>
            </w:r>
          </w:p>
        </w:tc>
        <w:tc>
          <w:tcPr>
            <w:tcW w:w="1092" w:type="pct"/>
            <w:vAlign w:val="center"/>
          </w:tcPr>
          <w:p w14:paraId="1923C087">
            <w:pPr>
              <w:pStyle w:val="196"/>
            </w:pPr>
            <w:r>
              <w:rPr>
                <w:rFonts w:hint="eastAsia"/>
              </w:rPr>
              <w:t>39.1</w:t>
            </w:r>
          </w:p>
        </w:tc>
        <w:tc>
          <w:tcPr>
            <w:tcW w:w="824" w:type="pct"/>
            <w:vAlign w:val="center"/>
          </w:tcPr>
          <w:p w14:paraId="0B9DA83A">
            <w:pPr>
              <w:pStyle w:val="196"/>
            </w:pPr>
            <w:r>
              <w:rPr>
                <w:rFonts w:hint="eastAsia"/>
              </w:rPr>
              <w:t>2500</w:t>
            </w:r>
          </w:p>
        </w:tc>
        <w:tc>
          <w:tcPr>
            <w:tcW w:w="819" w:type="pct"/>
            <w:vAlign w:val="center"/>
          </w:tcPr>
          <w:p w14:paraId="3A4B80DA">
            <w:pPr>
              <w:pStyle w:val="196"/>
            </w:pPr>
            <w:r>
              <w:rPr>
                <w:rFonts w:hint="eastAsia"/>
              </w:rPr>
              <w:t>0.0156</w:t>
            </w:r>
          </w:p>
        </w:tc>
      </w:tr>
      <w:tr w14:paraId="0C58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80" w:type="pct"/>
            <w:gridSpan w:val="5"/>
            <w:vAlign w:val="center"/>
          </w:tcPr>
          <w:p w14:paraId="3F2E3B2A">
            <w:pPr>
              <w:pStyle w:val="196"/>
            </w:pPr>
            <w:r>
              <w:rPr>
                <w:rFonts w:hint="eastAsia"/>
              </w:rPr>
              <w:t>施工期项目Q值</w:t>
            </w:r>
          </w:p>
        </w:tc>
        <w:tc>
          <w:tcPr>
            <w:tcW w:w="819" w:type="pct"/>
            <w:vAlign w:val="center"/>
          </w:tcPr>
          <w:p w14:paraId="6BA0A148">
            <w:pPr>
              <w:pStyle w:val="196"/>
            </w:pPr>
            <w:r>
              <w:rPr>
                <w:rFonts w:hint="eastAsia"/>
              </w:rPr>
              <w:t>0.0156</w:t>
            </w:r>
          </w:p>
        </w:tc>
      </w:tr>
    </w:tbl>
    <w:p w14:paraId="304F1669">
      <w:pPr>
        <w:pStyle w:val="93"/>
        <w:rPr>
          <w:lang w:val="en-US"/>
        </w:rPr>
      </w:pPr>
      <w:r>
        <w:rPr>
          <w:rFonts w:hint="eastAsia"/>
          <w:lang w:val="en-US"/>
        </w:rPr>
        <w:t>根据核算，故本项目施工期涉及附录B中危险物质总量与其临界量比值为0.0156（Q＜1）。</w:t>
      </w:r>
    </w:p>
    <w:p w14:paraId="651B8B84">
      <w:pPr>
        <w:pStyle w:val="93"/>
        <w:rPr>
          <w:lang w:val="en-US"/>
        </w:rPr>
      </w:pPr>
      <w:r>
        <w:rPr>
          <w:rFonts w:hint="eastAsia"/>
          <w:lang w:val="en-US"/>
        </w:rPr>
        <w:t>（2）营运期</w:t>
      </w:r>
    </w:p>
    <w:p w14:paraId="6CC42AD5">
      <w:pPr>
        <w:pStyle w:val="93"/>
        <w:rPr>
          <w:lang w:val="en-US"/>
        </w:rPr>
      </w:pPr>
      <w:r>
        <w:rPr>
          <w:rFonts w:hint="eastAsia"/>
          <w:lang w:val="en-US"/>
        </w:rPr>
        <w:t>根据建设项目营运期间按3艘1000t级散货船同时在港考虑，燃油总舱容约为91m</w:t>
      </w:r>
      <w:r>
        <w:rPr>
          <w:rFonts w:hint="eastAsia"/>
          <w:vertAlign w:val="superscript"/>
          <w:lang w:val="en-US"/>
        </w:rPr>
        <w:t>3</w:t>
      </w:r>
      <w:r>
        <w:rPr>
          <w:rFonts w:hint="eastAsia"/>
          <w:lang w:val="en-US"/>
        </w:rPr>
        <w:t>（456m</w:t>
      </w:r>
      <w:r>
        <w:rPr>
          <w:rFonts w:hint="eastAsia"/>
          <w:vertAlign w:val="superscript"/>
          <w:lang w:val="en-US"/>
        </w:rPr>
        <w:t>3</w:t>
      </w:r>
      <w:r>
        <w:rPr>
          <w:rFonts w:hint="eastAsia"/>
          <w:lang w:val="en-US"/>
        </w:rPr>
        <w:t>×1000/5000），燃油油舱单舱燃油量为12m</w:t>
      </w:r>
      <w:r>
        <w:rPr>
          <w:rFonts w:hint="eastAsia"/>
          <w:vertAlign w:val="superscript"/>
          <w:lang w:val="en-US"/>
        </w:rPr>
        <w:t>3</w:t>
      </w:r>
      <w:r>
        <w:rPr>
          <w:rFonts w:hint="eastAsia"/>
          <w:lang w:val="en-US"/>
        </w:rPr>
        <w:t>（61m</w:t>
      </w:r>
      <w:r>
        <w:rPr>
          <w:rFonts w:hint="eastAsia"/>
          <w:vertAlign w:val="superscript"/>
          <w:lang w:val="en-US"/>
        </w:rPr>
        <w:t>3</w:t>
      </w:r>
      <w:r>
        <w:rPr>
          <w:rFonts w:hint="eastAsia"/>
          <w:lang w:val="en-US"/>
        </w:rPr>
        <w:t>×1000/5000）；本次环评燃油密度按照0.85t/m</w:t>
      </w:r>
      <w:r>
        <w:rPr>
          <w:rFonts w:hint="eastAsia"/>
          <w:vertAlign w:val="superscript"/>
          <w:lang w:val="en-US"/>
        </w:rPr>
        <w:t>3</w:t>
      </w:r>
      <w:r>
        <w:rPr>
          <w:rFonts w:hint="eastAsia"/>
          <w:lang w:val="en-US"/>
        </w:rPr>
        <w:t>计，则3个1000吨级散货船携带燃油总量为232.05t，燃油油舱单舱燃油质量为10.2t。</w:t>
      </w:r>
    </w:p>
    <w:p w14:paraId="3CAC0C17">
      <w:pPr>
        <w:pStyle w:val="93"/>
        <w:rPr>
          <w:lang w:val="en-US"/>
        </w:rPr>
      </w:pPr>
      <w:r>
        <w:rPr>
          <w:rFonts w:hint="eastAsia"/>
          <w:lang w:val="en-US"/>
        </w:rPr>
        <w:t>涉及的危险物质的最大存在总量与其在附录B中对应临界量的比值计算Q，判定情况见表2.4-9。</w:t>
      </w:r>
    </w:p>
    <w:p w14:paraId="2F58989C">
      <w:pPr>
        <w:pStyle w:val="86"/>
      </w:pPr>
      <w:r>
        <w:rPr>
          <w:rFonts w:hint="eastAsia"/>
        </w:rPr>
        <w:t>建设项目风险物质Q值情况（运行期）</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2466"/>
        <w:gridCol w:w="995"/>
        <w:gridCol w:w="2220"/>
        <w:gridCol w:w="1485"/>
        <w:gridCol w:w="1380"/>
      </w:tblGrid>
      <w:tr w14:paraId="3D01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79" w:type="dxa"/>
            <w:vAlign w:val="center"/>
          </w:tcPr>
          <w:p w14:paraId="74E372BC">
            <w:pPr>
              <w:pStyle w:val="196"/>
            </w:pPr>
            <w:r>
              <w:rPr>
                <w:rFonts w:hint="eastAsia"/>
              </w:rPr>
              <w:t>序号</w:t>
            </w:r>
          </w:p>
        </w:tc>
        <w:tc>
          <w:tcPr>
            <w:tcW w:w="2263" w:type="dxa"/>
            <w:vAlign w:val="center"/>
          </w:tcPr>
          <w:p w14:paraId="54B57CDF">
            <w:pPr>
              <w:pStyle w:val="196"/>
            </w:pPr>
            <w:r>
              <w:rPr>
                <w:rFonts w:hint="eastAsia"/>
              </w:rPr>
              <w:t>危险物质名称</w:t>
            </w:r>
          </w:p>
        </w:tc>
        <w:tc>
          <w:tcPr>
            <w:tcW w:w="913" w:type="dxa"/>
            <w:vAlign w:val="center"/>
          </w:tcPr>
          <w:p w14:paraId="51846A7A">
            <w:pPr>
              <w:pStyle w:val="196"/>
            </w:pPr>
            <w:r>
              <w:rPr>
                <w:rFonts w:hint="eastAsia"/>
              </w:rPr>
              <w:t>CAS号</w:t>
            </w:r>
          </w:p>
        </w:tc>
        <w:tc>
          <w:tcPr>
            <w:tcW w:w="2037" w:type="dxa"/>
            <w:vAlign w:val="center"/>
          </w:tcPr>
          <w:p w14:paraId="5FF5A0A3">
            <w:pPr>
              <w:pStyle w:val="196"/>
            </w:pPr>
            <w:r>
              <w:rPr>
                <w:rFonts w:hint="eastAsia"/>
              </w:rPr>
              <w:t>最大存在总量qn/t</w:t>
            </w:r>
          </w:p>
        </w:tc>
        <w:tc>
          <w:tcPr>
            <w:tcW w:w="1363" w:type="dxa"/>
            <w:vAlign w:val="center"/>
          </w:tcPr>
          <w:p w14:paraId="6D2070A4">
            <w:pPr>
              <w:pStyle w:val="196"/>
            </w:pPr>
            <w:r>
              <w:rPr>
                <w:rFonts w:hint="eastAsia"/>
              </w:rPr>
              <w:t>临界量Qn/t</w:t>
            </w:r>
          </w:p>
        </w:tc>
        <w:tc>
          <w:tcPr>
            <w:tcW w:w="1266" w:type="dxa"/>
            <w:vAlign w:val="center"/>
          </w:tcPr>
          <w:p w14:paraId="108E4535">
            <w:pPr>
              <w:pStyle w:val="196"/>
            </w:pPr>
            <w:r>
              <w:rPr>
                <w:rFonts w:hint="eastAsia"/>
              </w:rPr>
              <w:t>该种危险物质Q值</w:t>
            </w:r>
          </w:p>
        </w:tc>
      </w:tr>
      <w:tr w14:paraId="11B5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14:paraId="070A0893">
            <w:pPr>
              <w:pStyle w:val="196"/>
            </w:pPr>
            <w:r>
              <w:rPr>
                <w:rFonts w:hint="eastAsia"/>
              </w:rPr>
              <w:t>1</w:t>
            </w:r>
          </w:p>
        </w:tc>
        <w:tc>
          <w:tcPr>
            <w:tcW w:w="2263" w:type="dxa"/>
            <w:vAlign w:val="center"/>
          </w:tcPr>
          <w:p w14:paraId="26F79624">
            <w:pPr>
              <w:pStyle w:val="196"/>
            </w:pPr>
            <w:r>
              <w:rPr>
                <w:rFonts w:hint="eastAsia"/>
              </w:rPr>
              <w:t>油类物质（船用燃油）</w:t>
            </w:r>
          </w:p>
        </w:tc>
        <w:tc>
          <w:tcPr>
            <w:tcW w:w="913" w:type="dxa"/>
            <w:vAlign w:val="center"/>
          </w:tcPr>
          <w:p w14:paraId="0347B966">
            <w:pPr>
              <w:pStyle w:val="196"/>
            </w:pPr>
            <w:r>
              <w:rPr>
                <w:rFonts w:hint="eastAsia"/>
              </w:rPr>
              <w:t>/</w:t>
            </w:r>
          </w:p>
        </w:tc>
        <w:tc>
          <w:tcPr>
            <w:tcW w:w="2037" w:type="dxa"/>
            <w:vAlign w:val="center"/>
          </w:tcPr>
          <w:p w14:paraId="71A03B1E">
            <w:pPr>
              <w:pStyle w:val="196"/>
            </w:pPr>
            <w:r>
              <w:rPr>
                <w:rFonts w:hint="eastAsia"/>
              </w:rPr>
              <w:t>232.05</w:t>
            </w:r>
          </w:p>
        </w:tc>
        <w:tc>
          <w:tcPr>
            <w:tcW w:w="1363" w:type="dxa"/>
            <w:vAlign w:val="center"/>
          </w:tcPr>
          <w:p w14:paraId="2B08EF87">
            <w:pPr>
              <w:pStyle w:val="196"/>
            </w:pPr>
            <w:r>
              <w:rPr>
                <w:rFonts w:hint="eastAsia"/>
              </w:rPr>
              <w:t>2500</w:t>
            </w:r>
          </w:p>
        </w:tc>
        <w:tc>
          <w:tcPr>
            <w:tcW w:w="1266" w:type="dxa"/>
            <w:vAlign w:val="center"/>
          </w:tcPr>
          <w:p w14:paraId="10D9E1BE">
            <w:pPr>
              <w:pStyle w:val="196"/>
            </w:pPr>
            <w:r>
              <w:rPr>
                <w:rFonts w:hint="eastAsia"/>
              </w:rPr>
              <w:t>0.0928</w:t>
            </w:r>
          </w:p>
        </w:tc>
      </w:tr>
      <w:tr w14:paraId="108C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9" w:type="dxa"/>
            <w:vAlign w:val="center"/>
          </w:tcPr>
          <w:p w14:paraId="0A2D8C4A">
            <w:pPr>
              <w:pStyle w:val="196"/>
            </w:pPr>
            <w:r>
              <w:rPr>
                <w:rFonts w:hint="eastAsia"/>
              </w:rPr>
              <w:t>2</w:t>
            </w:r>
          </w:p>
        </w:tc>
        <w:tc>
          <w:tcPr>
            <w:tcW w:w="2263" w:type="dxa"/>
            <w:vAlign w:val="center"/>
          </w:tcPr>
          <w:p w14:paraId="106BA264">
            <w:pPr>
              <w:pStyle w:val="196"/>
            </w:pPr>
            <w:r>
              <w:rPr>
                <w:rFonts w:hint="eastAsia"/>
              </w:rPr>
              <w:t>废油</w:t>
            </w:r>
          </w:p>
        </w:tc>
        <w:tc>
          <w:tcPr>
            <w:tcW w:w="913" w:type="dxa"/>
            <w:vAlign w:val="center"/>
          </w:tcPr>
          <w:p w14:paraId="0C418FF4">
            <w:pPr>
              <w:pStyle w:val="196"/>
            </w:pPr>
            <w:r>
              <w:rPr>
                <w:rFonts w:hint="eastAsia"/>
              </w:rPr>
              <w:t>/</w:t>
            </w:r>
          </w:p>
        </w:tc>
        <w:tc>
          <w:tcPr>
            <w:tcW w:w="2037" w:type="dxa"/>
            <w:vAlign w:val="center"/>
          </w:tcPr>
          <w:p w14:paraId="4A3C2AE7">
            <w:pPr>
              <w:pStyle w:val="196"/>
            </w:pPr>
            <w:r>
              <w:rPr>
                <w:rFonts w:hint="eastAsia"/>
              </w:rPr>
              <w:t>2.3</w:t>
            </w:r>
          </w:p>
        </w:tc>
        <w:tc>
          <w:tcPr>
            <w:tcW w:w="1363" w:type="dxa"/>
            <w:vAlign w:val="center"/>
          </w:tcPr>
          <w:p w14:paraId="0146C0A8">
            <w:pPr>
              <w:pStyle w:val="196"/>
            </w:pPr>
            <w:r>
              <w:rPr>
                <w:rFonts w:hint="eastAsia"/>
              </w:rPr>
              <w:t>50</w:t>
            </w:r>
          </w:p>
        </w:tc>
        <w:tc>
          <w:tcPr>
            <w:tcW w:w="1266" w:type="dxa"/>
            <w:vAlign w:val="center"/>
          </w:tcPr>
          <w:p w14:paraId="12598D41">
            <w:pPr>
              <w:pStyle w:val="196"/>
            </w:pPr>
            <w:r>
              <w:rPr>
                <w:rFonts w:hint="eastAsia"/>
              </w:rPr>
              <w:t>0.046</w:t>
            </w:r>
          </w:p>
        </w:tc>
      </w:tr>
      <w:tr w14:paraId="2414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5" w:type="dxa"/>
            <w:gridSpan w:val="5"/>
            <w:vAlign w:val="center"/>
          </w:tcPr>
          <w:p w14:paraId="00014A8D">
            <w:pPr>
              <w:pStyle w:val="196"/>
            </w:pPr>
            <w:r>
              <w:rPr>
                <w:rFonts w:hint="eastAsia"/>
              </w:rPr>
              <w:t>项目Q值</w:t>
            </w:r>
          </w:p>
        </w:tc>
        <w:tc>
          <w:tcPr>
            <w:tcW w:w="1266" w:type="dxa"/>
            <w:vAlign w:val="center"/>
          </w:tcPr>
          <w:p w14:paraId="4C95A62D">
            <w:pPr>
              <w:pStyle w:val="196"/>
            </w:pPr>
            <w:r>
              <w:rPr>
                <w:rFonts w:hint="eastAsia"/>
              </w:rPr>
              <w:t>0.1388</w:t>
            </w:r>
          </w:p>
        </w:tc>
      </w:tr>
    </w:tbl>
    <w:p w14:paraId="5229FF59">
      <w:pPr>
        <w:pStyle w:val="93"/>
        <w:rPr>
          <w:lang w:val="en-US"/>
        </w:rPr>
      </w:pPr>
      <w:r>
        <w:rPr>
          <w:rFonts w:hint="eastAsia"/>
          <w:lang w:val="en-US"/>
        </w:rPr>
        <w:t>根据核算，本项目营运期涉及的危险物质总量与其临界量比值为0.1388（Q＜1）。</w:t>
      </w:r>
    </w:p>
    <w:p w14:paraId="3035E887">
      <w:pPr>
        <w:pStyle w:val="93"/>
        <w:rPr>
          <w:lang w:val="en-US"/>
        </w:rPr>
      </w:pPr>
      <w:r>
        <w:rPr>
          <w:rFonts w:hint="eastAsia"/>
          <w:lang w:val="en-US"/>
        </w:rPr>
        <w:t>2、环境风险潜势划分</w:t>
      </w:r>
    </w:p>
    <w:p w14:paraId="1F264BCD">
      <w:pPr>
        <w:pStyle w:val="93"/>
        <w:rPr>
          <w:lang w:val="en-US"/>
        </w:rPr>
      </w:pPr>
      <w:r>
        <w:rPr>
          <w:rFonts w:hint="eastAsia"/>
          <w:lang w:val="en-US"/>
        </w:rPr>
        <w:t>根据《建设项目环境风险评价技术导则》（HJ169-2018）附录C，本项目施工期Q=0.0156（Q＜1）、营运期间Q=0.1388（Q＜1），项目环境风险潜势为Ⅰ。</w:t>
      </w:r>
    </w:p>
    <w:p w14:paraId="1B36B943">
      <w:pPr>
        <w:pStyle w:val="93"/>
        <w:rPr>
          <w:lang w:val="en-US"/>
        </w:rPr>
      </w:pPr>
      <w:r>
        <w:rPr>
          <w:rFonts w:hint="eastAsia"/>
          <w:lang w:val="en-US"/>
        </w:rPr>
        <w:t>3、环境风险评价等级判定</w:t>
      </w:r>
    </w:p>
    <w:p w14:paraId="1D6E0540">
      <w:pPr>
        <w:pStyle w:val="93"/>
        <w:rPr>
          <w:lang w:val="en-US"/>
        </w:rPr>
      </w:pPr>
      <w:r>
        <w:rPr>
          <w:rFonts w:hint="eastAsia"/>
          <w:lang w:val="en-US"/>
        </w:rPr>
        <w:t>根据风险潜势确定评价工作等级，项目风险潜势为Ⅰ，对照表2.4-10，本项目环境风险评价</w:t>
      </w:r>
      <w:r>
        <w:rPr>
          <w:rFonts w:hint="eastAsia"/>
          <w:lang w:val="en-US" w:eastAsia="zh-CN"/>
        </w:rPr>
        <w:t>进行</w:t>
      </w:r>
      <w:r>
        <w:rPr>
          <w:rFonts w:hint="eastAsia"/>
          <w:lang w:val="en-US"/>
        </w:rPr>
        <w:t>简单分析。</w:t>
      </w:r>
    </w:p>
    <w:p w14:paraId="20CC2DC9">
      <w:pPr>
        <w:pStyle w:val="86"/>
      </w:pPr>
      <w:r>
        <w:rPr>
          <w:rFonts w:hint="eastAsia"/>
        </w:rPr>
        <w:t>环境风险综合评级工作等级划分</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8"/>
        <w:gridCol w:w="1476"/>
        <w:gridCol w:w="1751"/>
        <w:gridCol w:w="1769"/>
        <w:gridCol w:w="1799"/>
      </w:tblGrid>
      <w:tr w14:paraId="3473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vAlign w:val="center"/>
          </w:tcPr>
          <w:p w14:paraId="54054113">
            <w:pPr>
              <w:pStyle w:val="196"/>
            </w:pPr>
            <w:r>
              <w:rPr>
                <w:rFonts w:hint="eastAsia"/>
              </w:rPr>
              <w:t>环境风险潜势</w:t>
            </w:r>
          </w:p>
        </w:tc>
        <w:tc>
          <w:tcPr>
            <w:tcW w:w="795" w:type="pct"/>
            <w:vAlign w:val="center"/>
          </w:tcPr>
          <w:p w14:paraId="689E5390">
            <w:pPr>
              <w:pStyle w:val="196"/>
            </w:pPr>
            <w:r>
              <w:rPr>
                <w:rFonts w:hint="eastAsia"/>
              </w:rPr>
              <w:t>Ⅳ、Ⅳ+</w:t>
            </w:r>
          </w:p>
        </w:tc>
        <w:tc>
          <w:tcPr>
            <w:tcW w:w="943" w:type="pct"/>
            <w:vAlign w:val="center"/>
          </w:tcPr>
          <w:p w14:paraId="1CF8971A">
            <w:pPr>
              <w:pStyle w:val="196"/>
            </w:pPr>
            <w:r>
              <w:rPr>
                <w:rFonts w:hint="eastAsia"/>
              </w:rPr>
              <w:t>Ⅲ</w:t>
            </w:r>
          </w:p>
        </w:tc>
        <w:tc>
          <w:tcPr>
            <w:tcW w:w="953" w:type="pct"/>
            <w:vAlign w:val="center"/>
          </w:tcPr>
          <w:p w14:paraId="07C9877B">
            <w:pPr>
              <w:pStyle w:val="196"/>
            </w:pPr>
            <w:r>
              <w:rPr>
                <w:rFonts w:hint="eastAsia"/>
              </w:rPr>
              <w:t>Ⅱ</w:t>
            </w:r>
          </w:p>
        </w:tc>
        <w:tc>
          <w:tcPr>
            <w:tcW w:w="966" w:type="pct"/>
            <w:shd w:val="clear" w:color="auto" w:fill="7F7F7F"/>
            <w:vAlign w:val="center"/>
          </w:tcPr>
          <w:p w14:paraId="595F34A7">
            <w:pPr>
              <w:pStyle w:val="196"/>
            </w:pPr>
            <w:r>
              <w:rPr>
                <w:rFonts w:hint="eastAsia"/>
              </w:rPr>
              <w:t>Ⅰ</w:t>
            </w:r>
          </w:p>
        </w:tc>
      </w:tr>
      <w:tr w14:paraId="054E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pct"/>
            <w:vAlign w:val="center"/>
          </w:tcPr>
          <w:p w14:paraId="57FEA421">
            <w:pPr>
              <w:pStyle w:val="196"/>
            </w:pPr>
            <w:r>
              <w:rPr>
                <w:rFonts w:hint="eastAsia"/>
              </w:rPr>
              <w:t>评价工作等级</w:t>
            </w:r>
          </w:p>
        </w:tc>
        <w:tc>
          <w:tcPr>
            <w:tcW w:w="795" w:type="pct"/>
            <w:vAlign w:val="center"/>
          </w:tcPr>
          <w:p w14:paraId="5EEB79AD">
            <w:pPr>
              <w:pStyle w:val="196"/>
            </w:pPr>
            <w:r>
              <w:rPr>
                <w:rFonts w:hint="eastAsia"/>
              </w:rPr>
              <w:t>一</w:t>
            </w:r>
          </w:p>
        </w:tc>
        <w:tc>
          <w:tcPr>
            <w:tcW w:w="943" w:type="pct"/>
            <w:vAlign w:val="center"/>
          </w:tcPr>
          <w:p w14:paraId="0AA7CD13">
            <w:pPr>
              <w:pStyle w:val="196"/>
            </w:pPr>
            <w:r>
              <w:rPr>
                <w:rFonts w:hint="eastAsia"/>
              </w:rPr>
              <w:t>二</w:t>
            </w:r>
          </w:p>
        </w:tc>
        <w:tc>
          <w:tcPr>
            <w:tcW w:w="953" w:type="pct"/>
            <w:vAlign w:val="center"/>
          </w:tcPr>
          <w:p w14:paraId="6273029B">
            <w:pPr>
              <w:pStyle w:val="196"/>
            </w:pPr>
            <w:r>
              <w:rPr>
                <w:rFonts w:hint="eastAsia"/>
              </w:rPr>
              <w:t>三</w:t>
            </w:r>
          </w:p>
        </w:tc>
        <w:tc>
          <w:tcPr>
            <w:tcW w:w="966" w:type="pct"/>
            <w:shd w:val="clear" w:color="auto" w:fill="7F7F7F"/>
            <w:vAlign w:val="center"/>
          </w:tcPr>
          <w:p w14:paraId="7137D0B1">
            <w:pPr>
              <w:pStyle w:val="196"/>
            </w:pPr>
            <w:r>
              <w:rPr>
                <w:rFonts w:hint="eastAsia"/>
              </w:rPr>
              <w:t>简单分析a</w:t>
            </w:r>
          </w:p>
        </w:tc>
      </w:tr>
      <w:tr w14:paraId="46C6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1F8B86FF">
            <w:pPr>
              <w:pStyle w:val="196"/>
              <w:jc w:val="left"/>
              <w:rPr>
                <w:lang w:val="en-US"/>
              </w:rPr>
            </w:pPr>
            <w:r>
              <w:rPr>
                <w:rFonts w:hint="eastAsia"/>
                <w:lang w:val="en-US"/>
              </w:rPr>
              <w:t>a是相对于详细评价工作内容而言，在描述危险物质、环境影响途径、环境危害后果、风险防范措施等方面给出定性的说明。</w:t>
            </w:r>
          </w:p>
        </w:tc>
      </w:tr>
    </w:tbl>
    <w:p w14:paraId="4BF18044">
      <w:pPr>
        <w:pStyle w:val="93"/>
        <w:rPr>
          <w:lang w:val="en-US"/>
        </w:rPr>
      </w:pPr>
      <w:r>
        <w:rPr>
          <w:rFonts w:hint="eastAsia"/>
          <w:lang w:val="en-US"/>
        </w:rPr>
        <w:t>考虑到新建码头项目紧邻盐河，盐河水质目标为Ⅲ类，因此对船舶突发性溢油事故造成的地表水环境影响进行预测评价。</w:t>
      </w:r>
    </w:p>
    <w:p w14:paraId="0AD29902">
      <w:pPr>
        <w:pStyle w:val="84"/>
      </w:pPr>
      <w:r>
        <w:rPr>
          <w:rFonts w:hint="eastAsia"/>
        </w:rPr>
        <w:t>生态环境评价工作等级</w:t>
      </w:r>
    </w:p>
    <w:p w14:paraId="4C448F35">
      <w:pPr>
        <w:pStyle w:val="93"/>
        <w:rPr>
          <w:bCs/>
          <w:lang w:val="en-US"/>
        </w:rPr>
      </w:pPr>
      <w:r>
        <w:rPr>
          <w:rFonts w:hint="eastAsia"/>
          <w:lang w:val="en-US"/>
        </w:rPr>
        <w:t>本项目为国能涟水一期热电联产项目配套码头工程，在国能涟水热电联产项目厂区内进行扩建。根据《环境影响评价技术导则 生态影响》（HJ19-2022），并参考《水运工程建设项目环境影响评价指南》（JTS/T105-2021），分别对陆生生态、水生生态进行评价等级判定如下，详见</w:t>
      </w:r>
      <w:r>
        <w:rPr>
          <w:rFonts w:hint="eastAsia"/>
          <w:bCs/>
          <w:lang w:val="en-US"/>
        </w:rPr>
        <w:t>表2.4-11和</w:t>
      </w:r>
      <w:r>
        <w:rPr>
          <w:rFonts w:hint="eastAsia"/>
          <w:lang w:val="en-US"/>
        </w:rPr>
        <w:t>表</w:t>
      </w:r>
      <w:r>
        <w:rPr>
          <w:rFonts w:hint="eastAsia"/>
          <w:bCs/>
          <w:lang w:val="en-US"/>
        </w:rPr>
        <w:t>2.4-12。</w:t>
      </w:r>
    </w:p>
    <w:p w14:paraId="7D36C7E8">
      <w:pPr>
        <w:pStyle w:val="86"/>
      </w:pPr>
      <w:r>
        <w:rPr>
          <w:rFonts w:hint="eastAsia"/>
        </w:rPr>
        <w:t>生态环境影响评价项目类别表</w:t>
      </w:r>
    </w:p>
    <w:tbl>
      <w:tblPr>
        <w:tblStyle w:val="3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7"/>
        <w:gridCol w:w="3028"/>
        <w:gridCol w:w="3602"/>
        <w:gridCol w:w="1329"/>
      </w:tblGrid>
      <w:tr w14:paraId="5894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399FFF73">
            <w:pPr>
              <w:pStyle w:val="196"/>
            </w:pPr>
            <w:r>
              <w:rPr>
                <w:rFonts w:hint="eastAsia"/>
              </w:rPr>
              <w:t>评价原则</w:t>
            </w:r>
          </w:p>
        </w:tc>
        <w:tc>
          <w:tcPr>
            <w:tcW w:w="1632" w:type="pct"/>
            <w:vAlign w:val="center"/>
          </w:tcPr>
          <w:p w14:paraId="4A17B578">
            <w:pPr>
              <w:pStyle w:val="196"/>
            </w:pPr>
            <w:r>
              <w:rPr>
                <w:rFonts w:hint="eastAsia"/>
              </w:rPr>
              <w:t>原则内容</w:t>
            </w:r>
          </w:p>
        </w:tc>
        <w:tc>
          <w:tcPr>
            <w:tcW w:w="1941" w:type="pct"/>
            <w:vAlign w:val="center"/>
          </w:tcPr>
          <w:p w14:paraId="0A999C81">
            <w:pPr>
              <w:pStyle w:val="196"/>
            </w:pPr>
            <w:r>
              <w:rPr>
                <w:rFonts w:hint="eastAsia"/>
              </w:rPr>
              <w:t>本项目情况</w:t>
            </w:r>
          </w:p>
        </w:tc>
        <w:tc>
          <w:tcPr>
            <w:tcW w:w="716" w:type="pct"/>
            <w:vAlign w:val="center"/>
          </w:tcPr>
          <w:p w14:paraId="4215C785">
            <w:pPr>
              <w:pStyle w:val="196"/>
            </w:pPr>
            <w:r>
              <w:rPr>
                <w:rFonts w:hint="eastAsia"/>
              </w:rPr>
              <w:t>符合情况</w:t>
            </w:r>
          </w:p>
        </w:tc>
      </w:tr>
      <w:tr w14:paraId="5C6B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45564431">
            <w:pPr>
              <w:pStyle w:val="196"/>
            </w:pPr>
            <w:r>
              <w:rPr>
                <w:rFonts w:hint="eastAsia"/>
              </w:rPr>
              <w:t>a</w:t>
            </w:r>
          </w:p>
        </w:tc>
        <w:tc>
          <w:tcPr>
            <w:tcW w:w="1632" w:type="pct"/>
            <w:vAlign w:val="center"/>
          </w:tcPr>
          <w:p w14:paraId="1982ED36">
            <w:pPr>
              <w:pStyle w:val="196"/>
            </w:pPr>
            <w:r>
              <w:rPr>
                <w:rFonts w:hint="eastAsia"/>
              </w:rPr>
              <w:t>涉及国家公园、自然保护区、世界自然遗产、重要生境时，评价等级为一级</w:t>
            </w:r>
          </w:p>
        </w:tc>
        <w:tc>
          <w:tcPr>
            <w:tcW w:w="1941" w:type="pct"/>
            <w:vAlign w:val="center"/>
          </w:tcPr>
          <w:p w14:paraId="4ED2E930">
            <w:pPr>
              <w:pStyle w:val="196"/>
            </w:pPr>
            <w:r>
              <w:rPr>
                <w:rFonts w:hint="eastAsia"/>
              </w:rPr>
              <w:t>本项目为码头项目，本项目不涉及国家公园、自然保护区、世界自然遗产、重要生境</w:t>
            </w:r>
          </w:p>
        </w:tc>
        <w:tc>
          <w:tcPr>
            <w:tcW w:w="716" w:type="pct"/>
            <w:vAlign w:val="center"/>
          </w:tcPr>
          <w:p w14:paraId="0C48B59A">
            <w:pPr>
              <w:pStyle w:val="196"/>
            </w:pPr>
            <w:r>
              <w:rPr>
                <w:rFonts w:hint="eastAsia"/>
              </w:rPr>
              <w:t>不属于</w:t>
            </w:r>
          </w:p>
        </w:tc>
      </w:tr>
      <w:tr w14:paraId="39CA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0" w:type="pct"/>
            <w:vAlign w:val="center"/>
          </w:tcPr>
          <w:p w14:paraId="228BBDDC">
            <w:pPr>
              <w:pStyle w:val="196"/>
            </w:pPr>
            <w:r>
              <w:rPr>
                <w:rFonts w:hint="eastAsia"/>
              </w:rPr>
              <w:t>b</w:t>
            </w:r>
          </w:p>
        </w:tc>
        <w:tc>
          <w:tcPr>
            <w:tcW w:w="1632" w:type="pct"/>
            <w:vAlign w:val="center"/>
          </w:tcPr>
          <w:p w14:paraId="65FF6362">
            <w:pPr>
              <w:pStyle w:val="196"/>
            </w:pPr>
            <w:r>
              <w:rPr>
                <w:rFonts w:hint="eastAsia"/>
              </w:rPr>
              <w:t>涉及自然公园时，评价等级为二级</w:t>
            </w:r>
          </w:p>
        </w:tc>
        <w:tc>
          <w:tcPr>
            <w:tcW w:w="1941" w:type="pct"/>
            <w:vAlign w:val="center"/>
          </w:tcPr>
          <w:p w14:paraId="119484DD">
            <w:pPr>
              <w:pStyle w:val="196"/>
            </w:pPr>
            <w:r>
              <w:rPr>
                <w:rFonts w:hint="eastAsia"/>
              </w:rPr>
              <w:t>本项目不涉及自然公园</w:t>
            </w:r>
          </w:p>
        </w:tc>
        <w:tc>
          <w:tcPr>
            <w:tcW w:w="716" w:type="pct"/>
            <w:vAlign w:val="center"/>
          </w:tcPr>
          <w:p w14:paraId="09B9D919">
            <w:pPr>
              <w:pStyle w:val="196"/>
            </w:pPr>
            <w:r>
              <w:rPr>
                <w:rFonts w:hint="eastAsia"/>
              </w:rPr>
              <w:t>不属于</w:t>
            </w:r>
          </w:p>
        </w:tc>
      </w:tr>
      <w:tr w14:paraId="3CDE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1E2581C6">
            <w:pPr>
              <w:pStyle w:val="196"/>
            </w:pPr>
            <w:r>
              <w:rPr>
                <w:rFonts w:hint="eastAsia"/>
              </w:rPr>
              <w:t>c</w:t>
            </w:r>
          </w:p>
        </w:tc>
        <w:tc>
          <w:tcPr>
            <w:tcW w:w="1632" w:type="pct"/>
            <w:vAlign w:val="center"/>
          </w:tcPr>
          <w:p w14:paraId="1FF044BA">
            <w:pPr>
              <w:pStyle w:val="196"/>
            </w:pPr>
            <w:r>
              <w:rPr>
                <w:rFonts w:hint="eastAsia"/>
              </w:rPr>
              <w:t>涉及生态保护红线时，评价等级不低于二级</w:t>
            </w:r>
          </w:p>
        </w:tc>
        <w:tc>
          <w:tcPr>
            <w:tcW w:w="1941" w:type="pct"/>
            <w:vAlign w:val="center"/>
          </w:tcPr>
          <w:p w14:paraId="5F894519">
            <w:pPr>
              <w:pStyle w:val="196"/>
            </w:pPr>
            <w:r>
              <w:rPr>
                <w:rFonts w:hint="eastAsia"/>
              </w:rPr>
              <w:t>本项目评价范围内不涉及生态红线区</w:t>
            </w:r>
          </w:p>
        </w:tc>
        <w:tc>
          <w:tcPr>
            <w:tcW w:w="716" w:type="pct"/>
            <w:vAlign w:val="center"/>
          </w:tcPr>
          <w:p w14:paraId="302CAC65">
            <w:pPr>
              <w:pStyle w:val="196"/>
            </w:pPr>
            <w:r>
              <w:rPr>
                <w:rFonts w:hint="eastAsia"/>
              </w:rPr>
              <w:t>不属于</w:t>
            </w:r>
          </w:p>
        </w:tc>
      </w:tr>
      <w:tr w14:paraId="5F88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3C80D990">
            <w:pPr>
              <w:pStyle w:val="196"/>
            </w:pPr>
            <w:r>
              <w:rPr>
                <w:rFonts w:hint="eastAsia"/>
              </w:rPr>
              <w:t>d</w:t>
            </w:r>
          </w:p>
        </w:tc>
        <w:tc>
          <w:tcPr>
            <w:tcW w:w="1632" w:type="pct"/>
            <w:vAlign w:val="center"/>
          </w:tcPr>
          <w:p w14:paraId="362743E7">
            <w:pPr>
              <w:pStyle w:val="196"/>
            </w:pPr>
            <w:r>
              <w:rPr>
                <w:rFonts w:hint="eastAsia"/>
              </w:rPr>
              <w:t>根据HJ 2.3判断属于水文要素影响型且地表水评价等级不低于二级的建设项目，生态影响评价等级不低于二级</w:t>
            </w:r>
          </w:p>
        </w:tc>
        <w:tc>
          <w:tcPr>
            <w:tcW w:w="1941" w:type="pct"/>
            <w:vAlign w:val="center"/>
          </w:tcPr>
          <w:p w14:paraId="1B64BF8D">
            <w:pPr>
              <w:pStyle w:val="196"/>
            </w:pPr>
            <w:r>
              <w:rPr>
                <w:rFonts w:hint="eastAsia"/>
              </w:rPr>
              <w:t>本项目为码头工程，属于水污染影响型和水文要素影响型兼有的复合影响型。项目地表水评价等级为水污染影响型三级B和水文要素影响型三级</w:t>
            </w:r>
          </w:p>
        </w:tc>
        <w:tc>
          <w:tcPr>
            <w:tcW w:w="716" w:type="pct"/>
            <w:vAlign w:val="center"/>
          </w:tcPr>
          <w:p w14:paraId="03153468">
            <w:pPr>
              <w:pStyle w:val="196"/>
            </w:pPr>
            <w:r>
              <w:rPr>
                <w:rFonts w:hint="eastAsia"/>
              </w:rPr>
              <w:t>不属于</w:t>
            </w:r>
          </w:p>
        </w:tc>
      </w:tr>
      <w:tr w14:paraId="1719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050F3C3C">
            <w:pPr>
              <w:pStyle w:val="196"/>
            </w:pPr>
            <w:r>
              <w:rPr>
                <w:rFonts w:hint="eastAsia"/>
              </w:rPr>
              <w:t>e</w:t>
            </w:r>
          </w:p>
        </w:tc>
        <w:tc>
          <w:tcPr>
            <w:tcW w:w="1632" w:type="pct"/>
            <w:vAlign w:val="center"/>
          </w:tcPr>
          <w:p w14:paraId="3486782E">
            <w:pPr>
              <w:pStyle w:val="196"/>
            </w:pPr>
            <w:r>
              <w:rPr>
                <w:rFonts w:hint="eastAsia"/>
              </w:rPr>
              <w:t>根据HJ610、HJ964判断地下水水位或土壤影响范围内分布有天然林、公益林、湿地等生态保护目标的建设项目，生态影响评价等级不低于二级</w:t>
            </w:r>
          </w:p>
        </w:tc>
        <w:tc>
          <w:tcPr>
            <w:tcW w:w="1941" w:type="pct"/>
            <w:vAlign w:val="center"/>
          </w:tcPr>
          <w:p w14:paraId="25BD40E6">
            <w:pPr>
              <w:pStyle w:val="196"/>
            </w:pPr>
            <w:r>
              <w:rPr>
                <w:rFonts w:hint="eastAsia"/>
              </w:rPr>
              <w:t>根据《环境影响评价技术导则土壤环境（试行）》（HJ964-2018）、《环境影响评价技术导则 地下水环境》（HJ610-2016），建设项目地下水和土壤环境影响评价类别为Ⅳ类，可不开展土壤和地下水环境影响评价，且本项目用地范围内无天然林、公益林、湿地等生态保护目标</w:t>
            </w:r>
          </w:p>
        </w:tc>
        <w:tc>
          <w:tcPr>
            <w:tcW w:w="716" w:type="pct"/>
            <w:vAlign w:val="center"/>
          </w:tcPr>
          <w:p w14:paraId="686F7644">
            <w:pPr>
              <w:pStyle w:val="196"/>
            </w:pPr>
            <w:r>
              <w:rPr>
                <w:rFonts w:hint="eastAsia"/>
              </w:rPr>
              <w:t>不属于</w:t>
            </w:r>
          </w:p>
        </w:tc>
      </w:tr>
      <w:tr w14:paraId="7EFE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vAlign w:val="center"/>
          </w:tcPr>
          <w:p w14:paraId="378E89C1">
            <w:pPr>
              <w:pStyle w:val="196"/>
            </w:pPr>
            <w:r>
              <w:rPr>
                <w:rFonts w:hint="eastAsia"/>
              </w:rPr>
              <w:t>f</w:t>
            </w:r>
          </w:p>
        </w:tc>
        <w:tc>
          <w:tcPr>
            <w:tcW w:w="1632" w:type="pct"/>
            <w:vAlign w:val="center"/>
          </w:tcPr>
          <w:p w14:paraId="7247912B">
            <w:pPr>
              <w:pStyle w:val="196"/>
            </w:pPr>
            <w:r>
              <w:rPr>
                <w:rFonts w:hint="eastAsia"/>
              </w:rPr>
              <w:t>当工程占地规模大于20km</w:t>
            </w:r>
            <w:r>
              <w:rPr>
                <w:rFonts w:hint="eastAsia"/>
                <w:vertAlign w:val="superscript"/>
              </w:rPr>
              <w:t>2</w:t>
            </w:r>
            <w:r>
              <w:rPr>
                <w:rFonts w:hint="eastAsia"/>
              </w:rPr>
              <w:t>时（包括永久和临时占用陆域和水域），评价等级不低于二级；改扩建项目的占地范围以新增占地（包括陆域和水域）确定</w:t>
            </w:r>
          </w:p>
        </w:tc>
        <w:tc>
          <w:tcPr>
            <w:tcW w:w="1941" w:type="pct"/>
            <w:vAlign w:val="center"/>
          </w:tcPr>
          <w:p w14:paraId="3E991994">
            <w:pPr>
              <w:pStyle w:val="196"/>
            </w:pPr>
            <w:bookmarkStart w:id="86" w:name="_Hlk176767859"/>
            <w:r>
              <w:rPr>
                <w:rFonts w:hint="eastAsia"/>
              </w:rPr>
              <w:t>本项目工程占地规模（包括永久和临时占用陆域和水域）约为0.042km</w:t>
            </w:r>
            <w:r>
              <w:rPr>
                <w:rFonts w:hint="eastAsia"/>
                <w:vertAlign w:val="superscript"/>
              </w:rPr>
              <w:t>2</w:t>
            </w:r>
            <w:r>
              <w:rPr>
                <w:rFonts w:hint="eastAsia"/>
              </w:rPr>
              <w:t>，小于20km</w:t>
            </w:r>
            <w:r>
              <w:rPr>
                <w:rFonts w:hint="eastAsia"/>
                <w:vertAlign w:val="superscript"/>
              </w:rPr>
              <w:t>2</w:t>
            </w:r>
            <w:bookmarkEnd w:id="86"/>
          </w:p>
        </w:tc>
        <w:tc>
          <w:tcPr>
            <w:tcW w:w="716" w:type="pct"/>
            <w:vAlign w:val="center"/>
          </w:tcPr>
          <w:p w14:paraId="12771F74">
            <w:pPr>
              <w:pStyle w:val="196"/>
            </w:pPr>
            <w:r>
              <w:rPr>
                <w:rFonts w:hint="eastAsia"/>
              </w:rPr>
              <w:t>不属于</w:t>
            </w:r>
          </w:p>
        </w:tc>
      </w:tr>
      <w:tr w14:paraId="6D0D1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10" w:type="pct"/>
            <w:shd w:val="clear" w:color="auto" w:fill="BEBEBE"/>
            <w:vAlign w:val="center"/>
          </w:tcPr>
          <w:p w14:paraId="0291296C">
            <w:pPr>
              <w:pStyle w:val="196"/>
            </w:pPr>
            <w:r>
              <w:rPr>
                <w:rFonts w:hint="eastAsia"/>
              </w:rPr>
              <w:t>g</w:t>
            </w:r>
          </w:p>
        </w:tc>
        <w:tc>
          <w:tcPr>
            <w:tcW w:w="1632" w:type="pct"/>
            <w:shd w:val="clear" w:color="auto" w:fill="BEBEBE"/>
            <w:vAlign w:val="center"/>
          </w:tcPr>
          <w:p w14:paraId="15EECA69">
            <w:pPr>
              <w:pStyle w:val="196"/>
            </w:pPr>
            <w:r>
              <w:rPr>
                <w:rFonts w:hint="eastAsia"/>
              </w:rPr>
              <w:t>除本条a）、b）、c）、d）、e）、f）以外的情况</w:t>
            </w:r>
          </w:p>
        </w:tc>
        <w:tc>
          <w:tcPr>
            <w:tcW w:w="1941" w:type="pct"/>
            <w:shd w:val="clear" w:color="auto" w:fill="BEBEBE"/>
            <w:vAlign w:val="center"/>
          </w:tcPr>
          <w:p w14:paraId="04D7DE24">
            <w:pPr>
              <w:pStyle w:val="196"/>
            </w:pPr>
            <w:r>
              <w:rPr>
                <w:rFonts w:hint="eastAsia"/>
              </w:rPr>
              <w:t>本项目为除本条a）、b）、c）、d）、e）、f）以外的情况</w:t>
            </w:r>
          </w:p>
        </w:tc>
        <w:tc>
          <w:tcPr>
            <w:tcW w:w="716" w:type="pct"/>
            <w:shd w:val="clear" w:color="auto" w:fill="BEBEBE"/>
            <w:vAlign w:val="center"/>
          </w:tcPr>
          <w:p w14:paraId="6871B3D6">
            <w:pPr>
              <w:pStyle w:val="196"/>
            </w:pPr>
            <w:r>
              <w:rPr>
                <w:rFonts w:hint="eastAsia"/>
              </w:rPr>
              <w:t>属于</w:t>
            </w:r>
          </w:p>
        </w:tc>
      </w:tr>
    </w:tbl>
    <w:p w14:paraId="79BC767C">
      <w:pPr>
        <w:pStyle w:val="183"/>
        <w:rPr>
          <w:rFonts w:hint="eastAsia"/>
        </w:rPr>
      </w:pPr>
    </w:p>
    <w:p w14:paraId="5A0B6F50">
      <w:pPr>
        <w:pStyle w:val="183"/>
        <w:rPr>
          <w:rFonts w:hint="eastAsia"/>
        </w:rPr>
      </w:pPr>
    </w:p>
    <w:p w14:paraId="296EDA01">
      <w:pPr>
        <w:pStyle w:val="86"/>
      </w:pPr>
      <w:r>
        <w:rPr>
          <w:rFonts w:hint="eastAsia"/>
        </w:rPr>
        <w:t>河港建设项目评价工作等级划分表</w:t>
      </w:r>
    </w:p>
    <w:tbl>
      <w:tblPr>
        <w:tblStyle w:val="3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3029"/>
        <w:gridCol w:w="3602"/>
        <w:gridCol w:w="1329"/>
      </w:tblGrid>
      <w:tr w14:paraId="2992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pct"/>
            <w:vAlign w:val="center"/>
          </w:tcPr>
          <w:p w14:paraId="1CAE1788">
            <w:pPr>
              <w:pStyle w:val="196"/>
            </w:pPr>
            <w:r>
              <w:rPr>
                <w:rFonts w:hint="eastAsia"/>
              </w:rPr>
              <w:t>港口性质</w:t>
            </w:r>
          </w:p>
        </w:tc>
        <w:tc>
          <w:tcPr>
            <w:tcW w:w="1632" w:type="pct"/>
            <w:vAlign w:val="center"/>
          </w:tcPr>
          <w:p w14:paraId="5DC9749A">
            <w:pPr>
              <w:pStyle w:val="196"/>
            </w:pPr>
            <w:r>
              <w:rPr>
                <w:rFonts w:hint="eastAsia"/>
              </w:rPr>
              <w:t>工程特性</w:t>
            </w:r>
          </w:p>
        </w:tc>
        <w:tc>
          <w:tcPr>
            <w:tcW w:w="1941" w:type="pct"/>
            <w:vAlign w:val="center"/>
          </w:tcPr>
          <w:p w14:paraId="148B1AA1">
            <w:pPr>
              <w:pStyle w:val="196"/>
            </w:pPr>
            <w:r>
              <w:rPr>
                <w:rFonts w:hint="eastAsia"/>
              </w:rPr>
              <w:t>影响区域</w:t>
            </w:r>
          </w:p>
        </w:tc>
        <w:tc>
          <w:tcPr>
            <w:tcW w:w="716" w:type="pct"/>
            <w:vAlign w:val="center"/>
          </w:tcPr>
          <w:p w14:paraId="37894E6F">
            <w:pPr>
              <w:pStyle w:val="196"/>
            </w:pPr>
            <w:bookmarkStart w:id="87" w:name="_Hlk178569800"/>
            <w:r>
              <w:rPr>
                <w:rFonts w:hint="eastAsia"/>
              </w:rPr>
              <w:t>生态影响评价等级</w:t>
            </w:r>
            <w:bookmarkEnd w:id="87"/>
          </w:p>
        </w:tc>
      </w:tr>
      <w:tr w14:paraId="10D5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09" w:type="pct"/>
            <w:vMerge w:val="restart"/>
            <w:vAlign w:val="center"/>
          </w:tcPr>
          <w:p w14:paraId="7CA19473">
            <w:pPr>
              <w:pStyle w:val="196"/>
            </w:pPr>
            <w:r>
              <w:rPr>
                <w:rFonts w:hint="eastAsia"/>
              </w:rPr>
              <w:t>干散货码头工程</w:t>
            </w:r>
          </w:p>
        </w:tc>
        <w:tc>
          <w:tcPr>
            <w:tcW w:w="1632" w:type="pct"/>
            <w:vMerge w:val="restart"/>
            <w:vAlign w:val="center"/>
          </w:tcPr>
          <w:p w14:paraId="5DC8F856">
            <w:pPr>
              <w:pStyle w:val="196"/>
            </w:pPr>
            <w:r>
              <w:rPr>
                <w:rFonts w:hint="eastAsia"/>
              </w:rPr>
              <w:t>新开港区</w:t>
            </w:r>
          </w:p>
        </w:tc>
        <w:tc>
          <w:tcPr>
            <w:tcW w:w="1941" w:type="pct"/>
            <w:vAlign w:val="center"/>
          </w:tcPr>
          <w:p w14:paraId="01EBDF20">
            <w:pPr>
              <w:pStyle w:val="196"/>
            </w:pPr>
            <w:r>
              <w:rPr>
                <w:rFonts w:hint="eastAsia"/>
              </w:rPr>
              <w:t>重要生境</w:t>
            </w:r>
          </w:p>
        </w:tc>
        <w:tc>
          <w:tcPr>
            <w:tcW w:w="716" w:type="pct"/>
            <w:vAlign w:val="center"/>
          </w:tcPr>
          <w:p w14:paraId="50DB86F8">
            <w:pPr>
              <w:pStyle w:val="196"/>
            </w:pPr>
            <w:r>
              <w:rPr>
                <w:rFonts w:hint="eastAsia"/>
              </w:rPr>
              <w:t>一</w:t>
            </w:r>
          </w:p>
        </w:tc>
      </w:tr>
      <w:tr w14:paraId="6DA0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vAlign w:val="center"/>
          </w:tcPr>
          <w:p w14:paraId="7481DF2E">
            <w:pPr>
              <w:pStyle w:val="196"/>
            </w:pPr>
          </w:p>
        </w:tc>
        <w:tc>
          <w:tcPr>
            <w:tcW w:w="0" w:type="auto"/>
            <w:vMerge w:val="continue"/>
            <w:vAlign w:val="center"/>
          </w:tcPr>
          <w:p w14:paraId="355BEB96">
            <w:pPr>
              <w:pStyle w:val="196"/>
            </w:pPr>
          </w:p>
        </w:tc>
        <w:tc>
          <w:tcPr>
            <w:tcW w:w="1941" w:type="pct"/>
            <w:vAlign w:val="center"/>
          </w:tcPr>
          <w:p w14:paraId="2269A758">
            <w:pPr>
              <w:pStyle w:val="196"/>
            </w:pPr>
            <w:r>
              <w:rPr>
                <w:rFonts w:hint="eastAsia"/>
              </w:rPr>
              <w:t>一般区域</w:t>
            </w:r>
          </w:p>
        </w:tc>
        <w:tc>
          <w:tcPr>
            <w:tcW w:w="716" w:type="pct"/>
            <w:vAlign w:val="center"/>
          </w:tcPr>
          <w:p w14:paraId="4A45AA3E">
            <w:pPr>
              <w:pStyle w:val="196"/>
            </w:pPr>
            <w:r>
              <w:rPr>
                <w:rFonts w:hint="eastAsia"/>
              </w:rPr>
              <w:t>二</w:t>
            </w:r>
          </w:p>
        </w:tc>
      </w:tr>
      <w:tr w14:paraId="28A7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vMerge w:val="continue"/>
            <w:vAlign w:val="center"/>
          </w:tcPr>
          <w:p w14:paraId="51B503D1">
            <w:pPr>
              <w:pStyle w:val="196"/>
            </w:pPr>
          </w:p>
        </w:tc>
        <w:tc>
          <w:tcPr>
            <w:tcW w:w="1632" w:type="pct"/>
            <w:vMerge w:val="restart"/>
            <w:shd w:val="clear" w:color="auto" w:fill="BEBEBE"/>
            <w:vAlign w:val="center"/>
          </w:tcPr>
          <w:p w14:paraId="28604F0E">
            <w:pPr>
              <w:pStyle w:val="196"/>
            </w:pPr>
            <w:r>
              <w:rPr>
                <w:rFonts w:hint="eastAsia"/>
              </w:rPr>
              <w:t>非新开港区</w:t>
            </w:r>
          </w:p>
        </w:tc>
        <w:tc>
          <w:tcPr>
            <w:tcW w:w="1941" w:type="pct"/>
            <w:vAlign w:val="center"/>
          </w:tcPr>
          <w:p w14:paraId="11C595AB">
            <w:pPr>
              <w:pStyle w:val="196"/>
            </w:pPr>
            <w:r>
              <w:rPr>
                <w:rFonts w:hint="eastAsia"/>
              </w:rPr>
              <w:t>重要生境</w:t>
            </w:r>
          </w:p>
        </w:tc>
        <w:tc>
          <w:tcPr>
            <w:tcW w:w="716" w:type="pct"/>
            <w:vAlign w:val="center"/>
          </w:tcPr>
          <w:p w14:paraId="640B82D5">
            <w:pPr>
              <w:pStyle w:val="196"/>
            </w:pPr>
            <w:r>
              <w:rPr>
                <w:rFonts w:hint="eastAsia"/>
              </w:rPr>
              <w:t>二</w:t>
            </w:r>
          </w:p>
        </w:tc>
      </w:tr>
      <w:tr w14:paraId="1894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0" w:type="auto"/>
            <w:vMerge w:val="continue"/>
            <w:vAlign w:val="center"/>
          </w:tcPr>
          <w:p w14:paraId="2B51A53B">
            <w:pPr>
              <w:pStyle w:val="196"/>
            </w:pPr>
          </w:p>
        </w:tc>
        <w:tc>
          <w:tcPr>
            <w:tcW w:w="0" w:type="auto"/>
            <w:vMerge w:val="continue"/>
            <w:vAlign w:val="center"/>
          </w:tcPr>
          <w:p w14:paraId="763C911C">
            <w:pPr>
              <w:pStyle w:val="196"/>
            </w:pPr>
          </w:p>
        </w:tc>
        <w:tc>
          <w:tcPr>
            <w:tcW w:w="1941" w:type="pct"/>
            <w:shd w:val="clear" w:color="auto" w:fill="BEBEBE"/>
            <w:vAlign w:val="center"/>
          </w:tcPr>
          <w:p w14:paraId="0C97E6B8">
            <w:pPr>
              <w:pStyle w:val="196"/>
            </w:pPr>
            <w:r>
              <w:rPr>
                <w:rFonts w:hint="eastAsia"/>
              </w:rPr>
              <w:t>一般区域</w:t>
            </w:r>
          </w:p>
        </w:tc>
        <w:tc>
          <w:tcPr>
            <w:tcW w:w="716" w:type="pct"/>
            <w:shd w:val="clear" w:color="auto" w:fill="BEBEBE"/>
            <w:vAlign w:val="center"/>
          </w:tcPr>
          <w:p w14:paraId="3A7AEAF3">
            <w:pPr>
              <w:pStyle w:val="196"/>
            </w:pPr>
            <w:r>
              <w:rPr>
                <w:rFonts w:hint="eastAsia"/>
              </w:rPr>
              <w:t>三</w:t>
            </w:r>
          </w:p>
        </w:tc>
      </w:tr>
    </w:tbl>
    <w:p w14:paraId="0944B63E">
      <w:pPr>
        <w:pStyle w:val="93"/>
        <w:rPr>
          <w:lang w:val="en-US"/>
        </w:rPr>
      </w:pPr>
      <w:r>
        <w:rPr>
          <w:rFonts w:hint="eastAsia"/>
          <w:lang w:val="en-US"/>
        </w:rPr>
        <w:t>（1）陆生生态影响评价等级</w:t>
      </w:r>
    </w:p>
    <w:p w14:paraId="2C100E70">
      <w:pPr>
        <w:pStyle w:val="93"/>
        <w:rPr>
          <w:lang w:val="en-US"/>
        </w:rPr>
      </w:pPr>
      <w:r>
        <w:rPr>
          <w:rFonts w:hint="eastAsia"/>
          <w:lang w:val="en-US"/>
        </w:rPr>
        <w:t>本项目码头永久占地和临时占地面积共约0.042km</w:t>
      </w:r>
      <w:r>
        <w:rPr>
          <w:rFonts w:hint="eastAsia"/>
          <w:vertAlign w:val="superscript"/>
          <w:lang w:val="en-US"/>
        </w:rPr>
        <w:t>2</w:t>
      </w:r>
      <w:r>
        <w:rPr>
          <w:rFonts w:hint="eastAsia"/>
          <w:lang w:val="en-US"/>
        </w:rPr>
        <w:t>＜20km</w:t>
      </w:r>
      <w:r>
        <w:rPr>
          <w:rFonts w:hint="eastAsia"/>
          <w:vertAlign w:val="superscript"/>
          <w:lang w:val="en-US"/>
        </w:rPr>
        <w:t>2</w:t>
      </w:r>
      <w:r>
        <w:rPr>
          <w:rFonts w:hint="eastAsia"/>
          <w:lang w:val="en-US"/>
        </w:rPr>
        <w:t>，不涉及国家公园、自然保护区、世界自然遗产、重要生境、自然公园和生态保护红线，地下水水位或土壤影响范围内无天然林、公益林、湿地等生态保护目标，综合判定陆生生态影响评价等级为三级。</w:t>
      </w:r>
    </w:p>
    <w:p w14:paraId="7F06B514">
      <w:pPr>
        <w:pStyle w:val="93"/>
        <w:rPr>
          <w:lang w:val="en-US"/>
        </w:rPr>
      </w:pPr>
      <w:r>
        <w:rPr>
          <w:rFonts w:hint="eastAsia"/>
          <w:lang w:val="en-US"/>
        </w:rPr>
        <w:t>（2）水生生态影响评价等级</w:t>
      </w:r>
    </w:p>
    <w:p w14:paraId="3F5DAAAA">
      <w:pPr>
        <w:pStyle w:val="93"/>
        <w:rPr>
          <w:lang w:val="en-US"/>
        </w:rPr>
      </w:pPr>
      <w:r>
        <w:rPr>
          <w:rFonts w:hint="eastAsia"/>
          <w:lang w:val="en-US"/>
        </w:rPr>
        <w:t>本项目水文要素影响型地表水评价等级为三级，项目不涉及国家公园、自然保护区、世界自然遗产、重要生境、自然公园和生态保护红线，综合判定水生生态影响评价等级为三级。</w:t>
      </w:r>
    </w:p>
    <w:p w14:paraId="076912E7">
      <w:pPr>
        <w:pStyle w:val="82"/>
      </w:pPr>
      <w:r>
        <w:rPr>
          <w:rFonts w:hint="eastAsia"/>
        </w:rPr>
        <w:t>评价重点及评价时段</w:t>
      </w:r>
    </w:p>
    <w:p w14:paraId="6506E4E8">
      <w:pPr>
        <w:pStyle w:val="16"/>
        <w:spacing w:before="0" w:line="360" w:lineRule="auto"/>
        <w:ind w:firstLine="480" w:firstLineChars="200"/>
        <w:rPr>
          <w:rFonts w:ascii="Times New Roman" w:hAnsi="Times New Roman" w:cs="Times New Roman"/>
        </w:rPr>
      </w:pPr>
      <w:r>
        <w:rPr>
          <w:rFonts w:hint="eastAsia" w:ascii="宋体" w:hAnsi="宋体" w:cs="Times New Roman"/>
        </w:rPr>
        <w:t>根据建设项目排污特点及周围地区环境特征，确定本次评价重点为：建设项目工程分析，施工期和运营期环境影响、大气及水污染物、固废污染防治措施，环境影响预测，污染物排放清单。评价时段主要为施工期及营运期。</w:t>
      </w:r>
    </w:p>
    <w:p w14:paraId="548892F0">
      <w:pPr>
        <w:pStyle w:val="80"/>
      </w:pPr>
      <w:bookmarkStart w:id="88" w:name="_Toc182171806"/>
      <w:r>
        <w:rPr>
          <w:rFonts w:hint="eastAsia"/>
        </w:rPr>
        <w:t>评价范围及环境保护目标</w:t>
      </w:r>
      <w:bookmarkEnd w:id="88"/>
    </w:p>
    <w:p w14:paraId="1679E84B">
      <w:pPr>
        <w:pStyle w:val="82"/>
      </w:pPr>
      <w:r>
        <w:rPr>
          <w:rFonts w:hint="eastAsia"/>
        </w:rPr>
        <w:t>评价范围</w:t>
      </w:r>
    </w:p>
    <w:p w14:paraId="5DD13653">
      <w:pPr>
        <w:pStyle w:val="93"/>
      </w:pPr>
      <w:r>
        <w:rPr>
          <w:rFonts w:hint="eastAsia"/>
        </w:rPr>
        <w:t>根据本项目环境影响评价等级和环境影响评价技术导则规定的工作范围，参照《水运工程建设项目环境影响评价指南》要求范围见表2.5-1。</w:t>
      </w:r>
    </w:p>
    <w:p w14:paraId="3E1DE705">
      <w:pPr>
        <w:pStyle w:val="86"/>
      </w:pPr>
      <w:r>
        <w:rPr>
          <w:rFonts w:hint="eastAsia"/>
        </w:rPr>
        <w:t>建设项目环境要素评价范围表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6903"/>
      </w:tblGrid>
      <w:tr w14:paraId="5D7B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1C346EA1">
            <w:pPr>
              <w:pStyle w:val="196"/>
              <w:rPr>
                <w:szCs w:val="21"/>
              </w:rPr>
            </w:pPr>
            <w:r>
              <w:rPr>
                <w:rFonts w:hint="eastAsia"/>
              </w:rPr>
              <w:t>评价内容</w:t>
            </w:r>
          </w:p>
        </w:tc>
        <w:tc>
          <w:tcPr>
            <w:tcW w:w="6735" w:type="dxa"/>
            <w:tcBorders>
              <w:top w:val="single" w:color="auto" w:sz="4" w:space="0"/>
              <w:left w:val="single" w:color="auto" w:sz="4" w:space="0"/>
              <w:bottom w:val="single" w:color="auto" w:sz="4" w:space="0"/>
              <w:right w:val="single" w:color="auto" w:sz="4" w:space="0"/>
            </w:tcBorders>
            <w:vAlign w:val="center"/>
          </w:tcPr>
          <w:p w14:paraId="2284D8BA">
            <w:pPr>
              <w:pStyle w:val="196"/>
            </w:pPr>
            <w:r>
              <w:rPr>
                <w:rFonts w:hint="eastAsia"/>
              </w:rPr>
              <w:t>评价范围</w:t>
            </w:r>
          </w:p>
        </w:tc>
      </w:tr>
      <w:tr w14:paraId="3825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57AAF744">
            <w:pPr>
              <w:pStyle w:val="196"/>
              <w:rPr>
                <w:bCs/>
              </w:rPr>
            </w:pPr>
            <w:r>
              <w:rPr>
                <w:rFonts w:hint="eastAsia"/>
                <w:bCs/>
              </w:rPr>
              <w:t>大气环境影响评价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54DCDD5E">
            <w:pPr>
              <w:pStyle w:val="196"/>
            </w:pPr>
            <w:r>
              <w:rPr>
                <w:rFonts w:hint="eastAsia"/>
              </w:rPr>
              <w:t>以项目厂址为中心，边长为5km的矩形区域。</w:t>
            </w:r>
          </w:p>
        </w:tc>
      </w:tr>
      <w:tr w14:paraId="76B8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0A2FCF3F">
            <w:pPr>
              <w:pStyle w:val="196"/>
              <w:rPr>
                <w:bCs/>
              </w:rPr>
            </w:pPr>
            <w:r>
              <w:rPr>
                <w:rFonts w:hint="eastAsia"/>
                <w:bCs/>
              </w:rPr>
              <w:t>地表水环境影响评价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672E4FCB">
            <w:pPr>
              <w:pStyle w:val="196"/>
            </w:pPr>
            <w:r>
              <w:rPr>
                <w:rFonts w:hint="eastAsia"/>
              </w:rPr>
              <w:t>电厂取水口上游1000m到下游3000m</w:t>
            </w:r>
            <w:r>
              <w:rPr>
                <w:rFonts w:hint="eastAsia"/>
                <w:kern w:val="0"/>
              </w:rPr>
              <w:t>。</w:t>
            </w:r>
          </w:p>
        </w:tc>
      </w:tr>
      <w:tr w14:paraId="36FB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0D5206F1">
            <w:pPr>
              <w:pStyle w:val="196"/>
              <w:rPr>
                <w:bCs/>
              </w:rPr>
            </w:pPr>
            <w:r>
              <w:rPr>
                <w:rFonts w:hint="eastAsia"/>
                <w:bCs/>
              </w:rPr>
              <w:t>噪声环境影响评价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1EE0F3F1">
            <w:pPr>
              <w:pStyle w:val="196"/>
            </w:pPr>
            <w:r>
              <w:rPr>
                <w:rFonts w:hint="eastAsia"/>
              </w:rPr>
              <w:t>码头边界外扩200m范围。</w:t>
            </w:r>
          </w:p>
        </w:tc>
      </w:tr>
      <w:tr w14:paraId="1403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5948BC8D">
            <w:pPr>
              <w:pStyle w:val="196"/>
              <w:rPr>
                <w:kern w:val="0"/>
              </w:rPr>
            </w:pPr>
            <w:r>
              <w:rPr>
                <w:rFonts w:hint="eastAsia"/>
                <w:kern w:val="0"/>
              </w:rPr>
              <w:t>地下水环境影响评价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567650BA">
            <w:pPr>
              <w:pStyle w:val="196"/>
              <w:rPr>
                <w:kern w:val="0"/>
              </w:rPr>
            </w:pPr>
            <w:r>
              <w:rPr>
                <w:rFonts w:hint="eastAsia"/>
                <w:kern w:val="0"/>
              </w:rPr>
              <w:t>无需开展评价。</w:t>
            </w:r>
          </w:p>
        </w:tc>
      </w:tr>
      <w:tr w14:paraId="0E88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71948454">
            <w:pPr>
              <w:pStyle w:val="196"/>
              <w:rPr>
                <w:kern w:val="0"/>
              </w:rPr>
            </w:pPr>
            <w:r>
              <w:rPr>
                <w:rFonts w:hint="eastAsia"/>
                <w:kern w:val="0"/>
              </w:rPr>
              <w:t>环境风险影响评价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69A58911">
            <w:pPr>
              <w:pStyle w:val="196"/>
              <w:rPr>
                <w:kern w:val="0"/>
              </w:rPr>
            </w:pPr>
            <w:r>
              <w:rPr>
                <w:rFonts w:hint="eastAsia"/>
              </w:rPr>
              <w:t>大气：简要分析，项目周边1000m范围。地表水：项目所在地至下游约30km处盐河袁闸断面。地下水：无需开展评价。</w:t>
            </w:r>
          </w:p>
        </w:tc>
      </w:tr>
      <w:tr w14:paraId="5FC4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1D76159F">
            <w:pPr>
              <w:pStyle w:val="196"/>
              <w:rPr>
                <w:kern w:val="0"/>
              </w:rPr>
            </w:pPr>
            <w:r>
              <w:rPr>
                <w:rFonts w:hint="eastAsia"/>
                <w:kern w:val="0"/>
              </w:rPr>
              <w:t>土壤环境影响评价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5628369F">
            <w:pPr>
              <w:pStyle w:val="196"/>
              <w:rPr>
                <w:kern w:val="0"/>
              </w:rPr>
            </w:pPr>
            <w:r>
              <w:rPr>
                <w:rFonts w:hint="eastAsia"/>
                <w:kern w:val="0"/>
              </w:rPr>
              <w:t>无需开展评价。</w:t>
            </w:r>
          </w:p>
        </w:tc>
      </w:tr>
      <w:tr w14:paraId="760F3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26" w:type="dxa"/>
            <w:tcBorders>
              <w:top w:val="single" w:color="auto" w:sz="4" w:space="0"/>
              <w:left w:val="single" w:color="auto" w:sz="4" w:space="0"/>
              <w:bottom w:val="single" w:color="auto" w:sz="4" w:space="0"/>
              <w:right w:val="single" w:color="auto" w:sz="4" w:space="0"/>
            </w:tcBorders>
            <w:vAlign w:val="center"/>
          </w:tcPr>
          <w:p w14:paraId="0C6398C7">
            <w:pPr>
              <w:pStyle w:val="196"/>
              <w:rPr>
                <w:kern w:val="0"/>
              </w:rPr>
            </w:pPr>
            <w:r>
              <w:rPr>
                <w:rFonts w:hint="eastAsia"/>
                <w:kern w:val="0"/>
              </w:rPr>
              <w:t>生态环境影响评价</w:t>
            </w:r>
          </w:p>
        </w:tc>
        <w:tc>
          <w:tcPr>
            <w:tcW w:w="6735" w:type="dxa"/>
            <w:tcBorders>
              <w:top w:val="single" w:color="auto" w:sz="4" w:space="0"/>
              <w:left w:val="single" w:color="auto" w:sz="4" w:space="0"/>
              <w:bottom w:val="single" w:color="auto" w:sz="4" w:space="0"/>
              <w:right w:val="single" w:color="auto" w:sz="4" w:space="0"/>
            </w:tcBorders>
            <w:vAlign w:val="center"/>
          </w:tcPr>
          <w:p w14:paraId="63E8D3B9">
            <w:pPr>
              <w:pStyle w:val="196"/>
              <w:rPr>
                <w:kern w:val="0"/>
              </w:rPr>
            </w:pPr>
            <w:r>
              <w:rPr>
                <w:rFonts w:hint="eastAsia"/>
                <w:kern w:val="0"/>
              </w:rPr>
              <w:t>水生生态环境调查范围为施工区域及上游约50m至下游2000m，陆生生态环境调查范围为陆域占地范围外扩1000m范围。</w:t>
            </w:r>
          </w:p>
        </w:tc>
      </w:tr>
    </w:tbl>
    <w:p w14:paraId="413E2F84">
      <w:pPr>
        <w:pStyle w:val="82"/>
        <w:rPr>
          <w:sz w:val="30"/>
        </w:rPr>
      </w:pPr>
      <w:r>
        <w:rPr>
          <w:rFonts w:hint="eastAsia"/>
          <w:sz w:val="30"/>
        </w:rPr>
        <w:t>环</w:t>
      </w:r>
      <w:r>
        <w:rPr>
          <w:rFonts w:hint="eastAsia"/>
        </w:rPr>
        <w:t>境保护目标</w:t>
      </w:r>
    </w:p>
    <w:p w14:paraId="09B1A403">
      <w:pPr>
        <w:pStyle w:val="93"/>
        <w:rPr>
          <w:sz w:val="21"/>
        </w:rPr>
      </w:pPr>
      <w:r>
        <w:rPr>
          <w:rFonts w:hint="eastAsia"/>
        </w:rPr>
        <w:t>环境保护目标与本项目的相对方位及距离汇总见表2.5-2，环境保护目标见图2.5-1。本次规划与江苏省生态空间管控区域级及国家级生态红线位置关系见表2.5-</w:t>
      </w:r>
      <w:r>
        <w:t>3</w:t>
      </w:r>
      <w:r>
        <w:rPr>
          <w:rFonts w:hint="eastAsia"/>
        </w:rPr>
        <w:t>和</w:t>
      </w:r>
      <w:r>
        <w:rPr>
          <w:rFonts w:hint="eastAsia"/>
          <w:kern w:val="0"/>
        </w:rPr>
        <w:t>图1.5-1和图1.5-2</w:t>
      </w:r>
      <w:r>
        <w:rPr>
          <w:rFonts w:hint="eastAsia"/>
        </w:rPr>
        <w:t>。</w:t>
      </w:r>
    </w:p>
    <w:p w14:paraId="521E428C">
      <w:pPr>
        <w:ind w:firstLine="482"/>
        <w:rPr>
          <w:b/>
          <w:szCs w:val="24"/>
        </w:rPr>
        <w:sectPr>
          <w:pgSz w:w="11907" w:h="16840"/>
          <w:pgMar w:top="1418" w:right="1418" w:bottom="1418" w:left="1418" w:header="851" w:footer="992" w:gutter="0"/>
          <w:cols w:space="720" w:num="1"/>
          <w:docGrid w:type="lines" w:linePitch="312" w:charSpace="0"/>
        </w:sectPr>
      </w:pPr>
    </w:p>
    <w:p w14:paraId="01ADB7C2">
      <w:pPr>
        <w:pStyle w:val="86"/>
      </w:pPr>
      <w:r>
        <w:rPr>
          <w:rFonts w:hint="eastAsia"/>
        </w:rPr>
        <w:t>环境保护目标表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902"/>
        <w:gridCol w:w="1199"/>
        <w:gridCol w:w="1202"/>
        <w:gridCol w:w="3277"/>
        <w:gridCol w:w="887"/>
        <w:gridCol w:w="1517"/>
        <w:gridCol w:w="1225"/>
        <w:gridCol w:w="1790"/>
      </w:tblGrid>
      <w:tr w14:paraId="6F89E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blHeader/>
        </w:trPr>
        <w:tc>
          <w:tcPr>
            <w:tcW w:w="1086" w:type="pct"/>
            <w:gridSpan w:val="2"/>
            <w:vMerge w:val="restart"/>
            <w:shd w:val="clear" w:color="auto" w:fill="auto"/>
            <w:vAlign w:val="center"/>
          </w:tcPr>
          <w:p w14:paraId="006F2E3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主要环境空气保护目标名称</w:t>
            </w:r>
          </w:p>
        </w:tc>
        <w:tc>
          <w:tcPr>
            <w:tcW w:w="847" w:type="pct"/>
            <w:gridSpan w:val="2"/>
            <w:shd w:val="clear" w:color="auto" w:fill="auto"/>
            <w:vAlign w:val="center"/>
          </w:tcPr>
          <w:p w14:paraId="444D02A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坐标</w:t>
            </w:r>
            <w:r>
              <w:rPr>
                <w:rFonts w:hint="eastAsia" w:eastAsia="宋体" w:cs="Times New Roman"/>
                <w:b/>
                <w:bCs/>
                <w:kern w:val="0"/>
                <w:sz w:val="21"/>
              </w:rPr>
              <w:t>/m</w:t>
            </w:r>
          </w:p>
        </w:tc>
        <w:tc>
          <w:tcPr>
            <w:tcW w:w="1156" w:type="pct"/>
            <w:vMerge w:val="restart"/>
            <w:shd w:val="clear" w:color="auto" w:fill="auto"/>
            <w:vAlign w:val="center"/>
          </w:tcPr>
          <w:p w14:paraId="596B5EC8">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保护对象</w:t>
            </w:r>
          </w:p>
        </w:tc>
        <w:tc>
          <w:tcPr>
            <w:tcW w:w="313" w:type="pct"/>
            <w:vMerge w:val="restart"/>
            <w:shd w:val="clear" w:color="auto" w:fill="auto"/>
            <w:vAlign w:val="center"/>
          </w:tcPr>
          <w:p w14:paraId="07200C8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保护内容</w:t>
            </w:r>
          </w:p>
        </w:tc>
        <w:tc>
          <w:tcPr>
            <w:tcW w:w="535" w:type="pct"/>
            <w:vMerge w:val="restart"/>
            <w:shd w:val="clear" w:color="auto" w:fill="auto"/>
            <w:vAlign w:val="center"/>
          </w:tcPr>
          <w:p w14:paraId="738C6F47">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环境功能区</w:t>
            </w:r>
          </w:p>
        </w:tc>
        <w:tc>
          <w:tcPr>
            <w:tcW w:w="432" w:type="pct"/>
            <w:vMerge w:val="restart"/>
            <w:shd w:val="clear" w:color="auto" w:fill="auto"/>
            <w:vAlign w:val="center"/>
          </w:tcPr>
          <w:p w14:paraId="6D95DC6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相对厂址方位</w:t>
            </w:r>
          </w:p>
        </w:tc>
        <w:tc>
          <w:tcPr>
            <w:tcW w:w="631" w:type="pct"/>
            <w:vMerge w:val="restart"/>
            <w:shd w:val="clear" w:color="auto" w:fill="auto"/>
            <w:vAlign w:val="center"/>
          </w:tcPr>
          <w:p w14:paraId="2934F43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相对厂界最近距离</w:t>
            </w:r>
            <w:r>
              <w:rPr>
                <w:rFonts w:hint="eastAsia" w:eastAsia="宋体" w:cs="Times New Roman"/>
                <w:b/>
                <w:bCs/>
                <w:kern w:val="0"/>
                <w:sz w:val="21"/>
              </w:rPr>
              <w:t>/km</w:t>
            </w:r>
          </w:p>
        </w:tc>
      </w:tr>
      <w:tr w14:paraId="797A4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1086" w:type="pct"/>
            <w:gridSpan w:val="2"/>
            <w:vMerge w:val="continue"/>
            <w:vAlign w:val="center"/>
          </w:tcPr>
          <w:p w14:paraId="186EEE79">
            <w:pPr>
              <w:spacing w:line="240" w:lineRule="auto"/>
              <w:ind w:firstLine="0" w:firstLineChars="0"/>
              <w:rPr>
                <w:rFonts w:hint="eastAsia" w:ascii="宋体" w:hAnsi="宋体" w:eastAsia="宋体" w:cs="宋体"/>
                <w:b/>
                <w:bCs/>
                <w:kern w:val="0"/>
                <w:sz w:val="21"/>
              </w:rPr>
            </w:pPr>
          </w:p>
        </w:tc>
        <w:tc>
          <w:tcPr>
            <w:tcW w:w="423" w:type="pct"/>
            <w:shd w:val="clear" w:color="auto" w:fill="auto"/>
            <w:vAlign w:val="center"/>
          </w:tcPr>
          <w:p w14:paraId="72BF4FED">
            <w:pPr>
              <w:spacing w:line="240" w:lineRule="auto"/>
              <w:ind w:firstLine="0" w:firstLineChars="0"/>
              <w:jc w:val="center"/>
              <w:rPr>
                <w:rFonts w:eastAsia="等线" w:cs="Times New Roman"/>
                <w:b/>
                <w:bCs/>
                <w:kern w:val="0"/>
                <w:sz w:val="21"/>
              </w:rPr>
            </w:pPr>
            <w:r>
              <w:rPr>
                <w:rFonts w:hint="eastAsia" w:eastAsia="等线" w:cs="Times New Roman"/>
                <w:b/>
                <w:bCs/>
                <w:kern w:val="0"/>
                <w:sz w:val="21"/>
              </w:rPr>
              <w:t>X</w:t>
            </w:r>
          </w:p>
        </w:tc>
        <w:tc>
          <w:tcPr>
            <w:tcW w:w="424" w:type="pct"/>
            <w:shd w:val="clear" w:color="auto" w:fill="auto"/>
            <w:vAlign w:val="center"/>
          </w:tcPr>
          <w:p w14:paraId="306A2B3D">
            <w:pPr>
              <w:spacing w:line="240" w:lineRule="auto"/>
              <w:ind w:firstLine="0" w:firstLineChars="0"/>
              <w:jc w:val="center"/>
              <w:rPr>
                <w:rFonts w:eastAsia="等线" w:cs="Times New Roman"/>
                <w:b/>
                <w:bCs/>
                <w:kern w:val="0"/>
                <w:sz w:val="21"/>
              </w:rPr>
            </w:pPr>
            <w:r>
              <w:rPr>
                <w:rFonts w:hint="eastAsia" w:eastAsia="等线" w:cs="Times New Roman"/>
                <w:b/>
                <w:bCs/>
                <w:kern w:val="0"/>
                <w:sz w:val="21"/>
              </w:rPr>
              <w:t>Y</w:t>
            </w:r>
          </w:p>
        </w:tc>
        <w:tc>
          <w:tcPr>
            <w:tcW w:w="1156" w:type="pct"/>
            <w:vMerge w:val="continue"/>
            <w:vAlign w:val="center"/>
          </w:tcPr>
          <w:p w14:paraId="74098B9D">
            <w:pPr>
              <w:spacing w:line="240" w:lineRule="auto"/>
              <w:ind w:firstLine="0" w:firstLineChars="0"/>
              <w:rPr>
                <w:rFonts w:hint="eastAsia" w:ascii="宋体" w:hAnsi="宋体" w:eastAsia="宋体" w:cs="宋体"/>
                <w:b/>
                <w:bCs/>
                <w:kern w:val="0"/>
                <w:sz w:val="21"/>
              </w:rPr>
            </w:pPr>
          </w:p>
        </w:tc>
        <w:tc>
          <w:tcPr>
            <w:tcW w:w="313" w:type="pct"/>
            <w:vMerge w:val="continue"/>
            <w:vAlign w:val="center"/>
          </w:tcPr>
          <w:p w14:paraId="2D3DF8AD">
            <w:pPr>
              <w:spacing w:line="240" w:lineRule="auto"/>
              <w:ind w:firstLine="0" w:firstLineChars="0"/>
              <w:rPr>
                <w:rFonts w:hint="eastAsia" w:ascii="宋体" w:hAnsi="宋体" w:eastAsia="宋体" w:cs="宋体"/>
                <w:b/>
                <w:bCs/>
                <w:kern w:val="0"/>
                <w:sz w:val="21"/>
              </w:rPr>
            </w:pPr>
          </w:p>
        </w:tc>
        <w:tc>
          <w:tcPr>
            <w:tcW w:w="535" w:type="pct"/>
            <w:vMerge w:val="continue"/>
            <w:vAlign w:val="center"/>
          </w:tcPr>
          <w:p w14:paraId="3D79DB64">
            <w:pPr>
              <w:spacing w:line="240" w:lineRule="auto"/>
              <w:ind w:firstLine="0" w:firstLineChars="0"/>
              <w:rPr>
                <w:rFonts w:hint="eastAsia" w:ascii="宋体" w:hAnsi="宋体" w:eastAsia="宋体" w:cs="宋体"/>
                <w:b/>
                <w:bCs/>
                <w:kern w:val="0"/>
                <w:sz w:val="21"/>
              </w:rPr>
            </w:pPr>
          </w:p>
        </w:tc>
        <w:tc>
          <w:tcPr>
            <w:tcW w:w="432" w:type="pct"/>
            <w:vMerge w:val="continue"/>
            <w:vAlign w:val="center"/>
          </w:tcPr>
          <w:p w14:paraId="06E25D4E">
            <w:pPr>
              <w:spacing w:line="240" w:lineRule="auto"/>
              <w:ind w:firstLine="0" w:firstLineChars="0"/>
              <w:rPr>
                <w:rFonts w:hint="eastAsia" w:ascii="宋体" w:hAnsi="宋体" w:eastAsia="宋体" w:cs="宋体"/>
                <w:b/>
                <w:bCs/>
                <w:kern w:val="0"/>
                <w:sz w:val="21"/>
              </w:rPr>
            </w:pPr>
          </w:p>
        </w:tc>
        <w:tc>
          <w:tcPr>
            <w:tcW w:w="631" w:type="pct"/>
            <w:vMerge w:val="continue"/>
            <w:vAlign w:val="center"/>
          </w:tcPr>
          <w:p w14:paraId="352221E0">
            <w:pPr>
              <w:spacing w:line="240" w:lineRule="auto"/>
              <w:ind w:firstLine="0" w:firstLineChars="0"/>
              <w:rPr>
                <w:rFonts w:hint="eastAsia" w:ascii="宋体" w:hAnsi="宋体" w:eastAsia="宋体" w:cs="宋体"/>
                <w:b/>
                <w:bCs/>
                <w:kern w:val="0"/>
                <w:sz w:val="21"/>
              </w:rPr>
            </w:pPr>
          </w:p>
        </w:tc>
      </w:tr>
      <w:tr w14:paraId="5A18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86" w:type="pct"/>
            <w:gridSpan w:val="2"/>
            <w:shd w:val="clear" w:color="auto" w:fill="auto"/>
            <w:vAlign w:val="center"/>
          </w:tcPr>
          <w:p w14:paraId="63C6E82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花庄村</w:t>
            </w:r>
          </w:p>
        </w:tc>
        <w:tc>
          <w:tcPr>
            <w:tcW w:w="423" w:type="pct"/>
            <w:shd w:val="clear" w:color="auto" w:fill="auto"/>
            <w:vAlign w:val="center"/>
          </w:tcPr>
          <w:p w14:paraId="60C4DE22">
            <w:pPr>
              <w:spacing w:line="240" w:lineRule="auto"/>
              <w:ind w:firstLine="0" w:firstLineChars="0"/>
              <w:jc w:val="center"/>
              <w:rPr>
                <w:rFonts w:eastAsia="等线" w:cs="Times New Roman"/>
                <w:kern w:val="0"/>
                <w:sz w:val="21"/>
              </w:rPr>
            </w:pPr>
            <w:r>
              <w:rPr>
                <w:rFonts w:hint="eastAsia" w:eastAsia="等线" w:cs="Times New Roman"/>
                <w:kern w:val="0"/>
                <w:sz w:val="21"/>
              </w:rPr>
              <w:t>-2608.3</w:t>
            </w:r>
          </w:p>
        </w:tc>
        <w:tc>
          <w:tcPr>
            <w:tcW w:w="424" w:type="pct"/>
            <w:shd w:val="clear" w:color="auto" w:fill="auto"/>
            <w:vAlign w:val="center"/>
          </w:tcPr>
          <w:p w14:paraId="7B8AA081">
            <w:pPr>
              <w:spacing w:line="240" w:lineRule="auto"/>
              <w:ind w:firstLine="0" w:firstLineChars="0"/>
              <w:jc w:val="center"/>
              <w:rPr>
                <w:rFonts w:eastAsia="等线" w:cs="Times New Roman"/>
                <w:kern w:val="0"/>
                <w:sz w:val="21"/>
              </w:rPr>
            </w:pPr>
            <w:r>
              <w:rPr>
                <w:rFonts w:hint="eastAsia" w:eastAsia="等线" w:cs="Times New Roman"/>
                <w:kern w:val="0"/>
                <w:sz w:val="21"/>
              </w:rPr>
              <w:t>2427.8</w:t>
            </w:r>
          </w:p>
        </w:tc>
        <w:tc>
          <w:tcPr>
            <w:tcW w:w="1156" w:type="pct"/>
            <w:shd w:val="clear" w:color="auto" w:fill="auto"/>
            <w:vAlign w:val="center"/>
          </w:tcPr>
          <w:p w14:paraId="103C731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restart"/>
            <w:shd w:val="clear" w:color="auto" w:fill="auto"/>
            <w:vAlign w:val="center"/>
          </w:tcPr>
          <w:p w14:paraId="7A19224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大气环境</w:t>
            </w:r>
          </w:p>
        </w:tc>
        <w:tc>
          <w:tcPr>
            <w:tcW w:w="535" w:type="pct"/>
            <w:vMerge w:val="restart"/>
            <w:shd w:val="clear" w:color="auto" w:fill="auto"/>
            <w:vAlign w:val="center"/>
          </w:tcPr>
          <w:p w14:paraId="314522F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环境空气二类区</w:t>
            </w:r>
          </w:p>
        </w:tc>
        <w:tc>
          <w:tcPr>
            <w:tcW w:w="432" w:type="pct"/>
            <w:shd w:val="clear" w:color="auto" w:fill="auto"/>
            <w:vAlign w:val="center"/>
          </w:tcPr>
          <w:p w14:paraId="445A118D">
            <w:pPr>
              <w:spacing w:line="240" w:lineRule="auto"/>
              <w:ind w:firstLine="0" w:firstLineChars="0"/>
              <w:jc w:val="center"/>
              <w:rPr>
                <w:rFonts w:eastAsia="等线" w:cs="Times New Roman"/>
                <w:kern w:val="0"/>
                <w:sz w:val="21"/>
              </w:rPr>
            </w:pPr>
            <w:r>
              <w:rPr>
                <w:rFonts w:hint="eastAsia" w:eastAsia="等线" w:cs="Times New Roman"/>
                <w:kern w:val="0"/>
                <w:sz w:val="21"/>
              </w:rPr>
              <w:t>NW</w:t>
            </w:r>
          </w:p>
        </w:tc>
        <w:tc>
          <w:tcPr>
            <w:tcW w:w="631" w:type="pct"/>
            <w:shd w:val="clear" w:color="auto" w:fill="auto"/>
            <w:vAlign w:val="center"/>
          </w:tcPr>
          <w:p w14:paraId="4E60292F">
            <w:pPr>
              <w:spacing w:line="240" w:lineRule="auto"/>
              <w:ind w:firstLine="0" w:firstLineChars="0"/>
              <w:jc w:val="center"/>
              <w:rPr>
                <w:rFonts w:eastAsia="等线" w:cs="Times New Roman"/>
                <w:kern w:val="0"/>
                <w:sz w:val="21"/>
              </w:rPr>
            </w:pPr>
            <w:r>
              <w:rPr>
                <w:rFonts w:hint="eastAsia" w:eastAsia="等线" w:cs="Times New Roman"/>
                <w:kern w:val="0"/>
                <w:sz w:val="21"/>
              </w:rPr>
              <w:t>3.44</w:t>
            </w:r>
          </w:p>
        </w:tc>
      </w:tr>
      <w:tr w14:paraId="5E69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86" w:type="pct"/>
            <w:gridSpan w:val="2"/>
            <w:shd w:val="clear" w:color="auto" w:fill="auto"/>
            <w:vAlign w:val="center"/>
          </w:tcPr>
          <w:p w14:paraId="06F805C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王刘村</w:t>
            </w:r>
          </w:p>
        </w:tc>
        <w:tc>
          <w:tcPr>
            <w:tcW w:w="423" w:type="pct"/>
            <w:shd w:val="clear" w:color="auto" w:fill="auto"/>
            <w:vAlign w:val="center"/>
          </w:tcPr>
          <w:p w14:paraId="740336F4">
            <w:pPr>
              <w:spacing w:line="240" w:lineRule="auto"/>
              <w:ind w:firstLine="0" w:firstLineChars="0"/>
              <w:jc w:val="center"/>
              <w:rPr>
                <w:rFonts w:eastAsia="等线" w:cs="Times New Roman"/>
                <w:kern w:val="0"/>
                <w:sz w:val="21"/>
              </w:rPr>
            </w:pPr>
            <w:r>
              <w:rPr>
                <w:rFonts w:hint="eastAsia" w:eastAsia="等线" w:cs="Times New Roman"/>
                <w:kern w:val="0"/>
                <w:sz w:val="21"/>
              </w:rPr>
              <w:t>-2073.9</w:t>
            </w:r>
          </w:p>
        </w:tc>
        <w:tc>
          <w:tcPr>
            <w:tcW w:w="424" w:type="pct"/>
            <w:shd w:val="clear" w:color="auto" w:fill="auto"/>
            <w:vAlign w:val="center"/>
          </w:tcPr>
          <w:p w14:paraId="3A60124C">
            <w:pPr>
              <w:spacing w:line="240" w:lineRule="auto"/>
              <w:ind w:firstLine="0" w:firstLineChars="0"/>
              <w:jc w:val="center"/>
              <w:rPr>
                <w:rFonts w:eastAsia="等线" w:cs="Times New Roman"/>
                <w:kern w:val="0"/>
                <w:sz w:val="21"/>
              </w:rPr>
            </w:pPr>
            <w:r>
              <w:rPr>
                <w:rFonts w:hint="eastAsia" w:eastAsia="等线" w:cs="Times New Roman"/>
                <w:kern w:val="0"/>
                <w:sz w:val="21"/>
              </w:rPr>
              <w:t>2331</w:t>
            </w:r>
          </w:p>
        </w:tc>
        <w:tc>
          <w:tcPr>
            <w:tcW w:w="1156" w:type="pct"/>
            <w:shd w:val="clear" w:color="auto" w:fill="auto"/>
            <w:vAlign w:val="center"/>
          </w:tcPr>
          <w:p w14:paraId="12AAB79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A50F3DE">
            <w:pPr>
              <w:spacing w:line="240" w:lineRule="auto"/>
              <w:ind w:firstLine="0" w:firstLineChars="0"/>
              <w:rPr>
                <w:rFonts w:hint="eastAsia" w:ascii="宋体" w:hAnsi="宋体" w:eastAsia="宋体" w:cs="宋体"/>
                <w:kern w:val="0"/>
                <w:sz w:val="21"/>
              </w:rPr>
            </w:pPr>
          </w:p>
        </w:tc>
        <w:tc>
          <w:tcPr>
            <w:tcW w:w="535" w:type="pct"/>
            <w:vMerge w:val="continue"/>
            <w:vAlign w:val="center"/>
          </w:tcPr>
          <w:p w14:paraId="4EA85C58">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2BEB8DDC">
            <w:pPr>
              <w:spacing w:line="240" w:lineRule="auto"/>
              <w:ind w:firstLine="0" w:firstLineChars="0"/>
              <w:jc w:val="center"/>
              <w:rPr>
                <w:rFonts w:eastAsia="等线" w:cs="Times New Roman"/>
                <w:kern w:val="0"/>
                <w:sz w:val="21"/>
              </w:rPr>
            </w:pPr>
            <w:r>
              <w:rPr>
                <w:rFonts w:hint="eastAsia" w:eastAsia="等线" w:cs="Times New Roman"/>
                <w:kern w:val="0"/>
                <w:sz w:val="21"/>
              </w:rPr>
              <w:t>NW</w:t>
            </w:r>
          </w:p>
        </w:tc>
        <w:tc>
          <w:tcPr>
            <w:tcW w:w="631" w:type="pct"/>
            <w:shd w:val="clear" w:color="auto" w:fill="auto"/>
            <w:vAlign w:val="center"/>
          </w:tcPr>
          <w:p w14:paraId="06AE0E5C">
            <w:pPr>
              <w:spacing w:line="240" w:lineRule="auto"/>
              <w:ind w:firstLine="0" w:firstLineChars="0"/>
              <w:jc w:val="center"/>
              <w:rPr>
                <w:rFonts w:eastAsia="等线" w:cs="Times New Roman"/>
                <w:kern w:val="0"/>
                <w:sz w:val="21"/>
              </w:rPr>
            </w:pPr>
            <w:r>
              <w:rPr>
                <w:rFonts w:hint="eastAsia" w:eastAsia="等线" w:cs="Times New Roman"/>
                <w:kern w:val="0"/>
                <w:sz w:val="21"/>
              </w:rPr>
              <w:t>2.86</w:t>
            </w:r>
          </w:p>
        </w:tc>
      </w:tr>
      <w:tr w14:paraId="17E3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161DD1B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王二庄村</w:t>
            </w:r>
          </w:p>
        </w:tc>
        <w:tc>
          <w:tcPr>
            <w:tcW w:w="671" w:type="pct"/>
            <w:shd w:val="clear" w:color="auto" w:fill="auto"/>
            <w:vAlign w:val="center"/>
          </w:tcPr>
          <w:p w14:paraId="1103D32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王二庄村</w:t>
            </w:r>
          </w:p>
        </w:tc>
        <w:tc>
          <w:tcPr>
            <w:tcW w:w="423" w:type="pct"/>
            <w:shd w:val="clear" w:color="auto" w:fill="auto"/>
            <w:vAlign w:val="center"/>
          </w:tcPr>
          <w:p w14:paraId="5AC7EE9C">
            <w:pPr>
              <w:spacing w:line="240" w:lineRule="auto"/>
              <w:ind w:firstLine="0" w:firstLineChars="0"/>
              <w:jc w:val="center"/>
              <w:rPr>
                <w:rFonts w:eastAsia="等线" w:cs="Times New Roman"/>
                <w:kern w:val="0"/>
                <w:sz w:val="21"/>
              </w:rPr>
            </w:pPr>
            <w:r>
              <w:rPr>
                <w:rFonts w:hint="eastAsia" w:eastAsia="等线" w:cs="Times New Roman"/>
                <w:kern w:val="0"/>
                <w:sz w:val="21"/>
              </w:rPr>
              <w:t>-2451.3</w:t>
            </w:r>
          </w:p>
        </w:tc>
        <w:tc>
          <w:tcPr>
            <w:tcW w:w="424" w:type="pct"/>
            <w:shd w:val="clear" w:color="auto" w:fill="auto"/>
            <w:vAlign w:val="center"/>
          </w:tcPr>
          <w:p w14:paraId="4319AB0B">
            <w:pPr>
              <w:spacing w:line="240" w:lineRule="auto"/>
              <w:ind w:firstLine="0" w:firstLineChars="0"/>
              <w:jc w:val="center"/>
              <w:rPr>
                <w:rFonts w:eastAsia="等线" w:cs="Times New Roman"/>
                <w:kern w:val="0"/>
                <w:sz w:val="21"/>
              </w:rPr>
            </w:pPr>
            <w:r>
              <w:rPr>
                <w:rFonts w:hint="eastAsia" w:eastAsia="等线" w:cs="Times New Roman"/>
                <w:kern w:val="0"/>
                <w:sz w:val="21"/>
              </w:rPr>
              <w:t>411</w:t>
            </w:r>
          </w:p>
        </w:tc>
        <w:tc>
          <w:tcPr>
            <w:tcW w:w="1156" w:type="pct"/>
            <w:shd w:val="clear" w:color="auto" w:fill="auto"/>
            <w:vAlign w:val="center"/>
          </w:tcPr>
          <w:p w14:paraId="4AC38CB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AF9A8B6">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6CA275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7454B4B5">
            <w:pPr>
              <w:spacing w:line="240" w:lineRule="auto"/>
              <w:ind w:firstLine="0" w:firstLineChars="0"/>
              <w:jc w:val="center"/>
              <w:rPr>
                <w:rFonts w:eastAsia="等线" w:cs="Times New Roman"/>
                <w:kern w:val="0"/>
                <w:sz w:val="21"/>
              </w:rPr>
            </w:pPr>
            <w:r>
              <w:rPr>
                <w:rFonts w:hint="eastAsia" w:eastAsia="等线" w:cs="Times New Roman"/>
                <w:kern w:val="0"/>
                <w:sz w:val="21"/>
              </w:rPr>
              <w:t>W</w:t>
            </w:r>
          </w:p>
        </w:tc>
        <w:tc>
          <w:tcPr>
            <w:tcW w:w="631" w:type="pct"/>
            <w:shd w:val="clear" w:color="auto" w:fill="auto"/>
            <w:vAlign w:val="center"/>
          </w:tcPr>
          <w:p w14:paraId="70A57E1C">
            <w:pPr>
              <w:spacing w:line="240" w:lineRule="auto"/>
              <w:ind w:firstLine="0" w:firstLineChars="0"/>
              <w:jc w:val="center"/>
              <w:rPr>
                <w:rFonts w:eastAsia="等线" w:cs="Times New Roman"/>
                <w:kern w:val="0"/>
                <w:sz w:val="21"/>
              </w:rPr>
            </w:pPr>
            <w:r>
              <w:rPr>
                <w:rFonts w:hint="eastAsia" w:eastAsia="等线" w:cs="Times New Roman"/>
                <w:kern w:val="0"/>
                <w:sz w:val="21"/>
              </w:rPr>
              <w:t>2.13</w:t>
            </w:r>
          </w:p>
        </w:tc>
      </w:tr>
      <w:tr w14:paraId="15D9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1D8EA5B7">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0478115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闸南村</w:t>
            </w:r>
          </w:p>
        </w:tc>
        <w:tc>
          <w:tcPr>
            <w:tcW w:w="423" w:type="pct"/>
            <w:shd w:val="clear" w:color="auto" w:fill="auto"/>
            <w:vAlign w:val="center"/>
          </w:tcPr>
          <w:p w14:paraId="0D3DB808">
            <w:pPr>
              <w:spacing w:line="240" w:lineRule="auto"/>
              <w:ind w:firstLine="0" w:firstLineChars="0"/>
              <w:jc w:val="center"/>
              <w:rPr>
                <w:rFonts w:eastAsia="等线" w:cs="Times New Roman"/>
                <w:kern w:val="0"/>
                <w:sz w:val="21"/>
              </w:rPr>
            </w:pPr>
            <w:r>
              <w:rPr>
                <w:rFonts w:hint="eastAsia" w:eastAsia="等线" w:cs="Times New Roman"/>
                <w:kern w:val="0"/>
                <w:sz w:val="21"/>
              </w:rPr>
              <w:t>-2600</w:t>
            </w:r>
          </w:p>
        </w:tc>
        <w:tc>
          <w:tcPr>
            <w:tcW w:w="424" w:type="pct"/>
            <w:shd w:val="clear" w:color="auto" w:fill="auto"/>
            <w:vAlign w:val="center"/>
          </w:tcPr>
          <w:p w14:paraId="13C9CFB2">
            <w:pPr>
              <w:spacing w:line="240" w:lineRule="auto"/>
              <w:ind w:firstLine="0" w:firstLineChars="0"/>
              <w:jc w:val="center"/>
              <w:rPr>
                <w:rFonts w:eastAsia="等线" w:cs="Times New Roman"/>
                <w:kern w:val="0"/>
                <w:sz w:val="21"/>
              </w:rPr>
            </w:pPr>
            <w:r>
              <w:rPr>
                <w:rFonts w:hint="eastAsia" w:eastAsia="等线" w:cs="Times New Roman"/>
                <w:kern w:val="0"/>
                <w:sz w:val="21"/>
              </w:rPr>
              <w:t>1601.2</w:t>
            </w:r>
          </w:p>
        </w:tc>
        <w:tc>
          <w:tcPr>
            <w:tcW w:w="1156" w:type="pct"/>
            <w:shd w:val="clear" w:color="auto" w:fill="auto"/>
            <w:vAlign w:val="center"/>
          </w:tcPr>
          <w:p w14:paraId="4031896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770EE90">
            <w:pPr>
              <w:spacing w:line="240" w:lineRule="auto"/>
              <w:ind w:firstLine="0" w:firstLineChars="0"/>
              <w:rPr>
                <w:rFonts w:hint="eastAsia" w:ascii="宋体" w:hAnsi="宋体" w:eastAsia="宋体" w:cs="宋体"/>
                <w:kern w:val="0"/>
                <w:sz w:val="21"/>
              </w:rPr>
            </w:pPr>
          </w:p>
        </w:tc>
        <w:tc>
          <w:tcPr>
            <w:tcW w:w="535" w:type="pct"/>
            <w:vMerge w:val="continue"/>
            <w:vAlign w:val="center"/>
          </w:tcPr>
          <w:p w14:paraId="527CE25A">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C0480F2">
            <w:pPr>
              <w:spacing w:line="240" w:lineRule="auto"/>
              <w:ind w:firstLine="0" w:firstLineChars="0"/>
              <w:jc w:val="center"/>
              <w:rPr>
                <w:rFonts w:eastAsia="等线" w:cs="Times New Roman"/>
                <w:kern w:val="0"/>
                <w:sz w:val="21"/>
              </w:rPr>
            </w:pPr>
            <w:r>
              <w:rPr>
                <w:rFonts w:hint="eastAsia" w:eastAsia="等线" w:cs="Times New Roman"/>
                <w:kern w:val="0"/>
                <w:sz w:val="21"/>
              </w:rPr>
              <w:t>NW</w:t>
            </w:r>
          </w:p>
        </w:tc>
        <w:tc>
          <w:tcPr>
            <w:tcW w:w="631" w:type="pct"/>
            <w:shd w:val="clear" w:color="auto" w:fill="auto"/>
            <w:vAlign w:val="center"/>
          </w:tcPr>
          <w:p w14:paraId="73D38D1E">
            <w:pPr>
              <w:spacing w:line="240" w:lineRule="auto"/>
              <w:ind w:firstLine="0" w:firstLineChars="0"/>
              <w:jc w:val="center"/>
              <w:rPr>
                <w:rFonts w:eastAsia="等线" w:cs="Times New Roman"/>
                <w:kern w:val="0"/>
                <w:sz w:val="21"/>
              </w:rPr>
            </w:pPr>
            <w:r>
              <w:rPr>
                <w:rFonts w:hint="eastAsia" w:eastAsia="等线" w:cs="Times New Roman"/>
                <w:kern w:val="0"/>
                <w:sz w:val="21"/>
              </w:rPr>
              <w:t>2.73</w:t>
            </w:r>
          </w:p>
        </w:tc>
      </w:tr>
      <w:tr w14:paraId="4FE5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596212AE">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22738B5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朱舍</w:t>
            </w:r>
          </w:p>
        </w:tc>
        <w:tc>
          <w:tcPr>
            <w:tcW w:w="423" w:type="pct"/>
            <w:shd w:val="clear" w:color="auto" w:fill="auto"/>
            <w:vAlign w:val="center"/>
          </w:tcPr>
          <w:p w14:paraId="45B5FC59">
            <w:pPr>
              <w:spacing w:line="240" w:lineRule="auto"/>
              <w:ind w:firstLine="0" w:firstLineChars="0"/>
              <w:jc w:val="center"/>
              <w:rPr>
                <w:rFonts w:eastAsia="等线" w:cs="Times New Roman"/>
                <w:kern w:val="0"/>
                <w:sz w:val="21"/>
              </w:rPr>
            </w:pPr>
            <w:r>
              <w:rPr>
                <w:rFonts w:hint="eastAsia" w:eastAsia="等线" w:cs="Times New Roman"/>
                <w:kern w:val="0"/>
                <w:sz w:val="21"/>
              </w:rPr>
              <w:t>-2757.1</w:t>
            </w:r>
          </w:p>
        </w:tc>
        <w:tc>
          <w:tcPr>
            <w:tcW w:w="424" w:type="pct"/>
            <w:shd w:val="clear" w:color="auto" w:fill="auto"/>
            <w:vAlign w:val="center"/>
          </w:tcPr>
          <w:p w14:paraId="719EB773">
            <w:pPr>
              <w:spacing w:line="240" w:lineRule="auto"/>
              <w:ind w:firstLine="0" w:firstLineChars="0"/>
              <w:jc w:val="center"/>
              <w:rPr>
                <w:rFonts w:eastAsia="等线" w:cs="Times New Roman"/>
                <w:kern w:val="0"/>
                <w:sz w:val="21"/>
              </w:rPr>
            </w:pPr>
            <w:r>
              <w:rPr>
                <w:rFonts w:hint="eastAsia" w:eastAsia="等线" w:cs="Times New Roman"/>
                <w:kern w:val="0"/>
                <w:sz w:val="21"/>
              </w:rPr>
              <w:t>940</w:t>
            </w:r>
          </w:p>
        </w:tc>
        <w:tc>
          <w:tcPr>
            <w:tcW w:w="1156" w:type="pct"/>
            <w:shd w:val="clear" w:color="auto" w:fill="auto"/>
            <w:vAlign w:val="center"/>
          </w:tcPr>
          <w:p w14:paraId="70F09DC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9E2B862">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9C86BA1">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8D5EC22">
            <w:pPr>
              <w:spacing w:line="240" w:lineRule="auto"/>
              <w:ind w:firstLine="0" w:firstLineChars="0"/>
              <w:jc w:val="center"/>
              <w:rPr>
                <w:rFonts w:eastAsia="等线" w:cs="Times New Roman"/>
                <w:kern w:val="0"/>
                <w:sz w:val="21"/>
              </w:rPr>
            </w:pPr>
            <w:r>
              <w:rPr>
                <w:rFonts w:hint="eastAsia" w:eastAsia="等线" w:cs="Times New Roman"/>
                <w:kern w:val="0"/>
                <w:sz w:val="21"/>
              </w:rPr>
              <w:t>WNW</w:t>
            </w:r>
          </w:p>
        </w:tc>
        <w:tc>
          <w:tcPr>
            <w:tcW w:w="631" w:type="pct"/>
            <w:shd w:val="clear" w:color="auto" w:fill="auto"/>
            <w:vAlign w:val="center"/>
          </w:tcPr>
          <w:p w14:paraId="51D0BCBA">
            <w:pPr>
              <w:spacing w:line="240" w:lineRule="auto"/>
              <w:ind w:firstLine="0" w:firstLineChars="0"/>
              <w:jc w:val="center"/>
              <w:rPr>
                <w:rFonts w:eastAsia="等线" w:cs="Times New Roman"/>
                <w:kern w:val="0"/>
                <w:sz w:val="21"/>
              </w:rPr>
            </w:pPr>
            <w:r>
              <w:rPr>
                <w:rFonts w:hint="eastAsia" w:eastAsia="等线" w:cs="Times New Roman"/>
                <w:kern w:val="0"/>
                <w:sz w:val="21"/>
              </w:rPr>
              <w:t>2.68</w:t>
            </w:r>
          </w:p>
        </w:tc>
      </w:tr>
      <w:tr w14:paraId="48A8B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2032BD23">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558EB1E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林场</w:t>
            </w:r>
          </w:p>
        </w:tc>
        <w:tc>
          <w:tcPr>
            <w:tcW w:w="423" w:type="pct"/>
            <w:shd w:val="clear" w:color="auto" w:fill="auto"/>
            <w:vAlign w:val="center"/>
          </w:tcPr>
          <w:p w14:paraId="5E4B7149">
            <w:pPr>
              <w:spacing w:line="240" w:lineRule="auto"/>
              <w:ind w:firstLine="0" w:firstLineChars="0"/>
              <w:jc w:val="center"/>
              <w:rPr>
                <w:rFonts w:eastAsia="等线" w:cs="Times New Roman"/>
                <w:kern w:val="0"/>
                <w:sz w:val="21"/>
              </w:rPr>
            </w:pPr>
            <w:r>
              <w:rPr>
                <w:rFonts w:hint="eastAsia" w:eastAsia="等线" w:cs="Times New Roman"/>
                <w:kern w:val="0"/>
                <w:sz w:val="21"/>
              </w:rPr>
              <w:t>-2393.4</w:t>
            </w:r>
          </w:p>
        </w:tc>
        <w:tc>
          <w:tcPr>
            <w:tcW w:w="424" w:type="pct"/>
            <w:shd w:val="clear" w:color="auto" w:fill="auto"/>
            <w:vAlign w:val="center"/>
          </w:tcPr>
          <w:p w14:paraId="0F45E839">
            <w:pPr>
              <w:spacing w:line="240" w:lineRule="auto"/>
              <w:ind w:firstLine="0" w:firstLineChars="0"/>
              <w:jc w:val="center"/>
              <w:rPr>
                <w:rFonts w:eastAsia="等线" w:cs="Times New Roman"/>
                <w:kern w:val="0"/>
                <w:sz w:val="21"/>
              </w:rPr>
            </w:pPr>
            <w:r>
              <w:rPr>
                <w:rFonts w:hint="eastAsia" w:eastAsia="等线" w:cs="Times New Roman"/>
                <w:kern w:val="0"/>
                <w:sz w:val="21"/>
              </w:rPr>
              <w:t>1039.2</w:t>
            </w:r>
          </w:p>
        </w:tc>
        <w:tc>
          <w:tcPr>
            <w:tcW w:w="1156" w:type="pct"/>
            <w:shd w:val="clear" w:color="auto" w:fill="auto"/>
            <w:vAlign w:val="center"/>
          </w:tcPr>
          <w:p w14:paraId="07EA790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930A182">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9B0CE04">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3EDC6ED5">
            <w:pPr>
              <w:spacing w:line="240" w:lineRule="auto"/>
              <w:ind w:firstLine="0" w:firstLineChars="0"/>
              <w:jc w:val="center"/>
              <w:rPr>
                <w:rFonts w:eastAsia="等线" w:cs="Times New Roman"/>
                <w:kern w:val="0"/>
                <w:sz w:val="21"/>
              </w:rPr>
            </w:pPr>
            <w:r>
              <w:rPr>
                <w:rFonts w:hint="eastAsia" w:eastAsia="等线" w:cs="Times New Roman"/>
                <w:kern w:val="0"/>
                <w:sz w:val="21"/>
              </w:rPr>
              <w:t>WNW</w:t>
            </w:r>
          </w:p>
        </w:tc>
        <w:tc>
          <w:tcPr>
            <w:tcW w:w="631" w:type="pct"/>
            <w:shd w:val="clear" w:color="auto" w:fill="auto"/>
            <w:vAlign w:val="center"/>
          </w:tcPr>
          <w:p w14:paraId="2994B321">
            <w:pPr>
              <w:spacing w:line="240" w:lineRule="auto"/>
              <w:ind w:firstLine="0" w:firstLineChars="0"/>
              <w:jc w:val="center"/>
              <w:rPr>
                <w:rFonts w:eastAsia="等线" w:cs="Times New Roman"/>
                <w:kern w:val="0"/>
                <w:sz w:val="21"/>
              </w:rPr>
            </w:pPr>
            <w:r>
              <w:rPr>
                <w:rFonts w:hint="eastAsia" w:eastAsia="等线" w:cs="Times New Roman"/>
                <w:kern w:val="0"/>
                <w:sz w:val="21"/>
              </w:rPr>
              <w:t>2.39</w:t>
            </w:r>
          </w:p>
        </w:tc>
      </w:tr>
      <w:tr w14:paraId="4185A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0AE737A8">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634ECDC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圩外</w:t>
            </w:r>
          </w:p>
        </w:tc>
        <w:tc>
          <w:tcPr>
            <w:tcW w:w="423" w:type="pct"/>
            <w:shd w:val="clear" w:color="auto" w:fill="auto"/>
            <w:vAlign w:val="center"/>
          </w:tcPr>
          <w:p w14:paraId="6139D390">
            <w:pPr>
              <w:spacing w:line="240" w:lineRule="auto"/>
              <w:ind w:firstLine="0" w:firstLineChars="0"/>
              <w:jc w:val="center"/>
              <w:rPr>
                <w:rFonts w:eastAsia="等线" w:cs="Times New Roman"/>
                <w:kern w:val="0"/>
                <w:sz w:val="21"/>
              </w:rPr>
            </w:pPr>
            <w:r>
              <w:rPr>
                <w:rFonts w:hint="eastAsia" w:eastAsia="等线" w:cs="Times New Roman"/>
                <w:kern w:val="0"/>
                <w:sz w:val="21"/>
              </w:rPr>
              <w:t>-1462.3</w:t>
            </w:r>
          </w:p>
        </w:tc>
        <w:tc>
          <w:tcPr>
            <w:tcW w:w="424" w:type="pct"/>
            <w:shd w:val="clear" w:color="auto" w:fill="auto"/>
            <w:vAlign w:val="center"/>
          </w:tcPr>
          <w:p w14:paraId="02762DF5">
            <w:pPr>
              <w:spacing w:line="240" w:lineRule="auto"/>
              <w:ind w:firstLine="0" w:firstLineChars="0"/>
              <w:jc w:val="center"/>
              <w:rPr>
                <w:rFonts w:eastAsia="等线" w:cs="Times New Roman"/>
                <w:kern w:val="0"/>
                <w:sz w:val="21"/>
              </w:rPr>
            </w:pPr>
            <w:r>
              <w:rPr>
                <w:rFonts w:hint="eastAsia" w:eastAsia="等线" w:cs="Times New Roman"/>
                <w:kern w:val="0"/>
                <w:sz w:val="21"/>
              </w:rPr>
              <w:t>1066.3</w:t>
            </w:r>
          </w:p>
        </w:tc>
        <w:tc>
          <w:tcPr>
            <w:tcW w:w="1156" w:type="pct"/>
            <w:shd w:val="clear" w:color="auto" w:fill="auto"/>
            <w:vAlign w:val="center"/>
          </w:tcPr>
          <w:p w14:paraId="0ACDC00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124CDD4F">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9D2E779">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B06D800">
            <w:pPr>
              <w:spacing w:line="240" w:lineRule="auto"/>
              <w:ind w:firstLine="0" w:firstLineChars="0"/>
              <w:jc w:val="center"/>
              <w:rPr>
                <w:rFonts w:eastAsia="等线" w:cs="Times New Roman"/>
                <w:kern w:val="0"/>
                <w:sz w:val="21"/>
              </w:rPr>
            </w:pPr>
            <w:r>
              <w:rPr>
                <w:rFonts w:hint="eastAsia" w:eastAsia="等线" w:cs="Times New Roman"/>
                <w:kern w:val="0"/>
                <w:sz w:val="21"/>
              </w:rPr>
              <w:t>WNW</w:t>
            </w:r>
          </w:p>
        </w:tc>
        <w:tc>
          <w:tcPr>
            <w:tcW w:w="631" w:type="pct"/>
            <w:shd w:val="clear" w:color="auto" w:fill="auto"/>
            <w:vAlign w:val="center"/>
          </w:tcPr>
          <w:p w14:paraId="70993B52">
            <w:pPr>
              <w:spacing w:line="240" w:lineRule="auto"/>
              <w:ind w:firstLine="0" w:firstLineChars="0"/>
              <w:jc w:val="center"/>
              <w:rPr>
                <w:rFonts w:eastAsia="等线" w:cs="Times New Roman"/>
                <w:kern w:val="0"/>
                <w:sz w:val="21"/>
              </w:rPr>
            </w:pPr>
            <w:r>
              <w:rPr>
                <w:rFonts w:hint="eastAsia" w:eastAsia="等线" w:cs="Times New Roman"/>
                <w:kern w:val="0"/>
                <w:sz w:val="21"/>
              </w:rPr>
              <w:t>1.31</w:t>
            </w:r>
          </w:p>
        </w:tc>
      </w:tr>
      <w:tr w14:paraId="43BC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40633D9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柴市村</w:t>
            </w:r>
          </w:p>
        </w:tc>
        <w:tc>
          <w:tcPr>
            <w:tcW w:w="671" w:type="pct"/>
            <w:shd w:val="clear" w:color="auto" w:fill="auto"/>
            <w:vAlign w:val="center"/>
          </w:tcPr>
          <w:p w14:paraId="3A3E17C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柴市村</w:t>
            </w:r>
          </w:p>
        </w:tc>
        <w:tc>
          <w:tcPr>
            <w:tcW w:w="423" w:type="pct"/>
            <w:shd w:val="clear" w:color="auto" w:fill="auto"/>
            <w:vAlign w:val="center"/>
          </w:tcPr>
          <w:p w14:paraId="7B2406C9">
            <w:pPr>
              <w:spacing w:line="240" w:lineRule="auto"/>
              <w:ind w:firstLine="0" w:firstLineChars="0"/>
              <w:jc w:val="center"/>
              <w:rPr>
                <w:rFonts w:eastAsia="等线" w:cs="Times New Roman"/>
                <w:kern w:val="0"/>
                <w:sz w:val="21"/>
              </w:rPr>
            </w:pPr>
            <w:r>
              <w:rPr>
                <w:rFonts w:hint="eastAsia" w:eastAsia="等线" w:cs="Times New Roman"/>
                <w:kern w:val="0"/>
                <w:sz w:val="21"/>
              </w:rPr>
              <w:t>-2693.9</w:t>
            </w:r>
          </w:p>
        </w:tc>
        <w:tc>
          <w:tcPr>
            <w:tcW w:w="424" w:type="pct"/>
            <w:shd w:val="clear" w:color="auto" w:fill="auto"/>
            <w:vAlign w:val="center"/>
          </w:tcPr>
          <w:p w14:paraId="30253BC4">
            <w:pPr>
              <w:spacing w:line="240" w:lineRule="auto"/>
              <w:ind w:firstLine="0" w:firstLineChars="0"/>
              <w:jc w:val="center"/>
              <w:rPr>
                <w:rFonts w:eastAsia="等线" w:cs="Times New Roman"/>
                <w:kern w:val="0"/>
                <w:sz w:val="21"/>
              </w:rPr>
            </w:pPr>
            <w:r>
              <w:rPr>
                <w:rFonts w:hint="eastAsia" w:eastAsia="等线" w:cs="Times New Roman"/>
                <w:kern w:val="0"/>
                <w:sz w:val="21"/>
              </w:rPr>
              <w:t>-1194</w:t>
            </w:r>
          </w:p>
        </w:tc>
        <w:tc>
          <w:tcPr>
            <w:tcW w:w="1156" w:type="pct"/>
            <w:shd w:val="clear" w:color="auto" w:fill="auto"/>
            <w:vAlign w:val="center"/>
          </w:tcPr>
          <w:p w14:paraId="1F7293A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0997A2D9">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94F1A41">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0AAEE4AB">
            <w:pPr>
              <w:spacing w:line="240" w:lineRule="auto"/>
              <w:ind w:firstLine="0" w:firstLineChars="0"/>
              <w:jc w:val="center"/>
              <w:rPr>
                <w:rFonts w:eastAsia="等线" w:cs="Times New Roman"/>
                <w:kern w:val="0"/>
                <w:sz w:val="21"/>
              </w:rPr>
            </w:pPr>
            <w:r>
              <w:rPr>
                <w:rFonts w:hint="eastAsia" w:eastAsia="等线" w:cs="Times New Roman"/>
                <w:kern w:val="0"/>
                <w:sz w:val="21"/>
              </w:rPr>
              <w:t>WSW</w:t>
            </w:r>
          </w:p>
        </w:tc>
        <w:tc>
          <w:tcPr>
            <w:tcW w:w="631" w:type="pct"/>
            <w:shd w:val="clear" w:color="auto" w:fill="auto"/>
            <w:vAlign w:val="center"/>
          </w:tcPr>
          <w:p w14:paraId="7287184F">
            <w:pPr>
              <w:spacing w:line="240" w:lineRule="auto"/>
              <w:ind w:firstLine="0" w:firstLineChars="0"/>
              <w:jc w:val="center"/>
              <w:rPr>
                <w:rFonts w:eastAsia="等线" w:cs="Times New Roman"/>
                <w:kern w:val="0"/>
                <w:sz w:val="21"/>
              </w:rPr>
            </w:pPr>
            <w:r>
              <w:rPr>
                <w:rFonts w:hint="eastAsia" w:eastAsia="等线" w:cs="Times New Roman"/>
                <w:kern w:val="0"/>
                <w:sz w:val="21"/>
              </w:rPr>
              <w:t>2.4</w:t>
            </w:r>
          </w:p>
        </w:tc>
      </w:tr>
      <w:tr w14:paraId="6B76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32393775">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58115FF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林许庄</w:t>
            </w:r>
          </w:p>
        </w:tc>
        <w:tc>
          <w:tcPr>
            <w:tcW w:w="423" w:type="pct"/>
            <w:shd w:val="clear" w:color="auto" w:fill="auto"/>
            <w:vAlign w:val="center"/>
          </w:tcPr>
          <w:p w14:paraId="2D9B661E">
            <w:pPr>
              <w:spacing w:line="240" w:lineRule="auto"/>
              <w:ind w:firstLine="0" w:firstLineChars="0"/>
              <w:jc w:val="center"/>
              <w:rPr>
                <w:rFonts w:eastAsia="等线" w:cs="Times New Roman"/>
                <w:kern w:val="0"/>
                <w:sz w:val="21"/>
              </w:rPr>
            </w:pPr>
            <w:r>
              <w:rPr>
                <w:rFonts w:hint="eastAsia" w:eastAsia="等线" w:cs="Times New Roman"/>
                <w:kern w:val="0"/>
                <w:sz w:val="21"/>
              </w:rPr>
              <w:t>-2558.7</w:t>
            </w:r>
          </w:p>
        </w:tc>
        <w:tc>
          <w:tcPr>
            <w:tcW w:w="424" w:type="pct"/>
            <w:shd w:val="clear" w:color="auto" w:fill="auto"/>
            <w:vAlign w:val="center"/>
          </w:tcPr>
          <w:p w14:paraId="3DA94924">
            <w:pPr>
              <w:spacing w:line="240" w:lineRule="auto"/>
              <w:ind w:firstLine="0" w:firstLineChars="0"/>
              <w:jc w:val="center"/>
              <w:rPr>
                <w:rFonts w:eastAsia="等线" w:cs="Times New Roman"/>
                <w:kern w:val="0"/>
                <w:sz w:val="21"/>
              </w:rPr>
            </w:pPr>
            <w:r>
              <w:rPr>
                <w:rFonts w:hint="eastAsia" w:eastAsia="等线" w:cs="Times New Roman"/>
                <w:kern w:val="0"/>
                <w:sz w:val="21"/>
              </w:rPr>
              <w:t>-456.9</w:t>
            </w:r>
          </w:p>
        </w:tc>
        <w:tc>
          <w:tcPr>
            <w:tcW w:w="1156" w:type="pct"/>
            <w:shd w:val="clear" w:color="auto" w:fill="auto"/>
            <w:vAlign w:val="center"/>
          </w:tcPr>
          <w:p w14:paraId="2267C56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020D5D76">
            <w:pPr>
              <w:spacing w:line="240" w:lineRule="auto"/>
              <w:ind w:firstLine="0" w:firstLineChars="0"/>
              <w:rPr>
                <w:rFonts w:hint="eastAsia" w:ascii="宋体" w:hAnsi="宋体" w:eastAsia="宋体" w:cs="宋体"/>
                <w:kern w:val="0"/>
                <w:sz w:val="21"/>
              </w:rPr>
            </w:pPr>
          </w:p>
        </w:tc>
        <w:tc>
          <w:tcPr>
            <w:tcW w:w="535" w:type="pct"/>
            <w:vMerge w:val="continue"/>
            <w:vAlign w:val="center"/>
          </w:tcPr>
          <w:p w14:paraId="55C72533">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53EAEB3F">
            <w:pPr>
              <w:spacing w:line="240" w:lineRule="auto"/>
              <w:ind w:firstLine="0" w:firstLineChars="0"/>
              <w:jc w:val="center"/>
              <w:rPr>
                <w:rFonts w:eastAsia="等线" w:cs="Times New Roman"/>
                <w:kern w:val="0"/>
                <w:sz w:val="21"/>
              </w:rPr>
            </w:pPr>
            <w:r>
              <w:rPr>
                <w:rFonts w:hint="eastAsia" w:eastAsia="等线" w:cs="Times New Roman"/>
                <w:kern w:val="0"/>
                <w:sz w:val="21"/>
              </w:rPr>
              <w:t>W</w:t>
            </w:r>
          </w:p>
        </w:tc>
        <w:tc>
          <w:tcPr>
            <w:tcW w:w="631" w:type="pct"/>
            <w:shd w:val="clear" w:color="auto" w:fill="auto"/>
            <w:vAlign w:val="center"/>
          </w:tcPr>
          <w:p w14:paraId="764FB8EF">
            <w:pPr>
              <w:spacing w:line="240" w:lineRule="auto"/>
              <w:ind w:firstLine="0" w:firstLineChars="0"/>
              <w:jc w:val="center"/>
              <w:rPr>
                <w:rFonts w:eastAsia="等线" w:cs="Times New Roman"/>
                <w:kern w:val="0"/>
                <w:sz w:val="21"/>
              </w:rPr>
            </w:pPr>
            <w:r>
              <w:rPr>
                <w:rFonts w:hint="eastAsia" w:eastAsia="等线" w:cs="Times New Roman"/>
                <w:kern w:val="0"/>
                <w:sz w:val="21"/>
              </w:rPr>
              <w:t>1.8</w:t>
            </w:r>
          </w:p>
        </w:tc>
      </w:tr>
      <w:tr w14:paraId="5639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404B19CB">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1C29555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孙徐村</w:t>
            </w:r>
          </w:p>
        </w:tc>
        <w:tc>
          <w:tcPr>
            <w:tcW w:w="423" w:type="pct"/>
            <w:shd w:val="clear" w:color="auto" w:fill="auto"/>
            <w:vAlign w:val="center"/>
          </w:tcPr>
          <w:p w14:paraId="78BBC737">
            <w:pPr>
              <w:spacing w:line="240" w:lineRule="auto"/>
              <w:ind w:firstLine="0" w:firstLineChars="0"/>
              <w:jc w:val="center"/>
              <w:rPr>
                <w:rFonts w:eastAsia="等线" w:cs="Times New Roman"/>
                <w:kern w:val="0"/>
                <w:sz w:val="21"/>
              </w:rPr>
            </w:pPr>
            <w:r>
              <w:rPr>
                <w:rFonts w:hint="eastAsia" w:eastAsia="等线" w:cs="Times New Roman"/>
                <w:kern w:val="0"/>
                <w:sz w:val="21"/>
              </w:rPr>
              <w:t>-2746.1</w:t>
            </w:r>
          </w:p>
        </w:tc>
        <w:tc>
          <w:tcPr>
            <w:tcW w:w="424" w:type="pct"/>
            <w:shd w:val="clear" w:color="auto" w:fill="auto"/>
            <w:vAlign w:val="center"/>
          </w:tcPr>
          <w:p w14:paraId="56D6764D">
            <w:pPr>
              <w:spacing w:line="240" w:lineRule="auto"/>
              <w:ind w:firstLine="0" w:firstLineChars="0"/>
              <w:jc w:val="center"/>
              <w:rPr>
                <w:rFonts w:eastAsia="等线" w:cs="Times New Roman"/>
                <w:kern w:val="0"/>
                <w:sz w:val="21"/>
              </w:rPr>
            </w:pPr>
            <w:r>
              <w:rPr>
                <w:rFonts w:hint="eastAsia" w:eastAsia="等线" w:cs="Times New Roman"/>
                <w:kern w:val="0"/>
                <w:sz w:val="21"/>
              </w:rPr>
              <w:t>-2372</w:t>
            </w:r>
          </w:p>
        </w:tc>
        <w:tc>
          <w:tcPr>
            <w:tcW w:w="1156" w:type="pct"/>
            <w:shd w:val="clear" w:color="auto" w:fill="auto"/>
            <w:vAlign w:val="center"/>
          </w:tcPr>
          <w:p w14:paraId="7C85426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1F519934">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86F1877">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790A4606">
            <w:pPr>
              <w:spacing w:line="240" w:lineRule="auto"/>
              <w:ind w:firstLine="0" w:firstLineChars="0"/>
              <w:jc w:val="center"/>
              <w:rPr>
                <w:rFonts w:eastAsia="等线" w:cs="Times New Roman"/>
                <w:kern w:val="0"/>
                <w:sz w:val="21"/>
              </w:rPr>
            </w:pPr>
            <w:r>
              <w:rPr>
                <w:rFonts w:hint="eastAsia" w:eastAsia="等线" w:cs="Times New Roman"/>
                <w:kern w:val="0"/>
                <w:sz w:val="21"/>
              </w:rPr>
              <w:t>SW</w:t>
            </w:r>
          </w:p>
        </w:tc>
        <w:tc>
          <w:tcPr>
            <w:tcW w:w="631" w:type="pct"/>
            <w:shd w:val="clear" w:color="auto" w:fill="auto"/>
            <w:vAlign w:val="center"/>
          </w:tcPr>
          <w:p w14:paraId="1A2D483F">
            <w:pPr>
              <w:spacing w:line="240" w:lineRule="auto"/>
              <w:ind w:firstLine="0" w:firstLineChars="0"/>
              <w:jc w:val="center"/>
              <w:rPr>
                <w:rFonts w:eastAsia="等线" w:cs="Times New Roman"/>
                <w:kern w:val="0"/>
                <w:sz w:val="21"/>
              </w:rPr>
            </w:pPr>
            <w:r>
              <w:rPr>
                <w:rFonts w:hint="eastAsia" w:eastAsia="等线" w:cs="Times New Roman"/>
                <w:kern w:val="0"/>
                <w:sz w:val="21"/>
              </w:rPr>
              <w:t>2.7</w:t>
            </w:r>
          </w:p>
        </w:tc>
      </w:tr>
      <w:tr w14:paraId="4702C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shd w:val="clear" w:color="auto" w:fill="auto"/>
            <w:vAlign w:val="center"/>
          </w:tcPr>
          <w:p w14:paraId="714A056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高台村</w:t>
            </w:r>
          </w:p>
        </w:tc>
        <w:tc>
          <w:tcPr>
            <w:tcW w:w="671" w:type="pct"/>
            <w:shd w:val="clear" w:color="auto" w:fill="auto"/>
            <w:vAlign w:val="center"/>
          </w:tcPr>
          <w:p w14:paraId="3FBE1A8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越堆</w:t>
            </w:r>
          </w:p>
        </w:tc>
        <w:tc>
          <w:tcPr>
            <w:tcW w:w="423" w:type="pct"/>
            <w:shd w:val="clear" w:color="auto" w:fill="auto"/>
            <w:vAlign w:val="center"/>
          </w:tcPr>
          <w:p w14:paraId="7B0DA734">
            <w:pPr>
              <w:spacing w:line="240" w:lineRule="auto"/>
              <w:ind w:firstLine="0" w:firstLineChars="0"/>
              <w:jc w:val="center"/>
              <w:rPr>
                <w:rFonts w:eastAsia="等线" w:cs="Times New Roman"/>
                <w:kern w:val="0"/>
                <w:sz w:val="21"/>
              </w:rPr>
            </w:pPr>
            <w:r>
              <w:rPr>
                <w:rFonts w:hint="eastAsia" w:eastAsia="等线" w:cs="Times New Roman"/>
                <w:kern w:val="0"/>
                <w:sz w:val="21"/>
              </w:rPr>
              <w:t>-1480.1</w:t>
            </w:r>
          </w:p>
        </w:tc>
        <w:tc>
          <w:tcPr>
            <w:tcW w:w="424" w:type="pct"/>
            <w:shd w:val="clear" w:color="auto" w:fill="auto"/>
            <w:vAlign w:val="center"/>
          </w:tcPr>
          <w:p w14:paraId="55D46C20">
            <w:pPr>
              <w:spacing w:line="240" w:lineRule="auto"/>
              <w:ind w:firstLine="0" w:firstLineChars="0"/>
              <w:jc w:val="center"/>
              <w:rPr>
                <w:rFonts w:eastAsia="等线" w:cs="Times New Roman"/>
                <w:kern w:val="0"/>
                <w:sz w:val="21"/>
              </w:rPr>
            </w:pPr>
            <w:r>
              <w:rPr>
                <w:rFonts w:hint="eastAsia" w:eastAsia="等线" w:cs="Times New Roman"/>
                <w:kern w:val="0"/>
                <w:sz w:val="21"/>
              </w:rPr>
              <w:t>-807.4</w:t>
            </w:r>
          </w:p>
        </w:tc>
        <w:tc>
          <w:tcPr>
            <w:tcW w:w="1156" w:type="pct"/>
            <w:shd w:val="clear" w:color="auto" w:fill="auto"/>
            <w:vAlign w:val="center"/>
          </w:tcPr>
          <w:p w14:paraId="5144F9B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E2DBA00">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B4572E3">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52551C9F">
            <w:pPr>
              <w:spacing w:line="240" w:lineRule="auto"/>
              <w:ind w:firstLine="0" w:firstLineChars="0"/>
              <w:jc w:val="center"/>
              <w:rPr>
                <w:rFonts w:eastAsia="等线" w:cs="Times New Roman"/>
                <w:kern w:val="0"/>
                <w:sz w:val="21"/>
              </w:rPr>
            </w:pPr>
            <w:r>
              <w:rPr>
                <w:rFonts w:hint="eastAsia" w:eastAsia="等线" w:cs="Times New Roman"/>
                <w:kern w:val="0"/>
                <w:sz w:val="21"/>
              </w:rPr>
              <w:t>SW</w:t>
            </w:r>
          </w:p>
        </w:tc>
        <w:tc>
          <w:tcPr>
            <w:tcW w:w="631" w:type="pct"/>
            <w:shd w:val="clear" w:color="auto" w:fill="auto"/>
            <w:vAlign w:val="center"/>
          </w:tcPr>
          <w:p w14:paraId="2637D568">
            <w:pPr>
              <w:spacing w:line="240" w:lineRule="auto"/>
              <w:ind w:firstLine="0" w:firstLineChars="0"/>
              <w:jc w:val="center"/>
              <w:rPr>
                <w:rFonts w:eastAsia="等线" w:cs="Times New Roman"/>
                <w:kern w:val="0"/>
                <w:sz w:val="21"/>
              </w:rPr>
            </w:pPr>
            <w:r>
              <w:rPr>
                <w:rFonts w:hint="eastAsia" w:eastAsia="等线" w:cs="Times New Roman"/>
                <w:kern w:val="0"/>
                <w:sz w:val="21"/>
              </w:rPr>
              <w:t>1.06</w:t>
            </w:r>
          </w:p>
        </w:tc>
      </w:tr>
      <w:tr w14:paraId="0C57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4FD3EEE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嵇陆村</w:t>
            </w:r>
          </w:p>
        </w:tc>
        <w:tc>
          <w:tcPr>
            <w:tcW w:w="671" w:type="pct"/>
            <w:shd w:val="clear" w:color="auto" w:fill="auto"/>
            <w:vAlign w:val="center"/>
          </w:tcPr>
          <w:p w14:paraId="1081404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嵇陆村</w:t>
            </w:r>
          </w:p>
        </w:tc>
        <w:tc>
          <w:tcPr>
            <w:tcW w:w="423" w:type="pct"/>
            <w:shd w:val="clear" w:color="auto" w:fill="auto"/>
            <w:vAlign w:val="center"/>
          </w:tcPr>
          <w:p w14:paraId="498ACEC3">
            <w:pPr>
              <w:spacing w:line="240" w:lineRule="auto"/>
              <w:ind w:firstLine="0" w:firstLineChars="0"/>
              <w:jc w:val="center"/>
              <w:rPr>
                <w:rFonts w:eastAsia="等线" w:cs="Times New Roman"/>
                <w:kern w:val="0"/>
                <w:sz w:val="21"/>
              </w:rPr>
            </w:pPr>
            <w:r>
              <w:rPr>
                <w:rFonts w:hint="eastAsia" w:eastAsia="等线" w:cs="Times New Roman"/>
                <w:kern w:val="0"/>
                <w:sz w:val="21"/>
              </w:rPr>
              <w:t>-1492</w:t>
            </w:r>
          </w:p>
        </w:tc>
        <w:tc>
          <w:tcPr>
            <w:tcW w:w="424" w:type="pct"/>
            <w:shd w:val="clear" w:color="auto" w:fill="auto"/>
            <w:vAlign w:val="center"/>
          </w:tcPr>
          <w:p w14:paraId="6D2ADDD0">
            <w:pPr>
              <w:spacing w:line="240" w:lineRule="auto"/>
              <w:ind w:firstLine="0" w:firstLineChars="0"/>
              <w:jc w:val="center"/>
              <w:rPr>
                <w:rFonts w:eastAsia="等线" w:cs="Times New Roman"/>
                <w:kern w:val="0"/>
                <w:sz w:val="21"/>
              </w:rPr>
            </w:pPr>
            <w:r>
              <w:rPr>
                <w:rFonts w:hint="eastAsia" w:eastAsia="等线" w:cs="Times New Roman"/>
                <w:kern w:val="0"/>
                <w:sz w:val="21"/>
              </w:rPr>
              <w:t>-2300.4</w:t>
            </w:r>
          </w:p>
        </w:tc>
        <w:tc>
          <w:tcPr>
            <w:tcW w:w="1156" w:type="pct"/>
            <w:shd w:val="clear" w:color="auto" w:fill="auto"/>
            <w:vAlign w:val="center"/>
          </w:tcPr>
          <w:p w14:paraId="208C5FA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43DB96B">
            <w:pPr>
              <w:spacing w:line="240" w:lineRule="auto"/>
              <w:ind w:firstLine="0" w:firstLineChars="0"/>
              <w:rPr>
                <w:rFonts w:hint="eastAsia" w:ascii="宋体" w:hAnsi="宋体" w:eastAsia="宋体" w:cs="宋体"/>
                <w:kern w:val="0"/>
                <w:sz w:val="21"/>
              </w:rPr>
            </w:pPr>
          </w:p>
        </w:tc>
        <w:tc>
          <w:tcPr>
            <w:tcW w:w="535" w:type="pct"/>
            <w:vMerge w:val="continue"/>
            <w:vAlign w:val="center"/>
          </w:tcPr>
          <w:p w14:paraId="0EFF2979">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6DE6B423">
            <w:pPr>
              <w:spacing w:line="240" w:lineRule="auto"/>
              <w:ind w:firstLine="0" w:firstLineChars="0"/>
              <w:jc w:val="center"/>
              <w:rPr>
                <w:rFonts w:eastAsia="等线" w:cs="Times New Roman"/>
                <w:kern w:val="0"/>
                <w:sz w:val="21"/>
              </w:rPr>
            </w:pPr>
            <w:r>
              <w:rPr>
                <w:rFonts w:hint="eastAsia" w:eastAsia="等线" w:cs="Times New Roman"/>
                <w:kern w:val="0"/>
                <w:sz w:val="21"/>
              </w:rPr>
              <w:t>SSW</w:t>
            </w:r>
          </w:p>
        </w:tc>
        <w:tc>
          <w:tcPr>
            <w:tcW w:w="631" w:type="pct"/>
            <w:shd w:val="clear" w:color="auto" w:fill="auto"/>
            <w:vAlign w:val="center"/>
          </w:tcPr>
          <w:p w14:paraId="469990DC">
            <w:pPr>
              <w:spacing w:line="240" w:lineRule="auto"/>
              <w:ind w:firstLine="0" w:firstLineChars="0"/>
              <w:jc w:val="center"/>
              <w:rPr>
                <w:rFonts w:eastAsia="等线" w:cs="Times New Roman"/>
                <w:kern w:val="0"/>
                <w:sz w:val="21"/>
              </w:rPr>
            </w:pPr>
            <w:r>
              <w:rPr>
                <w:rFonts w:hint="eastAsia" w:eastAsia="等线" w:cs="Times New Roman"/>
                <w:kern w:val="0"/>
                <w:sz w:val="21"/>
              </w:rPr>
              <w:t>2.21</w:t>
            </w:r>
          </w:p>
        </w:tc>
      </w:tr>
      <w:tr w14:paraId="3D61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05CE067B">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4BDB551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陆陈</w:t>
            </w:r>
          </w:p>
        </w:tc>
        <w:tc>
          <w:tcPr>
            <w:tcW w:w="423" w:type="pct"/>
            <w:shd w:val="clear" w:color="auto" w:fill="auto"/>
            <w:vAlign w:val="center"/>
          </w:tcPr>
          <w:p w14:paraId="385CBE08">
            <w:pPr>
              <w:spacing w:line="240" w:lineRule="auto"/>
              <w:ind w:firstLine="0" w:firstLineChars="0"/>
              <w:jc w:val="center"/>
              <w:rPr>
                <w:rFonts w:eastAsia="等线" w:cs="Times New Roman"/>
                <w:kern w:val="0"/>
                <w:sz w:val="21"/>
              </w:rPr>
            </w:pPr>
            <w:r>
              <w:rPr>
                <w:rFonts w:hint="eastAsia" w:eastAsia="等线" w:cs="Times New Roman"/>
                <w:kern w:val="0"/>
                <w:sz w:val="21"/>
              </w:rPr>
              <w:t>-1283</w:t>
            </w:r>
          </w:p>
        </w:tc>
        <w:tc>
          <w:tcPr>
            <w:tcW w:w="424" w:type="pct"/>
            <w:shd w:val="clear" w:color="auto" w:fill="auto"/>
            <w:vAlign w:val="center"/>
          </w:tcPr>
          <w:p w14:paraId="58F30ED9">
            <w:pPr>
              <w:spacing w:line="240" w:lineRule="auto"/>
              <w:ind w:firstLine="0" w:firstLineChars="0"/>
              <w:jc w:val="center"/>
              <w:rPr>
                <w:rFonts w:eastAsia="等线" w:cs="Times New Roman"/>
                <w:kern w:val="0"/>
                <w:sz w:val="21"/>
              </w:rPr>
            </w:pPr>
            <w:r>
              <w:rPr>
                <w:rFonts w:hint="eastAsia" w:eastAsia="等线" w:cs="Times New Roman"/>
                <w:kern w:val="0"/>
                <w:sz w:val="21"/>
              </w:rPr>
              <w:t>-1213.5</w:t>
            </w:r>
          </w:p>
        </w:tc>
        <w:tc>
          <w:tcPr>
            <w:tcW w:w="1156" w:type="pct"/>
            <w:shd w:val="clear" w:color="auto" w:fill="auto"/>
            <w:vAlign w:val="center"/>
          </w:tcPr>
          <w:p w14:paraId="7F8D81C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72B8C585">
            <w:pPr>
              <w:spacing w:line="240" w:lineRule="auto"/>
              <w:ind w:firstLine="0" w:firstLineChars="0"/>
              <w:rPr>
                <w:rFonts w:hint="eastAsia" w:ascii="宋体" w:hAnsi="宋体" w:eastAsia="宋体" w:cs="宋体"/>
                <w:kern w:val="0"/>
                <w:sz w:val="21"/>
              </w:rPr>
            </w:pPr>
          </w:p>
        </w:tc>
        <w:tc>
          <w:tcPr>
            <w:tcW w:w="535" w:type="pct"/>
            <w:vMerge w:val="continue"/>
            <w:vAlign w:val="center"/>
          </w:tcPr>
          <w:p w14:paraId="357E86DD">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52089663">
            <w:pPr>
              <w:spacing w:line="240" w:lineRule="auto"/>
              <w:ind w:firstLine="0" w:firstLineChars="0"/>
              <w:jc w:val="center"/>
              <w:rPr>
                <w:rFonts w:eastAsia="等线" w:cs="Times New Roman"/>
                <w:kern w:val="0"/>
                <w:sz w:val="21"/>
              </w:rPr>
            </w:pPr>
            <w:r>
              <w:rPr>
                <w:rFonts w:hint="eastAsia" w:eastAsia="等线" w:cs="Times New Roman"/>
                <w:kern w:val="0"/>
                <w:sz w:val="21"/>
              </w:rPr>
              <w:t>SW</w:t>
            </w:r>
          </w:p>
        </w:tc>
        <w:tc>
          <w:tcPr>
            <w:tcW w:w="631" w:type="pct"/>
            <w:shd w:val="clear" w:color="auto" w:fill="auto"/>
            <w:vAlign w:val="center"/>
          </w:tcPr>
          <w:p w14:paraId="2E7E4675">
            <w:pPr>
              <w:spacing w:line="240" w:lineRule="auto"/>
              <w:ind w:firstLine="0" w:firstLineChars="0"/>
              <w:jc w:val="center"/>
              <w:rPr>
                <w:rFonts w:eastAsia="等线" w:cs="Times New Roman"/>
                <w:kern w:val="0"/>
                <w:sz w:val="21"/>
              </w:rPr>
            </w:pPr>
            <w:r>
              <w:rPr>
                <w:rFonts w:hint="eastAsia" w:eastAsia="等线" w:cs="Times New Roman"/>
                <w:kern w:val="0"/>
                <w:sz w:val="21"/>
              </w:rPr>
              <w:t>1.35</w:t>
            </w:r>
          </w:p>
        </w:tc>
      </w:tr>
      <w:tr w14:paraId="783C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69E7AFA4">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784A235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何李庄</w:t>
            </w:r>
          </w:p>
        </w:tc>
        <w:tc>
          <w:tcPr>
            <w:tcW w:w="423" w:type="pct"/>
            <w:shd w:val="clear" w:color="auto" w:fill="auto"/>
            <w:vAlign w:val="center"/>
          </w:tcPr>
          <w:p w14:paraId="4F3A5E47">
            <w:pPr>
              <w:spacing w:line="240" w:lineRule="auto"/>
              <w:ind w:firstLine="0" w:firstLineChars="0"/>
              <w:jc w:val="center"/>
              <w:rPr>
                <w:rFonts w:eastAsia="等线" w:cs="Times New Roman"/>
                <w:kern w:val="0"/>
                <w:sz w:val="21"/>
              </w:rPr>
            </w:pPr>
            <w:r>
              <w:rPr>
                <w:rFonts w:hint="eastAsia" w:eastAsia="等线" w:cs="Times New Roman"/>
                <w:kern w:val="0"/>
                <w:sz w:val="21"/>
              </w:rPr>
              <w:t>-399.2</w:t>
            </w:r>
          </w:p>
        </w:tc>
        <w:tc>
          <w:tcPr>
            <w:tcW w:w="424" w:type="pct"/>
            <w:shd w:val="clear" w:color="auto" w:fill="auto"/>
            <w:vAlign w:val="center"/>
          </w:tcPr>
          <w:p w14:paraId="0D3FA0F0">
            <w:pPr>
              <w:spacing w:line="240" w:lineRule="auto"/>
              <w:ind w:firstLine="0" w:firstLineChars="0"/>
              <w:jc w:val="center"/>
              <w:rPr>
                <w:rFonts w:eastAsia="等线" w:cs="Times New Roman"/>
                <w:kern w:val="0"/>
                <w:sz w:val="21"/>
              </w:rPr>
            </w:pPr>
            <w:r>
              <w:rPr>
                <w:rFonts w:hint="eastAsia" w:eastAsia="等线" w:cs="Times New Roman"/>
                <w:kern w:val="0"/>
                <w:sz w:val="21"/>
              </w:rPr>
              <w:t>-1846.5</w:t>
            </w:r>
          </w:p>
        </w:tc>
        <w:tc>
          <w:tcPr>
            <w:tcW w:w="1156" w:type="pct"/>
            <w:shd w:val="clear" w:color="auto" w:fill="auto"/>
            <w:vAlign w:val="center"/>
          </w:tcPr>
          <w:p w14:paraId="5D0DD42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7691BD01">
            <w:pPr>
              <w:spacing w:line="240" w:lineRule="auto"/>
              <w:ind w:firstLine="0" w:firstLineChars="0"/>
              <w:rPr>
                <w:rFonts w:hint="eastAsia" w:ascii="宋体" w:hAnsi="宋体" w:eastAsia="宋体" w:cs="宋体"/>
                <w:kern w:val="0"/>
                <w:sz w:val="21"/>
              </w:rPr>
            </w:pPr>
          </w:p>
        </w:tc>
        <w:tc>
          <w:tcPr>
            <w:tcW w:w="535" w:type="pct"/>
            <w:vMerge w:val="continue"/>
            <w:vAlign w:val="center"/>
          </w:tcPr>
          <w:p w14:paraId="500CB677">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2C0CAAD">
            <w:pPr>
              <w:spacing w:line="240" w:lineRule="auto"/>
              <w:ind w:firstLine="0" w:firstLineChars="0"/>
              <w:jc w:val="center"/>
              <w:rPr>
                <w:rFonts w:eastAsia="等线" w:cs="Times New Roman"/>
                <w:kern w:val="0"/>
                <w:sz w:val="21"/>
              </w:rPr>
            </w:pPr>
            <w:r>
              <w:rPr>
                <w:rFonts w:hint="eastAsia" w:eastAsia="等线" w:cs="Times New Roman"/>
                <w:kern w:val="0"/>
                <w:sz w:val="21"/>
              </w:rPr>
              <w:t>S</w:t>
            </w:r>
          </w:p>
        </w:tc>
        <w:tc>
          <w:tcPr>
            <w:tcW w:w="631" w:type="pct"/>
            <w:shd w:val="clear" w:color="auto" w:fill="auto"/>
            <w:vAlign w:val="center"/>
          </w:tcPr>
          <w:p w14:paraId="092C015A">
            <w:pPr>
              <w:spacing w:line="240" w:lineRule="auto"/>
              <w:ind w:firstLine="0" w:firstLineChars="0"/>
              <w:jc w:val="center"/>
              <w:rPr>
                <w:rFonts w:eastAsia="等线" w:cs="Times New Roman"/>
                <w:kern w:val="0"/>
                <w:sz w:val="21"/>
              </w:rPr>
            </w:pPr>
            <w:r>
              <w:rPr>
                <w:rFonts w:hint="eastAsia" w:eastAsia="等线" w:cs="Times New Roman"/>
                <w:kern w:val="0"/>
                <w:sz w:val="21"/>
              </w:rPr>
              <w:t>1.54</w:t>
            </w:r>
          </w:p>
        </w:tc>
      </w:tr>
      <w:tr w14:paraId="52A5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4873467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胡楼村</w:t>
            </w:r>
          </w:p>
        </w:tc>
        <w:tc>
          <w:tcPr>
            <w:tcW w:w="671" w:type="pct"/>
            <w:shd w:val="clear" w:color="auto" w:fill="auto"/>
            <w:vAlign w:val="center"/>
          </w:tcPr>
          <w:p w14:paraId="09630C9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胡楼村</w:t>
            </w:r>
          </w:p>
        </w:tc>
        <w:tc>
          <w:tcPr>
            <w:tcW w:w="423" w:type="pct"/>
            <w:shd w:val="clear" w:color="auto" w:fill="auto"/>
            <w:vAlign w:val="center"/>
          </w:tcPr>
          <w:p w14:paraId="37E6A9AA">
            <w:pPr>
              <w:spacing w:line="240" w:lineRule="auto"/>
              <w:ind w:firstLine="0" w:firstLineChars="0"/>
              <w:jc w:val="center"/>
              <w:rPr>
                <w:rFonts w:eastAsia="等线" w:cs="Times New Roman"/>
                <w:kern w:val="0"/>
                <w:sz w:val="21"/>
              </w:rPr>
            </w:pPr>
            <w:r>
              <w:rPr>
                <w:rFonts w:hint="eastAsia" w:eastAsia="等线" w:cs="Times New Roman"/>
                <w:kern w:val="0"/>
                <w:sz w:val="21"/>
              </w:rPr>
              <w:t>796</w:t>
            </w:r>
          </w:p>
        </w:tc>
        <w:tc>
          <w:tcPr>
            <w:tcW w:w="424" w:type="pct"/>
            <w:shd w:val="clear" w:color="auto" w:fill="auto"/>
            <w:vAlign w:val="center"/>
          </w:tcPr>
          <w:p w14:paraId="2707AA10">
            <w:pPr>
              <w:spacing w:line="240" w:lineRule="auto"/>
              <w:ind w:firstLine="0" w:firstLineChars="0"/>
              <w:jc w:val="center"/>
              <w:rPr>
                <w:rFonts w:eastAsia="等线" w:cs="Times New Roman"/>
                <w:kern w:val="0"/>
                <w:sz w:val="21"/>
              </w:rPr>
            </w:pPr>
            <w:r>
              <w:rPr>
                <w:rFonts w:hint="eastAsia" w:eastAsia="等线" w:cs="Times New Roman"/>
                <w:kern w:val="0"/>
                <w:sz w:val="21"/>
              </w:rPr>
              <w:t>-2251.6</w:t>
            </w:r>
          </w:p>
        </w:tc>
        <w:tc>
          <w:tcPr>
            <w:tcW w:w="1156" w:type="pct"/>
            <w:shd w:val="clear" w:color="auto" w:fill="auto"/>
            <w:vAlign w:val="center"/>
          </w:tcPr>
          <w:p w14:paraId="6C13F05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3F83337">
            <w:pPr>
              <w:spacing w:line="240" w:lineRule="auto"/>
              <w:ind w:firstLine="0" w:firstLineChars="0"/>
              <w:rPr>
                <w:rFonts w:hint="eastAsia" w:ascii="宋体" w:hAnsi="宋体" w:eastAsia="宋体" w:cs="宋体"/>
                <w:kern w:val="0"/>
                <w:sz w:val="21"/>
              </w:rPr>
            </w:pPr>
          </w:p>
        </w:tc>
        <w:tc>
          <w:tcPr>
            <w:tcW w:w="535" w:type="pct"/>
            <w:vMerge w:val="continue"/>
            <w:vAlign w:val="center"/>
          </w:tcPr>
          <w:p w14:paraId="73D19753">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AA73CE5">
            <w:pPr>
              <w:spacing w:line="240" w:lineRule="auto"/>
              <w:ind w:firstLine="0" w:firstLineChars="0"/>
              <w:jc w:val="center"/>
              <w:rPr>
                <w:rFonts w:eastAsia="等线" w:cs="Times New Roman"/>
                <w:kern w:val="0"/>
                <w:sz w:val="21"/>
              </w:rPr>
            </w:pPr>
            <w:r>
              <w:rPr>
                <w:rFonts w:hint="eastAsia" w:eastAsia="等线" w:cs="Times New Roman"/>
                <w:kern w:val="0"/>
                <w:sz w:val="21"/>
              </w:rPr>
              <w:t>SE</w:t>
            </w:r>
          </w:p>
        </w:tc>
        <w:tc>
          <w:tcPr>
            <w:tcW w:w="631" w:type="pct"/>
            <w:shd w:val="clear" w:color="auto" w:fill="auto"/>
            <w:vAlign w:val="center"/>
          </w:tcPr>
          <w:p w14:paraId="0CD7ECD8">
            <w:pPr>
              <w:spacing w:line="240" w:lineRule="auto"/>
              <w:ind w:firstLine="0" w:firstLineChars="0"/>
              <w:jc w:val="center"/>
              <w:rPr>
                <w:rFonts w:eastAsia="等线" w:cs="Times New Roman"/>
                <w:kern w:val="0"/>
                <w:sz w:val="21"/>
              </w:rPr>
            </w:pPr>
            <w:r>
              <w:rPr>
                <w:rFonts w:hint="eastAsia" w:eastAsia="等线" w:cs="Times New Roman"/>
                <w:kern w:val="0"/>
                <w:sz w:val="21"/>
              </w:rPr>
              <w:t>1.72</w:t>
            </w:r>
          </w:p>
        </w:tc>
      </w:tr>
      <w:tr w14:paraId="6EB7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3E562906">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0A70B32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孙夏村</w:t>
            </w:r>
          </w:p>
        </w:tc>
        <w:tc>
          <w:tcPr>
            <w:tcW w:w="423" w:type="pct"/>
            <w:shd w:val="clear" w:color="auto" w:fill="auto"/>
            <w:vAlign w:val="center"/>
          </w:tcPr>
          <w:p w14:paraId="2096CA0C">
            <w:pPr>
              <w:spacing w:line="240" w:lineRule="auto"/>
              <w:ind w:firstLine="0" w:firstLineChars="0"/>
              <w:jc w:val="center"/>
              <w:rPr>
                <w:rFonts w:eastAsia="等线" w:cs="Times New Roman"/>
                <w:kern w:val="0"/>
                <w:sz w:val="21"/>
              </w:rPr>
            </w:pPr>
            <w:r>
              <w:rPr>
                <w:rFonts w:hint="eastAsia" w:eastAsia="等线" w:cs="Times New Roman"/>
                <w:kern w:val="0"/>
                <w:sz w:val="21"/>
              </w:rPr>
              <w:t>-215.8</w:t>
            </w:r>
          </w:p>
        </w:tc>
        <w:tc>
          <w:tcPr>
            <w:tcW w:w="424" w:type="pct"/>
            <w:shd w:val="clear" w:color="auto" w:fill="auto"/>
            <w:vAlign w:val="center"/>
          </w:tcPr>
          <w:p w14:paraId="53D1FC22">
            <w:pPr>
              <w:spacing w:line="240" w:lineRule="auto"/>
              <w:ind w:firstLine="0" w:firstLineChars="0"/>
              <w:jc w:val="center"/>
              <w:rPr>
                <w:rFonts w:eastAsia="等线" w:cs="Times New Roman"/>
                <w:kern w:val="0"/>
                <w:sz w:val="21"/>
              </w:rPr>
            </w:pPr>
            <w:r>
              <w:rPr>
                <w:rFonts w:hint="eastAsia" w:eastAsia="等线" w:cs="Times New Roman"/>
                <w:kern w:val="0"/>
                <w:sz w:val="21"/>
              </w:rPr>
              <w:t>-2399.1</w:t>
            </w:r>
          </w:p>
        </w:tc>
        <w:tc>
          <w:tcPr>
            <w:tcW w:w="1156" w:type="pct"/>
            <w:shd w:val="clear" w:color="auto" w:fill="auto"/>
            <w:vAlign w:val="center"/>
          </w:tcPr>
          <w:p w14:paraId="39C2930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788F0B84">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2B9CBF4">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CD21300">
            <w:pPr>
              <w:spacing w:line="240" w:lineRule="auto"/>
              <w:ind w:firstLine="0" w:firstLineChars="0"/>
              <w:jc w:val="center"/>
              <w:rPr>
                <w:rFonts w:eastAsia="等线" w:cs="Times New Roman"/>
                <w:kern w:val="0"/>
                <w:sz w:val="21"/>
              </w:rPr>
            </w:pPr>
            <w:r>
              <w:rPr>
                <w:rFonts w:hint="eastAsia" w:eastAsia="等线" w:cs="Times New Roman"/>
                <w:kern w:val="0"/>
                <w:sz w:val="21"/>
              </w:rPr>
              <w:t>S</w:t>
            </w:r>
          </w:p>
        </w:tc>
        <w:tc>
          <w:tcPr>
            <w:tcW w:w="631" w:type="pct"/>
            <w:shd w:val="clear" w:color="auto" w:fill="auto"/>
            <w:vAlign w:val="center"/>
          </w:tcPr>
          <w:p w14:paraId="322FCC28">
            <w:pPr>
              <w:spacing w:line="240" w:lineRule="auto"/>
              <w:ind w:firstLine="0" w:firstLineChars="0"/>
              <w:jc w:val="center"/>
              <w:rPr>
                <w:rFonts w:eastAsia="等线" w:cs="Times New Roman"/>
                <w:kern w:val="0"/>
                <w:sz w:val="21"/>
              </w:rPr>
            </w:pPr>
            <w:r>
              <w:rPr>
                <w:rFonts w:hint="eastAsia" w:eastAsia="等线" w:cs="Times New Roman"/>
                <w:kern w:val="0"/>
                <w:sz w:val="21"/>
              </w:rPr>
              <w:t>2.25</w:t>
            </w:r>
          </w:p>
        </w:tc>
      </w:tr>
      <w:tr w14:paraId="591F3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1DA3262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李集村</w:t>
            </w:r>
          </w:p>
        </w:tc>
        <w:tc>
          <w:tcPr>
            <w:tcW w:w="671" w:type="pct"/>
            <w:shd w:val="clear" w:color="auto" w:fill="auto"/>
            <w:vAlign w:val="center"/>
          </w:tcPr>
          <w:p w14:paraId="16FC466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李集村</w:t>
            </w:r>
          </w:p>
        </w:tc>
        <w:tc>
          <w:tcPr>
            <w:tcW w:w="423" w:type="pct"/>
            <w:shd w:val="clear" w:color="auto" w:fill="auto"/>
            <w:vAlign w:val="center"/>
          </w:tcPr>
          <w:p w14:paraId="672647F1">
            <w:pPr>
              <w:spacing w:line="240" w:lineRule="auto"/>
              <w:ind w:firstLine="0" w:firstLineChars="0"/>
              <w:jc w:val="center"/>
              <w:rPr>
                <w:rFonts w:eastAsia="等线" w:cs="Times New Roman"/>
                <w:kern w:val="0"/>
                <w:sz w:val="21"/>
              </w:rPr>
            </w:pPr>
            <w:r>
              <w:rPr>
                <w:rFonts w:hint="eastAsia" w:eastAsia="等线" w:cs="Times New Roman"/>
                <w:kern w:val="0"/>
                <w:sz w:val="21"/>
              </w:rPr>
              <w:t>1009.2</w:t>
            </w:r>
          </w:p>
        </w:tc>
        <w:tc>
          <w:tcPr>
            <w:tcW w:w="424" w:type="pct"/>
            <w:shd w:val="clear" w:color="auto" w:fill="auto"/>
            <w:vAlign w:val="center"/>
          </w:tcPr>
          <w:p w14:paraId="42A2D6EC">
            <w:pPr>
              <w:spacing w:line="240" w:lineRule="auto"/>
              <w:ind w:firstLine="0" w:firstLineChars="0"/>
              <w:jc w:val="center"/>
              <w:rPr>
                <w:rFonts w:eastAsia="等线" w:cs="Times New Roman"/>
                <w:kern w:val="0"/>
                <w:sz w:val="21"/>
              </w:rPr>
            </w:pPr>
            <w:r>
              <w:rPr>
                <w:rFonts w:hint="eastAsia" w:eastAsia="等线" w:cs="Times New Roman"/>
                <w:kern w:val="0"/>
                <w:sz w:val="21"/>
              </w:rPr>
              <w:t>-1281.2</w:t>
            </w:r>
          </w:p>
        </w:tc>
        <w:tc>
          <w:tcPr>
            <w:tcW w:w="1156" w:type="pct"/>
            <w:shd w:val="clear" w:color="auto" w:fill="auto"/>
            <w:vAlign w:val="center"/>
          </w:tcPr>
          <w:p w14:paraId="7C1BE49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51C576E">
            <w:pPr>
              <w:spacing w:line="240" w:lineRule="auto"/>
              <w:ind w:firstLine="0" w:firstLineChars="0"/>
              <w:rPr>
                <w:rFonts w:hint="eastAsia" w:ascii="宋体" w:hAnsi="宋体" w:eastAsia="宋体" w:cs="宋体"/>
                <w:kern w:val="0"/>
                <w:sz w:val="21"/>
              </w:rPr>
            </w:pPr>
          </w:p>
        </w:tc>
        <w:tc>
          <w:tcPr>
            <w:tcW w:w="535" w:type="pct"/>
            <w:vMerge w:val="continue"/>
            <w:vAlign w:val="center"/>
          </w:tcPr>
          <w:p w14:paraId="3B52FF30">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7A14A150">
            <w:pPr>
              <w:spacing w:line="240" w:lineRule="auto"/>
              <w:ind w:firstLine="0" w:firstLineChars="0"/>
              <w:jc w:val="center"/>
              <w:rPr>
                <w:rFonts w:eastAsia="等线" w:cs="Times New Roman"/>
                <w:kern w:val="0"/>
                <w:sz w:val="21"/>
              </w:rPr>
            </w:pPr>
            <w:r>
              <w:rPr>
                <w:rFonts w:hint="eastAsia" w:eastAsia="等线" w:cs="Times New Roman"/>
                <w:kern w:val="0"/>
                <w:sz w:val="21"/>
              </w:rPr>
              <w:t>ESE</w:t>
            </w:r>
          </w:p>
        </w:tc>
        <w:tc>
          <w:tcPr>
            <w:tcW w:w="631" w:type="pct"/>
            <w:shd w:val="clear" w:color="auto" w:fill="auto"/>
            <w:vAlign w:val="center"/>
          </w:tcPr>
          <w:p w14:paraId="047D61D8">
            <w:pPr>
              <w:spacing w:line="240" w:lineRule="auto"/>
              <w:ind w:firstLine="0" w:firstLineChars="0"/>
              <w:jc w:val="center"/>
              <w:rPr>
                <w:rFonts w:eastAsia="等线" w:cs="Times New Roman"/>
                <w:kern w:val="0"/>
                <w:sz w:val="21"/>
              </w:rPr>
            </w:pPr>
            <w:r>
              <w:rPr>
                <w:rFonts w:hint="eastAsia" w:eastAsia="等线" w:cs="Times New Roman"/>
                <w:kern w:val="0"/>
                <w:sz w:val="21"/>
              </w:rPr>
              <w:t>1.11</w:t>
            </w:r>
          </w:p>
        </w:tc>
      </w:tr>
      <w:tr w14:paraId="1E60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1EB1C7C8">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254A06B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前贾庄</w:t>
            </w:r>
          </w:p>
        </w:tc>
        <w:tc>
          <w:tcPr>
            <w:tcW w:w="423" w:type="pct"/>
            <w:shd w:val="clear" w:color="auto" w:fill="auto"/>
            <w:vAlign w:val="center"/>
          </w:tcPr>
          <w:p w14:paraId="23F08A20">
            <w:pPr>
              <w:spacing w:line="240" w:lineRule="auto"/>
              <w:ind w:firstLine="0" w:firstLineChars="0"/>
              <w:jc w:val="center"/>
              <w:rPr>
                <w:rFonts w:eastAsia="等线" w:cs="Times New Roman"/>
                <w:kern w:val="0"/>
                <w:sz w:val="21"/>
              </w:rPr>
            </w:pPr>
            <w:r>
              <w:rPr>
                <w:rFonts w:hint="eastAsia" w:eastAsia="等线" w:cs="Times New Roman"/>
                <w:kern w:val="0"/>
                <w:sz w:val="21"/>
              </w:rPr>
              <w:t>1653.9</w:t>
            </w:r>
          </w:p>
        </w:tc>
        <w:tc>
          <w:tcPr>
            <w:tcW w:w="424" w:type="pct"/>
            <w:shd w:val="clear" w:color="auto" w:fill="auto"/>
            <w:vAlign w:val="center"/>
          </w:tcPr>
          <w:p w14:paraId="5DEFB9D3">
            <w:pPr>
              <w:spacing w:line="240" w:lineRule="auto"/>
              <w:ind w:firstLine="0" w:firstLineChars="0"/>
              <w:jc w:val="center"/>
              <w:rPr>
                <w:rFonts w:eastAsia="等线" w:cs="Times New Roman"/>
                <w:kern w:val="0"/>
                <w:sz w:val="21"/>
              </w:rPr>
            </w:pPr>
            <w:r>
              <w:rPr>
                <w:rFonts w:hint="eastAsia" w:eastAsia="等线" w:cs="Times New Roman"/>
                <w:kern w:val="0"/>
                <w:sz w:val="21"/>
              </w:rPr>
              <w:t>-1297.7</w:t>
            </w:r>
          </w:p>
        </w:tc>
        <w:tc>
          <w:tcPr>
            <w:tcW w:w="1156" w:type="pct"/>
            <w:shd w:val="clear" w:color="auto" w:fill="auto"/>
            <w:vAlign w:val="center"/>
          </w:tcPr>
          <w:p w14:paraId="50B8C97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C14BC35">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2851406">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665DEAB1">
            <w:pPr>
              <w:spacing w:line="240" w:lineRule="auto"/>
              <w:ind w:firstLine="0" w:firstLineChars="0"/>
              <w:jc w:val="center"/>
              <w:rPr>
                <w:rFonts w:eastAsia="等线" w:cs="Times New Roman"/>
                <w:kern w:val="0"/>
                <w:sz w:val="21"/>
              </w:rPr>
            </w:pPr>
            <w:r>
              <w:rPr>
                <w:rFonts w:hint="eastAsia" w:eastAsia="等线" w:cs="Times New Roman"/>
                <w:kern w:val="0"/>
                <w:sz w:val="21"/>
              </w:rPr>
              <w:t>ESE</w:t>
            </w:r>
          </w:p>
        </w:tc>
        <w:tc>
          <w:tcPr>
            <w:tcW w:w="631" w:type="pct"/>
            <w:shd w:val="clear" w:color="auto" w:fill="auto"/>
            <w:vAlign w:val="center"/>
          </w:tcPr>
          <w:p w14:paraId="3C017133">
            <w:pPr>
              <w:spacing w:line="240" w:lineRule="auto"/>
              <w:ind w:firstLine="0" w:firstLineChars="0"/>
              <w:jc w:val="center"/>
              <w:rPr>
                <w:rFonts w:eastAsia="等线" w:cs="Times New Roman"/>
                <w:kern w:val="0"/>
                <w:sz w:val="21"/>
              </w:rPr>
            </w:pPr>
            <w:r>
              <w:rPr>
                <w:rFonts w:hint="eastAsia" w:eastAsia="等线" w:cs="Times New Roman"/>
                <w:kern w:val="0"/>
                <w:sz w:val="21"/>
              </w:rPr>
              <w:t>1.85</w:t>
            </w:r>
          </w:p>
        </w:tc>
      </w:tr>
      <w:tr w14:paraId="682C7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7A845329">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41773F0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王庄</w:t>
            </w:r>
          </w:p>
        </w:tc>
        <w:tc>
          <w:tcPr>
            <w:tcW w:w="423" w:type="pct"/>
            <w:shd w:val="clear" w:color="auto" w:fill="auto"/>
            <w:vAlign w:val="center"/>
          </w:tcPr>
          <w:p w14:paraId="16BB0356">
            <w:pPr>
              <w:spacing w:line="240" w:lineRule="auto"/>
              <w:ind w:firstLine="0" w:firstLineChars="0"/>
              <w:jc w:val="center"/>
              <w:rPr>
                <w:rFonts w:eastAsia="等线" w:cs="Times New Roman"/>
                <w:kern w:val="0"/>
                <w:sz w:val="21"/>
              </w:rPr>
            </w:pPr>
            <w:r>
              <w:rPr>
                <w:rFonts w:hint="eastAsia" w:eastAsia="等线" w:cs="Times New Roman"/>
                <w:kern w:val="0"/>
                <w:sz w:val="21"/>
              </w:rPr>
              <w:t>-751.5</w:t>
            </w:r>
          </w:p>
        </w:tc>
        <w:tc>
          <w:tcPr>
            <w:tcW w:w="424" w:type="pct"/>
            <w:shd w:val="clear" w:color="auto" w:fill="auto"/>
            <w:vAlign w:val="center"/>
          </w:tcPr>
          <w:p w14:paraId="1F7BA866">
            <w:pPr>
              <w:spacing w:line="240" w:lineRule="auto"/>
              <w:ind w:firstLine="0" w:firstLineChars="0"/>
              <w:jc w:val="center"/>
              <w:rPr>
                <w:rFonts w:eastAsia="等线" w:cs="Times New Roman"/>
                <w:kern w:val="0"/>
                <w:sz w:val="21"/>
              </w:rPr>
            </w:pPr>
            <w:r>
              <w:rPr>
                <w:rFonts w:hint="eastAsia" w:eastAsia="等线" w:cs="Times New Roman"/>
                <w:kern w:val="0"/>
                <w:sz w:val="21"/>
              </w:rPr>
              <w:t>-956.7</w:t>
            </w:r>
          </w:p>
        </w:tc>
        <w:tc>
          <w:tcPr>
            <w:tcW w:w="1156" w:type="pct"/>
            <w:shd w:val="clear" w:color="auto" w:fill="auto"/>
            <w:vAlign w:val="center"/>
          </w:tcPr>
          <w:p w14:paraId="65F826B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7BF16C1A">
            <w:pPr>
              <w:spacing w:line="240" w:lineRule="auto"/>
              <w:ind w:firstLine="0" w:firstLineChars="0"/>
              <w:rPr>
                <w:rFonts w:hint="eastAsia" w:ascii="宋体" w:hAnsi="宋体" w:eastAsia="宋体" w:cs="宋体"/>
                <w:kern w:val="0"/>
                <w:sz w:val="21"/>
              </w:rPr>
            </w:pPr>
          </w:p>
        </w:tc>
        <w:tc>
          <w:tcPr>
            <w:tcW w:w="535" w:type="pct"/>
            <w:vMerge w:val="continue"/>
            <w:vAlign w:val="center"/>
          </w:tcPr>
          <w:p w14:paraId="77CD21C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3966ECC">
            <w:pPr>
              <w:spacing w:line="240" w:lineRule="auto"/>
              <w:ind w:firstLine="0" w:firstLineChars="0"/>
              <w:jc w:val="center"/>
              <w:rPr>
                <w:rFonts w:eastAsia="等线" w:cs="Times New Roman"/>
                <w:kern w:val="0"/>
                <w:sz w:val="21"/>
              </w:rPr>
            </w:pPr>
            <w:r>
              <w:rPr>
                <w:rFonts w:hint="eastAsia" w:eastAsia="等线" w:cs="Times New Roman"/>
                <w:kern w:val="0"/>
                <w:sz w:val="21"/>
              </w:rPr>
              <w:t>S</w:t>
            </w:r>
          </w:p>
        </w:tc>
        <w:tc>
          <w:tcPr>
            <w:tcW w:w="631" w:type="pct"/>
            <w:shd w:val="clear" w:color="auto" w:fill="auto"/>
            <w:vAlign w:val="center"/>
          </w:tcPr>
          <w:p w14:paraId="0D2539F1">
            <w:pPr>
              <w:spacing w:line="240" w:lineRule="auto"/>
              <w:ind w:firstLine="0" w:firstLineChars="0"/>
              <w:jc w:val="center"/>
              <w:rPr>
                <w:rFonts w:eastAsia="等线" w:cs="Times New Roman"/>
                <w:kern w:val="0"/>
                <w:sz w:val="21"/>
              </w:rPr>
            </w:pPr>
            <w:r>
              <w:rPr>
                <w:rFonts w:hint="eastAsia" w:eastAsia="等线" w:cs="Times New Roman"/>
                <w:kern w:val="0"/>
                <w:sz w:val="21"/>
              </w:rPr>
              <w:t>0.51</w:t>
            </w:r>
          </w:p>
        </w:tc>
      </w:tr>
      <w:tr w14:paraId="0CD0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0DEAFA0E">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0A87B11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徐庄</w:t>
            </w:r>
          </w:p>
        </w:tc>
        <w:tc>
          <w:tcPr>
            <w:tcW w:w="423" w:type="pct"/>
            <w:shd w:val="clear" w:color="auto" w:fill="auto"/>
            <w:vAlign w:val="center"/>
          </w:tcPr>
          <w:p w14:paraId="12A0CC0B">
            <w:pPr>
              <w:spacing w:line="240" w:lineRule="auto"/>
              <w:ind w:firstLine="0" w:firstLineChars="0"/>
              <w:jc w:val="center"/>
              <w:rPr>
                <w:rFonts w:eastAsia="等线" w:cs="Times New Roman"/>
                <w:kern w:val="0"/>
                <w:sz w:val="21"/>
              </w:rPr>
            </w:pPr>
            <w:r>
              <w:rPr>
                <w:rFonts w:hint="eastAsia" w:eastAsia="等线" w:cs="Times New Roman"/>
                <w:kern w:val="0"/>
                <w:sz w:val="21"/>
              </w:rPr>
              <w:t>-321.5</w:t>
            </w:r>
          </w:p>
        </w:tc>
        <w:tc>
          <w:tcPr>
            <w:tcW w:w="424" w:type="pct"/>
            <w:shd w:val="clear" w:color="auto" w:fill="auto"/>
            <w:vAlign w:val="center"/>
          </w:tcPr>
          <w:p w14:paraId="3DC086EE">
            <w:pPr>
              <w:spacing w:line="240" w:lineRule="auto"/>
              <w:ind w:firstLine="0" w:firstLineChars="0"/>
              <w:jc w:val="center"/>
              <w:rPr>
                <w:rFonts w:eastAsia="等线" w:cs="Times New Roman"/>
                <w:kern w:val="0"/>
                <w:sz w:val="21"/>
              </w:rPr>
            </w:pPr>
            <w:r>
              <w:rPr>
                <w:rFonts w:hint="eastAsia" w:eastAsia="等线" w:cs="Times New Roman"/>
                <w:kern w:val="0"/>
                <w:sz w:val="21"/>
              </w:rPr>
              <w:t>-1171.7</w:t>
            </w:r>
          </w:p>
        </w:tc>
        <w:tc>
          <w:tcPr>
            <w:tcW w:w="1156" w:type="pct"/>
            <w:shd w:val="clear" w:color="auto" w:fill="auto"/>
            <w:vAlign w:val="center"/>
          </w:tcPr>
          <w:p w14:paraId="1E05368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9087E67">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5E60E35">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5BBEA75">
            <w:pPr>
              <w:spacing w:line="240" w:lineRule="auto"/>
              <w:ind w:firstLine="0" w:firstLineChars="0"/>
              <w:jc w:val="center"/>
              <w:rPr>
                <w:rFonts w:eastAsia="等线" w:cs="Times New Roman"/>
                <w:kern w:val="0"/>
                <w:sz w:val="21"/>
              </w:rPr>
            </w:pPr>
            <w:r>
              <w:rPr>
                <w:rFonts w:hint="eastAsia" w:eastAsia="等线" w:cs="Times New Roman"/>
                <w:kern w:val="0"/>
                <w:sz w:val="21"/>
              </w:rPr>
              <w:t>S</w:t>
            </w:r>
          </w:p>
        </w:tc>
        <w:tc>
          <w:tcPr>
            <w:tcW w:w="631" w:type="pct"/>
            <w:shd w:val="clear" w:color="auto" w:fill="auto"/>
            <w:vAlign w:val="center"/>
          </w:tcPr>
          <w:p w14:paraId="551E7739">
            <w:pPr>
              <w:spacing w:line="240" w:lineRule="auto"/>
              <w:ind w:firstLine="0" w:firstLineChars="0"/>
              <w:jc w:val="center"/>
              <w:rPr>
                <w:rFonts w:eastAsia="等线" w:cs="Times New Roman"/>
                <w:kern w:val="0"/>
                <w:sz w:val="21"/>
              </w:rPr>
            </w:pPr>
            <w:r>
              <w:rPr>
                <w:rFonts w:hint="eastAsia" w:eastAsia="等线" w:cs="Times New Roman"/>
                <w:kern w:val="0"/>
                <w:sz w:val="21"/>
              </w:rPr>
              <w:t>0.91</w:t>
            </w:r>
          </w:p>
        </w:tc>
      </w:tr>
      <w:tr w14:paraId="6757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3DBE8A6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笪巷村</w:t>
            </w:r>
          </w:p>
        </w:tc>
        <w:tc>
          <w:tcPr>
            <w:tcW w:w="671" w:type="pct"/>
            <w:shd w:val="clear" w:color="auto" w:fill="auto"/>
            <w:vAlign w:val="center"/>
          </w:tcPr>
          <w:p w14:paraId="51D0E46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笪巷村</w:t>
            </w:r>
          </w:p>
        </w:tc>
        <w:tc>
          <w:tcPr>
            <w:tcW w:w="423" w:type="pct"/>
            <w:shd w:val="clear" w:color="auto" w:fill="auto"/>
            <w:vAlign w:val="center"/>
          </w:tcPr>
          <w:p w14:paraId="55D7A387">
            <w:pPr>
              <w:spacing w:line="240" w:lineRule="auto"/>
              <w:ind w:firstLine="0" w:firstLineChars="0"/>
              <w:jc w:val="center"/>
              <w:rPr>
                <w:rFonts w:eastAsia="等线" w:cs="Times New Roman"/>
                <w:kern w:val="0"/>
                <w:sz w:val="21"/>
              </w:rPr>
            </w:pPr>
            <w:r>
              <w:rPr>
                <w:rFonts w:hint="eastAsia" w:eastAsia="等线" w:cs="Times New Roman"/>
                <w:kern w:val="0"/>
                <w:sz w:val="21"/>
              </w:rPr>
              <w:t>2075.5</w:t>
            </w:r>
          </w:p>
        </w:tc>
        <w:tc>
          <w:tcPr>
            <w:tcW w:w="424" w:type="pct"/>
            <w:shd w:val="clear" w:color="auto" w:fill="auto"/>
            <w:vAlign w:val="center"/>
          </w:tcPr>
          <w:p w14:paraId="4CA956E5">
            <w:pPr>
              <w:spacing w:line="240" w:lineRule="auto"/>
              <w:ind w:firstLine="0" w:firstLineChars="0"/>
              <w:jc w:val="center"/>
              <w:rPr>
                <w:rFonts w:eastAsia="等线" w:cs="Times New Roman"/>
                <w:kern w:val="0"/>
                <w:sz w:val="21"/>
              </w:rPr>
            </w:pPr>
            <w:r>
              <w:rPr>
                <w:rFonts w:hint="eastAsia" w:eastAsia="等线" w:cs="Times New Roman"/>
                <w:kern w:val="0"/>
                <w:sz w:val="21"/>
              </w:rPr>
              <w:t>-2107.7</w:t>
            </w:r>
          </w:p>
        </w:tc>
        <w:tc>
          <w:tcPr>
            <w:tcW w:w="1156" w:type="pct"/>
            <w:shd w:val="clear" w:color="auto" w:fill="auto"/>
            <w:vAlign w:val="center"/>
          </w:tcPr>
          <w:p w14:paraId="17777BC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5DD3C93F">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0DC54D3">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3FAEDB73">
            <w:pPr>
              <w:spacing w:line="240" w:lineRule="auto"/>
              <w:ind w:firstLine="0" w:firstLineChars="0"/>
              <w:jc w:val="center"/>
              <w:rPr>
                <w:rFonts w:eastAsia="等线" w:cs="Times New Roman"/>
                <w:kern w:val="0"/>
                <w:sz w:val="21"/>
              </w:rPr>
            </w:pPr>
            <w:r>
              <w:rPr>
                <w:rFonts w:hint="eastAsia" w:eastAsia="等线" w:cs="Times New Roman"/>
                <w:kern w:val="0"/>
                <w:sz w:val="21"/>
              </w:rPr>
              <w:t>SE</w:t>
            </w:r>
          </w:p>
        </w:tc>
        <w:tc>
          <w:tcPr>
            <w:tcW w:w="631" w:type="pct"/>
            <w:shd w:val="clear" w:color="auto" w:fill="auto"/>
            <w:vAlign w:val="center"/>
          </w:tcPr>
          <w:p w14:paraId="3225987B">
            <w:pPr>
              <w:spacing w:line="240" w:lineRule="auto"/>
              <w:ind w:firstLine="0" w:firstLineChars="0"/>
              <w:jc w:val="center"/>
              <w:rPr>
                <w:rFonts w:eastAsia="等线" w:cs="Times New Roman"/>
                <w:kern w:val="0"/>
                <w:sz w:val="21"/>
              </w:rPr>
            </w:pPr>
            <w:r>
              <w:rPr>
                <w:rFonts w:hint="eastAsia" w:eastAsia="等线" w:cs="Times New Roman"/>
                <w:kern w:val="0"/>
                <w:sz w:val="21"/>
              </w:rPr>
              <w:t>2.75</w:t>
            </w:r>
          </w:p>
        </w:tc>
      </w:tr>
      <w:tr w14:paraId="557F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1F3E70A5">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397421D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肖庄</w:t>
            </w:r>
          </w:p>
        </w:tc>
        <w:tc>
          <w:tcPr>
            <w:tcW w:w="423" w:type="pct"/>
            <w:shd w:val="clear" w:color="auto" w:fill="auto"/>
            <w:vAlign w:val="center"/>
          </w:tcPr>
          <w:p w14:paraId="3742FBEA">
            <w:pPr>
              <w:spacing w:line="240" w:lineRule="auto"/>
              <w:ind w:firstLine="0" w:firstLineChars="0"/>
              <w:jc w:val="center"/>
              <w:rPr>
                <w:rFonts w:eastAsia="等线" w:cs="Times New Roman"/>
                <w:kern w:val="0"/>
                <w:sz w:val="21"/>
              </w:rPr>
            </w:pPr>
            <w:r>
              <w:rPr>
                <w:rFonts w:hint="eastAsia" w:eastAsia="等线" w:cs="Times New Roman"/>
                <w:kern w:val="0"/>
                <w:sz w:val="21"/>
              </w:rPr>
              <w:t>1315.9</w:t>
            </w:r>
          </w:p>
        </w:tc>
        <w:tc>
          <w:tcPr>
            <w:tcW w:w="424" w:type="pct"/>
            <w:shd w:val="clear" w:color="auto" w:fill="auto"/>
            <w:vAlign w:val="center"/>
          </w:tcPr>
          <w:p w14:paraId="1FC70C70">
            <w:pPr>
              <w:spacing w:line="240" w:lineRule="auto"/>
              <w:ind w:firstLine="0" w:firstLineChars="0"/>
              <w:jc w:val="center"/>
              <w:rPr>
                <w:rFonts w:eastAsia="等线" w:cs="Times New Roman"/>
                <w:kern w:val="0"/>
                <w:sz w:val="21"/>
              </w:rPr>
            </w:pPr>
            <w:r>
              <w:rPr>
                <w:rFonts w:hint="eastAsia" w:eastAsia="等线" w:cs="Times New Roman"/>
                <w:kern w:val="0"/>
                <w:sz w:val="21"/>
              </w:rPr>
              <w:t>-2005.6</w:t>
            </w:r>
          </w:p>
        </w:tc>
        <w:tc>
          <w:tcPr>
            <w:tcW w:w="1156" w:type="pct"/>
            <w:shd w:val="clear" w:color="auto" w:fill="auto"/>
            <w:vAlign w:val="center"/>
          </w:tcPr>
          <w:p w14:paraId="3234E2A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1E802D3">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CC1308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0A7020D0">
            <w:pPr>
              <w:spacing w:line="240" w:lineRule="auto"/>
              <w:ind w:firstLine="0" w:firstLineChars="0"/>
              <w:jc w:val="center"/>
              <w:rPr>
                <w:rFonts w:eastAsia="等线" w:cs="Times New Roman"/>
                <w:kern w:val="0"/>
                <w:sz w:val="21"/>
              </w:rPr>
            </w:pPr>
            <w:r>
              <w:rPr>
                <w:rFonts w:hint="eastAsia" w:eastAsia="等线" w:cs="Times New Roman"/>
                <w:kern w:val="0"/>
                <w:sz w:val="21"/>
              </w:rPr>
              <w:t>SE</w:t>
            </w:r>
          </w:p>
        </w:tc>
        <w:tc>
          <w:tcPr>
            <w:tcW w:w="631" w:type="pct"/>
            <w:shd w:val="clear" w:color="auto" w:fill="auto"/>
            <w:vAlign w:val="center"/>
          </w:tcPr>
          <w:p w14:paraId="0AA776A6">
            <w:pPr>
              <w:spacing w:line="240" w:lineRule="auto"/>
              <w:ind w:firstLine="0" w:firstLineChars="0"/>
              <w:jc w:val="center"/>
              <w:rPr>
                <w:rFonts w:eastAsia="等线" w:cs="Times New Roman"/>
                <w:kern w:val="0"/>
                <w:sz w:val="21"/>
              </w:rPr>
            </w:pPr>
            <w:r>
              <w:rPr>
                <w:rFonts w:hint="eastAsia" w:eastAsia="等线" w:cs="Times New Roman"/>
                <w:kern w:val="0"/>
                <w:sz w:val="21"/>
              </w:rPr>
              <w:t>2.17</w:t>
            </w:r>
          </w:p>
        </w:tc>
      </w:tr>
      <w:tr w14:paraId="3A1E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17C959F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笪北村</w:t>
            </w:r>
          </w:p>
        </w:tc>
        <w:tc>
          <w:tcPr>
            <w:tcW w:w="671" w:type="pct"/>
            <w:shd w:val="clear" w:color="auto" w:fill="auto"/>
            <w:vAlign w:val="center"/>
          </w:tcPr>
          <w:p w14:paraId="228D701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高庄</w:t>
            </w:r>
          </w:p>
        </w:tc>
        <w:tc>
          <w:tcPr>
            <w:tcW w:w="423" w:type="pct"/>
            <w:shd w:val="clear" w:color="auto" w:fill="auto"/>
            <w:vAlign w:val="center"/>
          </w:tcPr>
          <w:p w14:paraId="2711D289">
            <w:pPr>
              <w:spacing w:line="240" w:lineRule="auto"/>
              <w:ind w:firstLine="0" w:firstLineChars="0"/>
              <w:jc w:val="center"/>
              <w:rPr>
                <w:rFonts w:eastAsia="等线" w:cs="Times New Roman"/>
                <w:kern w:val="0"/>
                <w:sz w:val="21"/>
              </w:rPr>
            </w:pPr>
            <w:r>
              <w:rPr>
                <w:rFonts w:hint="eastAsia" w:eastAsia="等线" w:cs="Times New Roman"/>
                <w:kern w:val="0"/>
                <w:sz w:val="21"/>
              </w:rPr>
              <w:t>2240.8</w:t>
            </w:r>
          </w:p>
        </w:tc>
        <w:tc>
          <w:tcPr>
            <w:tcW w:w="424" w:type="pct"/>
            <w:shd w:val="clear" w:color="auto" w:fill="auto"/>
            <w:vAlign w:val="center"/>
          </w:tcPr>
          <w:p w14:paraId="71C6A3BD">
            <w:pPr>
              <w:spacing w:line="240" w:lineRule="auto"/>
              <w:ind w:firstLine="0" w:firstLineChars="0"/>
              <w:jc w:val="center"/>
              <w:rPr>
                <w:rFonts w:eastAsia="等线" w:cs="Times New Roman"/>
                <w:kern w:val="0"/>
                <w:sz w:val="21"/>
              </w:rPr>
            </w:pPr>
            <w:r>
              <w:rPr>
                <w:rFonts w:hint="eastAsia" w:eastAsia="等线" w:cs="Times New Roman"/>
                <w:kern w:val="0"/>
                <w:sz w:val="21"/>
              </w:rPr>
              <w:t>-1413.4</w:t>
            </w:r>
          </w:p>
        </w:tc>
        <w:tc>
          <w:tcPr>
            <w:tcW w:w="1156" w:type="pct"/>
            <w:shd w:val="clear" w:color="auto" w:fill="auto"/>
            <w:vAlign w:val="center"/>
          </w:tcPr>
          <w:p w14:paraId="6C847EE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20607EA">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C6A704E">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0A632114">
            <w:pPr>
              <w:spacing w:line="240" w:lineRule="auto"/>
              <w:ind w:firstLine="0" w:firstLineChars="0"/>
              <w:jc w:val="center"/>
              <w:rPr>
                <w:rFonts w:eastAsia="等线" w:cs="Times New Roman"/>
                <w:kern w:val="0"/>
                <w:sz w:val="21"/>
              </w:rPr>
            </w:pPr>
            <w:r>
              <w:rPr>
                <w:rFonts w:hint="eastAsia" w:eastAsia="等线" w:cs="Times New Roman"/>
                <w:kern w:val="0"/>
                <w:sz w:val="21"/>
              </w:rPr>
              <w:t>ESE</w:t>
            </w:r>
          </w:p>
        </w:tc>
        <w:tc>
          <w:tcPr>
            <w:tcW w:w="631" w:type="pct"/>
            <w:shd w:val="clear" w:color="auto" w:fill="auto"/>
            <w:vAlign w:val="center"/>
          </w:tcPr>
          <w:p w14:paraId="17F8AD59">
            <w:pPr>
              <w:spacing w:line="240" w:lineRule="auto"/>
              <w:ind w:firstLine="0" w:firstLineChars="0"/>
              <w:jc w:val="center"/>
              <w:rPr>
                <w:rFonts w:eastAsia="等线" w:cs="Times New Roman"/>
                <w:kern w:val="0"/>
                <w:sz w:val="21"/>
              </w:rPr>
            </w:pPr>
            <w:r>
              <w:rPr>
                <w:rFonts w:hint="eastAsia" w:eastAsia="等线" w:cs="Times New Roman"/>
                <w:kern w:val="0"/>
                <w:sz w:val="21"/>
              </w:rPr>
              <w:t>2.56</w:t>
            </w:r>
          </w:p>
        </w:tc>
      </w:tr>
      <w:tr w14:paraId="25FA0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4DCA928D">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6F6513D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贾庄</w:t>
            </w:r>
          </w:p>
        </w:tc>
        <w:tc>
          <w:tcPr>
            <w:tcW w:w="423" w:type="pct"/>
            <w:shd w:val="clear" w:color="auto" w:fill="auto"/>
            <w:vAlign w:val="center"/>
          </w:tcPr>
          <w:p w14:paraId="13B64F03">
            <w:pPr>
              <w:spacing w:line="240" w:lineRule="auto"/>
              <w:ind w:firstLine="0" w:firstLineChars="0"/>
              <w:jc w:val="center"/>
              <w:rPr>
                <w:rFonts w:eastAsia="等线" w:cs="Times New Roman"/>
                <w:kern w:val="0"/>
                <w:sz w:val="21"/>
              </w:rPr>
            </w:pPr>
            <w:r>
              <w:rPr>
                <w:rFonts w:hint="eastAsia" w:eastAsia="等线" w:cs="Times New Roman"/>
                <w:kern w:val="0"/>
                <w:sz w:val="21"/>
              </w:rPr>
              <w:t>2050.7</w:t>
            </w:r>
          </w:p>
        </w:tc>
        <w:tc>
          <w:tcPr>
            <w:tcW w:w="424" w:type="pct"/>
            <w:shd w:val="clear" w:color="auto" w:fill="auto"/>
            <w:vAlign w:val="center"/>
          </w:tcPr>
          <w:p w14:paraId="5401D2F9">
            <w:pPr>
              <w:spacing w:line="240" w:lineRule="auto"/>
              <w:ind w:firstLine="0" w:firstLineChars="0"/>
              <w:jc w:val="center"/>
              <w:rPr>
                <w:rFonts w:eastAsia="等线" w:cs="Times New Roman"/>
                <w:kern w:val="0"/>
                <w:sz w:val="21"/>
              </w:rPr>
            </w:pPr>
            <w:r>
              <w:rPr>
                <w:rFonts w:hint="eastAsia" w:eastAsia="等线" w:cs="Times New Roman"/>
                <w:kern w:val="0"/>
                <w:sz w:val="21"/>
              </w:rPr>
              <w:t>-900.9</w:t>
            </w:r>
          </w:p>
        </w:tc>
        <w:tc>
          <w:tcPr>
            <w:tcW w:w="1156" w:type="pct"/>
            <w:shd w:val="clear" w:color="auto" w:fill="auto"/>
            <w:vAlign w:val="center"/>
          </w:tcPr>
          <w:p w14:paraId="65076CB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68E30657">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8773196">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3FB63C9B">
            <w:pPr>
              <w:spacing w:line="240" w:lineRule="auto"/>
              <w:ind w:firstLine="0" w:firstLineChars="0"/>
              <w:jc w:val="center"/>
              <w:rPr>
                <w:rFonts w:eastAsia="等线" w:cs="Times New Roman"/>
                <w:kern w:val="0"/>
                <w:sz w:val="21"/>
              </w:rPr>
            </w:pPr>
            <w:r>
              <w:rPr>
                <w:rFonts w:hint="eastAsia" w:eastAsia="等线" w:cs="Times New Roman"/>
                <w:kern w:val="0"/>
                <w:sz w:val="21"/>
              </w:rPr>
              <w:t>ESE</w:t>
            </w:r>
          </w:p>
        </w:tc>
        <w:tc>
          <w:tcPr>
            <w:tcW w:w="631" w:type="pct"/>
            <w:shd w:val="clear" w:color="auto" w:fill="auto"/>
            <w:vAlign w:val="center"/>
          </w:tcPr>
          <w:p w14:paraId="4D3FDC7A">
            <w:pPr>
              <w:spacing w:line="240" w:lineRule="auto"/>
              <w:ind w:firstLine="0" w:firstLineChars="0"/>
              <w:jc w:val="center"/>
              <w:rPr>
                <w:rFonts w:eastAsia="等线" w:cs="Times New Roman"/>
                <w:kern w:val="0"/>
                <w:sz w:val="21"/>
              </w:rPr>
            </w:pPr>
            <w:r>
              <w:rPr>
                <w:rFonts w:hint="eastAsia" w:eastAsia="等线" w:cs="Times New Roman"/>
                <w:kern w:val="0"/>
                <w:sz w:val="21"/>
              </w:rPr>
              <w:t>2.08</w:t>
            </w:r>
          </w:p>
        </w:tc>
      </w:tr>
      <w:tr w14:paraId="2159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04575412">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2540F26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金杨</w:t>
            </w:r>
          </w:p>
        </w:tc>
        <w:tc>
          <w:tcPr>
            <w:tcW w:w="423" w:type="pct"/>
            <w:shd w:val="clear" w:color="auto" w:fill="auto"/>
            <w:vAlign w:val="center"/>
          </w:tcPr>
          <w:p w14:paraId="47A05EA4">
            <w:pPr>
              <w:spacing w:line="240" w:lineRule="auto"/>
              <w:ind w:firstLine="0" w:firstLineChars="0"/>
              <w:jc w:val="center"/>
              <w:rPr>
                <w:rFonts w:eastAsia="等线" w:cs="Times New Roman"/>
                <w:kern w:val="0"/>
                <w:sz w:val="21"/>
              </w:rPr>
            </w:pPr>
            <w:r>
              <w:rPr>
                <w:rFonts w:hint="eastAsia" w:eastAsia="等线" w:cs="Times New Roman"/>
                <w:kern w:val="0"/>
                <w:sz w:val="21"/>
              </w:rPr>
              <w:t>2447.5</w:t>
            </w:r>
          </w:p>
        </w:tc>
        <w:tc>
          <w:tcPr>
            <w:tcW w:w="424" w:type="pct"/>
            <w:shd w:val="clear" w:color="auto" w:fill="auto"/>
            <w:vAlign w:val="center"/>
          </w:tcPr>
          <w:p w14:paraId="6E5B91C4">
            <w:pPr>
              <w:spacing w:line="240" w:lineRule="auto"/>
              <w:ind w:firstLine="0" w:firstLineChars="0"/>
              <w:jc w:val="center"/>
              <w:rPr>
                <w:rFonts w:eastAsia="等线" w:cs="Times New Roman"/>
                <w:kern w:val="0"/>
                <w:sz w:val="21"/>
              </w:rPr>
            </w:pPr>
            <w:r>
              <w:rPr>
                <w:rFonts w:hint="eastAsia" w:eastAsia="等线" w:cs="Times New Roman"/>
                <w:kern w:val="0"/>
                <w:sz w:val="21"/>
              </w:rPr>
              <w:t>41.4</w:t>
            </w:r>
          </w:p>
        </w:tc>
        <w:tc>
          <w:tcPr>
            <w:tcW w:w="1156" w:type="pct"/>
            <w:shd w:val="clear" w:color="auto" w:fill="auto"/>
            <w:vAlign w:val="center"/>
          </w:tcPr>
          <w:p w14:paraId="49F4046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159314B">
            <w:pPr>
              <w:spacing w:line="240" w:lineRule="auto"/>
              <w:ind w:firstLine="0" w:firstLineChars="0"/>
              <w:rPr>
                <w:rFonts w:hint="eastAsia" w:ascii="宋体" w:hAnsi="宋体" w:eastAsia="宋体" w:cs="宋体"/>
                <w:kern w:val="0"/>
                <w:sz w:val="21"/>
              </w:rPr>
            </w:pPr>
          </w:p>
        </w:tc>
        <w:tc>
          <w:tcPr>
            <w:tcW w:w="535" w:type="pct"/>
            <w:vMerge w:val="continue"/>
            <w:vAlign w:val="center"/>
          </w:tcPr>
          <w:p w14:paraId="45C4D03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2A7533F0">
            <w:pPr>
              <w:spacing w:line="240" w:lineRule="auto"/>
              <w:ind w:firstLine="0" w:firstLineChars="0"/>
              <w:jc w:val="center"/>
              <w:rPr>
                <w:rFonts w:eastAsia="等线" w:cs="Times New Roman"/>
                <w:kern w:val="0"/>
                <w:sz w:val="21"/>
              </w:rPr>
            </w:pPr>
            <w:r>
              <w:rPr>
                <w:rFonts w:hint="eastAsia" w:eastAsia="等线" w:cs="Times New Roman"/>
                <w:kern w:val="0"/>
                <w:sz w:val="21"/>
              </w:rPr>
              <w:t>E</w:t>
            </w:r>
          </w:p>
        </w:tc>
        <w:tc>
          <w:tcPr>
            <w:tcW w:w="631" w:type="pct"/>
            <w:shd w:val="clear" w:color="auto" w:fill="auto"/>
            <w:vAlign w:val="center"/>
          </w:tcPr>
          <w:p w14:paraId="6D56431E">
            <w:pPr>
              <w:spacing w:line="240" w:lineRule="auto"/>
              <w:ind w:firstLine="0" w:firstLineChars="0"/>
              <w:jc w:val="center"/>
              <w:rPr>
                <w:rFonts w:eastAsia="等线" w:cs="Times New Roman"/>
                <w:kern w:val="0"/>
                <w:sz w:val="21"/>
              </w:rPr>
            </w:pPr>
            <w:r>
              <w:rPr>
                <w:rFonts w:hint="eastAsia" w:eastAsia="等线" w:cs="Times New Roman"/>
                <w:kern w:val="0"/>
                <w:sz w:val="21"/>
              </w:rPr>
              <w:t>2.09</w:t>
            </w:r>
          </w:p>
        </w:tc>
      </w:tr>
      <w:tr w14:paraId="43AF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86" w:type="pct"/>
            <w:gridSpan w:val="2"/>
            <w:shd w:val="clear" w:color="auto" w:fill="auto"/>
            <w:vAlign w:val="center"/>
          </w:tcPr>
          <w:p w14:paraId="0F186DF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韩高村</w:t>
            </w:r>
          </w:p>
        </w:tc>
        <w:tc>
          <w:tcPr>
            <w:tcW w:w="423" w:type="pct"/>
            <w:shd w:val="clear" w:color="auto" w:fill="auto"/>
            <w:vAlign w:val="center"/>
          </w:tcPr>
          <w:p w14:paraId="373EE309">
            <w:pPr>
              <w:spacing w:line="240" w:lineRule="auto"/>
              <w:ind w:firstLine="0" w:firstLineChars="0"/>
              <w:jc w:val="center"/>
              <w:rPr>
                <w:rFonts w:eastAsia="等线" w:cs="Times New Roman"/>
                <w:kern w:val="0"/>
                <w:sz w:val="21"/>
              </w:rPr>
            </w:pPr>
            <w:r>
              <w:rPr>
                <w:rFonts w:hint="eastAsia" w:eastAsia="等线" w:cs="Times New Roman"/>
                <w:kern w:val="0"/>
                <w:sz w:val="21"/>
              </w:rPr>
              <w:t>796</w:t>
            </w:r>
          </w:p>
        </w:tc>
        <w:tc>
          <w:tcPr>
            <w:tcW w:w="424" w:type="pct"/>
            <w:shd w:val="clear" w:color="auto" w:fill="auto"/>
            <w:vAlign w:val="center"/>
          </w:tcPr>
          <w:p w14:paraId="0298AF5C">
            <w:pPr>
              <w:spacing w:line="240" w:lineRule="auto"/>
              <w:ind w:firstLine="0" w:firstLineChars="0"/>
              <w:jc w:val="center"/>
              <w:rPr>
                <w:rFonts w:eastAsia="等线" w:cs="Times New Roman"/>
                <w:kern w:val="0"/>
                <w:sz w:val="21"/>
              </w:rPr>
            </w:pPr>
            <w:r>
              <w:rPr>
                <w:rFonts w:hint="eastAsia" w:eastAsia="等线" w:cs="Times New Roman"/>
                <w:kern w:val="0"/>
                <w:sz w:val="21"/>
              </w:rPr>
              <w:t>-2251.6</w:t>
            </w:r>
          </w:p>
        </w:tc>
        <w:tc>
          <w:tcPr>
            <w:tcW w:w="1156" w:type="pct"/>
            <w:shd w:val="clear" w:color="auto" w:fill="auto"/>
            <w:vAlign w:val="center"/>
          </w:tcPr>
          <w:p w14:paraId="368BFCC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36DBD35">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4007359">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7055CFAE">
            <w:pPr>
              <w:spacing w:line="240" w:lineRule="auto"/>
              <w:ind w:firstLine="0" w:firstLineChars="0"/>
              <w:jc w:val="center"/>
              <w:rPr>
                <w:rFonts w:eastAsia="等线" w:cs="Times New Roman"/>
                <w:kern w:val="0"/>
                <w:sz w:val="21"/>
              </w:rPr>
            </w:pPr>
            <w:r>
              <w:rPr>
                <w:rFonts w:hint="eastAsia" w:eastAsia="等线" w:cs="Times New Roman"/>
                <w:kern w:val="0"/>
                <w:sz w:val="21"/>
              </w:rPr>
              <w:t>E</w:t>
            </w:r>
          </w:p>
        </w:tc>
        <w:tc>
          <w:tcPr>
            <w:tcW w:w="631" w:type="pct"/>
            <w:shd w:val="clear" w:color="auto" w:fill="auto"/>
            <w:vAlign w:val="center"/>
          </w:tcPr>
          <w:p w14:paraId="270D48D0">
            <w:pPr>
              <w:spacing w:line="240" w:lineRule="auto"/>
              <w:ind w:firstLine="0" w:firstLineChars="0"/>
              <w:jc w:val="center"/>
              <w:rPr>
                <w:rFonts w:eastAsia="等线" w:cs="Times New Roman"/>
                <w:kern w:val="0"/>
                <w:sz w:val="21"/>
              </w:rPr>
            </w:pPr>
            <w:r>
              <w:rPr>
                <w:rFonts w:hint="eastAsia" w:eastAsia="等线" w:cs="Times New Roman"/>
                <w:kern w:val="0"/>
                <w:sz w:val="21"/>
              </w:rPr>
              <w:t>2.07</w:t>
            </w:r>
          </w:p>
        </w:tc>
      </w:tr>
      <w:tr w14:paraId="0869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86" w:type="pct"/>
            <w:gridSpan w:val="2"/>
            <w:shd w:val="clear" w:color="auto" w:fill="auto"/>
            <w:vAlign w:val="center"/>
          </w:tcPr>
          <w:p w14:paraId="3023347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华昌固废宿舍区</w:t>
            </w:r>
          </w:p>
        </w:tc>
        <w:tc>
          <w:tcPr>
            <w:tcW w:w="423" w:type="pct"/>
            <w:shd w:val="clear" w:color="auto" w:fill="auto"/>
            <w:vAlign w:val="center"/>
          </w:tcPr>
          <w:p w14:paraId="51A0DC0D">
            <w:pPr>
              <w:spacing w:line="240" w:lineRule="auto"/>
              <w:ind w:firstLine="0" w:firstLineChars="0"/>
              <w:jc w:val="center"/>
              <w:rPr>
                <w:rFonts w:eastAsia="等线" w:cs="Times New Roman"/>
                <w:kern w:val="0"/>
                <w:sz w:val="21"/>
              </w:rPr>
            </w:pPr>
            <w:r>
              <w:rPr>
                <w:rFonts w:hint="eastAsia" w:eastAsia="等线" w:cs="Times New Roman"/>
                <w:kern w:val="0"/>
                <w:sz w:val="21"/>
              </w:rPr>
              <w:t>2083.8</w:t>
            </w:r>
          </w:p>
        </w:tc>
        <w:tc>
          <w:tcPr>
            <w:tcW w:w="424" w:type="pct"/>
            <w:shd w:val="clear" w:color="auto" w:fill="auto"/>
            <w:vAlign w:val="center"/>
          </w:tcPr>
          <w:p w14:paraId="2326AD40">
            <w:pPr>
              <w:spacing w:line="240" w:lineRule="auto"/>
              <w:ind w:firstLine="0" w:firstLineChars="0"/>
              <w:jc w:val="center"/>
              <w:rPr>
                <w:rFonts w:eastAsia="等线" w:cs="Times New Roman"/>
                <w:kern w:val="0"/>
                <w:sz w:val="21"/>
              </w:rPr>
            </w:pPr>
            <w:r>
              <w:rPr>
                <w:rFonts w:hint="eastAsia" w:eastAsia="等线" w:cs="Times New Roman"/>
                <w:kern w:val="0"/>
                <w:sz w:val="21"/>
              </w:rPr>
              <w:t>1372.2</w:t>
            </w:r>
          </w:p>
        </w:tc>
        <w:tc>
          <w:tcPr>
            <w:tcW w:w="1156" w:type="pct"/>
            <w:shd w:val="clear" w:color="auto" w:fill="auto"/>
            <w:vAlign w:val="center"/>
          </w:tcPr>
          <w:p w14:paraId="1DD1318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7D655071">
            <w:pPr>
              <w:spacing w:line="240" w:lineRule="auto"/>
              <w:ind w:firstLine="0" w:firstLineChars="0"/>
              <w:rPr>
                <w:rFonts w:hint="eastAsia" w:ascii="宋体" w:hAnsi="宋体" w:eastAsia="宋体" w:cs="宋体"/>
                <w:kern w:val="0"/>
                <w:sz w:val="21"/>
              </w:rPr>
            </w:pPr>
          </w:p>
        </w:tc>
        <w:tc>
          <w:tcPr>
            <w:tcW w:w="535" w:type="pct"/>
            <w:vMerge w:val="continue"/>
            <w:vAlign w:val="center"/>
          </w:tcPr>
          <w:p w14:paraId="32CC07CC">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5853E39E">
            <w:pPr>
              <w:spacing w:line="240" w:lineRule="auto"/>
              <w:ind w:firstLine="0" w:firstLineChars="0"/>
              <w:jc w:val="center"/>
              <w:rPr>
                <w:rFonts w:eastAsia="等线" w:cs="Times New Roman"/>
                <w:kern w:val="0"/>
                <w:sz w:val="21"/>
              </w:rPr>
            </w:pPr>
            <w:r>
              <w:rPr>
                <w:rFonts w:hint="eastAsia" w:eastAsia="等线" w:cs="Times New Roman"/>
                <w:kern w:val="0"/>
                <w:sz w:val="21"/>
              </w:rPr>
              <w:t>NE</w:t>
            </w:r>
          </w:p>
        </w:tc>
        <w:tc>
          <w:tcPr>
            <w:tcW w:w="631" w:type="pct"/>
            <w:shd w:val="clear" w:color="auto" w:fill="auto"/>
            <w:vAlign w:val="center"/>
          </w:tcPr>
          <w:p w14:paraId="254FFB51">
            <w:pPr>
              <w:spacing w:line="240" w:lineRule="auto"/>
              <w:ind w:firstLine="0" w:firstLineChars="0"/>
              <w:jc w:val="center"/>
              <w:rPr>
                <w:rFonts w:eastAsia="等线" w:cs="Times New Roman"/>
                <w:kern w:val="0"/>
                <w:sz w:val="21"/>
              </w:rPr>
            </w:pPr>
            <w:r>
              <w:rPr>
                <w:rFonts w:hint="eastAsia" w:eastAsia="等线" w:cs="Times New Roman"/>
                <w:kern w:val="0"/>
                <w:sz w:val="21"/>
              </w:rPr>
              <w:t>2.26</w:t>
            </w:r>
          </w:p>
        </w:tc>
      </w:tr>
      <w:tr w14:paraId="42B1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restart"/>
            <w:shd w:val="clear" w:color="auto" w:fill="auto"/>
            <w:vAlign w:val="center"/>
          </w:tcPr>
          <w:p w14:paraId="441F120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嵇码村</w:t>
            </w:r>
          </w:p>
        </w:tc>
        <w:tc>
          <w:tcPr>
            <w:tcW w:w="671" w:type="pct"/>
            <w:shd w:val="clear" w:color="auto" w:fill="auto"/>
            <w:vAlign w:val="center"/>
          </w:tcPr>
          <w:p w14:paraId="7703A2E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嵇码村</w:t>
            </w:r>
          </w:p>
        </w:tc>
        <w:tc>
          <w:tcPr>
            <w:tcW w:w="423" w:type="pct"/>
            <w:shd w:val="clear" w:color="auto" w:fill="auto"/>
            <w:vAlign w:val="center"/>
          </w:tcPr>
          <w:p w14:paraId="618C9A1B">
            <w:pPr>
              <w:spacing w:line="240" w:lineRule="auto"/>
              <w:ind w:firstLine="0" w:firstLineChars="0"/>
              <w:jc w:val="center"/>
              <w:rPr>
                <w:rFonts w:eastAsia="等线" w:cs="Times New Roman"/>
                <w:kern w:val="0"/>
                <w:sz w:val="21"/>
              </w:rPr>
            </w:pPr>
            <w:r>
              <w:rPr>
                <w:rFonts w:hint="eastAsia" w:eastAsia="等线" w:cs="Times New Roman"/>
                <w:kern w:val="0"/>
                <w:sz w:val="21"/>
              </w:rPr>
              <w:t>1935</w:t>
            </w:r>
          </w:p>
        </w:tc>
        <w:tc>
          <w:tcPr>
            <w:tcW w:w="424" w:type="pct"/>
            <w:shd w:val="clear" w:color="auto" w:fill="auto"/>
            <w:vAlign w:val="center"/>
          </w:tcPr>
          <w:p w14:paraId="6A00EE20">
            <w:pPr>
              <w:spacing w:line="240" w:lineRule="auto"/>
              <w:ind w:firstLine="0" w:firstLineChars="0"/>
              <w:jc w:val="center"/>
              <w:rPr>
                <w:rFonts w:eastAsia="等线" w:cs="Times New Roman"/>
                <w:kern w:val="0"/>
                <w:sz w:val="21"/>
              </w:rPr>
            </w:pPr>
            <w:r>
              <w:rPr>
                <w:rFonts w:hint="eastAsia" w:eastAsia="等线" w:cs="Times New Roman"/>
                <w:kern w:val="0"/>
                <w:sz w:val="21"/>
              </w:rPr>
              <w:t>2471.5</w:t>
            </w:r>
          </w:p>
        </w:tc>
        <w:tc>
          <w:tcPr>
            <w:tcW w:w="1156" w:type="pct"/>
            <w:shd w:val="clear" w:color="auto" w:fill="auto"/>
            <w:vAlign w:val="center"/>
          </w:tcPr>
          <w:p w14:paraId="40BC262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0D11836A">
            <w:pPr>
              <w:spacing w:line="240" w:lineRule="auto"/>
              <w:ind w:firstLine="0" w:firstLineChars="0"/>
              <w:rPr>
                <w:rFonts w:hint="eastAsia" w:ascii="宋体" w:hAnsi="宋体" w:eastAsia="宋体" w:cs="宋体"/>
                <w:kern w:val="0"/>
                <w:sz w:val="21"/>
              </w:rPr>
            </w:pPr>
          </w:p>
        </w:tc>
        <w:tc>
          <w:tcPr>
            <w:tcW w:w="535" w:type="pct"/>
            <w:vMerge w:val="continue"/>
            <w:vAlign w:val="center"/>
          </w:tcPr>
          <w:p w14:paraId="73EB1EA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E0489EC">
            <w:pPr>
              <w:spacing w:line="240" w:lineRule="auto"/>
              <w:ind w:firstLine="0" w:firstLineChars="0"/>
              <w:jc w:val="center"/>
              <w:rPr>
                <w:rFonts w:eastAsia="等线" w:cs="Times New Roman"/>
                <w:kern w:val="0"/>
                <w:sz w:val="21"/>
              </w:rPr>
            </w:pPr>
            <w:r>
              <w:rPr>
                <w:rFonts w:hint="eastAsia" w:eastAsia="等线" w:cs="Times New Roman"/>
                <w:kern w:val="0"/>
                <w:sz w:val="21"/>
              </w:rPr>
              <w:t>NE</w:t>
            </w:r>
          </w:p>
        </w:tc>
        <w:tc>
          <w:tcPr>
            <w:tcW w:w="631" w:type="pct"/>
            <w:shd w:val="clear" w:color="auto" w:fill="auto"/>
            <w:vAlign w:val="center"/>
          </w:tcPr>
          <w:p w14:paraId="2F2BE9B1">
            <w:pPr>
              <w:spacing w:line="240" w:lineRule="auto"/>
              <w:ind w:firstLine="0" w:firstLineChars="0"/>
              <w:jc w:val="center"/>
              <w:rPr>
                <w:rFonts w:eastAsia="等线" w:cs="Times New Roman"/>
                <w:kern w:val="0"/>
                <w:sz w:val="21"/>
              </w:rPr>
            </w:pPr>
            <w:r>
              <w:rPr>
                <w:rFonts w:hint="eastAsia" w:eastAsia="等线" w:cs="Times New Roman"/>
                <w:kern w:val="0"/>
                <w:sz w:val="21"/>
              </w:rPr>
              <w:t>2.96</w:t>
            </w:r>
          </w:p>
        </w:tc>
      </w:tr>
      <w:tr w14:paraId="5E620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1C3326D9">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71660F5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薛圩</w:t>
            </w:r>
          </w:p>
        </w:tc>
        <w:tc>
          <w:tcPr>
            <w:tcW w:w="423" w:type="pct"/>
            <w:shd w:val="clear" w:color="auto" w:fill="auto"/>
            <w:vAlign w:val="center"/>
          </w:tcPr>
          <w:p w14:paraId="7368A6B8">
            <w:pPr>
              <w:spacing w:line="240" w:lineRule="auto"/>
              <w:ind w:firstLine="0" w:firstLineChars="0"/>
              <w:jc w:val="center"/>
              <w:rPr>
                <w:rFonts w:eastAsia="等线" w:cs="Times New Roman"/>
                <w:kern w:val="0"/>
                <w:sz w:val="21"/>
              </w:rPr>
            </w:pPr>
            <w:r>
              <w:rPr>
                <w:rFonts w:hint="eastAsia" w:eastAsia="等线" w:cs="Times New Roman"/>
                <w:kern w:val="0"/>
                <w:sz w:val="21"/>
              </w:rPr>
              <w:t>2100.3</w:t>
            </w:r>
          </w:p>
        </w:tc>
        <w:tc>
          <w:tcPr>
            <w:tcW w:w="424" w:type="pct"/>
            <w:shd w:val="clear" w:color="auto" w:fill="auto"/>
            <w:vAlign w:val="center"/>
          </w:tcPr>
          <w:p w14:paraId="10D0E0C0">
            <w:pPr>
              <w:spacing w:line="240" w:lineRule="auto"/>
              <w:ind w:firstLine="0" w:firstLineChars="0"/>
              <w:jc w:val="center"/>
              <w:rPr>
                <w:rFonts w:eastAsia="等线" w:cs="Times New Roman"/>
                <w:kern w:val="0"/>
                <w:sz w:val="21"/>
              </w:rPr>
            </w:pPr>
            <w:r>
              <w:rPr>
                <w:rFonts w:hint="eastAsia" w:eastAsia="等线" w:cs="Times New Roman"/>
                <w:kern w:val="0"/>
                <w:sz w:val="21"/>
              </w:rPr>
              <w:t>2157.4</w:t>
            </w:r>
          </w:p>
        </w:tc>
        <w:tc>
          <w:tcPr>
            <w:tcW w:w="1156" w:type="pct"/>
            <w:shd w:val="clear" w:color="auto" w:fill="auto"/>
            <w:vAlign w:val="center"/>
          </w:tcPr>
          <w:p w14:paraId="384ADBA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2AD8539B">
            <w:pPr>
              <w:spacing w:line="240" w:lineRule="auto"/>
              <w:ind w:firstLine="0" w:firstLineChars="0"/>
              <w:rPr>
                <w:rFonts w:hint="eastAsia" w:ascii="宋体" w:hAnsi="宋体" w:eastAsia="宋体" w:cs="宋体"/>
                <w:kern w:val="0"/>
                <w:sz w:val="21"/>
              </w:rPr>
            </w:pPr>
          </w:p>
        </w:tc>
        <w:tc>
          <w:tcPr>
            <w:tcW w:w="535" w:type="pct"/>
            <w:vMerge w:val="continue"/>
            <w:vAlign w:val="center"/>
          </w:tcPr>
          <w:p w14:paraId="480C29EA">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15B0D039">
            <w:pPr>
              <w:spacing w:line="240" w:lineRule="auto"/>
              <w:ind w:firstLine="0" w:firstLineChars="0"/>
              <w:jc w:val="center"/>
              <w:rPr>
                <w:rFonts w:eastAsia="等线" w:cs="Times New Roman"/>
                <w:kern w:val="0"/>
                <w:sz w:val="21"/>
              </w:rPr>
            </w:pPr>
            <w:r>
              <w:rPr>
                <w:rFonts w:hint="eastAsia" w:eastAsia="等线" w:cs="Times New Roman"/>
                <w:kern w:val="0"/>
                <w:sz w:val="21"/>
              </w:rPr>
              <w:t>NE</w:t>
            </w:r>
          </w:p>
        </w:tc>
        <w:tc>
          <w:tcPr>
            <w:tcW w:w="631" w:type="pct"/>
            <w:shd w:val="clear" w:color="auto" w:fill="auto"/>
            <w:vAlign w:val="center"/>
          </w:tcPr>
          <w:p w14:paraId="3B30E8DC">
            <w:pPr>
              <w:spacing w:line="240" w:lineRule="auto"/>
              <w:ind w:firstLine="0" w:firstLineChars="0"/>
              <w:jc w:val="center"/>
              <w:rPr>
                <w:rFonts w:eastAsia="等线" w:cs="Times New Roman"/>
                <w:kern w:val="0"/>
                <w:sz w:val="21"/>
              </w:rPr>
            </w:pPr>
            <w:r>
              <w:rPr>
                <w:rFonts w:hint="eastAsia" w:eastAsia="等线" w:cs="Times New Roman"/>
                <w:kern w:val="0"/>
                <w:sz w:val="21"/>
              </w:rPr>
              <w:t>2.83</w:t>
            </w:r>
          </w:p>
        </w:tc>
      </w:tr>
      <w:tr w14:paraId="5ABF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415" w:type="pct"/>
            <w:vMerge w:val="restart"/>
            <w:shd w:val="clear" w:color="auto" w:fill="auto"/>
            <w:vAlign w:val="center"/>
          </w:tcPr>
          <w:p w14:paraId="715B63D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新灯塔村</w:t>
            </w:r>
          </w:p>
        </w:tc>
        <w:tc>
          <w:tcPr>
            <w:tcW w:w="671" w:type="pct"/>
            <w:shd w:val="clear" w:color="auto" w:fill="auto"/>
            <w:vAlign w:val="center"/>
          </w:tcPr>
          <w:p w14:paraId="5A1282B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新灯塔村</w:t>
            </w:r>
          </w:p>
        </w:tc>
        <w:tc>
          <w:tcPr>
            <w:tcW w:w="423" w:type="pct"/>
            <w:shd w:val="clear" w:color="auto" w:fill="auto"/>
            <w:vAlign w:val="center"/>
          </w:tcPr>
          <w:p w14:paraId="132D0B6F">
            <w:pPr>
              <w:spacing w:line="240" w:lineRule="auto"/>
              <w:ind w:firstLine="0" w:firstLineChars="0"/>
              <w:jc w:val="center"/>
              <w:rPr>
                <w:rFonts w:eastAsia="等线" w:cs="Times New Roman"/>
                <w:kern w:val="0"/>
                <w:sz w:val="21"/>
              </w:rPr>
            </w:pPr>
            <w:r>
              <w:rPr>
                <w:rFonts w:hint="eastAsia" w:eastAsia="等线" w:cs="Times New Roman"/>
                <w:kern w:val="0"/>
                <w:sz w:val="21"/>
              </w:rPr>
              <w:t>290.1</w:t>
            </w:r>
          </w:p>
        </w:tc>
        <w:tc>
          <w:tcPr>
            <w:tcW w:w="424" w:type="pct"/>
            <w:shd w:val="clear" w:color="auto" w:fill="auto"/>
            <w:vAlign w:val="center"/>
          </w:tcPr>
          <w:p w14:paraId="421C6536">
            <w:pPr>
              <w:spacing w:line="240" w:lineRule="auto"/>
              <w:ind w:firstLine="0" w:firstLineChars="0"/>
              <w:jc w:val="center"/>
              <w:rPr>
                <w:rFonts w:eastAsia="等线" w:cs="Times New Roman"/>
                <w:kern w:val="0"/>
                <w:sz w:val="21"/>
              </w:rPr>
            </w:pPr>
            <w:r>
              <w:rPr>
                <w:rFonts w:hint="eastAsia" w:eastAsia="等线" w:cs="Times New Roman"/>
                <w:kern w:val="0"/>
                <w:sz w:val="21"/>
              </w:rPr>
              <w:t>2173.9</w:t>
            </w:r>
          </w:p>
        </w:tc>
        <w:tc>
          <w:tcPr>
            <w:tcW w:w="1156" w:type="pct"/>
            <w:shd w:val="clear" w:color="auto" w:fill="auto"/>
            <w:vAlign w:val="center"/>
          </w:tcPr>
          <w:p w14:paraId="566391D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44DE10E3">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63AA803">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634C42DF">
            <w:pPr>
              <w:spacing w:line="240" w:lineRule="auto"/>
              <w:ind w:firstLine="0" w:firstLineChars="0"/>
              <w:jc w:val="center"/>
              <w:rPr>
                <w:rFonts w:eastAsia="等线" w:cs="Times New Roman"/>
                <w:kern w:val="0"/>
                <w:sz w:val="21"/>
              </w:rPr>
            </w:pPr>
            <w:r>
              <w:rPr>
                <w:rFonts w:hint="eastAsia" w:eastAsia="等线" w:cs="Times New Roman"/>
                <w:kern w:val="0"/>
                <w:sz w:val="21"/>
              </w:rPr>
              <w:t>NE</w:t>
            </w:r>
          </w:p>
        </w:tc>
        <w:tc>
          <w:tcPr>
            <w:tcW w:w="631" w:type="pct"/>
            <w:shd w:val="clear" w:color="auto" w:fill="auto"/>
            <w:vAlign w:val="center"/>
          </w:tcPr>
          <w:p w14:paraId="7FAE3F4C">
            <w:pPr>
              <w:spacing w:line="240" w:lineRule="auto"/>
              <w:ind w:firstLine="0" w:firstLineChars="0"/>
              <w:jc w:val="center"/>
              <w:rPr>
                <w:rFonts w:eastAsia="等线" w:cs="Times New Roman"/>
                <w:kern w:val="0"/>
                <w:sz w:val="21"/>
              </w:rPr>
            </w:pPr>
            <w:r>
              <w:rPr>
                <w:rFonts w:hint="eastAsia" w:eastAsia="等线" w:cs="Times New Roman"/>
                <w:kern w:val="0"/>
                <w:sz w:val="21"/>
              </w:rPr>
              <w:t>1.82</w:t>
            </w:r>
          </w:p>
        </w:tc>
      </w:tr>
      <w:tr w14:paraId="514B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76575361">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0F26A71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韩庄</w:t>
            </w:r>
          </w:p>
        </w:tc>
        <w:tc>
          <w:tcPr>
            <w:tcW w:w="423" w:type="pct"/>
            <w:shd w:val="clear" w:color="auto" w:fill="auto"/>
            <w:vAlign w:val="center"/>
          </w:tcPr>
          <w:p w14:paraId="58E46109">
            <w:pPr>
              <w:spacing w:line="240" w:lineRule="auto"/>
              <w:ind w:firstLine="0" w:firstLineChars="0"/>
              <w:jc w:val="center"/>
              <w:rPr>
                <w:rFonts w:eastAsia="等线" w:cs="Times New Roman"/>
                <w:kern w:val="0"/>
                <w:sz w:val="21"/>
              </w:rPr>
            </w:pPr>
            <w:r>
              <w:rPr>
                <w:rFonts w:hint="eastAsia" w:eastAsia="等线" w:cs="Times New Roman"/>
                <w:kern w:val="0"/>
                <w:sz w:val="21"/>
              </w:rPr>
              <w:t>-106.7</w:t>
            </w:r>
          </w:p>
        </w:tc>
        <w:tc>
          <w:tcPr>
            <w:tcW w:w="424" w:type="pct"/>
            <w:shd w:val="clear" w:color="auto" w:fill="auto"/>
            <w:vAlign w:val="center"/>
          </w:tcPr>
          <w:p w14:paraId="4C6B8E01">
            <w:pPr>
              <w:spacing w:line="240" w:lineRule="auto"/>
              <w:ind w:firstLine="0" w:firstLineChars="0"/>
              <w:jc w:val="center"/>
              <w:rPr>
                <w:rFonts w:eastAsia="等线" w:cs="Times New Roman"/>
                <w:kern w:val="0"/>
                <w:sz w:val="21"/>
              </w:rPr>
            </w:pPr>
            <w:r>
              <w:rPr>
                <w:rFonts w:hint="eastAsia" w:eastAsia="等线" w:cs="Times New Roman"/>
                <w:kern w:val="0"/>
                <w:sz w:val="21"/>
              </w:rPr>
              <w:t>1405.2</w:t>
            </w:r>
          </w:p>
        </w:tc>
        <w:tc>
          <w:tcPr>
            <w:tcW w:w="1156" w:type="pct"/>
            <w:shd w:val="clear" w:color="auto" w:fill="auto"/>
            <w:vAlign w:val="center"/>
          </w:tcPr>
          <w:p w14:paraId="5533A03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3897493C">
            <w:pPr>
              <w:spacing w:line="240" w:lineRule="auto"/>
              <w:ind w:firstLine="0" w:firstLineChars="0"/>
              <w:rPr>
                <w:rFonts w:hint="eastAsia" w:ascii="宋体" w:hAnsi="宋体" w:eastAsia="宋体" w:cs="宋体"/>
                <w:kern w:val="0"/>
                <w:sz w:val="21"/>
              </w:rPr>
            </w:pPr>
          </w:p>
        </w:tc>
        <w:tc>
          <w:tcPr>
            <w:tcW w:w="535" w:type="pct"/>
            <w:vMerge w:val="continue"/>
            <w:vAlign w:val="center"/>
          </w:tcPr>
          <w:p w14:paraId="1EE14D0E">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455C5C9">
            <w:pPr>
              <w:spacing w:line="240" w:lineRule="auto"/>
              <w:ind w:firstLine="0" w:firstLineChars="0"/>
              <w:jc w:val="center"/>
              <w:rPr>
                <w:rFonts w:eastAsia="等线" w:cs="Times New Roman"/>
                <w:kern w:val="0"/>
                <w:sz w:val="21"/>
              </w:rPr>
            </w:pPr>
            <w:r>
              <w:rPr>
                <w:rFonts w:hint="eastAsia" w:eastAsia="等线" w:cs="Times New Roman"/>
                <w:kern w:val="0"/>
                <w:sz w:val="21"/>
              </w:rPr>
              <w:t>N</w:t>
            </w:r>
          </w:p>
        </w:tc>
        <w:tc>
          <w:tcPr>
            <w:tcW w:w="631" w:type="pct"/>
            <w:shd w:val="clear" w:color="auto" w:fill="auto"/>
            <w:vAlign w:val="center"/>
          </w:tcPr>
          <w:p w14:paraId="29919699">
            <w:pPr>
              <w:spacing w:line="240" w:lineRule="auto"/>
              <w:ind w:firstLine="0" w:firstLineChars="0"/>
              <w:jc w:val="center"/>
              <w:rPr>
                <w:rFonts w:eastAsia="等线" w:cs="Times New Roman"/>
                <w:kern w:val="0"/>
                <w:sz w:val="21"/>
              </w:rPr>
            </w:pPr>
            <w:r>
              <w:rPr>
                <w:rFonts w:hint="eastAsia" w:eastAsia="等线" w:cs="Times New Roman"/>
                <w:kern w:val="0"/>
                <w:sz w:val="21"/>
              </w:rPr>
              <w:t>1.14</w:t>
            </w:r>
          </w:p>
        </w:tc>
      </w:tr>
      <w:tr w14:paraId="5F50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4DC78805">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7ABA0F5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赵庄</w:t>
            </w:r>
          </w:p>
        </w:tc>
        <w:tc>
          <w:tcPr>
            <w:tcW w:w="423" w:type="pct"/>
            <w:shd w:val="clear" w:color="auto" w:fill="auto"/>
            <w:vAlign w:val="center"/>
          </w:tcPr>
          <w:p w14:paraId="4EEC6409">
            <w:pPr>
              <w:spacing w:line="240" w:lineRule="auto"/>
              <w:ind w:firstLine="0" w:firstLineChars="0"/>
              <w:jc w:val="center"/>
              <w:rPr>
                <w:rFonts w:eastAsia="等线" w:cs="Times New Roman"/>
                <w:kern w:val="0"/>
                <w:sz w:val="21"/>
              </w:rPr>
            </w:pPr>
            <w:r>
              <w:rPr>
                <w:rFonts w:hint="eastAsia" w:eastAsia="等线" w:cs="Times New Roman"/>
                <w:kern w:val="0"/>
                <w:sz w:val="21"/>
              </w:rPr>
              <w:t>-205.8</w:t>
            </w:r>
          </w:p>
        </w:tc>
        <w:tc>
          <w:tcPr>
            <w:tcW w:w="424" w:type="pct"/>
            <w:shd w:val="clear" w:color="auto" w:fill="auto"/>
            <w:vAlign w:val="center"/>
          </w:tcPr>
          <w:p w14:paraId="5DC693D8">
            <w:pPr>
              <w:spacing w:line="240" w:lineRule="auto"/>
              <w:ind w:firstLine="0" w:firstLineChars="0"/>
              <w:jc w:val="center"/>
              <w:rPr>
                <w:rFonts w:eastAsia="等线" w:cs="Times New Roman"/>
                <w:kern w:val="0"/>
                <w:sz w:val="21"/>
              </w:rPr>
            </w:pPr>
            <w:r>
              <w:rPr>
                <w:rFonts w:hint="eastAsia" w:eastAsia="等线" w:cs="Times New Roman"/>
                <w:kern w:val="0"/>
                <w:sz w:val="21"/>
              </w:rPr>
              <w:t>1206.8</w:t>
            </w:r>
          </w:p>
        </w:tc>
        <w:tc>
          <w:tcPr>
            <w:tcW w:w="1156" w:type="pct"/>
            <w:shd w:val="clear" w:color="auto" w:fill="auto"/>
            <w:vAlign w:val="center"/>
          </w:tcPr>
          <w:p w14:paraId="2622B8D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1D1A9F46">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15D019F">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0813E54A">
            <w:pPr>
              <w:spacing w:line="240" w:lineRule="auto"/>
              <w:ind w:firstLine="0" w:firstLineChars="0"/>
              <w:jc w:val="center"/>
              <w:rPr>
                <w:rFonts w:eastAsia="等线" w:cs="Times New Roman"/>
                <w:kern w:val="0"/>
                <w:sz w:val="21"/>
              </w:rPr>
            </w:pPr>
            <w:r>
              <w:rPr>
                <w:rFonts w:hint="eastAsia" w:eastAsia="等线" w:cs="Times New Roman"/>
                <w:kern w:val="0"/>
                <w:sz w:val="21"/>
              </w:rPr>
              <w:t>N</w:t>
            </w:r>
          </w:p>
        </w:tc>
        <w:tc>
          <w:tcPr>
            <w:tcW w:w="631" w:type="pct"/>
            <w:shd w:val="clear" w:color="auto" w:fill="auto"/>
            <w:vAlign w:val="center"/>
          </w:tcPr>
          <w:p w14:paraId="7E500805">
            <w:pPr>
              <w:spacing w:line="240" w:lineRule="auto"/>
              <w:ind w:firstLine="0" w:firstLineChars="0"/>
              <w:jc w:val="center"/>
              <w:rPr>
                <w:rFonts w:eastAsia="等线" w:cs="Times New Roman"/>
                <w:kern w:val="0"/>
                <w:sz w:val="21"/>
              </w:rPr>
            </w:pPr>
            <w:r>
              <w:rPr>
                <w:rFonts w:hint="eastAsia" w:eastAsia="等线" w:cs="Times New Roman"/>
                <w:kern w:val="0"/>
                <w:sz w:val="21"/>
              </w:rPr>
              <w:t>0.97</w:t>
            </w:r>
          </w:p>
        </w:tc>
      </w:tr>
      <w:tr w14:paraId="548F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3153BBB5">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7454D68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西刘</w:t>
            </w:r>
          </w:p>
        </w:tc>
        <w:tc>
          <w:tcPr>
            <w:tcW w:w="423" w:type="pct"/>
            <w:shd w:val="clear" w:color="auto" w:fill="auto"/>
            <w:vAlign w:val="center"/>
          </w:tcPr>
          <w:p w14:paraId="75B7200E">
            <w:pPr>
              <w:spacing w:line="240" w:lineRule="auto"/>
              <w:ind w:firstLine="0" w:firstLineChars="0"/>
              <w:jc w:val="center"/>
              <w:rPr>
                <w:rFonts w:eastAsia="等线" w:cs="Times New Roman"/>
                <w:kern w:val="0"/>
                <w:sz w:val="21"/>
              </w:rPr>
            </w:pPr>
            <w:r>
              <w:rPr>
                <w:rFonts w:hint="eastAsia" w:eastAsia="等线" w:cs="Times New Roman"/>
                <w:kern w:val="0"/>
                <w:sz w:val="21"/>
              </w:rPr>
              <w:t>-717.5</w:t>
            </w:r>
          </w:p>
        </w:tc>
        <w:tc>
          <w:tcPr>
            <w:tcW w:w="424" w:type="pct"/>
            <w:shd w:val="clear" w:color="auto" w:fill="auto"/>
            <w:vAlign w:val="center"/>
          </w:tcPr>
          <w:p w14:paraId="0D55B4A5">
            <w:pPr>
              <w:spacing w:line="240" w:lineRule="auto"/>
              <w:ind w:firstLine="0" w:firstLineChars="0"/>
              <w:jc w:val="center"/>
              <w:rPr>
                <w:rFonts w:eastAsia="等线" w:cs="Times New Roman"/>
                <w:kern w:val="0"/>
                <w:sz w:val="21"/>
              </w:rPr>
            </w:pPr>
            <w:r>
              <w:rPr>
                <w:rFonts w:hint="eastAsia" w:eastAsia="等线" w:cs="Times New Roman"/>
                <w:kern w:val="0"/>
                <w:sz w:val="21"/>
              </w:rPr>
              <w:t>1938.6</w:t>
            </w:r>
          </w:p>
        </w:tc>
        <w:tc>
          <w:tcPr>
            <w:tcW w:w="1156" w:type="pct"/>
            <w:shd w:val="clear" w:color="auto" w:fill="auto"/>
            <w:vAlign w:val="center"/>
          </w:tcPr>
          <w:p w14:paraId="2BFFE5A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1319E4A1">
            <w:pPr>
              <w:spacing w:line="240" w:lineRule="auto"/>
              <w:ind w:firstLine="0" w:firstLineChars="0"/>
              <w:rPr>
                <w:rFonts w:hint="eastAsia" w:ascii="宋体" w:hAnsi="宋体" w:eastAsia="宋体" w:cs="宋体"/>
                <w:kern w:val="0"/>
                <w:sz w:val="21"/>
              </w:rPr>
            </w:pPr>
          </w:p>
        </w:tc>
        <w:tc>
          <w:tcPr>
            <w:tcW w:w="535" w:type="pct"/>
            <w:vMerge w:val="continue"/>
            <w:vAlign w:val="center"/>
          </w:tcPr>
          <w:p w14:paraId="6364A75D">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27758170">
            <w:pPr>
              <w:spacing w:line="240" w:lineRule="auto"/>
              <w:ind w:firstLine="0" w:firstLineChars="0"/>
              <w:jc w:val="center"/>
              <w:rPr>
                <w:rFonts w:eastAsia="等线" w:cs="Times New Roman"/>
                <w:kern w:val="0"/>
                <w:sz w:val="21"/>
              </w:rPr>
            </w:pPr>
            <w:r>
              <w:rPr>
                <w:rFonts w:hint="eastAsia" w:eastAsia="等线" w:cs="Times New Roman"/>
                <w:kern w:val="0"/>
                <w:sz w:val="21"/>
              </w:rPr>
              <w:t>NNE</w:t>
            </w:r>
          </w:p>
        </w:tc>
        <w:tc>
          <w:tcPr>
            <w:tcW w:w="631" w:type="pct"/>
            <w:shd w:val="clear" w:color="auto" w:fill="auto"/>
            <w:vAlign w:val="center"/>
          </w:tcPr>
          <w:p w14:paraId="61F379AE">
            <w:pPr>
              <w:spacing w:line="240" w:lineRule="auto"/>
              <w:ind w:firstLine="0" w:firstLineChars="0"/>
              <w:jc w:val="center"/>
              <w:rPr>
                <w:rFonts w:eastAsia="等线" w:cs="Times New Roman"/>
                <w:kern w:val="0"/>
                <w:sz w:val="21"/>
              </w:rPr>
            </w:pPr>
            <w:r>
              <w:rPr>
                <w:rFonts w:hint="eastAsia" w:eastAsia="等线" w:cs="Times New Roman"/>
                <w:kern w:val="0"/>
                <w:sz w:val="21"/>
              </w:rPr>
              <w:t>2.09</w:t>
            </w:r>
          </w:p>
        </w:tc>
      </w:tr>
      <w:tr w14:paraId="2C86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5" w:type="pct"/>
            <w:vMerge w:val="continue"/>
            <w:vAlign w:val="center"/>
          </w:tcPr>
          <w:p w14:paraId="326F1566">
            <w:pPr>
              <w:spacing w:line="240" w:lineRule="auto"/>
              <w:ind w:firstLine="0" w:firstLineChars="0"/>
              <w:rPr>
                <w:rFonts w:hint="eastAsia" w:ascii="宋体" w:hAnsi="宋体" w:eastAsia="宋体" w:cs="宋体"/>
                <w:kern w:val="0"/>
                <w:sz w:val="21"/>
              </w:rPr>
            </w:pPr>
          </w:p>
        </w:tc>
        <w:tc>
          <w:tcPr>
            <w:tcW w:w="671" w:type="pct"/>
            <w:shd w:val="clear" w:color="auto" w:fill="auto"/>
            <w:vAlign w:val="center"/>
          </w:tcPr>
          <w:p w14:paraId="6A94C16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东刘</w:t>
            </w:r>
          </w:p>
        </w:tc>
        <w:tc>
          <w:tcPr>
            <w:tcW w:w="423" w:type="pct"/>
            <w:shd w:val="clear" w:color="auto" w:fill="auto"/>
            <w:vAlign w:val="center"/>
          </w:tcPr>
          <w:p w14:paraId="67CD1E21">
            <w:pPr>
              <w:spacing w:line="240" w:lineRule="auto"/>
              <w:ind w:firstLine="0" w:firstLineChars="0"/>
              <w:jc w:val="center"/>
              <w:rPr>
                <w:rFonts w:eastAsia="等线" w:cs="Times New Roman"/>
                <w:kern w:val="0"/>
                <w:sz w:val="21"/>
              </w:rPr>
            </w:pPr>
            <w:r>
              <w:rPr>
                <w:rFonts w:hint="eastAsia" w:eastAsia="等线" w:cs="Times New Roman"/>
                <w:kern w:val="0"/>
                <w:sz w:val="21"/>
              </w:rPr>
              <w:t>-1065.8</w:t>
            </w:r>
          </w:p>
        </w:tc>
        <w:tc>
          <w:tcPr>
            <w:tcW w:w="424" w:type="pct"/>
            <w:shd w:val="clear" w:color="auto" w:fill="auto"/>
            <w:vAlign w:val="center"/>
          </w:tcPr>
          <w:p w14:paraId="4309C648">
            <w:pPr>
              <w:spacing w:line="240" w:lineRule="auto"/>
              <w:ind w:firstLine="0" w:firstLineChars="0"/>
              <w:jc w:val="center"/>
              <w:rPr>
                <w:rFonts w:eastAsia="等线" w:cs="Times New Roman"/>
                <w:kern w:val="0"/>
                <w:sz w:val="21"/>
              </w:rPr>
            </w:pPr>
            <w:r>
              <w:rPr>
                <w:rFonts w:hint="eastAsia" w:eastAsia="等线" w:cs="Times New Roman"/>
                <w:kern w:val="0"/>
                <w:sz w:val="21"/>
              </w:rPr>
              <w:t>1926.3</w:t>
            </w:r>
          </w:p>
        </w:tc>
        <w:tc>
          <w:tcPr>
            <w:tcW w:w="1156" w:type="pct"/>
            <w:shd w:val="clear" w:color="auto" w:fill="auto"/>
            <w:vAlign w:val="center"/>
          </w:tcPr>
          <w:p w14:paraId="6908A06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村庄</w:t>
            </w:r>
          </w:p>
        </w:tc>
        <w:tc>
          <w:tcPr>
            <w:tcW w:w="313" w:type="pct"/>
            <w:vMerge w:val="continue"/>
            <w:vAlign w:val="center"/>
          </w:tcPr>
          <w:p w14:paraId="0AFD9C7B">
            <w:pPr>
              <w:spacing w:line="240" w:lineRule="auto"/>
              <w:ind w:firstLine="0" w:firstLineChars="0"/>
              <w:rPr>
                <w:rFonts w:hint="eastAsia" w:ascii="宋体" w:hAnsi="宋体" w:eastAsia="宋体" w:cs="宋体"/>
                <w:kern w:val="0"/>
                <w:sz w:val="21"/>
              </w:rPr>
            </w:pPr>
          </w:p>
        </w:tc>
        <w:tc>
          <w:tcPr>
            <w:tcW w:w="535" w:type="pct"/>
            <w:vMerge w:val="continue"/>
            <w:vAlign w:val="center"/>
          </w:tcPr>
          <w:p w14:paraId="3E68DC19">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57D07483">
            <w:pPr>
              <w:spacing w:line="240" w:lineRule="auto"/>
              <w:ind w:firstLine="0" w:firstLineChars="0"/>
              <w:jc w:val="center"/>
              <w:rPr>
                <w:rFonts w:eastAsia="等线" w:cs="Times New Roman"/>
                <w:kern w:val="0"/>
                <w:sz w:val="21"/>
              </w:rPr>
            </w:pPr>
            <w:r>
              <w:rPr>
                <w:rFonts w:hint="eastAsia" w:eastAsia="等线" w:cs="Times New Roman"/>
                <w:kern w:val="0"/>
                <w:sz w:val="21"/>
              </w:rPr>
              <w:t>NNE</w:t>
            </w:r>
          </w:p>
        </w:tc>
        <w:tc>
          <w:tcPr>
            <w:tcW w:w="631" w:type="pct"/>
            <w:shd w:val="clear" w:color="auto" w:fill="auto"/>
            <w:vAlign w:val="center"/>
          </w:tcPr>
          <w:p w14:paraId="73129FBA">
            <w:pPr>
              <w:spacing w:line="240" w:lineRule="auto"/>
              <w:ind w:firstLine="0" w:firstLineChars="0"/>
              <w:jc w:val="center"/>
              <w:rPr>
                <w:rFonts w:eastAsia="等线" w:cs="Times New Roman"/>
                <w:kern w:val="0"/>
                <w:sz w:val="21"/>
              </w:rPr>
            </w:pPr>
            <w:r>
              <w:rPr>
                <w:rFonts w:hint="eastAsia" w:eastAsia="等线" w:cs="Times New Roman"/>
                <w:kern w:val="0"/>
                <w:sz w:val="21"/>
              </w:rPr>
              <w:t>1.51</w:t>
            </w:r>
          </w:p>
        </w:tc>
      </w:tr>
      <w:tr w14:paraId="1BB5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89" w:type="pct"/>
            <w:gridSpan w:val="5"/>
            <w:shd w:val="clear" w:color="auto" w:fill="auto"/>
            <w:vAlign w:val="center"/>
          </w:tcPr>
          <w:p w14:paraId="415397F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盐河</w:t>
            </w:r>
          </w:p>
        </w:tc>
        <w:tc>
          <w:tcPr>
            <w:tcW w:w="313" w:type="pct"/>
            <w:vMerge w:val="restart"/>
            <w:shd w:val="clear" w:color="auto" w:fill="auto"/>
            <w:vAlign w:val="center"/>
          </w:tcPr>
          <w:p w14:paraId="3EF9494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地表水</w:t>
            </w:r>
          </w:p>
        </w:tc>
        <w:tc>
          <w:tcPr>
            <w:tcW w:w="535" w:type="pct"/>
            <w:vMerge w:val="restart"/>
            <w:shd w:val="clear" w:color="auto" w:fill="auto"/>
            <w:vAlign w:val="center"/>
          </w:tcPr>
          <w:p w14:paraId="7C7DEAC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《地表水环境质量标准》（</w:t>
            </w:r>
            <w:r>
              <w:rPr>
                <w:rFonts w:hint="eastAsia" w:eastAsia="宋体" w:cs="Times New Roman"/>
                <w:kern w:val="0"/>
                <w:sz w:val="21"/>
              </w:rPr>
              <w:t>GB3838-2002</w:t>
            </w:r>
            <w:r>
              <w:rPr>
                <w:rFonts w:hint="eastAsia" w:ascii="宋体" w:hAnsi="宋体" w:eastAsia="宋体" w:cs="宋体"/>
                <w:kern w:val="0"/>
                <w:sz w:val="21"/>
              </w:rPr>
              <w:t>）Ⅲ类</w:t>
            </w:r>
          </w:p>
        </w:tc>
        <w:tc>
          <w:tcPr>
            <w:tcW w:w="432" w:type="pct"/>
            <w:shd w:val="clear" w:color="auto" w:fill="auto"/>
            <w:vAlign w:val="center"/>
          </w:tcPr>
          <w:p w14:paraId="05A401E0">
            <w:pPr>
              <w:spacing w:line="240" w:lineRule="auto"/>
              <w:ind w:firstLine="0" w:firstLineChars="0"/>
              <w:jc w:val="center"/>
              <w:rPr>
                <w:rFonts w:eastAsia="等线" w:cs="Times New Roman"/>
                <w:kern w:val="0"/>
                <w:sz w:val="21"/>
              </w:rPr>
            </w:pPr>
            <w:r>
              <w:rPr>
                <w:rFonts w:hint="eastAsia" w:eastAsia="等线" w:cs="Times New Roman"/>
                <w:kern w:val="0"/>
                <w:sz w:val="21"/>
              </w:rPr>
              <w:t>E</w:t>
            </w:r>
            <w:r>
              <w:rPr>
                <w:rFonts w:hint="eastAsia" w:ascii="宋体" w:hAnsi="宋体" w:eastAsia="宋体" w:cs="Times New Roman"/>
                <w:kern w:val="0"/>
                <w:sz w:val="21"/>
              </w:rPr>
              <w:t>（紧邻）</w:t>
            </w:r>
          </w:p>
        </w:tc>
        <w:tc>
          <w:tcPr>
            <w:tcW w:w="631" w:type="pct"/>
            <w:shd w:val="clear" w:color="auto" w:fill="auto"/>
            <w:vAlign w:val="center"/>
          </w:tcPr>
          <w:p w14:paraId="7FE8A957">
            <w:pPr>
              <w:spacing w:line="240" w:lineRule="auto"/>
              <w:ind w:firstLine="0" w:firstLineChars="0"/>
              <w:jc w:val="center"/>
              <w:rPr>
                <w:rFonts w:eastAsia="等线" w:cs="Times New Roman"/>
                <w:kern w:val="0"/>
                <w:sz w:val="21"/>
              </w:rPr>
            </w:pPr>
            <w:r>
              <w:rPr>
                <w:rFonts w:hint="eastAsia" w:eastAsia="等线" w:cs="Times New Roman"/>
                <w:kern w:val="0"/>
                <w:sz w:val="21"/>
              </w:rPr>
              <w:t>/</w:t>
            </w:r>
          </w:p>
        </w:tc>
      </w:tr>
      <w:tr w14:paraId="4A2A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9" w:type="pct"/>
            <w:gridSpan w:val="5"/>
            <w:shd w:val="clear" w:color="auto" w:fill="auto"/>
            <w:vAlign w:val="center"/>
          </w:tcPr>
          <w:p w14:paraId="1A20F04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盐河袁闸断面（国考断面）</w:t>
            </w:r>
          </w:p>
        </w:tc>
        <w:tc>
          <w:tcPr>
            <w:tcW w:w="313" w:type="pct"/>
            <w:vMerge w:val="continue"/>
            <w:vAlign w:val="center"/>
          </w:tcPr>
          <w:p w14:paraId="7CADC8DF">
            <w:pPr>
              <w:spacing w:line="240" w:lineRule="auto"/>
              <w:ind w:firstLine="0" w:firstLineChars="0"/>
              <w:rPr>
                <w:rFonts w:hint="eastAsia" w:ascii="宋体" w:hAnsi="宋体" w:eastAsia="宋体" w:cs="宋体"/>
                <w:kern w:val="0"/>
                <w:sz w:val="21"/>
              </w:rPr>
            </w:pPr>
          </w:p>
        </w:tc>
        <w:tc>
          <w:tcPr>
            <w:tcW w:w="535" w:type="pct"/>
            <w:vMerge w:val="continue"/>
            <w:vAlign w:val="center"/>
          </w:tcPr>
          <w:p w14:paraId="32001C5B">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494CA6F3">
            <w:pPr>
              <w:spacing w:line="240" w:lineRule="auto"/>
              <w:ind w:firstLine="0" w:firstLineChars="0"/>
              <w:jc w:val="center"/>
              <w:rPr>
                <w:rFonts w:eastAsia="等线" w:cs="Times New Roman"/>
                <w:kern w:val="0"/>
                <w:sz w:val="21"/>
              </w:rPr>
            </w:pPr>
            <w:r>
              <w:rPr>
                <w:rFonts w:hint="eastAsia" w:eastAsia="等线" w:cs="Times New Roman"/>
                <w:kern w:val="0"/>
                <w:sz w:val="21"/>
              </w:rPr>
              <w:t>N</w:t>
            </w:r>
          </w:p>
        </w:tc>
        <w:tc>
          <w:tcPr>
            <w:tcW w:w="631" w:type="pct"/>
            <w:shd w:val="clear" w:color="auto" w:fill="auto"/>
            <w:vAlign w:val="center"/>
          </w:tcPr>
          <w:p w14:paraId="1CAD9497">
            <w:pPr>
              <w:spacing w:line="240" w:lineRule="auto"/>
              <w:ind w:firstLine="0" w:firstLineChars="0"/>
              <w:jc w:val="center"/>
              <w:rPr>
                <w:rFonts w:eastAsia="等线" w:cs="Times New Roman"/>
                <w:kern w:val="0"/>
                <w:sz w:val="21"/>
              </w:rPr>
            </w:pPr>
            <w:r>
              <w:rPr>
                <w:rFonts w:hint="eastAsia" w:eastAsia="等线" w:cs="Times New Roman"/>
                <w:kern w:val="0"/>
                <w:sz w:val="21"/>
              </w:rPr>
              <w:t>27</w:t>
            </w:r>
          </w:p>
        </w:tc>
      </w:tr>
      <w:tr w14:paraId="745EB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089" w:type="pct"/>
            <w:gridSpan w:val="5"/>
            <w:shd w:val="clear" w:color="auto" w:fill="auto"/>
            <w:vAlign w:val="center"/>
          </w:tcPr>
          <w:p w14:paraId="7CE4989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渠西河</w:t>
            </w:r>
          </w:p>
        </w:tc>
        <w:tc>
          <w:tcPr>
            <w:tcW w:w="313" w:type="pct"/>
            <w:vMerge w:val="continue"/>
            <w:vAlign w:val="center"/>
          </w:tcPr>
          <w:p w14:paraId="68BFD903">
            <w:pPr>
              <w:spacing w:line="240" w:lineRule="auto"/>
              <w:ind w:firstLine="0" w:firstLineChars="0"/>
              <w:rPr>
                <w:rFonts w:hint="eastAsia" w:ascii="宋体" w:hAnsi="宋体" w:eastAsia="宋体" w:cs="宋体"/>
                <w:kern w:val="0"/>
                <w:sz w:val="21"/>
              </w:rPr>
            </w:pPr>
          </w:p>
        </w:tc>
        <w:tc>
          <w:tcPr>
            <w:tcW w:w="535" w:type="pct"/>
            <w:vMerge w:val="continue"/>
            <w:vAlign w:val="center"/>
          </w:tcPr>
          <w:p w14:paraId="22F52C6C">
            <w:pPr>
              <w:spacing w:line="240" w:lineRule="auto"/>
              <w:ind w:firstLine="0" w:firstLineChars="0"/>
              <w:rPr>
                <w:rFonts w:hint="eastAsia" w:ascii="宋体" w:hAnsi="宋体" w:eastAsia="宋体" w:cs="宋体"/>
                <w:kern w:val="0"/>
                <w:sz w:val="21"/>
              </w:rPr>
            </w:pPr>
          </w:p>
        </w:tc>
        <w:tc>
          <w:tcPr>
            <w:tcW w:w="432" w:type="pct"/>
            <w:shd w:val="clear" w:color="auto" w:fill="auto"/>
            <w:vAlign w:val="center"/>
          </w:tcPr>
          <w:p w14:paraId="32B5E707">
            <w:pPr>
              <w:spacing w:line="240" w:lineRule="auto"/>
              <w:ind w:firstLine="0" w:firstLineChars="0"/>
              <w:jc w:val="center"/>
              <w:rPr>
                <w:rFonts w:eastAsia="等线" w:cs="Times New Roman"/>
                <w:kern w:val="0"/>
                <w:sz w:val="21"/>
              </w:rPr>
            </w:pPr>
            <w:r>
              <w:rPr>
                <w:rFonts w:hint="eastAsia" w:eastAsia="等线" w:cs="Times New Roman"/>
                <w:kern w:val="0"/>
                <w:sz w:val="21"/>
              </w:rPr>
              <w:t>S</w:t>
            </w:r>
            <w:r>
              <w:rPr>
                <w:rFonts w:hint="eastAsia" w:eastAsia="等线" w:cs="Times New Roman"/>
                <w:kern w:val="0"/>
                <w:sz w:val="21"/>
                <w:lang w:eastAsia="zh-CN"/>
              </w:rPr>
              <w:t>.</w:t>
            </w:r>
            <w:r>
              <w:rPr>
                <w:rFonts w:hint="eastAsia" w:eastAsia="等线" w:cs="Times New Roman"/>
                <w:kern w:val="0"/>
                <w:sz w:val="21"/>
              </w:rPr>
              <w:t>E</w:t>
            </w:r>
          </w:p>
        </w:tc>
        <w:tc>
          <w:tcPr>
            <w:tcW w:w="631" w:type="pct"/>
            <w:shd w:val="clear" w:color="auto" w:fill="auto"/>
            <w:vAlign w:val="center"/>
          </w:tcPr>
          <w:p w14:paraId="076CCF70">
            <w:pPr>
              <w:spacing w:line="240" w:lineRule="auto"/>
              <w:ind w:firstLine="0" w:firstLineChars="0"/>
              <w:jc w:val="center"/>
              <w:rPr>
                <w:rFonts w:eastAsia="等线" w:cs="Times New Roman"/>
                <w:kern w:val="0"/>
                <w:sz w:val="21"/>
              </w:rPr>
            </w:pPr>
            <w:r>
              <w:rPr>
                <w:rFonts w:hint="eastAsia" w:eastAsia="等线" w:cs="Times New Roman"/>
                <w:kern w:val="0"/>
                <w:sz w:val="21"/>
              </w:rPr>
              <w:t>4.36</w:t>
            </w:r>
          </w:p>
        </w:tc>
      </w:tr>
      <w:tr w14:paraId="6D604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089" w:type="pct"/>
            <w:gridSpan w:val="5"/>
            <w:shd w:val="clear" w:color="auto" w:fill="auto"/>
            <w:vAlign w:val="center"/>
          </w:tcPr>
          <w:p w14:paraId="6FD18BA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界外</w:t>
            </w:r>
            <w:r>
              <w:rPr>
                <w:rFonts w:hint="eastAsia" w:eastAsia="宋体" w:cs="Times New Roman"/>
                <w:kern w:val="0"/>
                <w:sz w:val="21"/>
              </w:rPr>
              <w:t>200m</w:t>
            </w:r>
            <w:r>
              <w:rPr>
                <w:rFonts w:hint="eastAsia" w:ascii="宋体" w:hAnsi="宋体" w:eastAsia="宋体" w:cs="宋体"/>
                <w:kern w:val="0"/>
                <w:sz w:val="21"/>
              </w:rPr>
              <w:t>范围内无声环境敏感点</w:t>
            </w:r>
          </w:p>
        </w:tc>
        <w:tc>
          <w:tcPr>
            <w:tcW w:w="313" w:type="pct"/>
            <w:vMerge w:val="restart"/>
            <w:shd w:val="clear" w:color="auto" w:fill="auto"/>
            <w:vAlign w:val="center"/>
          </w:tcPr>
          <w:p w14:paraId="54E7BD5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声环境</w:t>
            </w:r>
          </w:p>
        </w:tc>
        <w:tc>
          <w:tcPr>
            <w:tcW w:w="1598" w:type="pct"/>
            <w:gridSpan w:val="3"/>
            <w:shd w:val="clear" w:color="auto" w:fill="auto"/>
            <w:vAlign w:val="center"/>
          </w:tcPr>
          <w:p w14:paraId="5956AE0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《声环境质量标准》（</w:t>
            </w:r>
            <w:r>
              <w:rPr>
                <w:rFonts w:hint="eastAsia" w:eastAsia="宋体" w:cs="Times New Roman"/>
                <w:kern w:val="0"/>
                <w:sz w:val="21"/>
              </w:rPr>
              <w:t>GB 3096-2008</w:t>
            </w:r>
            <w:r>
              <w:rPr>
                <w:rFonts w:hint="eastAsia" w:ascii="宋体" w:hAnsi="宋体" w:eastAsia="宋体" w:cs="宋体"/>
                <w:kern w:val="0"/>
                <w:sz w:val="21"/>
              </w:rPr>
              <w:t>）</w:t>
            </w:r>
            <w:r>
              <w:rPr>
                <w:rFonts w:hint="eastAsia" w:eastAsia="宋体" w:cs="Times New Roman"/>
                <w:kern w:val="0"/>
                <w:sz w:val="21"/>
              </w:rPr>
              <w:t>3</w:t>
            </w:r>
            <w:r>
              <w:rPr>
                <w:rFonts w:hint="eastAsia" w:ascii="宋体" w:hAnsi="宋体" w:eastAsia="宋体" w:cs="宋体"/>
                <w:kern w:val="0"/>
                <w:sz w:val="21"/>
              </w:rPr>
              <w:t>类</w:t>
            </w:r>
          </w:p>
        </w:tc>
      </w:tr>
      <w:tr w14:paraId="52B7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089" w:type="pct"/>
            <w:gridSpan w:val="5"/>
            <w:shd w:val="clear" w:color="auto" w:fill="auto"/>
            <w:vAlign w:val="center"/>
          </w:tcPr>
          <w:p w14:paraId="20F450E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河堤护栏外</w:t>
            </w:r>
            <w:r>
              <w:rPr>
                <w:rFonts w:hint="eastAsia" w:eastAsia="宋体" w:cs="Times New Roman"/>
                <w:kern w:val="0"/>
                <w:sz w:val="21"/>
              </w:rPr>
              <w:t>25m</w:t>
            </w:r>
            <w:r>
              <w:rPr>
                <w:rFonts w:hint="eastAsia" w:ascii="宋体" w:hAnsi="宋体" w:eastAsia="宋体" w:cs="宋体"/>
                <w:kern w:val="0"/>
                <w:sz w:val="21"/>
              </w:rPr>
              <w:t>范围内无声环境敏感点</w:t>
            </w:r>
          </w:p>
        </w:tc>
        <w:tc>
          <w:tcPr>
            <w:tcW w:w="313" w:type="pct"/>
            <w:vMerge w:val="continue"/>
            <w:vAlign w:val="center"/>
          </w:tcPr>
          <w:p w14:paraId="57D03017">
            <w:pPr>
              <w:spacing w:line="240" w:lineRule="auto"/>
              <w:ind w:firstLine="0" w:firstLineChars="0"/>
              <w:rPr>
                <w:rFonts w:hint="eastAsia" w:ascii="宋体" w:hAnsi="宋体" w:eastAsia="宋体" w:cs="宋体"/>
                <w:kern w:val="0"/>
                <w:sz w:val="21"/>
              </w:rPr>
            </w:pPr>
          </w:p>
        </w:tc>
        <w:tc>
          <w:tcPr>
            <w:tcW w:w="1598" w:type="pct"/>
            <w:gridSpan w:val="3"/>
            <w:shd w:val="clear" w:color="auto" w:fill="auto"/>
            <w:vAlign w:val="center"/>
          </w:tcPr>
          <w:p w14:paraId="68D1C67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《声环境质量标准》（</w:t>
            </w:r>
            <w:r>
              <w:rPr>
                <w:rFonts w:hint="eastAsia" w:eastAsia="宋体" w:cs="Times New Roman"/>
                <w:kern w:val="0"/>
                <w:sz w:val="21"/>
              </w:rPr>
              <w:t>GB 3096-2008</w:t>
            </w:r>
            <w:r>
              <w:rPr>
                <w:rFonts w:hint="eastAsia" w:ascii="宋体" w:hAnsi="宋体" w:eastAsia="宋体" w:cs="宋体"/>
                <w:kern w:val="0"/>
                <w:sz w:val="21"/>
              </w:rPr>
              <w:t>）</w:t>
            </w:r>
            <w:r>
              <w:rPr>
                <w:rFonts w:hint="eastAsia" w:eastAsia="宋体" w:cs="Times New Roman"/>
                <w:kern w:val="0"/>
                <w:sz w:val="21"/>
              </w:rPr>
              <w:t>4a</w:t>
            </w:r>
          </w:p>
        </w:tc>
      </w:tr>
    </w:tbl>
    <w:p w14:paraId="616EE527">
      <w:pPr>
        <w:pStyle w:val="91"/>
      </w:pPr>
      <w:r>
        <w:rPr>
          <w:rFonts w:hint="eastAsia"/>
        </w:rPr>
        <w:t>注：本次评价码头红线水域南侧角为原点，坐标（0，0）。东西方向为X轴、南北方向为Y轴，敏感点坐标为相对坐标。</w:t>
      </w:r>
    </w:p>
    <w:p w14:paraId="7659E45A">
      <w:pPr>
        <w:spacing w:line="240" w:lineRule="auto"/>
        <w:ind w:firstLine="0" w:firstLineChars="0"/>
        <w:rPr>
          <w:b/>
          <w:kern w:val="0"/>
          <w:sz w:val="21"/>
          <w:szCs w:val="18"/>
          <w:lang w:val="zh-CN"/>
        </w:rPr>
      </w:pPr>
      <w:r>
        <w:rPr>
          <w:rFonts w:hint="eastAsia"/>
        </w:rPr>
        <w:br w:type="page"/>
      </w:r>
    </w:p>
    <w:p w14:paraId="719A5311">
      <w:pPr>
        <w:pStyle w:val="86"/>
      </w:pPr>
      <w:r>
        <w:rPr>
          <w:rFonts w:hint="eastAsia"/>
        </w:rPr>
        <w:t>本项目与周边生态保护目标位置情况表</w:t>
      </w:r>
    </w:p>
    <w:tbl>
      <w:tblPr>
        <w:tblStyle w:val="38"/>
        <w:tblW w:w="500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79"/>
        <w:gridCol w:w="1428"/>
        <w:gridCol w:w="2994"/>
        <w:gridCol w:w="1831"/>
        <w:gridCol w:w="2446"/>
        <w:gridCol w:w="2102"/>
        <w:gridCol w:w="897"/>
        <w:gridCol w:w="1199"/>
      </w:tblGrid>
      <w:tr w14:paraId="4B030D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86" w:type="pct"/>
            <w:vMerge w:val="restart"/>
            <w:tcBorders>
              <w:top w:val="single" w:color="auto" w:sz="4" w:space="0"/>
              <w:left w:val="single" w:color="auto" w:sz="4" w:space="0"/>
              <w:bottom w:val="single" w:color="auto" w:sz="4" w:space="0"/>
              <w:right w:val="single" w:color="auto" w:sz="4" w:space="0"/>
            </w:tcBorders>
            <w:vAlign w:val="center"/>
          </w:tcPr>
          <w:p w14:paraId="4871B57A">
            <w:pPr>
              <w:pStyle w:val="196"/>
              <w:rPr>
                <w:szCs w:val="21"/>
              </w:rPr>
            </w:pPr>
            <w:r>
              <w:rPr>
                <w:rFonts w:hint="eastAsia"/>
              </w:rPr>
              <w:t>生态空间保护区域名称</w:t>
            </w:r>
          </w:p>
        </w:tc>
        <w:tc>
          <w:tcPr>
            <w:tcW w:w="511" w:type="pct"/>
            <w:vMerge w:val="restart"/>
            <w:tcBorders>
              <w:top w:val="single" w:color="auto" w:sz="4" w:space="0"/>
              <w:left w:val="nil"/>
              <w:bottom w:val="single" w:color="auto" w:sz="4" w:space="0"/>
              <w:right w:val="single" w:color="auto" w:sz="4" w:space="0"/>
            </w:tcBorders>
            <w:vAlign w:val="center"/>
          </w:tcPr>
          <w:p w14:paraId="4D4BDE5D">
            <w:pPr>
              <w:pStyle w:val="196"/>
            </w:pPr>
            <w:r>
              <w:rPr>
                <w:rFonts w:hint="eastAsia"/>
              </w:rPr>
              <w:t>主导生态功能</w:t>
            </w:r>
          </w:p>
        </w:tc>
        <w:tc>
          <w:tcPr>
            <w:tcW w:w="1726" w:type="pct"/>
            <w:gridSpan w:val="2"/>
            <w:tcBorders>
              <w:top w:val="single" w:color="auto" w:sz="4" w:space="0"/>
              <w:left w:val="nil"/>
              <w:bottom w:val="single" w:color="auto" w:sz="4" w:space="0"/>
              <w:right w:val="single" w:color="auto" w:sz="4" w:space="0"/>
            </w:tcBorders>
            <w:vAlign w:val="center"/>
          </w:tcPr>
          <w:p w14:paraId="729E75D7">
            <w:pPr>
              <w:pStyle w:val="196"/>
            </w:pPr>
            <w:r>
              <w:rPr>
                <w:rFonts w:hint="eastAsia"/>
              </w:rPr>
              <w:t>范围</w:t>
            </w:r>
          </w:p>
        </w:tc>
        <w:tc>
          <w:tcPr>
            <w:tcW w:w="1948" w:type="pct"/>
            <w:gridSpan w:val="3"/>
            <w:tcBorders>
              <w:top w:val="single" w:color="auto" w:sz="4" w:space="0"/>
              <w:left w:val="nil"/>
              <w:bottom w:val="single" w:color="auto" w:sz="4" w:space="0"/>
              <w:right w:val="single" w:color="auto" w:sz="4" w:space="0"/>
            </w:tcBorders>
            <w:vAlign w:val="center"/>
          </w:tcPr>
          <w:p w14:paraId="441BB410">
            <w:pPr>
              <w:pStyle w:val="196"/>
            </w:pPr>
            <w:r>
              <w:rPr>
                <w:rFonts w:hint="eastAsia"/>
              </w:rPr>
              <w:t>面积（km</w:t>
            </w:r>
            <w:r>
              <w:rPr>
                <w:rFonts w:hint="eastAsia"/>
                <w:vertAlign w:val="superscript"/>
              </w:rPr>
              <w:t>2</w:t>
            </w:r>
            <w:r>
              <w:rPr>
                <w:rFonts w:hint="eastAsia"/>
              </w:rPr>
              <w:t>）</w:t>
            </w:r>
          </w:p>
        </w:tc>
        <w:tc>
          <w:tcPr>
            <w:tcW w:w="429" w:type="pct"/>
            <w:vMerge w:val="restart"/>
            <w:tcBorders>
              <w:top w:val="single" w:color="auto" w:sz="4" w:space="0"/>
              <w:left w:val="nil"/>
              <w:bottom w:val="single" w:color="auto" w:sz="4" w:space="0"/>
              <w:right w:val="single" w:color="auto" w:sz="4" w:space="0"/>
            </w:tcBorders>
            <w:vAlign w:val="center"/>
          </w:tcPr>
          <w:p w14:paraId="75D7A67F">
            <w:pPr>
              <w:pStyle w:val="196"/>
            </w:pPr>
            <w:r>
              <w:rPr>
                <w:rFonts w:hint="eastAsia"/>
              </w:rPr>
              <w:t>相对位置、</w:t>
            </w:r>
          </w:p>
          <w:p w14:paraId="6D1B4A6C">
            <w:pPr>
              <w:pStyle w:val="196"/>
            </w:pPr>
            <w:r>
              <w:rPr>
                <w:rFonts w:hint="eastAsia"/>
              </w:rPr>
              <w:t>距离（km）</w:t>
            </w:r>
          </w:p>
        </w:tc>
      </w:tr>
      <w:tr w14:paraId="43EEF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36CDA4">
            <w:pPr>
              <w:pStyle w:val="196"/>
              <w:rPr>
                <w:szCs w:val="21"/>
              </w:rPr>
            </w:pPr>
          </w:p>
        </w:tc>
        <w:tc>
          <w:tcPr>
            <w:tcW w:w="0" w:type="auto"/>
            <w:vMerge w:val="continue"/>
            <w:tcBorders>
              <w:top w:val="single" w:color="auto" w:sz="4" w:space="0"/>
              <w:left w:val="nil"/>
              <w:bottom w:val="single" w:color="auto" w:sz="4" w:space="0"/>
              <w:right w:val="single" w:color="auto" w:sz="4" w:space="0"/>
            </w:tcBorders>
            <w:vAlign w:val="center"/>
          </w:tcPr>
          <w:p w14:paraId="047BF2EF">
            <w:pPr>
              <w:pStyle w:val="196"/>
              <w:rPr>
                <w:szCs w:val="21"/>
              </w:rPr>
            </w:pPr>
          </w:p>
        </w:tc>
        <w:tc>
          <w:tcPr>
            <w:tcW w:w="1071" w:type="pct"/>
            <w:tcBorders>
              <w:top w:val="single" w:color="auto" w:sz="4" w:space="0"/>
              <w:left w:val="nil"/>
              <w:bottom w:val="single" w:color="auto" w:sz="4" w:space="0"/>
              <w:right w:val="single" w:color="auto" w:sz="4" w:space="0"/>
            </w:tcBorders>
            <w:vAlign w:val="center"/>
          </w:tcPr>
          <w:p w14:paraId="222372F3">
            <w:pPr>
              <w:pStyle w:val="196"/>
            </w:pPr>
            <w:r>
              <w:rPr>
                <w:rFonts w:hint="eastAsia"/>
              </w:rPr>
              <w:t>国家级生态保护红线范围</w:t>
            </w:r>
          </w:p>
        </w:tc>
        <w:tc>
          <w:tcPr>
            <w:tcW w:w="655" w:type="pct"/>
            <w:tcBorders>
              <w:top w:val="single" w:color="auto" w:sz="4" w:space="0"/>
              <w:left w:val="nil"/>
              <w:bottom w:val="single" w:color="auto" w:sz="4" w:space="0"/>
              <w:right w:val="single" w:color="auto" w:sz="4" w:space="0"/>
            </w:tcBorders>
            <w:vAlign w:val="center"/>
          </w:tcPr>
          <w:p w14:paraId="44FD89A0">
            <w:pPr>
              <w:pStyle w:val="196"/>
            </w:pPr>
            <w:r>
              <w:rPr>
                <w:rFonts w:hint="eastAsia"/>
              </w:rPr>
              <w:t>生态空间管控区域范围</w:t>
            </w:r>
          </w:p>
        </w:tc>
        <w:tc>
          <w:tcPr>
            <w:tcW w:w="875" w:type="pct"/>
            <w:tcBorders>
              <w:top w:val="single" w:color="auto" w:sz="4" w:space="0"/>
              <w:left w:val="nil"/>
              <w:bottom w:val="single" w:color="auto" w:sz="4" w:space="0"/>
              <w:right w:val="single" w:color="auto" w:sz="4" w:space="0"/>
            </w:tcBorders>
            <w:vAlign w:val="center"/>
          </w:tcPr>
          <w:p w14:paraId="4D95A58D">
            <w:pPr>
              <w:pStyle w:val="196"/>
            </w:pPr>
            <w:r>
              <w:rPr>
                <w:rFonts w:hint="eastAsia"/>
              </w:rPr>
              <w:t>国家级生态保护红线面积</w:t>
            </w:r>
          </w:p>
        </w:tc>
        <w:tc>
          <w:tcPr>
            <w:tcW w:w="752" w:type="pct"/>
            <w:tcBorders>
              <w:top w:val="single" w:color="auto" w:sz="4" w:space="0"/>
              <w:left w:val="nil"/>
              <w:bottom w:val="single" w:color="auto" w:sz="4" w:space="0"/>
              <w:right w:val="single" w:color="auto" w:sz="4" w:space="0"/>
            </w:tcBorders>
            <w:vAlign w:val="center"/>
          </w:tcPr>
          <w:p w14:paraId="00FCF7AE">
            <w:pPr>
              <w:pStyle w:val="196"/>
            </w:pPr>
            <w:r>
              <w:rPr>
                <w:rFonts w:hint="eastAsia"/>
              </w:rPr>
              <w:t>生态空间管控区域面积</w:t>
            </w:r>
          </w:p>
        </w:tc>
        <w:tc>
          <w:tcPr>
            <w:tcW w:w="320" w:type="pct"/>
            <w:tcBorders>
              <w:top w:val="single" w:color="auto" w:sz="4" w:space="0"/>
              <w:left w:val="nil"/>
              <w:bottom w:val="single" w:color="auto" w:sz="4" w:space="0"/>
              <w:right w:val="single" w:color="auto" w:sz="4" w:space="0"/>
            </w:tcBorders>
            <w:vAlign w:val="center"/>
          </w:tcPr>
          <w:p w14:paraId="03B67F71">
            <w:pPr>
              <w:pStyle w:val="196"/>
            </w:pPr>
            <w:r>
              <w:rPr>
                <w:rFonts w:hint="eastAsia"/>
              </w:rPr>
              <w:t>总面积</w:t>
            </w:r>
          </w:p>
        </w:tc>
        <w:tc>
          <w:tcPr>
            <w:tcW w:w="0" w:type="auto"/>
            <w:vMerge w:val="continue"/>
            <w:tcBorders>
              <w:top w:val="single" w:color="auto" w:sz="4" w:space="0"/>
              <w:left w:val="nil"/>
              <w:bottom w:val="single" w:color="auto" w:sz="4" w:space="0"/>
              <w:right w:val="single" w:color="auto" w:sz="4" w:space="0"/>
            </w:tcBorders>
            <w:vAlign w:val="center"/>
          </w:tcPr>
          <w:p w14:paraId="0B43D27E">
            <w:pPr>
              <w:pStyle w:val="196"/>
              <w:rPr>
                <w:szCs w:val="21"/>
              </w:rPr>
            </w:pPr>
          </w:p>
        </w:tc>
      </w:tr>
      <w:tr w14:paraId="6986F4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40" w:hRule="atLeast"/>
          <w:jc w:val="center"/>
        </w:trPr>
        <w:tc>
          <w:tcPr>
            <w:tcW w:w="386" w:type="pct"/>
            <w:tcBorders>
              <w:top w:val="single" w:color="auto" w:sz="4" w:space="0"/>
              <w:left w:val="single" w:color="auto" w:sz="4" w:space="0"/>
              <w:bottom w:val="single" w:color="auto" w:sz="4" w:space="0"/>
              <w:right w:val="single" w:color="auto" w:sz="4" w:space="0"/>
            </w:tcBorders>
            <w:vAlign w:val="center"/>
          </w:tcPr>
          <w:p w14:paraId="40E6EC1E">
            <w:pPr>
              <w:pStyle w:val="196"/>
            </w:pPr>
            <w:r>
              <w:rPr>
                <w:rFonts w:hint="eastAsia"/>
              </w:rPr>
              <w:t>江苏涟水涟漪湖黄嘴白鹭省级自然保护区</w:t>
            </w:r>
          </w:p>
        </w:tc>
        <w:tc>
          <w:tcPr>
            <w:tcW w:w="511" w:type="pct"/>
            <w:tcBorders>
              <w:top w:val="single" w:color="auto" w:sz="4" w:space="0"/>
              <w:left w:val="nil"/>
              <w:bottom w:val="single" w:color="auto" w:sz="4" w:space="0"/>
              <w:right w:val="single" w:color="auto" w:sz="4" w:space="0"/>
            </w:tcBorders>
            <w:vAlign w:val="center"/>
          </w:tcPr>
          <w:p w14:paraId="75FD07EC">
            <w:pPr>
              <w:pStyle w:val="196"/>
            </w:pPr>
            <w:r>
              <w:rPr>
                <w:rFonts w:hint="eastAsia"/>
              </w:rPr>
              <w:t>生物多样性保护</w:t>
            </w:r>
          </w:p>
        </w:tc>
        <w:tc>
          <w:tcPr>
            <w:tcW w:w="1071" w:type="pct"/>
            <w:tcBorders>
              <w:top w:val="single" w:color="auto" w:sz="4" w:space="0"/>
              <w:left w:val="nil"/>
              <w:bottom w:val="single" w:color="auto" w:sz="4" w:space="0"/>
              <w:right w:val="single" w:color="auto" w:sz="4" w:space="0"/>
            </w:tcBorders>
            <w:vAlign w:val="center"/>
          </w:tcPr>
          <w:p w14:paraId="0725DE73">
            <w:pPr>
              <w:pStyle w:val="196"/>
            </w:pPr>
            <w:r>
              <w:rPr>
                <w:rFonts w:hint="eastAsia"/>
              </w:rPr>
              <w:t>包括自然保护区核心区、缓冲区和实验区。自然保护区五岛公园以及相连水域为核心区和缓冲区。实验区范围包括涟水县涟城镇的五岛公园以及相连水域，城郊废黄河沿线的林区和水域、湿地生态系统。坐标为：118°59′E至119°35′E33°45′N至34°65′N之间</w:t>
            </w:r>
          </w:p>
        </w:tc>
        <w:tc>
          <w:tcPr>
            <w:tcW w:w="655" w:type="pct"/>
            <w:tcBorders>
              <w:top w:val="single" w:color="auto" w:sz="4" w:space="0"/>
              <w:left w:val="nil"/>
              <w:bottom w:val="single" w:color="auto" w:sz="4" w:space="0"/>
              <w:right w:val="single" w:color="auto" w:sz="4" w:space="0"/>
            </w:tcBorders>
            <w:vAlign w:val="center"/>
          </w:tcPr>
          <w:p w14:paraId="52D3A30A">
            <w:pPr>
              <w:pStyle w:val="196"/>
            </w:pPr>
            <w:r>
              <w:rPr>
                <w:rFonts w:hint="eastAsia"/>
              </w:rPr>
              <w:t>/</w:t>
            </w:r>
          </w:p>
        </w:tc>
        <w:tc>
          <w:tcPr>
            <w:tcW w:w="875" w:type="pct"/>
            <w:tcBorders>
              <w:top w:val="single" w:color="auto" w:sz="4" w:space="0"/>
              <w:left w:val="nil"/>
              <w:bottom w:val="single" w:color="auto" w:sz="4" w:space="0"/>
              <w:right w:val="single" w:color="auto" w:sz="4" w:space="0"/>
            </w:tcBorders>
            <w:vAlign w:val="center"/>
          </w:tcPr>
          <w:p w14:paraId="1C22987E">
            <w:pPr>
              <w:pStyle w:val="196"/>
            </w:pPr>
            <w:r>
              <w:rPr>
                <w:rFonts w:hint="eastAsia"/>
              </w:rPr>
              <w:t>34.33</w:t>
            </w:r>
          </w:p>
        </w:tc>
        <w:tc>
          <w:tcPr>
            <w:tcW w:w="752" w:type="pct"/>
            <w:tcBorders>
              <w:top w:val="single" w:color="auto" w:sz="4" w:space="0"/>
              <w:left w:val="nil"/>
              <w:bottom w:val="single" w:color="auto" w:sz="4" w:space="0"/>
              <w:right w:val="single" w:color="auto" w:sz="4" w:space="0"/>
            </w:tcBorders>
            <w:vAlign w:val="center"/>
          </w:tcPr>
          <w:p w14:paraId="7640D5CA">
            <w:pPr>
              <w:pStyle w:val="196"/>
            </w:pPr>
            <w:r>
              <w:rPr>
                <w:rFonts w:hint="eastAsia"/>
              </w:rPr>
              <w:t>/</w:t>
            </w:r>
          </w:p>
        </w:tc>
        <w:tc>
          <w:tcPr>
            <w:tcW w:w="320" w:type="pct"/>
            <w:tcBorders>
              <w:top w:val="single" w:color="auto" w:sz="4" w:space="0"/>
              <w:left w:val="nil"/>
              <w:bottom w:val="single" w:color="auto" w:sz="4" w:space="0"/>
              <w:right w:val="single" w:color="auto" w:sz="4" w:space="0"/>
            </w:tcBorders>
            <w:vAlign w:val="center"/>
          </w:tcPr>
          <w:p w14:paraId="3056932E">
            <w:pPr>
              <w:pStyle w:val="196"/>
            </w:pPr>
            <w:r>
              <w:rPr>
                <w:rFonts w:hint="eastAsia"/>
              </w:rPr>
              <w:t>34.33</w:t>
            </w:r>
          </w:p>
        </w:tc>
        <w:tc>
          <w:tcPr>
            <w:tcW w:w="429" w:type="pct"/>
            <w:tcBorders>
              <w:top w:val="single" w:color="auto" w:sz="4" w:space="0"/>
              <w:left w:val="nil"/>
              <w:bottom w:val="single" w:color="auto" w:sz="4" w:space="0"/>
              <w:right w:val="single" w:color="auto" w:sz="4" w:space="0"/>
            </w:tcBorders>
            <w:vAlign w:val="center"/>
          </w:tcPr>
          <w:p w14:paraId="04591BAA">
            <w:pPr>
              <w:pStyle w:val="196"/>
            </w:pPr>
            <w:r>
              <w:rPr>
                <w:rFonts w:hint="eastAsia"/>
                <w:kern w:val="0"/>
              </w:rPr>
              <w:t>本项目位于国家级生态保护红线实验区的东北偏北侧约7.5km左右</w:t>
            </w:r>
          </w:p>
        </w:tc>
      </w:tr>
    </w:tbl>
    <w:p w14:paraId="79708803">
      <w:pPr>
        <w:adjustRightInd w:val="0"/>
        <w:snapToGrid w:val="0"/>
        <w:ind w:firstLine="480"/>
        <w:rPr>
          <w:rFonts w:cs="Times New Roman"/>
          <w:sz w:val="21"/>
        </w:rPr>
      </w:pPr>
      <w:r>
        <w:rPr>
          <w:rFonts w:hint="eastAsia"/>
        </w:rPr>
        <w:t xml:space="preserve"> </w:t>
      </w:r>
    </w:p>
    <w:p w14:paraId="3643CDAE">
      <w:pPr>
        <w:ind w:firstLine="643"/>
        <w:rPr>
          <w:b/>
          <w:bCs/>
          <w:sz w:val="32"/>
          <w:szCs w:val="32"/>
        </w:rPr>
        <w:sectPr>
          <w:pgSz w:w="16840" w:h="11907" w:orient="landscape"/>
          <w:pgMar w:top="1780" w:right="1440" w:bottom="1780" w:left="1440" w:header="1134" w:footer="992" w:gutter="0"/>
          <w:cols w:space="720" w:num="1"/>
          <w:docGrid w:type="lines" w:linePitch="312" w:charSpace="0"/>
        </w:sectPr>
      </w:pPr>
    </w:p>
    <w:p w14:paraId="5326E2D5">
      <w:pPr>
        <w:pStyle w:val="76"/>
      </w:pPr>
      <w:bookmarkStart w:id="89" w:name="_Toc182171807"/>
      <w:bookmarkStart w:id="90" w:name="_Hlk30449129"/>
      <w:r>
        <w:rPr>
          <w:rFonts w:hint="eastAsia"/>
        </w:rPr>
        <w:t>项目概况与工程分析</w:t>
      </w:r>
      <w:bookmarkEnd w:id="89"/>
    </w:p>
    <w:p w14:paraId="15D8D7A7">
      <w:pPr>
        <w:pStyle w:val="80"/>
      </w:pPr>
      <w:bookmarkStart w:id="91" w:name="_Toc182171808"/>
      <w:r>
        <w:rPr>
          <w:rFonts w:hint="eastAsia"/>
        </w:rPr>
        <w:t>国能涟水一期热电联产项目概况</w:t>
      </w:r>
      <w:bookmarkEnd w:id="91"/>
    </w:p>
    <w:p w14:paraId="3AD5E614">
      <w:pPr>
        <w:pStyle w:val="93"/>
      </w:pPr>
      <w:bookmarkStart w:id="92" w:name="_Hlk176768081"/>
      <w:r>
        <w:rPr>
          <w:rFonts w:hint="eastAsia"/>
        </w:rPr>
        <w:t>国能涟水一期热电联产项目环境影响报告书于2022年7月1日取得江苏省生态环境厅《省生态环境厅关于国能涟水一期热电联产项目环境影响报告书的批复》（苏环审〔2022〕43号）</w:t>
      </w:r>
      <w:r>
        <w:rPr>
          <w:rStyle w:val="140"/>
          <w:rFonts w:hint="eastAsia"/>
          <w:color w:val="auto"/>
        </w:rPr>
        <w:t>（以下简称“热电项目”）</w:t>
      </w:r>
      <w:r>
        <w:rPr>
          <w:rFonts w:hint="eastAsia"/>
        </w:rPr>
        <w:t>，</w:t>
      </w:r>
      <w:r>
        <w:rPr>
          <w:rFonts w:hint="eastAsia"/>
          <w:lang w:eastAsia="zh-CN"/>
        </w:rPr>
        <w:t>截至</w:t>
      </w:r>
      <w:r>
        <w:rPr>
          <w:rFonts w:hint="eastAsia"/>
        </w:rPr>
        <w:t>目前，热电项目尚未开工建设。本次根据已批复项目环评报告文件对国能涟水一期热电联产项目进行回顾。</w:t>
      </w:r>
    </w:p>
    <w:bookmarkEnd w:id="92"/>
    <w:p w14:paraId="3AE860E3">
      <w:pPr>
        <w:pStyle w:val="82"/>
      </w:pPr>
      <w:bookmarkStart w:id="93" w:name="_Hlk181742675"/>
      <w:r>
        <w:rPr>
          <w:rFonts w:hint="eastAsia"/>
        </w:rPr>
        <w:t>热电项目及与本项</w:t>
      </w:r>
      <w:r>
        <w:rPr>
          <w:rFonts w:hint="eastAsia"/>
          <w:lang w:eastAsia="zh-CN"/>
        </w:rPr>
        <w:t>目的</w:t>
      </w:r>
      <w:r>
        <w:rPr>
          <w:rFonts w:hint="eastAsia"/>
        </w:rPr>
        <w:t>关系</w:t>
      </w:r>
    </w:p>
    <w:bookmarkEnd w:id="93"/>
    <w:p w14:paraId="7FD9B336">
      <w:pPr>
        <w:pStyle w:val="93"/>
      </w:pPr>
      <w:bookmarkStart w:id="94" w:name="_Hlk181742783"/>
      <w:r>
        <w:rPr>
          <w:rFonts w:hint="eastAsia"/>
        </w:rPr>
        <w:t>热电项目拟建设2×20MW级抽背机组，配套3×165t/h循环流化床锅炉，配套建设脱硫脱硝除尘系统。锅炉总蒸发量折算至3台的设备年利用小时数为5500h，全厂年供热小时数为8000h。</w:t>
      </w:r>
    </w:p>
    <w:p w14:paraId="5DBD1B26">
      <w:pPr>
        <w:pStyle w:val="93"/>
        <w:rPr>
          <w:b/>
          <w:bCs/>
        </w:rPr>
      </w:pPr>
      <w:r>
        <w:rPr>
          <w:rFonts w:hint="eastAsia"/>
        </w:rPr>
        <w:t>项目主要建设内容及与本项目的关系见表3.1-1。</w:t>
      </w:r>
    </w:p>
    <w:bookmarkEnd w:id="94"/>
    <w:p w14:paraId="3AC75673">
      <w:pPr>
        <w:pStyle w:val="86"/>
      </w:pPr>
      <w:bookmarkStart w:id="95" w:name="_Hlk181742793"/>
      <w:r>
        <w:rPr>
          <w:rFonts w:hint="eastAsia"/>
        </w:rPr>
        <w:t>热电项目主要建设内容及与本项目关系一览表</w:t>
      </w:r>
    </w:p>
    <w:bookmarkEnd w:id="95"/>
    <w:tbl>
      <w:tblPr>
        <w:tblStyle w:val="38"/>
        <w:tblW w:w="58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1454"/>
        <w:gridCol w:w="5582"/>
        <w:gridCol w:w="2330"/>
      </w:tblGrid>
      <w:tr w14:paraId="7E7E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7" w:type="pct"/>
            <w:vAlign w:val="center"/>
          </w:tcPr>
          <w:p w14:paraId="0C4C44DC">
            <w:pPr>
              <w:pStyle w:val="196"/>
              <w:rPr>
                <w:b/>
                <w:bCs/>
              </w:rPr>
            </w:pPr>
            <w:bookmarkStart w:id="96" w:name="_Hlk181742821"/>
            <w:r>
              <w:rPr>
                <w:rFonts w:hint="eastAsia"/>
                <w:b/>
                <w:bCs/>
              </w:rPr>
              <w:t>类别</w:t>
            </w:r>
          </w:p>
        </w:tc>
        <w:tc>
          <w:tcPr>
            <w:tcW w:w="724" w:type="pct"/>
            <w:vAlign w:val="center"/>
          </w:tcPr>
          <w:p w14:paraId="64FA5F8C">
            <w:pPr>
              <w:pStyle w:val="196"/>
              <w:rPr>
                <w:b/>
                <w:bCs/>
              </w:rPr>
            </w:pPr>
            <w:r>
              <w:rPr>
                <w:rFonts w:hint="eastAsia"/>
                <w:b/>
                <w:bCs/>
              </w:rPr>
              <w:t>主要名称</w:t>
            </w:r>
          </w:p>
        </w:tc>
        <w:tc>
          <w:tcPr>
            <w:tcW w:w="2779" w:type="pct"/>
            <w:vAlign w:val="center"/>
          </w:tcPr>
          <w:p w14:paraId="74305D77">
            <w:pPr>
              <w:pStyle w:val="196"/>
              <w:rPr>
                <w:b/>
                <w:bCs/>
              </w:rPr>
            </w:pPr>
            <w:r>
              <w:rPr>
                <w:rFonts w:hint="eastAsia"/>
                <w:b/>
                <w:bCs/>
              </w:rPr>
              <w:t>主要内容</w:t>
            </w:r>
          </w:p>
        </w:tc>
        <w:tc>
          <w:tcPr>
            <w:tcW w:w="1160" w:type="pct"/>
            <w:vAlign w:val="center"/>
          </w:tcPr>
          <w:p w14:paraId="6E943875">
            <w:pPr>
              <w:pStyle w:val="196"/>
              <w:rPr>
                <w:b/>
                <w:bCs/>
              </w:rPr>
            </w:pPr>
            <w:r>
              <w:rPr>
                <w:rFonts w:hint="eastAsia"/>
                <w:b/>
                <w:bCs/>
              </w:rPr>
              <w:t>与本项目关系</w:t>
            </w:r>
          </w:p>
        </w:tc>
      </w:tr>
      <w:tr w14:paraId="3583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restart"/>
            <w:vAlign w:val="center"/>
          </w:tcPr>
          <w:p w14:paraId="59436912">
            <w:pPr>
              <w:pStyle w:val="196"/>
            </w:pPr>
            <w:r>
              <w:rPr>
                <w:rFonts w:hint="eastAsia"/>
              </w:rPr>
              <w:t>主体工程</w:t>
            </w:r>
          </w:p>
        </w:tc>
        <w:tc>
          <w:tcPr>
            <w:tcW w:w="724" w:type="pct"/>
            <w:vAlign w:val="center"/>
          </w:tcPr>
          <w:p w14:paraId="0A22C9A9">
            <w:pPr>
              <w:pStyle w:val="196"/>
            </w:pPr>
            <w:r>
              <w:rPr>
                <w:rFonts w:hint="eastAsia"/>
              </w:rPr>
              <w:t>锅炉</w:t>
            </w:r>
          </w:p>
        </w:tc>
        <w:tc>
          <w:tcPr>
            <w:tcW w:w="2779" w:type="pct"/>
            <w:vAlign w:val="center"/>
          </w:tcPr>
          <w:p w14:paraId="739EFE01">
            <w:pPr>
              <w:pStyle w:val="196"/>
            </w:pPr>
            <w:r>
              <w:rPr>
                <w:rFonts w:hint="eastAsia"/>
              </w:rPr>
              <w:t>3×165t/h高温高压循环流化床锅炉，型号：CG-165/11.0-MX</w:t>
            </w:r>
          </w:p>
        </w:tc>
        <w:tc>
          <w:tcPr>
            <w:tcW w:w="1160" w:type="pct"/>
            <w:vAlign w:val="center"/>
          </w:tcPr>
          <w:p w14:paraId="0222145E">
            <w:pPr>
              <w:pStyle w:val="196"/>
            </w:pPr>
            <w:r>
              <w:rPr>
                <w:rFonts w:hint="eastAsia"/>
              </w:rPr>
              <w:t>/</w:t>
            </w:r>
          </w:p>
        </w:tc>
      </w:tr>
      <w:tr w14:paraId="1649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0EF6FC45">
            <w:pPr>
              <w:pStyle w:val="196"/>
            </w:pPr>
          </w:p>
        </w:tc>
        <w:tc>
          <w:tcPr>
            <w:tcW w:w="724" w:type="pct"/>
            <w:vAlign w:val="center"/>
          </w:tcPr>
          <w:p w14:paraId="34389951">
            <w:pPr>
              <w:pStyle w:val="196"/>
            </w:pPr>
            <w:r>
              <w:rPr>
                <w:rFonts w:hint="eastAsia"/>
              </w:rPr>
              <w:t>汽轮机</w:t>
            </w:r>
          </w:p>
        </w:tc>
        <w:tc>
          <w:tcPr>
            <w:tcW w:w="2779" w:type="pct"/>
            <w:vAlign w:val="center"/>
          </w:tcPr>
          <w:p w14:paraId="7A5E7F61">
            <w:pPr>
              <w:pStyle w:val="196"/>
            </w:pPr>
            <w:r>
              <w:rPr>
                <w:rFonts w:hint="eastAsia"/>
              </w:rPr>
              <w:t>2×20MW级背压式汽轮机，型号：CB20-10.3/535/4/1.8</w:t>
            </w:r>
          </w:p>
        </w:tc>
        <w:tc>
          <w:tcPr>
            <w:tcW w:w="1160" w:type="pct"/>
            <w:vAlign w:val="center"/>
          </w:tcPr>
          <w:p w14:paraId="30A89460">
            <w:pPr>
              <w:pStyle w:val="196"/>
            </w:pPr>
            <w:r>
              <w:rPr>
                <w:rFonts w:hint="eastAsia"/>
              </w:rPr>
              <w:t>/</w:t>
            </w:r>
          </w:p>
        </w:tc>
      </w:tr>
      <w:tr w14:paraId="0A7A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237D5BF8">
            <w:pPr>
              <w:pStyle w:val="196"/>
            </w:pPr>
          </w:p>
        </w:tc>
        <w:tc>
          <w:tcPr>
            <w:tcW w:w="724" w:type="pct"/>
            <w:vAlign w:val="center"/>
          </w:tcPr>
          <w:p w14:paraId="1B3E0393">
            <w:pPr>
              <w:pStyle w:val="196"/>
            </w:pPr>
            <w:r>
              <w:rPr>
                <w:rFonts w:hint="eastAsia"/>
              </w:rPr>
              <w:t>发电机</w:t>
            </w:r>
          </w:p>
        </w:tc>
        <w:tc>
          <w:tcPr>
            <w:tcW w:w="2779" w:type="pct"/>
            <w:vAlign w:val="center"/>
          </w:tcPr>
          <w:p w14:paraId="351BE702">
            <w:pPr>
              <w:pStyle w:val="196"/>
            </w:pPr>
            <w:r>
              <w:rPr>
                <w:rFonts w:hint="eastAsia"/>
              </w:rPr>
              <w:t>2×20MW静态励磁发电机，型号：QF3(N)-20-2</w:t>
            </w:r>
          </w:p>
        </w:tc>
        <w:tc>
          <w:tcPr>
            <w:tcW w:w="1160" w:type="pct"/>
            <w:vAlign w:val="center"/>
          </w:tcPr>
          <w:p w14:paraId="1444C1C7">
            <w:pPr>
              <w:pStyle w:val="196"/>
            </w:pPr>
            <w:r>
              <w:rPr>
                <w:rFonts w:hint="eastAsia"/>
              </w:rPr>
              <w:t>/</w:t>
            </w:r>
          </w:p>
        </w:tc>
      </w:tr>
      <w:tr w14:paraId="7ED2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restart"/>
            <w:vAlign w:val="center"/>
          </w:tcPr>
          <w:p w14:paraId="080F18B4">
            <w:pPr>
              <w:pStyle w:val="196"/>
            </w:pPr>
            <w:r>
              <w:rPr>
                <w:rFonts w:hint="eastAsia"/>
              </w:rPr>
              <w:t>储运工程</w:t>
            </w:r>
          </w:p>
        </w:tc>
        <w:tc>
          <w:tcPr>
            <w:tcW w:w="724" w:type="pct"/>
            <w:vAlign w:val="center"/>
          </w:tcPr>
          <w:p w14:paraId="4633762D">
            <w:pPr>
              <w:pStyle w:val="196"/>
            </w:pPr>
            <w:r>
              <w:rPr>
                <w:rFonts w:hint="eastAsia"/>
              </w:rPr>
              <w:t>封闭煤场</w:t>
            </w:r>
          </w:p>
        </w:tc>
        <w:tc>
          <w:tcPr>
            <w:tcW w:w="2779" w:type="pct"/>
            <w:vAlign w:val="center"/>
          </w:tcPr>
          <w:p w14:paraId="3F496C72">
            <w:pPr>
              <w:pStyle w:val="196"/>
            </w:pPr>
            <w:r>
              <w:rPr>
                <w:rFonts w:hint="eastAsia"/>
              </w:rPr>
              <w:t>封闭式煤场，跨度约为80m，长度86m，堆高10m，可贮煤约2.36万吨</w:t>
            </w:r>
          </w:p>
        </w:tc>
        <w:tc>
          <w:tcPr>
            <w:tcW w:w="1160" w:type="pct"/>
            <w:vAlign w:val="center"/>
          </w:tcPr>
          <w:p w14:paraId="74CD717E">
            <w:pPr>
              <w:pStyle w:val="196"/>
            </w:pPr>
            <w:r>
              <w:rPr>
                <w:rFonts w:hint="eastAsia"/>
              </w:rPr>
              <w:t>利用该部分区域作为临时堆土场</w:t>
            </w:r>
          </w:p>
        </w:tc>
      </w:tr>
      <w:tr w14:paraId="16220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60D202C6">
            <w:pPr>
              <w:pStyle w:val="196"/>
            </w:pPr>
          </w:p>
        </w:tc>
        <w:tc>
          <w:tcPr>
            <w:tcW w:w="724" w:type="pct"/>
            <w:vAlign w:val="center"/>
          </w:tcPr>
          <w:p w14:paraId="73C15040">
            <w:pPr>
              <w:pStyle w:val="196"/>
            </w:pPr>
            <w:r>
              <w:rPr>
                <w:rFonts w:hint="eastAsia"/>
              </w:rPr>
              <w:t>上煤系统</w:t>
            </w:r>
          </w:p>
        </w:tc>
        <w:tc>
          <w:tcPr>
            <w:tcW w:w="2779" w:type="pct"/>
            <w:vAlign w:val="center"/>
          </w:tcPr>
          <w:p w14:paraId="5A309DC9">
            <w:pPr>
              <w:pStyle w:val="196"/>
            </w:pPr>
            <w:r>
              <w:rPr>
                <w:rFonts w:hint="eastAsia"/>
              </w:rPr>
              <w:t>2条运煤皮带B=650mm，带速1.0m/s，出力140t/h，内煤库至锅炉房采用密闭式管带机输送。</w:t>
            </w:r>
            <w:r>
              <w:rPr>
                <w:rFonts w:hint="eastAsia"/>
                <w:u w:val="single"/>
              </w:rPr>
              <w:t>包括3个转运站T</w:t>
            </w:r>
            <w:r>
              <w:rPr>
                <w:rFonts w:hint="eastAsia"/>
                <w:u w:val="single"/>
                <w:vertAlign w:val="subscript"/>
              </w:rPr>
              <w:t>0</w:t>
            </w:r>
            <w:r>
              <w:rPr>
                <w:rFonts w:hint="eastAsia"/>
                <w:u w:val="single"/>
              </w:rPr>
              <w:t>、T</w:t>
            </w:r>
            <w:r>
              <w:rPr>
                <w:rFonts w:hint="eastAsia"/>
                <w:u w:val="single"/>
                <w:vertAlign w:val="subscript"/>
              </w:rPr>
              <w:t>1</w:t>
            </w:r>
            <w:r>
              <w:rPr>
                <w:rFonts w:hint="eastAsia"/>
                <w:u w:val="single"/>
              </w:rPr>
              <w:t>、T</w:t>
            </w:r>
            <w:r>
              <w:rPr>
                <w:rFonts w:hint="eastAsia"/>
                <w:u w:val="single"/>
                <w:vertAlign w:val="subscript"/>
              </w:rPr>
              <w:t>2</w:t>
            </w:r>
          </w:p>
        </w:tc>
        <w:tc>
          <w:tcPr>
            <w:tcW w:w="1160" w:type="pct"/>
            <w:vAlign w:val="center"/>
          </w:tcPr>
          <w:p w14:paraId="6312B11E">
            <w:pPr>
              <w:pStyle w:val="196"/>
            </w:pPr>
            <w:r>
              <w:rPr>
                <w:rFonts w:hint="eastAsia"/>
              </w:rPr>
              <w:t>已评价</w:t>
            </w:r>
          </w:p>
        </w:tc>
      </w:tr>
      <w:tr w14:paraId="6DF22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7" w:type="pct"/>
            <w:vMerge w:val="continue"/>
            <w:vAlign w:val="center"/>
          </w:tcPr>
          <w:p w14:paraId="33BF0ECD">
            <w:pPr>
              <w:pStyle w:val="196"/>
            </w:pPr>
          </w:p>
        </w:tc>
        <w:tc>
          <w:tcPr>
            <w:tcW w:w="724" w:type="pct"/>
            <w:vAlign w:val="center"/>
          </w:tcPr>
          <w:p w14:paraId="43A78A7E">
            <w:pPr>
              <w:pStyle w:val="196"/>
            </w:pPr>
            <w:r>
              <w:rPr>
                <w:rFonts w:hint="eastAsia"/>
              </w:rPr>
              <w:t>码头</w:t>
            </w:r>
          </w:p>
        </w:tc>
        <w:tc>
          <w:tcPr>
            <w:tcW w:w="2779" w:type="pct"/>
            <w:vAlign w:val="center"/>
          </w:tcPr>
          <w:p w14:paraId="0D78CA36">
            <w:pPr>
              <w:pStyle w:val="196"/>
            </w:pPr>
            <w:bookmarkStart w:id="97" w:name="_Hlk160897157"/>
            <w:r>
              <w:rPr>
                <w:rFonts w:hint="eastAsia"/>
              </w:rPr>
              <w:t>设3个1000吨级散货泊位，分别为煤炭卸船泊位、煤炭清仓泊位和灰运出泊位</w:t>
            </w:r>
            <w:bookmarkEnd w:id="97"/>
            <w:r>
              <w:rPr>
                <w:rFonts w:hint="eastAsia"/>
              </w:rPr>
              <w:t>，泊位长度为230m，设计通过能力为153万吨。</w:t>
            </w:r>
            <w:r>
              <w:rPr>
                <w:rFonts w:hint="eastAsia"/>
                <w:u w:val="single"/>
              </w:rPr>
              <w:t>码头环评不在热电联产项目评价范围内</w:t>
            </w:r>
          </w:p>
        </w:tc>
        <w:tc>
          <w:tcPr>
            <w:tcW w:w="1160" w:type="pct"/>
            <w:vAlign w:val="center"/>
          </w:tcPr>
          <w:p w14:paraId="28DD3577">
            <w:pPr>
              <w:pStyle w:val="196"/>
            </w:pPr>
            <w:r>
              <w:rPr>
                <w:rFonts w:hint="eastAsia"/>
              </w:rPr>
              <w:t>本项目内容，有变动，</w:t>
            </w:r>
            <w:r>
              <w:rPr>
                <w:rFonts w:hint="eastAsia" w:ascii="宋体" w:hAnsi="宋体"/>
                <w:kern w:val="0"/>
                <w:szCs w:val="24"/>
              </w:rPr>
              <w:t>本工程拟建泊位为</w:t>
            </w:r>
            <w:r>
              <w:rPr>
                <w:rFonts w:hint="eastAsia"/>
                <w:szCs w:val="24"/>
              </w:rPr>
              <w:t>3</w:t>
            </w:r>
            <w:r>
              <w:rPr>
                <w:rFonts w:hint="eastAsia" w:ascii="宋体" w:hAnsi="宋体"/>
                <w:szCs w:val="24"/>
              </w:rPr>
              <w:t>个</w:t>
            </w:r>
            <w:r>
              <w:rPr>
                <w:rFonts w:hint="eastAsia"/>
                <w:szCs w:val="24"/>
              </w:rPr>
              <w:t>1000</w:t>
            </w:r>
            <w:r>
              <w:rPr>
                <w:rFonts w:hint="eastAsia" w:ascii="宋体" w:hAnsi="宋体"/>
                <w:szCs w:val="24"/>
              </w:rPr>
              <w:t>吨级泊位，其中</w:t>
            </w:r>
            <w:r>
              <w:rPr>
                <w:rFonts w:hint="eastAsia"/>
                <w:szCs w:val="24"/>
              </w:rPr>
              <w:t>2</w:t>
            </w:r>
            <w:r>
              <w:rPr>
                <w:rFonts w:hint="eastAsia" w:ascii="宋体" w:hAnsi="宋体"/>
                <w:szCs w:val="24"/>
              </w:rPr>
              <w:t>个煤炭散货泊位、</w:t>
            </w:r>
            <w:r>
              <w:rPr>
                <w:rFonts w:hint="eastAsia"/>
                <w:szCs w:val="24"/>
              </w:rPr>
              <w:t>1</w:t>
            </w:r>
            <w:r>
              <w:rPr>
                <w:rFonts w:hint="eastAsia" w:ascii="宋体" w:hAnsi="宋体"/>
                <w:szCs w:val="24"/>
              </w:rPr>
              <w:t>个待泊泊位，</w:t>
            </w:r>
            <w:r>
              <w:rPr>
                <w:rFonts w:hint="eastAsia"/>
              </w:rPr>
              <w:t>实际泊位共计</w:t>
            </w:r>
            <w:r>
              <w:rPr>
                <w:rFonts w:hint="eastAsia"/>
                <w:lang w:eastAsia="zh-CN"/>
              </w:rPr>
              <w:t>长度</w:t>
            </w:r>
            <w:r>
              <w:rPr>
                <w:rFonts w:hint="eastAsia"/>
              </w:rPr>
              <w:t>220m，岸线占用</w:t>
            </w:r>
            <w:r>
              <w:rPr>
                <w:rFonts w:hint="eastAsia" w:ascii="宋体" w:hAnsi="宋体"/>
                <w:szCs w:val="24"/>
              </w:rPr>
              <w:t>长度</w:t>
            </w:r>
            <w:r>
              <w:rPr>
                <w:rFonts w:hint="eastAsia"/>
                <w:szCs w:val="24"/>
              </w:rPr>
              <w:t>182m，</w:t>
            </w:r>
            <w:r>
              <w:rPr>
                <w:rFonts w:hint="eastAsia"/>
              </w:rPr>
              <w:t>无清仓泊位和灰运出泊位，设计通过能力为118万t</w:t>
            </w:r>
          </w:p>
        </w:tc>
      </w:tr>
      <w:tr w14:paraId="33D0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37" w:type="pct"/>
            <w:vMerge w:val="continue"/>
            <w:vAlign w:val="center"/>
          </w:tcPr>
          <w:p w14:paraId="7D3D5475">
            <w:pPr>
              <w:pStyle w:val="196"/>
            </w:pPr>
          </w:p>
        </w:tc>
        <w:tc>
          <w:tcPr>
            <w:tcW w:w="724" w:type="pct"/>
            <w:vAlign w:val="center"/>
          </w:tcPr>
          <w:p w14:paraId="34DE134D">
            <w:pPr>
              <w:pStyle w:val="196"/>
            </w:pPr>
            <w:r>
              <w:rPr>
                <w:rFonts w:hint="eastAsia"/>
              </w:rPr>
              <w:t>柴油储罐</w:t>
            </w:r>
          </w:p>
        </w:tc>
        <w:tc>
          <w:tcPr>
            <w:tcW w:w="2779" w:type="pct"/>
            <w:vAlign w:val="center"/>
          </w:tcPr>
          <w:p w14:paraId="4697421F">
            <w:pPr>
              <w:pStyle w:val="196"/>
            </w:pPr>
            <w:r>
              <w:rPr>
                <w:rFonts w:hint="eastAsia"/>
              </w:rPr>
              <w:t>1座，每座容量为50m</w:t>
            </w:r>
            <w:r>
              <w:rPr>
                <w:rFonts w:hint="eastAsia"/>
                <w:vertAlign w:val="superscript"/>
              </w:rPr>
              <w:t>3</w:t>
            </w:r>
          </w:p>
        </w:tc>
        <w:tc>
          <w:tcPr>
            <w:tcW w:w="1160" w:type="pct"/>
            <w:vAlign w:val="center"/>
          </w:tcPr>
          <w:p w14:paraId="6ECBD016">
            <w:pPr>
              <w:pStyle w:val="196"/>
            </w:pPr>
            <w:r>
              <w:rPr>
                <w:rFonts w:hint="eastAsia"/>
              </w:rPr>
              <w:t>/</w:t>
            </w:r>
          </w:p>
        </w:tc>
      </w:tr>
      <w:tr w14:paraId="0955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restart"/>
            <w:vAlign w:val="center"/>
          </w:tcPr>
          <w:p w14:paraId="5E21DEDE">
            <w:pPr>
              <w:pStyle w:val="196"/>
            </w:pPr>
            <w:r>
              <w:rPr>
                <w:rFonts w:hint="eastAsia"/>
              </w:rPr>
              <w:t>公用工程</w:t>
            </w:r>
          </w:p>
        </w:tc>
        <w:tc>
          <w:tcPr>
            <w:tcW w:w="724" w:type="pct"/>
            <w:vAlign w:val="center"/>
          </w:tcPr>
          <w:p w14:paraId="546FDA24">
            <w:pPr>
              <w:pStyle w:val="196"/>
            </w:pPr>
            <w:r>
              <w:rPr>
                <w:rFonts w:hint="eastAsia"/>
              </w:rPr>
              <w:t>除灰渣系统</w:t>
            </w:r>
          </w:p>
        </w:tc>
        <w:tc>
          <w:tcPr>
            <w:tcW w:w="2779" w:type="pct"/>
            <w:vAlign w:val="center"/>
          </w:tcPr>
          <w:p w14:paraId="62107BB4">
            <w:pPr>
              <w:pStyle w:val="196"/>
            </w:pPr>
            <w:r>
              <w:rPr>
                <w:rFonts w:hint="eastAsia"/>
              </w:rPr>
              <w:t>每台炉设有2个冷渣器，通过链斗式输送机和斗式提升机输送到渣仓储存。链斗输送机和斗式提升机的出力均为4t/h。</w:t>
            </w:r>
          </w:p>
          <w:p w14:paraId="2D66A66C">
            <w:pPr>
              <w:pStyle w:val="196"/>
            </w:pPr>
            <w:r>
              <w:rPr>
                <w:rFonts w:hint="eastAsia"/>
              </w:rPr>
              <w:t>每台炉设一个渣仓，容积约为30m</w:t>
            </w:r>
            <w:r>
              <w:rPr>
                <w:rFonts w:hint="eastAsia"/>
                <w:vertAlign w:val="superscript"/>
              </w:rPr>
              <w:t>3</w:t>
            </w:r>
            <w:r>
              <w:rPr>
                <w:rFonts w:hint="eastAsia"/>
              </w:rPr>
              <w:t>，可储存一台165t/h机组在MCR工况燃用设计煤种时，24小时的渣量。</w:t>
            </w:r>
          </w:p>
          <w:p w14:paraId="560B44A4">
            <w:pPr>
              <w:pStyle w:val="196"/>
            </w:pPr>
            <w:r>
              <w:rPr>
                <w:rFonts w:hint="eastAsia"/>
              </w:rPr>
              <w:t>厂内除灰系统拟采用正压气力输送方式。3台炉设置2座灰库，1座粗灰库，1座细灰库。2座灰库容积相同，为1500m</w:t>
            </w:r>
            <w:r>
              <w:rPr>
                <w:rFonts w:hint="eastAsia"/>
                <w:vertAlign w:val="superscript"/>
              </w:rPr>
              <w:t>3</w:t>
            </w:r>
            <w:r>
              <w:rPr>
                <w:rFonts w:hint="eastAsia"/>
              </w:rPr>
              <w:t>。灰、渣库内的灰渣定期由协作单位用密封罐车外运综合利用。</w:t>
            </w:r>
          </w:p>
        </w:tc>
        <w:tc>
          <w:tcPr>
            <w:tcW w:w="1160" w:type="pct"/>
            <w:vAlign w:val="center"/>
          </w:tcPr>
          <w:p w14:paraId="0048EE3A">
            <w:pPr>
              <w:pStyle w:val="196"/>
            </w:pPr>
            <w:r>
              <w:rPr>
                <w:rFonts w:hint="eastAsia"/>
              </w:rPr>
              <w:t>/</w:t>
            </w:r>
          </w:p>
        </w:tc>
      </w:tr>
      <w:tr w14:paraId="4973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228830B1">
            <w:pPr>
              <w:pStyle w:val="196"/>
            </w:pPr>
          </w:p>
        </w:tc>
        <w:tc>
          <w:tcPr>
            <w:tcW w:w="724" w:type="pct"/>
            <w:vAlign w:val="center"/>
          </w:tcPr>
          <w:p w14:paraId="5DC0B517">
            <w:pPr>
              <w:pStyle w:val="196"/>
            </w:pPr>
            <w:r>
              <w:rPr>
                <w:rFonts w:hint="eastAsia"/>
              </w:rPr>
              <w:t>化学系统</w:t>
            </w:r>
          </w:p>
        </w:tc>
        <w:tc>
          <w:tcPr>
            <w:tcW w:w="2779" w:type="pct"/>
            <w:vAlign w:val="center"/>
          </w:tcPr>
          <w:p w14:paraId="44F01570">
            <w:pPr>
              <w:pStyle w:val="196"/>
            </w:pPr>
            <w:r>
              <w:rPr>
                <w:rFonts w:hint="eastAsia"/>
              </w:rPr>
              <w:t>除盐水制备系统出力设计为3×120m</w:t>
            </w:r>
            <w:r>
              <w:rPr>
                <w:rFonts w:hint="eastAsia"/>
                <w:vertAlign w:val="superscript"/>
              </w:rPr>
              <w:t>3</w:t>
            </w:r>
            <w:r>
              <w:rPr>
                <w:rFonts w:hint="eastAsia"/>
              </w:rPr>
              <w:t>/h。</w:t>
            </w:r>
          </w:p>
        </w:tc>
        <w:tc>
          <w:tcPr>
            <w:tcW w:w="1160" w:type="pct"/>
            <w:vAlign w:val="center"/>
          </w:tcPr>
          <w:p w14:paraId="3ED53FC5">
            <w:pPr>
              <w:pStyle w:val="196"/>
            </w:pPr>
            <w:r>
              <w:rPr>
                <w:rFonts w:hint="eastAsia"/>
              </w:rPr>
              <w:t>/</w:t>
            </w:r>
          </w:p>
        </w:tc>
      </w:tr>
      <w:tr w14:paraId="07E1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649C531A">
            <w:pPr>
              <w:pStyle w:val="196"/>
            </w:pPr>
          </w:p>
        </w:tc>
        <w:tc>
          <w:tcPr>
            <w:tcW w:w="724" w:type="pct"/>
            <w:vAlign w:val="center"/>
          </w:tcPr>
          <w:p w14:paraId="5C2D03E1">
            <w:pPr>
              <w:pStyle w:val="196"/>
            </w:pPr>
            <w:r>
              <w:rPr>
                <w:rFonts w:hint="eastAsia"/>
              </w:rPr>
              <w:t>供水系统</w:t>
            </w:r>
          </w:p>
        </w:tc>
        <w:tc>
          <w:tcPr>
            <w:tcW w:w="2779" w:type="pct"/>
            <w:vAlign w:val="center"/>
          </w:tcPr>
          <w:p w14:paraId="45FABD1C">
            <w:pPr>
              <w:pStyle w:val="196"/>
            </w:pPr>
            <w:r>
              <w:rPr>
                <w:rFonts w:hint="eastAsia"/>
              </w:rPr>
              <w:t>机组冷却水水源：盐河河水。生活水采用市政自来水；工业水、消防水采用经净水站处理后的盐河河水。电厂本期平均需水量约为305.61m</w:t>
            </w:r>
            <w:r>
              <w:rPr>
                <w:rFonts w:hint="eastAsia"/>
                <w:vertAlign w:val="superscript"/>
              </w:rPr>
              <w:t>3</w:t>
            </w:r>
            <w:r>
              <w:rPr>
                <w:rFonts w:hint="eastAsia"/>
              </w:rPr>
              <w:t>/h，其中含7.3m</w:t>
            </w:r>
            <w:r>
              <w:rPr>
                <w:rFonts w:hint="eastAsia"/>
                <w:vertAlign w:val="superscript"/>
              </w:rPr>
              <w:t>3</w:t>
            </w:r>
            <w:r>
              <w:rPr>
                <w:rFonts w:hint="eastAsia"/>
              </w:rPr>
              <w:t>/h生活用水。</w:t>
            </w:r>
          </w:p>
          <w:p w14:paraId="3F35A401">
            <w:pPr>
              <w:pStyle w:val="196"/>
            </w:pPr>
            <w:r>
              <w:rPr>
                <w:rFonts w:hint="eastAsia"/>
              </w:rPr>
              <w:t>补给水泵房布置于厂址前沿盐河码头南侧，设于厂址内。本期原水预处理区内设3座220m</w:t>
            </w:r>
            <w:r>
              <w:rPr>
                <w:rFonts w:hint="eastAsia"/>
                <w:vertAlign w:val="superscript"/>
              </w:rPr>
              <w:t>3</w:t>
            </w:r>
            <w:r>
              <w:rPr>
                <w:rFonts w:hint="eastAsia"/>
              </w:rPr>
              <w:t>/h原水反应沉淀池；3座220m</w:t>
            </w:r>
            <w:r>
              <w:rPr>
                <w:rFonts w:hint="eastAsia"/>
                <w:vertAlign w:val="superscript"/>
              </w:rPr>
              <w:t>3</w:t>
            </w:r>
            <w:r>
              <w:rPr>
                <w:rFonts w:hint="eastAsia"/>
              </w:rPr>
              <w:t>/h空气擦洗滤池；1座500m</w:t>
            </w:r>
            <w:r>
              <w:rPr>
                <w:rFonts w:hint="eastAsia"/>
                <w:vertAlign w:val="superscript"/>
              </w:rPr>
              <w:t>3</w:t>
            </w:r>
            <w:r>
              <w:rPr>
                <w:rFonts w:hint="eastAsia"/>
              </w:rPr>
              <w:t>化学水池；1座500m</w:t>
            </w:r>
            <w:r>
              <w:rPr>
                <w:rFonts w:hint="eastAsia"/>
                <w:vertAlign w:val="superscript"/>
              </w:rPr>
              <w:t>3</w:t>
            </w:r>
            <w:r>
              <w:rPr>
                <w:rFonts w:hint="eastAsia"/>
              </w:rPr>
              <w:t>化学工业水池（中间隔墙</w:t>
            </w:r>
            <w:r>
              <w:rPr>
                <w:rFonts w:hint="eastAsia"/>
                <w:lang w:eastAsia="zh-CN"/>
              </w:rPr>
              <w:t>分隔</w:t>
            </w:r>
            <w:r>
              <w:rPr>
                <w:rFonts w:hint="eastAsia"/>
              </w:rPr>
              <w:t>，其中化学水250m</w:t>
            </w:r>
            <w:r>
              <w:rPr>
                <w:rFonts w:hint="eastAsia"/>
                <w:vertAlign w:val="superscript"/>
              </w:rPr>
              <w:t>3</w:t>
            </w:r>
            <w:r>
              <w:rPr>
                <w:rFonts w:hint="eastAsia"/>
              </w:rPr>
              <w:t>，工业水250m</w:t>
            </w:r>
            <w:r>
              <w:rPr>
                <w:rFonts w:hint="eastAsia"/>
                <w:vertAlign w:val="superscript"/>
              </w:rPr>
              <w:t>3</w:t>
            </w:r>
            <w:r>
              <w:rPr>
                <w:rFonts w:hint="eastAsia"/>
              </w:rPr>
              <w:t>）；加药间1座；1座排水池；1座排泥池。工程需于厂区南侧新建取水泵站至取水口取水管线约60m</w:t>
            </w:r>
          </w:p>
        </w:tc>
        <w:tc>
          <w:tcPr>
            <w:tcW w:w="1160" w:type="pct"/>
            <w:vAlign w:val="center"/>
          </w:tcPr>
          <w:p w14:paraId="0960E762">
            <w:pPr>
              <w:pStyle w:val="196"/>
            </w:pPr>
            <w:r>
              <w:rPr>
                <w:rFonts w:hint="eastAsia"/>
              </w:rPr>
              <w:t>本项目依托</w:t>
            </w:r>
          </w:p>
        </w:tc>
      </w:tr>
      <w:tr w14:paraId="6B62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716FFE0C">
            <w:pPr>
              <w:pStyle w:val="196"/>
            </w:pPr>
          </w:p>
        </w:tc>
        <w:tc>
          <w:tcPr>
            <w:tcW w:w="724" w:type="pct"/>
            <w:vAlign w:val="center"/>
          </w:tcPr>
          <w:p w14:paraId="7071FEA1">
            <w:pPr>
              <w:pStyle w:val="196"/>
            </w:pPr>
            <w:r>
              <w:rPr>
                <w:rFonts w:hint="eastAsia"/>
              </w:rPr>
              <w:t>辅机冷却水系统</w:t>
            </w:r>
          </w:p>
        </w:tc>
        <w:tc>
          <w:tcPr>
            <w:tcW w:w="2779" w:type="pct"/>
            <w:vAlign w:val="center"/>
          </w:tcPr>
          <w:p w14:paraId="60425275">
            <w:pPr>
              <w:pStyle w:val="196"/>
            </w:pPr>
            <w:r>
              <w:rPr>
                <w:rFonts w:hint="eastAsia"/>
              </w:rPr>
              <w:t>项目开式循环冷却水约1200m</w:t>
            </w:r>
            <w:r>
              <w:rPr>
                <w:rFonts w:hint="eastAsia"/>
                <w:vertAlign w:val="superscript"/>
              </w:rPr>
              <w:t>3</w:t>
            </w:r>
            <w:r>
              <w:rPr>
                <w:rFonts w:hint="eastAsia"/>
              </w:rPr>
              <w:t>/h，共设3台机械通风冷却塔和3台冷却水泵。冷却后的循环水经冷却水泵将水送至主厂房开式循环冷却水系统，升温后返回</w:t>
            </w:r>
            <w:r>
              <w:rPr>
                <w:rFonts w:hint="eastAsia"/>
                <w:lang w:eastAsia="zh-CN"/>
              </w:rPr>
              <w:t>加力</w:t>
            </w:r>
            <w:r>
              <w:rPr>
                <w:rFonts w:hint="eastAsia"/>
              </w:rPr>
              <w:t>通风冷却塔进行冷却，形成循环</w:t>
            </w:r>
          </w:p>
        </w:tc>
        <w:tc>
          <w:tcPr>
            <w:tcW w:w="1160" w:type="pct"/>
            <w:vAlign w:val="center"/>
          </w:tcPr>
          <w:p w14:paraId="487722DB">
            <w:pPr>
              <w:pStyle w:val="196"/>
            </w:pPr>
            <w:r>
              <w:rPr>
                <w:rFonts w:hint="eastAsia"/>
              </w:rPr>
              <w:t>/</w:t>
            </w:r>
          </w:p>
        </w:tc>
      </w:tr>
      <w:tr w14:paraId="643D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34960C3D">
            <w:pPr>
              <w:pStyle w:val="196"/>
            </w:pPr>
          </w:p>
        </w:tc>
        <w:tc>
          <w:tcPr>
            <w:tcW w:w="724" w:type="pct"/>
            <w:vAlign w:val="center"/>
          </w:tcPr>
          <w:p w14:paraId="7B605833">
            <w:pPr>
              <w:pStyle w:val="196"/>
            </w:pPr>
            <w:r>
              <w:rPr>
                <w:rFonts w:hint="eastAsia"/>
              </w:rPr>
              <w:t>排水系统</w:t>
            </w:r>
          </w:p>
        </w:tc>
        <w:tc>
          <w:tcPr>
            <w:tcW w:w="2779" w:type="pct"/>
            <w:vAlign w:val="center"/>
          </w:tcPr>
          <w:p w14:paraId="265349A6">
            <w:pPr>
              <w:pStyle w:val="196"/>
            </w:pPr>
            <w:r>
              <w:rPr>
                <w:rFonts w:hint="eastAsia"/>
              </w:rPr>
              <w:t>项目不设污水排放口。生产废水主要包括脱硫废水、含煤废水、锅炉补给水处理系统排水、循环冷却水排污水等，其中脱硫废水采用中和（碱化）、沉降、絮凝处理后，通过旋转喷雾干燥技术实现零排放；含煤废水经煤水处理设施处理后，回用于输煤系统冲洗和煤场喷淋；化学水处理系统产生的反渗透浓水和循环冷却水排污水全部排至回用水池，用于脱硫工艺用水补水，煤场冲洗、喷淋用水补水及全厂服</w:t>
            </w:r>
            <w:r>
              <w:rPr>
                <w:rFonts w:hint="eastAsia"/>
                <w:lang w:eastAsia="zh-CN"/>
              </w:rPr>
              <w:t>务用</w:t>
            </w:r>
            <w:r>
              <w:rPr>
                <w:rFonts w:hint="eastAsia"/>
              </w:rPr>
              <w:t>水；锅炉清洗排水4年</w:t>
            </w:r>
            <w:r>
              <w:rPr>
                <w:rFonts w:hint="eastAsia"/>
                <w:lang w:eastAsia="zh-CN"/>
              </w:rPr>
              <w:t>生产</w:t>
            </w:r>
            <w:r>
              <w:rPr>
                <w:rFonts w:hint="eastAsia"/>
              </w:rPr>
              <w:t>一次，电厂委托专业锅炉清洗公司负责将完成清洗后的废水用密闭罐车外运至具有处理资质的公司处置。项目设雨水泵房一座，位于厂区东北侧，紧邻盐河。雨水泵房内设3台雨水泵（2大1小），并预留1台小雨水泵位置。厂区范围的雨水排水将自成体系独立排放。雨水管网在厂区呈枝状布置，采用钢筋混凝土排水管。厂区雨水经雨水泵提升，送至雨水泵房后排水井，并通过自流排入电厂东侧盐河。设初期雨水池，容积约1500m</w:t>
            </w:r>
            <w:r>
              <w:rPr>
                <w:rFonts w:hint="eastAsia"/>
                <w:vertAlign w:val="superscript"/>
              </w:rPr>
              <w:t>3</w:t>
            </w:r>
            <w:r>
              <w:rPr>
                <w:rFonts w:hint="eastAsia"/>
              </w:rPr>
              <w:t>。初期雨水过滤装置处理能力50t/h</w:t>
            </w:r>
          </w:p>
        </w:tc>
        <w:tc>
          <w:tcPr>
            <w:tcW w:w="1160" w:type="pct"/>
            <w:vAlign w:val="center"/>
          </w:tcPr>
          <w:p w14:paraId="79D2CA8F">
            <w:pPr>
              <w:pStyle w:val="196"/>
            </w:pPr>
            <w:r>
              <w:rPr>
                <w:rFonts w:hint="eastAsia"/>
              </w:rPr>
              <w:t>本项目依托</w:t>
            </w:r>
          </w:p>
        </w:tc>
      </w:tr>
      <w:tr w14:paraId="3BF1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1BAC6BA0">
            <w:pPr>
              <w:pStyle w:val="196"/>
            </w:pPr>
          </w:p>
        </w:tc>
        <w:tc>
          <w:tcPr>
            <w:tcW w:w="724" w:type="pct"/>
            <w:vAlign w:val="center"/>
          </w:tcPr>
          <w:p w14:paraId="40A9A1A8">
            <w:pPr>
              <w:pStyle w:val="196"/>
            </w:pPr>
            <w:r>
              <w:rPr>
                <w:rFonts w:hint="eastAsia"/>
              </w:rPr>
              <w:t>升压站及出线</w:t>
            </w:r>
          </w:p>
        </w:tc>
        <w:tc>
          <w:tcPr>
            <w:tcW w:w="2779" w:type="pct"/>
            <w:vAlign w:val="center"/>
          </w:tcPr>
          <w:p w14:paraId="46AB7D47">
            <w:pPr>
              <w:pStyle w:val="196"/>
            </w:pPr>
            <w:r>
              <w:rPr>
                <w:rFonts w:hint="eastAsia"/>
              </w:rPr>
              <w:t>升压站接线方案：110kV单母线接线，配套建设2回进线（#1主变、#2主变），2回出线。（由建设单位另行委托，不在热电联产项目评价范围内）</w:t>
            </w:r>
          </w:p>
        </w:tc>
        <w:tc>
          <w:tcPr>
            <w:tcW w:w="1160" w:type="pct"/>
            <w:vAlign w:val="center"/>
          </w:tcPr>
          <w:p w14:paraId="0EAAD892">
            <w:pPr>
              <w:pStyle w:val="196"/>
            </w:pPr>
            <w:r>
              <w:rPr>
                <w:rFonts w:hint="eastAsia"/>
              </w:rPr>
              <w:t>本项目依托</w:t>
            </w:r>
          </w:p>
        </w:tc>
      </w:tr>
      <w:tr w14:paraId="1C67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restart"/>
            <w:vAlign w:val="center"/>
          </w:tcPr>
          <w:p w14:paraId="49075396">
            <w:pPr>
              <w:pStyle w:val="196"/>
            </w:pPr>
            <w:r>
              <w:rPr>
                <w:rFonts w:hint="eastAsia"/>
              </w:rPr>
              <w:t>环保工程</w:t>
            </w:r>
          </w:p>
        </w:tc>
        <w:tc>
          <w:tcPr>
            <w:tcW w:w="724" w:type="pct"/>
            <w:vAlign w:val="center"/>
          </w:tcPr>
          <w:p w14:paraId="391E751D">
            <w:pPr>
              <w:pStyle w:val="196"/>
            </w:pPr>
            <w:r>
              <w:rPr>
                <w:rFonts w:hint="eastAsia"/>
              </w:rPr>
              <w:t>脱硝设施</w:t>
            </w:r>
          </w:p>
        </w:tc>
        <w:tc>
          <w:tcPr>
            <w:tcW w:w="2779" w:type="pct"/>
            <w:vAlign w:val="center"/>
          </w:tcPr>
          <w:p w14:paraId="607FA848">
            <w:pPr>
              <w:pStyle w:val="196"/>
            </w:pPr>
            <w:r>
              <w:rPr>
                <w:rFonts w:hint="eastAsia"/>
              </w:rPr>
              <w:t>每台燃煤锅炉配1套处理设施，采用SCR-SNCR联合脱硝，尿素为脱硝剂，脱硝效率不低于80%</w:t>
            </w:r>
          </w:p>
        </w:tc>
        <w:tc>
          <w:tcPr>
            <w:tcW w:w="1160" w:type="pct"/>
            <w:vAlign w:val="center"/>
          </w:tcPr>
          <w:p w14:paraId="673E0A5F">
            <w:pPr>
              <w:pStyle w:val="196"/>
            </w:pPr>
            <w:r>
              <w:rPr>
                <w:rFonts w:hint="eastAsia"/>
              </w:rPr>
              <w:t>/</w:t>
            </w:r>
          </w:p>
        </w:tc>
      </w:tr>
      <w:tr w14:paraId="6B70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55710B6E">
            <w:pPr>
              <w:pStyle w:val="196"/>
            </w:pPr>
          </w:p>
        </w:tc>
        <w:tc>
          <w:tcPr>
            <w:tcW w:w="724" w:type="pct"/>
            <w:vAlign w:val="center"/>
          </w:tcPr>
          <w:p w14:paraId="6CD05E77">
            <w:pPr>
              <w:pStyle w:val="196"/>
            </w:pPr>
            <w:r>
              <w:rPr>
                <w:rFonts w:hint="eastAsia"/>
              </w:rPr>
              <w:t>除尘设施</w:t>
            </w:r>
          </w:p>
        </w:tc>
        <w:tc>
          <w:tcPr>
            <w:tcW w:w="2779" w:type="pct"/>
            <w:vAlign w:val="center"/>
          </w:tcPr>
          <w:p w14:paraId="10C4DD77">
            <w:pPr>
              <w:pStyle w:val="196"/>
            </w:pPr>
            <w:r>
              <w:rPr>
                <w:rFonts w:hint="eastAsia"/>
              </w:rPr>
              <w:t>每台燃煤锅炉配1套高效布袋除尘器，综合除尘效率不低于99.975%</w:t>
            </w:r>
          </w:p>
        </w:tc>
        <w:tc>
          <w:tcPr>
            <w:tcW w:w="1160" w:type="pct"/>
            <w:vAlign w:val="center"/>
          </w:tcPr>
          <w:p w14:paraId="4FFEDBD1">
            <w:pPr>
              <w:pStyle w:val="196"/>
            </w:pPr>
            <w:r>
              <w:rPr>
                <w:rFonts w:hint="eastAsia"/>
              </w:rPr>
              <w:t>/</w:t>
            </w:r>
          </w:p>
        </w:tc>
      </w:tr>
      <w:tr w14:paraId="6435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62ED55A1">
            <w:pPr>
              <w:pStyle w:val="196"/>
            </w:pPr>
          </w:p>
        </w:tc>
        <w:tc>
          <w:tcPr>
            <w:tcW w:w="724" w:type="pct"/>
            <w:vAlign w:val="center"/>
          </w:tcPr>
          <w:p w14:paraId="45FAF5B4">
            <w:pPr>
              <w:pStyle w:val="196"/>
            </w:pPr>
            <w:r>
              <w:rPr>
                <w:rFonts w:hint="eastAsia"/>
              </w:rPr>
              <w:t>脱硫设施</w:t>
            </w:r>
          </w:p>
        </w:tc>
        <w:tc>
          <w:tcPr>
            <w:tcW w:w="2779" w:type="pct"/>
            <w:vAlign w:val="center"/>
          </w:tcPr>
          <w:p w14:paraId="47B0C9AA">
            <w:pPr>
              <w:pStyle w:val="196"/>
            </w:pPr>
            <w:r>
              <w:rPr>
                <w:rFonts w:hint="eastAsia"/>
              </w:rPr>
              <w:t>每台燃煤锅炉配1套处理设施，采用石灰石-石膏法脱硫，脱硫效率不小于98.4%</w:t>
            </w:r>
          </w:p>
        </w:tc>
        <w:tc>
          <w:tcPr>
            <w:tcW w:w="1160" w:type="pct"/>
            <w:vAlign w:val="center"/>
          </w:tcPr>
          <w:p w14:paraId="68183811">
            <w:pPr>
              <w:pStyle w:val="196"/>
            </w:pPr>
            <w:r>
              <w:rPr>
                <w:rFonts w:hint="eastAsia"/>
              </w:rPr>
              <w:t>/</w:t>
            </w:r>
          </w:p>
        </w:tc>
      </w:tr>
      <w:tr w14:paraId="72B5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6E976B9D">
            <w:pPr>
              <w:pStyle w:val="196"/>
            </w:pPr>
          </w:p>
        </w:tc>
        <w:tc>
          <w:tcPr>
            <w:tcW w:w="724" w:type="pct"/>
            <w:vAlign w:val="center"/>
          </w:tcPr>
          <w:p w14:paraId="42084C2A">
            <w:pPr>
              <w:pStyle w:val="196"/>
            </w:pPr>
            <w:r>
              <w:rPr>
                <w:rFonts w:hint="eastAsia"/>
              </w:rPr>
              <w:t>烟囱</w:t>
            </w:r>
          </w:p>
        </w:tc>
        <w:tc>
          <w:tcPr>
            <w:tcW w:w="2779" w:type="pct"/>
            <w:vAlign w:val="center"/>
          </w:tcPr>
          <w:p w14:paraId="535EB0E9">
            <w:pPr>
              <w:pStyle w:val="196"/>
            </w:pPr>
            <w:r>
              <w:rPr>
                <w:rFonts w:hint="eastAsia"/>
              </w:rPr>
              <w:t>每台燃煤锅炉烟气经高度为80m、出口内径为2m的烟囱排入大气</w:t>
            </w:r>
          </w:p>
        </w:tc>
        <w:tc>
          <w:tcPr>
            <w:tcW w:w="1160" w:type="pct"/>
            <w:vAlign w:val="center"/>
          </w:tcPr>
          <w:p w14:paraId="1FA3946B">
            <w:pPr>
              <w:pStyle w:val="196"/>
            </w:pPr>
            <w:r>
              <w:rPr>
                <w:rFonts w:hint="eastAsia"/>
              </w:rPr>
              <w:t>/</w:t>
            </w:r>
          </w:p>
        </w:tc>
      </w:tr>
      <w:tr w14:paraId="11DF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4307461F">
            <w:pPr>
              <w:pStyle w:val="196"/>
            </w:pPr>
          </w:p>
        </w:tc>
        <w:tc>
          <w:tcPr>
            <w:tcW w:w="724" w:type="pct"/>
            <w:vAlign w:val="center"/>
          </w:tcPr>
          <w:p w14:paraId="0919DD5F">
            <w:pPr>
              <w:pStyle w:val="196"/>
            </w:pPr>
            <w:r>
              <w:rPr>
                <w:rFonts w:hint="eastAsia"/>
              </w:rPr>
              <w:t>生活污水</w:t>
            </w:r>
          </w:p>
        </w:tc>
        <w:tc>
          <w:tcPr>
            <w:tcW w:w="2779" w:type="pct"/>
            <w:vAlign w:val="center"/>
          </w:tcPr>
          <w:p w14:paraId="404E2B47">
            <w:pPr>
              <w:pStyle w:val="196"/>
            </w:pPr>
            <w:r>
              <w:rPr>
                <w:rFonts w:hint="eastAsia"/>
              </w:rPr>
              <w:t>经化粪池处理后接管排入生活污水处理站，经处理后回用于厂区绿化</w:t>
            </w:r>
          </w:p>
        </w:tc>
        <w:tc>
          <w:tcPr>
            <w:tcW w:w="1160" w:type="pct"/>
            <w:vAlign w:val="center"/>
          </w:tcPr>
          <w:p w14:paraId="40F49EB1">
            <w:pPr>
              <w:pStyle w:val="196"/>
            </w:pPr>
            <w:r>
              <w:rPr>
                <w:rFonts w:hint="eastAsia"/>
              </w:rPr>
              <w:t>本项目依托</w:t>
            </w:r>
          </w:p>
        </w:tc>
      </w:tr>
      <w:tr w14:paraId="0F7C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37" w:type="pct"/>
            <w:vMerge w:val="continue"/>
            <w:vAlign w:val="center"/>
          </w:tcPr>
          <w:p w14:paraId="34BF6287">
            <w:pPr>
              <w:pStyle w:val="196"/>
            </w:pPr>
          </w:p>
        </w:tc>
        <w:tc>
          <w:tcPr>
            <w:tcW w:w="724" w:type="pct"/>
            <w:vAlign w:val="center"/>
          </w:tcPr>
          <w:p w14:paraId="2D33AB70">
            <w:pPr>
              <w:pStyle w:val="196"/>
            </w:pPr>
            <w:r>
              <w:rPr>
                <w:rFonts w:hint="eastAsia"/>
              </w:rPr>
              <w:t>脱硫废水</w:t>
            </w:r>
          </w:p>
        </w:tc>
        <w:tc>
          <w:tcPr>
            <w:tcW w:w="2779" w:type="pct"/>
            <w:vAlign w:val="center"/>
          </w:tcPr>
          <w:p w14:paraId="3244ABB9">
            <w:pPr>
              <w:pStyle w:val="196"/>
            </w:pPr>
            <w:r>
              <w:rPr>
                <w:rFonts w:hint="eastAsia"/>
              </w:rPr>
              <w:t>脱硫废水采用中和（碱化）、沉降、絮凝处理后，通过旋转喷雾干燥技术实现零排放</w:t>
            </w:r>
          </w:p>
        </w:tc>
        <w:tc>
          <w:tcPr>
            <w:tcW w:w="1160" w:type="pct"/>
            <w:vAlign w:val="center"/>
          </w:tcPr>
          <w:p w14:paraId="4CCBD3F0">
            <w:pPr>
              <w:pStyle w:val="196"/>
            </w:pPr>
            <w:r>
              <w:rPr>
                <w:rFonts w:hint="eastAsia"/>
              </w:rPr>
              <w:t>/</w:t>
            </w:r>
          </w:p>
        </w:tc>
      </w:tr>
      <w:tr w14:paraId="69A63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37" w:type="pct"/>
            <w:vMerge w:val="continue"/>
            <w:vAlign w:val="center"/>
          </w:tcPr>
          <w:p w14:paraId="3D5FCCB0">
            <w:pPr>
              <w:pStyle w:val="196"/>
            </w:pPr>
          </w:p>
        </w:tc>
        <w:tc>
          <w:tcPr>
            <w:tcW w:w="724" w:type="pct"/>
            <w:vAlign w:val="center"/>
          </w:tcPr>
          <w:p w14:paraId="1F3C503C">
            <w:pPr>
              <w:pStyle w:val="196"/>
            </w:pPr>
            <w:r>
              <w:rPr>
                <w:rFonts w:hint="eastAsia"/>
              </w:rPr>
              <w:t>初期雨水和事故应急水池</w:t>
            </w:r>
          </w:p>
        </w:tc>
        <w:tc>
          <w:tcPr>
            <w:tcW w:w="2779" w:type="pct"/>
            <w:vAlign w:val="center"/>
          </w:tcPr>
          <w:p w14:paraId="67DECE88">
            <w:pPr>
              <w:pStyle w:val="196"/>
            </w:pPr>
            <w:r>
              <w:rPr>
                <w:rFonts w:hint="eastAsia"/>
              </w:rPr>
              <w:t>厂区设事故应急水池1座，设计有效容积1500m</w:t>
            </w:r>
            <w:r>
              <w:rPr>
                <w:rFonts w:hint="eastAsia"/>
                <w:vertAlign w:val="superscript"/>
              </w:rPr>
              <w:t>3</w:t>
            </w:r>
            <w:r>
              <w:rPr>
                <w:rFonts w:hint="eastAsia"/>
              </w:rPr>
              <w:t>，满足事故应急需要；设初期雨水收集池，容积约1500m</w:t>
            </w:r>
            <w:r>
              <w:rPr>
                <w:rFonts w:hint="eastAsia"/>
                <w:vertAlign w:val="superscript"/>
              </w:rPr>
              <w:t>3</w:t>
            </w:r>
            <w:r>
              <w:rPr>
                <w:rFonts w:hint="eastAsia"/>
              </w:rPr>
              <w:t>，满足初期雨水量收集要求。初期雨水设过滤装置，处理能力50t/h；设1座280m</w:t>
            </w:r>
            <w:r>
              <w:rPr>
                <w:rFonts w:hint="eastAsia"/>
                <w:vertAlign w:val="superscript"/>
              </w:rPr>
              <w:t>3</w:t>
            </w:r>
            <w:r>
              <w:rPr>
                <w:rFonts w:hint="eastAsia"/>
              </w:rPr>
              <w:t>的事故油池，用以接纳柴油罐区初期雨水以及变压器事故状态下排油，</w:t>
            </w:r>
            <w:bookmarkStart w:id="98" w:name="OLE_LINK17"/>
            <w:r>
              <w:rPr>
                <w:rFonts w:hint="eastAsia"/>
              </w:rPr>
              <w:t>配套油水分离装置</w:t>
            </w:r>
            <w:bookmarkEnd w:id="98"/>
            <w:r>
              <w:rPr>
                <w:rFonts w:hint="eastAsia"/>
              </w:rPr>
              <w:t>。</w:t>
            </w:r>
          </w:p>
        </w:tc>
        <w:tc>
          <w:tcPr>
            <w:tcW w:w="1160" w:type="pct"/>
            <w:vAlign w:val="center"/>
          </w:tcPr>
          <w:p w14:paraId="6EC1F4A9">
            <w:pPr>
              <w:pStyle w:val="196"/>
            </w:pPr>
            <w:r>
              <w:rPr>
                <w:rFonts w:hint="eastAsia"/>
              </w:rPr>
              <w:t>本项目依托</w:t>
            </w:r>
          </w:p>
        </w:tc>
      </w:tr>
      <w:tr w14:paraId="4ECC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2854317C">
            <w:pPr>
              <w:pStyle w:val="196"/>
            </w:pPr>
          </w:p>
        </w:tc>
        <w:tc>
          <w:tcPr>
            <w:tcW w:w="724" w:type="pct"/>
            <w:vAlign w:val="center"/>
          </w:tcPr>
          <w:p w14:paraId="40FB25DB">
            <w:pPr>
              <w:pStyle w:val="196"/>
            </w:pPr>
            <w:r>
              <w:rPr>
                <w:rFonts w:hint="eastAsia"/>
              </w:rPr>
              <w:t>渣仓</w:t>
            </w:r>
          </w:p>
        </w:tc>
        <w:tc>
          <w:tcPr>
            <w:tcW w:w="2779" w:type="pct"/>
            <w:vAlign w:val="center"/>
          </w:tcPr>
          <w:p w14:paraId="7DE82B28">
            <w:pPr>
              <w:pStyle w:val="196"/>
            </w:pPr>
            <w:r>
              <w:rPr>
                <w:rFonts w:hint="eastAsia"/>
              </w:rPr>
              <w:t>3座，每座容量为30m</w:t>
            </w:r>
            <w:r>
              <w:rPr>
                <w:rFonts w:hint="eastAsia"/>
                <w:vertAlign w:val="superscript"/>
              </w:rPr>
              <w:t>3</w:t>
            </w:r>
          </w:p>
        </w:tc>
        <w:tc>
          <w:tcPr>
            <w:tcW w:w="1160" w:type="pct"/>
            <w:vAlign w:val="center"/>
          </w:tcPr>
          <w:p w14:paraId="5A13CE3E">
            <w:pPr>
              <w:pStyle w:val="196"/>
            </w:pPr>
            <w:r>
              <w:rPr>
                <w:rFonts w:hint="eastAsia"/>
              </w:rPr>
              <w:t>/</w:t>
            </w:r>
          </w:p>
        </w:tc>
      </w:tr>
      <w:tr w14:paraId="4F6A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1853A380">
            <w:pPr>
              <w:pStyle w:val="196"/>
            </w:pPr>
          </w:p>
        </w:tc>
        <w:tc>
          <w:tcPr>
            <w:tcW w:w="724" w:type="pct"/>
            <w:vAlign w:val="center"/>
          </w:tcPr>
          <w:p w14:paraId="5BB41168">
            <w:pPr>
              <w:pStyle w:val="196"/>
            </w:pPr>
            <w:r>
              <w:rPr>
                <w:rFonts w:hint="eastAsia"/>
              </w:rPr>
              <w:t>灰仓</w:t>
            </w:r>
          </w:p>
        </w:tc>
        <w:tc>
          <w:tcPr>
            <w:tcW w:w="2779" w:type="pct"/>
            <w:vAlign w:val="center"/>
          </w:tcPr>
          <w:p w14:paraId="260CAD8E">
            <w:pPr>
              <w:pStyle w:val="196"/>
            </w:pPr>
            <w:r>
              <w:rPr>
                <w:rFonts w:hint="eastAsia"/>
              </w:rPr>
              <w:t>2座，1座粗灰库，1座细灰库。每座灰库有效容积为1500m</w:t>
            </w:r>
            <w:r>
              <w:rPr>
                <w:rFonts w:hint="eastAsia"/>
                <w:vertAlign w:val="superscript"/>
              </w:rPr>
              <w:t>3</w:t>
            </w:r>
            <w:r>
              <w:rPr>
                <w:rFonts w:hint="eastAsia"/>
              </w:rPr>
              <w:t>，</w:t>
            </w:r>
          </w:p>
        </w:tc>
        <w:tc>
          <w:tcPr>
            <w:tcW w:w="1160" w:type="pct"/>
            <w:vAlign w:val="center"/>
          </w:tcPr>
          <w:p w14:paraId="4A39C441">
            <w:pPr>
              <w:pStyle w:val="196"/>
            </w:pPr>
            <w:r>
              <w:rPr>
                <w:rFonts w:hint="eastAsia"/>
              </w:rPr>
              <w:t>/</w:t>
            </w:r>
          </w:p>
        </w:tc>
      </w:tr>
      <w:tr w14:paraId="1766C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55276401">
            <w:pPr>
              <w:pStyle w:val="196"/>
            </w:pPr>
          </w:p>
        </w:tc>
        <w:tc>
          <w:tcPr>
            <w:tcW w:w="724" w:type="pct"/>
            <w:vAlign w:val="center"/>
          </w:tcPr>
          <w:p w14:paraId="63345087">
            <w:pPr>
              <w:pStyle w:val="196"/>
            </w:pPr>
            <w:r>
              <w:rPr>
                <w:rFonts w:hint="eastAsia"/>
              </w:rPr>
              <w:t>石灰石粉仓</w:t>
            </w:r>
          </w:p>
        </w:tc>
        <w:tc>
          <w:tcPr>
            <w:tcW w:w="2779" w:type="pct"/>
            <w:vAlign w:val="center"/>
          </w:tcPr>
          <w:p w14:paraId="690246E6">
            <w:pPr>
              <w:pStyle w:val="196"/>
              <w:rPr>
                <w:vertAlign w:val="superscript"/>
              </w:rPr>
            </w:pPr>
            <w:r>
              <w:rPr>
                <w:rFonts w:hint="eastAsia"/>
              </w:rPr>
              <w:t>1座，容积为110m</w:t>
            </w:r>
            <w:r>
              <w:rPr>
                <w:rFonts w:hint="eastAsia"/>
                <w:vertAlign w:val="superscript"/>
              </w:rPr>
              <w:t>3</w:t>
            </w:r>
          </w:p>
        </w:tc>
        <w:tc>
          <w:tcPr>
            <w:tcW w:w="1160" w:type="pct"/>
            <w:vAlign w:val="center"/>
          </w:tcPr>
          <w:p w14:paraId="7487216C">
            <w:pPr>
              <w:pStyle w:val="196"/>
            </w:pPr>
            <w:r>
              <w:rPr>
                <w:rFonts w:hint="eastAsia"/>
              </w:rPr>
              <w:t>/</w:t>
            </w:r>
          </w:p>
        </w:tc>
      </w:tr>
      <w:tr w14:paraId="0064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5D3C26AE">
            <w:pPr>
              <w:pStyle w:val="196"/>
            </w:pPr>
          </w:p>
        </w:tc>
        <w:tc>
          <w:tcPr>
            <w:tcW w:w="724" w:type="pct"/>
            <w:vAlign w:val="center"/>
          </w:tcPr>
          <w:p w14:paraId="67A4C011">
            <w:pPr>
              <w:pStyle w:val="196"/>
            </w:pPr>
            <w:r>
              <w:rPr>
                <w:rFonts w:hint="eastAsia"/>
              </w:rPr>
              <w:t>脱硫石膏库</w:t>
            </w:r>
          </w:p>
        </w:tc>
        <w:tc>
          <w:tcPr>
            <w:tcW w:w="2779" w:type="pct"/>
            <w:vAlign w:val="center"/>
          </w:tcPr>
          <w:p w14:paraId="36694ABB">
            <w:pPr>
              <w:pStyle w:val="196"/>
            </w:pPr>
            <w:r>
              <w:rPr>
                <w:rFonts w:hint="eastAsia"/>
              </w:rPr>
              <w:t>1座，容积为250m</w:t>
            </w:r>
            <w:r>
              <w:rPr>
                <w:rFonts w:hint="eastAsia"/>
                <w:vertAlign w:val="superscript"/>
              </w:rPr>
              <w:t>3</w:t>
            </w:r>
          </w:p>
        </w:tc>
        <w:tc>
          <w:tcPr>
            <w:tcW w:w="1160" w:type="pct"/>
            <w:vAlign w:val="center"/>
          </w:tcPr>
          <w:p w14:paraId="2AE26DF4">
            <w:pPr>
              <w:pStyle w:val="196"/>
            </w:pPr>
            <w:r>
              <w:rPr>
                <w:rFonts w:hint="eastAsia"/>
              </w:rPr>
              <w:t>/</w:t>
            </w:r>
          </w:p>
        </w:tc>
      </w:tr>
      <w:tr w14:paraId="653B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33370871">
            <w:pPr>
              <w:pStyle w:val="196"/>
            </w:pPr>
          </w:p>
        </w:tc>
        <w:tc>
          <w:tcPr>
            <w:tcW w:w="724" w:type="pct"/>
            <w:vAlign w:val="center"/>
          </w:tcPr>
          <w:p w14:paraId="614B9D09">
            <w:pPr>
              <w:pStyle w:val="196"/>
            </w:pPr>
            <w:r>
              <w:rPr>
                <w:rFonts w:hint="eastAsia"/>
              </w:rPr>
              <w:t>危废暂存库</w:t>
            </w:r>
          </w:p>
        </w:tc>
        <w:tc>
          <w:tcPr>
            <w:tcW w:w="2779" w:type="pct"/>
            <w:vAlign w:val="center"/>
          </w:tcPr>
          <w:p w14:paraId="2CD43D29">
            <w:pPr>
              <w:pStyle w:val="196"/>
            </w:pPr>
            <w:r>
              <w:rPr>
                <w:rFonts w:hint="eastAsia"/>
              </w:rPr>
              <w:t>1座，占地约50m</w:t>
            </w:r>
            <w:r>
              <w:rPr>
                <w:rFonts w:hint="eastAsia"/>
                <w:vertAlign w:val="superscript"/>
              </w:rPr>
              <w:t>2</w:t>
            </w:r>
          </w:p>
        </w:tc>
        <w:tc>
          <w:tcPr>
            <w:tcW w:w="1160" w:type="pct"/>
            <w:vAlign w:val="center"/>
          </w:tcPr>
          <w:p w14:paraId="7B1AD6D6">
            <w:pPr>
              <w:pStyle w:val="196"/>
            </w:pPr>
            <w:r>
              <w:rPr>
                <w:rFonts w:hint="eastAsia"/>
              </w:rPr>
              <w:t>本项目依托</w:t>
            </w:r>
          </w:p>
        </w:tc>
      </w:tr>
      <w:tr w14:paraId="269B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7" w:type="pct"/>
            <w:vMerge w:val="continue"/>
            <w:vAlign w:val="center"/>
          </w:tcPr>
          <w:p w14:paraId="25963554">
            <w:pPr>
              <w:pStyle w:val="196"/>
            </w:pPr>
          </w:p>
        </w:tc>
        <w:tc>
          <w:tcPr>
            <w:tcW w:w="724" w:type="pct"/>
            <w:vAlign w:val="center"/>
          </w:tcPr>
          <w:p w14:paraId="0E88AAFD">
            <w:pPr>
              <w:pStyle w:val="196"/>
            </w:pPr>
            <w:r>
              <w:rPr>
                <w:rFonts w:hint="eastAsia"/>
              </w:rPr>
              <w:t>噪声</w:t>
            </w:r>
          </w:p>
        </w:tc>
        <w:tc>
          <w:tcPr>
            <w:tcW w:w="2779" w:type="pct"/>
            <w:vAlign w:val="center"/>
          </w:tcPr>
          <w:p w14:paraId="2C146CBA">
            <w:pPr>
              <w:pStyle w:val="196"/>
            </w:pPr>
            <w:r>
              <w:rPr>
                <w:rFonts w:hint="eastAsia"/>
              </w:rPr>
              <w:t>采用低噪声设备、隔声、消声设施</w:t>
            </w:r>
          </w:p>
        </w:tc>
        <w:tc>
          <w:tcPr>
            <w:tcW w:w="1160" w:type="pct"/>
            <w:vAlign w:val="center"/>
          </w:tcPr>
          <w:p w14:paraId="4A9CA5E3">
            <w:pPr>
              <w:pStyle w:val="196"/>
            </w:pPr>
            <w:r>
              <w:rPr>
                <w:rFonts w:hint="eastAsia"/>
              </w:rPr>
              <w:t>/</w:t>
            </w:r>
          </w:p>
        </w:tc>
      </w:tr>
      <w:bookmarkEnd w:id="96"/>
    </w:tbl>
    <w:p w14:paraId="636BE67C">
      <w:pPr>
        <w:pStyle w:val="139"/>
        <w:ind w:firstLine="480"/>
        <w:rPr>
          <w:color w:val="auto"/>
        </w:rPr>
      </w:pPr>
    </w:p>
    <w:p w14:paraId="43122924">
      <w:pPr>
        <w:pStyle w:val="82"/>
      </w:pPr>
      <w:r>
        <w:rPr>
          <w:rFonts w:hint="eastAsia"/>
        </w:rPr>
        <w:t>全厂总体规划</w:t>
      </w:r>
    </w:p>
    <w:p w14:paraId="2AC134A1">
      <w:pPr>
        <w:pStyle w:val="93"/>
      </w:pPr>
      <w:r>
        <w:rPr>
          <w:rFonts w:hint="eastAsia"/>
        </w:rPr>
        <w:t>一期建设3×165t/h高温高压循环流化床锅炉＋2×20MW级</w:t>
      </w:r>
      <w:r>
        <w:rPr>
          <w:rFonts w:hint="eastAsia"/>
          <w:lang w:eastAsia="zh-CN"/>
        </w:rPr>
        <w:t>抽风</w:t>
      </w:r>
      <w:r>
        <w:rPr>
          <w:rFonts w:hint="eastAsia"/>
        </w:rPr>
        <w:t>汽轮发电机组。</w:t>
      </w:r>
    </w:p>
    <w:p w14:paraId="510CC334">
      <w:pPr>
        <w:pStyle w:val="93"/>
      </w:pPr>
      <w:r>
        <w:rPr>
          <w:rFonts w:hint="eastAsia"/>
        </w:rPr>
        <w:t>（1）厂址</w:t>
      </w:r>
    </w:p>
    <w:p w14:paraId="71A97D00">
      <w:pPr>
        <w:pStyle w:val="93"/>
      </w:pPr>
      <w:r>
        <w:rPr>
          <w:rFonts w:hint="eastAsia"/>
        </w:rPr>
        <w:t>项目厂址位于涟水县朱码街道高台村，在薛行大桥南侧、紧邻盐河西岸，距离涟水县城中心约8.7km，厂址东临盐河，向西约1.7km至王二庄村，向南约800m至李集村王庄，向北约2km至华昌大道。</w:t>
      </w:r>
    </w:p>
    <w:p w14:paraId="0E2D6469">
      <w:pPr>
        <w:pStyle w:val="93"/>
      </w:pPr>
      <w:r>
        <w:rPr>
          <w:rFonts w:hint="eastAsia"/>
        </w:rPr>
        <w:t>（2）燃料运输</w:t>
      </w:r>
    </w:p>
    <w:p w14:paraId="7E71C9E9">
      <w:pPr>
        <w:pStyle w:val="93"/>
      </w:pPr>
      <w:r>
        <w:rPr>
          <w:rFonts w:hint="eastAsia"/>
        </w:rPr>
        <w:t>厂外燃煤运输方式采用水路运输，采用铁-海-江-河联运作为热电联产项目燃煤运输方案。</w:t>
      </w:r>
    </w:p>
    <w:p w14:paraId="6E5BF191">
      <w:pPr>
        <w:pStyle w:val="93"/>
      </w:pPr>
      <w:r>
        <w:rPr>
          <w:rFonts w:hint="eastAsia"/>
        </w:rPr>
        <w:t>山西煤经石太线、京石线、京秦线在秦皇岛（或曹妃甸）下水，在常州或泰州中转，通过海-江</w:t>
      </w:r>
      <w:r>
        <w:rPr>
          <w:rFonts w:hint="eastAsia"/>
          <w:lang w:eastAsia="zh-CN"/>
        </w:rPr>
        <w:t>－</w:t>
      </w:r>
      <w:r>
        <w:rPr>
          <w:rFonts w:hint="eastAsia"/>
        </w:rPr>
        <w:t>盐河</w:t>
      </w:r>
      <w:r>
        <w:rPr>
          <w:rFonts w:hint="eastAsia"/>
          <w:lang w:eastAsia="zh-CN"/>
        </w:rPr>
        <w:t>－</w:t>
      </w:r>
      <w:r>
        <w:rPr>
          <w:rFonts w:hint="eastAsia"/>
        </w:rPr>
        <w:t>盐河联运至电厂卸煤码头。运输过程均采用全封闭式。</w:t>
      </w:r>
    </w:p>
    <w:p w14:paraId="584F46AE">
      <w:pPr>
        <w:pStyle w:val="93"/>
      </w:pPr>
      <w:r>
        <w:rPr>
          <w:rFonts w:hint="eastAsia"/>
        </w:rPr>
        <w:t>（3）给水</w:t>
      </w:r>
    </w:p>
    <w:p w14:paraId="7457568D">
      <w:pPr>
        <w:pStyle w:val="93"/>
      </w:pPr>
      <w:r>
        <w:rPr>
          <w:rFonts w:hint="eastAsia"/>
        </w:rPr>
        <w:t>项目生活用水接自电厂市政自来水管网；机组冷却水水源取自盐河河水；工业水、消防水采用经净水站处理后的盐河河水。热电项目平均取水量约为305.61m</w:t>
      </w:r>
      <w:r>
        <w:rPr>
          <w:rFonts w:hint="eastAsia"/>
          <w:vertAlign w:val="superscript"/>
        </w:rPr>
        <w:t>3</w:t>
      </w:r>
      <w:r>
        <w:rPr>
          <w:rFonts w:hint="eastAsia"/>
        </w:rPr>
        <w:t>/h，其中含7.3m</w:t>
      </w:r>
      <w:r>
        <w:rPr>
          <w:rFonts w:hint="eastAsia"/>
          <w:vertAlign w:val="superscript"/>
        </w:rPr>
        <w:t>3</w:t>
      </w:r>
      <w:r>
        <w:rPr>
          <w:rFonts w:hint="eastAsia"/>
        </w:rPr>
        <w:t>/h生活用水。根据全厂年供热小时数，年取水量约250.88×10</w:t>
      </w:r>
      <w:r>
        <w:rPr>
          <w:rFonts w:hint="eastAsia"/>
          <w:vertAlign w:val="superscript"/>
        </w:rPr>
        <w:t>4</w:t>
      </w:r>
      <w:r>
        <w:rPr>
          <w:rFonts w:hint="eastAsia"/>
        </w:rPr>
        <w:t>m</w:t>
      </w:r>
      <w:r>
        <w:rPr>
          <w:rFonts w:hint="eastAsia"/>
          <w:vertAlign w:val="superscript"/>
        </w:rPr>
        <w:t>3</w:t>
      </w:r>
      <w:r>
        <w:rPr>
          <w:rFonts w:hint="eastAsia"/>
        </w:rPr>
        <w:t>/a。</w:t>
      </w:r>
    </w:p>
    <w:p w14:paraId="55A05B27">
      <w:pPr>
        <w:pStyle w:val="93"/>
      </w:pPr>
      <w:r>
        <w:rPr>
          <w:rFonts w:hint="eastAsia"/>
        </w:rPr>
        <w:t>（4）除灰渣</w:t>
      </w:r>
    </w:p>
    <w:p w14:paraId="03D5D1CC">
      <w:pPr>
        <w:pStyle w:val="93"/>
      </w:pPr>
      <w:r>
        <w:rPr>
          <w:rFonts w:hint="eastAsia"/>
        </w:rPr>
        <w:t>项目采用灰、渣分离，炉渣采用“滚筒式冷渣机+链斗式输送机+斗式提升机+渣仓”连续排渣方式，气力除灰。</w:t>
      </w:r>
    </w:p>
    <w:p w14:paraId="3CDE1E6E">
      <w:pPr>
        <w:pStyle w:val="82"/>
      </w:pPr>
      <w:r>
        <w:rPr>
          <w:rFonts w:hint="eastAsia"/>
        </w:rPr>
        <w:t>热电项目主要工艺流程</w:t>
      </w:r>
    </w:p>
    <w:p w14:paraId="304238F4">
      <w:pPr>
        <w:pStyle w:val="93"/>
      </w:pPr>
      <w:r>
        <w:rPr>
          <w:rFonts w:hint="eastAsia"/>
        </w:rPr>
        <w:t>燃料经铁-海-江-河联运到厂，经输煤系统给入锅炉炉膛燃烧蒸发水，产生蒸汽推动汽轮机带动发电机发电，电能接入配电装置后送出；烟气经脱硝、除尘、脱硫等设施净化后由烟囱排入大气；采用“灰渣分除、粗细分排”系统，灰渣、石膏综合利用；循环冷却水取自盐河，工业水、消防水采用经净水站处理后的盐河河水，生活水采用市政自来水。热电工程主要生产工艺流程示意图见图3.1-</w:t>
      </w:r>
      <w:r>
        <w:t>1</w:t>
      </w:r>
      <w:r>
        <w:rPr>
          <w:rFonts w:hint="eastAsia"/>
        </w:rPr>
        <w:t>。</w:t>
      </w:r>
    </w:p>
    <w:p w14:paraId="41C24789">
      <w:pPr>
        <w:pStyle w:val="82"/>
      </w:pPr>
      <w:r>
        <w:rPr>
          <w:rFonts w:hint="eastAsia"/>
        </w:rPr>
        <w:t>给排水系统</w:t>
      </w:r>
    </w:p>
    <w:p w14:paraId="0B427B1A">
      <w:pPr>
        <w:pStyle w:val="84"/>
      </w:pPr>
      <w:r>
        <w:rPr>
          <w:rFonts w:hint="eastAsia"/>
        </w:rPr>
        <w:t>水源及取水方案</w:t>
      </w:r>
    </w:p>
    <w:p w14:paraId="107949CC">
      <w:pPr>
        <w:pStyle w:val="139"/>
        <w:ind w:firstLine="480"/>
        <w:rPr>
          <w:color w:val="auto"/>
          <w:lang w:val="en-US"/>
        </w:rPr>
      </w:pPr>
      <w:r>
        <w:rPr>
          <w:rFonts w:hint="eastAsia"/>
          <w:color w:val="auto"/>
          <w:lang w:val="en-US"/>
        </w:rPr>
        <w:t>热电项目生活用水接自电厂市政自来水管网；机组冷却水水源为盐河河水；工业水、消防水采用经净水站处理后的盐河河水。平均取水量约为305.61m</w:t>
      </w:r>
      <w:r>
        <w:rPr>
          <w:rFonts w:hint="eastAsia"/>
          <w:color w:val="auto"/>
          <w:vertAlign w:val="superscript"/>
          <w:lang w:val="en-US"/>
        </w:rPr>
        <w:t>3</w:t>
      </w:r>
      <w:r>
        <w:rPr>
          <w:rFonts w:hint="eastAsia"/>
          <w:color w:val="auto"/>
          <w:lang w:val="en-US"/>
        </w:rPr>
        <w:t>/h，其中含7.3m</w:t>
      </w:r>
      <w:r>
        <w:rPr>
          <w:rFonts w:hint="eastAsia"/>
          <w:color w:val="auto"/>
          <w:vertAlign w:val="superscript"/>
          <w:lang w:val="en-US"/>
        </w:rPr>
        <w:t>3</w:t>
      </w:r>
      <w:r>
        <w:rPr>
          <w:rFonts w:hint="eastAsia"/>
          <w:color w:val="auto"/>
          <w:lang w:val="en-US"/>
        </w:rPr>
        <w:t>/h生活用水。根据全厂年供热小时数，年取水量约250.88</w:t>
      </w:r>
      <w:r>
        <w:rPr>
          <w:color w:val="auto"/>
          <w:lang w:val="en-US"/>
        </w:rPr>
        <w:t>×</w:t>
      </w:r>
      <w:r>
        <w:rPr>
          <w:rFonts w:hint="eastAsia"/>
          <w:color w:val="auto"/>
          <w:lang w:val="en-US"/>
        </w:rPr>
        <w:t>10</w:t>
      </w:r>
      <w:r>
        <w:rPr>
          <w:rFonts w:hint="eastAsia"/>
          <w:color w:val="auto"/>
          <w:vertAlign w:val="superscript"/>
          <w:lang w:val="en-US"/>
        </w:rPr>
        <w:t>4</w:t>
      </w:r>
      <w:r>
        <w:rPr>
          <w:rFonts w:hint="eastAsia"/>
          <w:color w:val="auto"/>
          <w:lang w:val="en-US"/>
        </w:rPr>
        <w:t>m</w:t>
      </w:r>
      <w:r>
        <w:rPr>
          <w:rFonts w:hint="eastAsia"/>
          <w:color w:val="auto"/>
          <w:vertAlign w:val="superscript"/>
          <w:lang w:val="en-US"/>
        </w:rPr>
        <w:t>3</w:t>
      </w:r>
      <w:r>
        <w:rPr>
          <w:rFonts w:hint="eastAsia"/>
          <w:color w:val="auto"/>
          <w:lang w:val="en-US"/>
        </w:rPr>
        <w:t>/a。</w:t>
      </w:r>
    </w:p>
    <w:p w14:paraId="1F1A1D65">
      <w:pPr>
        <w:pStyle w:val="139"/>
        <w:ind w:firstLine="480"/>
        <w:rPr>
          <w:color w:val="auto"/>
          <w:lang w:val="en-US"/>
        </w:rPr>
      </w:pPr>
      <w:r>
        <w:rPr>
          <w:rFonts w:hint="eastAsia"/>
          <w:color w:val="auto"/>
          <w:lang w:val="en-US"/>
        </w:rPr>
        <w:t>热电项目用水量详见下表，热电项目水量平衡图见图3</w:t>
      </w:r>
      <w:r>
        <w:rPr>
          <w:color w:val="auto"/>
          <w:lang w:val="en-US"/>
        </w:rPr>
        <w:t>.</w:t>
      </w:r>
      <w:r>
        <w:rPr>
          <w:rFonts w:hint="eastAsia"/>
          <w:color w:val="auto"/>
          <w:lang w:val="en-US"/>
        </w:rPr>
        <w:t>1-2。</w:t>
      </w:r>
    </w:p>
    <w:p w14:paraId="47E65D85">
      <w:pPr>
        <w:pStyle w:val="86"/>
      </w:pPr>
      <w:r>
        <w:rPr>
          <w:rFonts w:hint="eastAsia"/>
        </w:rPr>
        <w:t>热电项目用水情况一览表（单位：t/h）</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842"/>
        <w:gridCol w:w="994"/>
        <w:gridCol w:w="1416"/>
        <w:gridCol w:w="1276"/>
        <w:gridCol w:w="2460"/>
      </w:tblGrid>
      <w:tr w14:paraId="62FF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 w:type="pct"/>
            <w:vAlign w:val="center"/>
          </w:tcPr>
          <w:p w14:paraId="6B9E8923">
            <w:pPr>
              <w:pStyle w:val="218"/>
              <w:rPr>
                <w:color w:val="auto"/>
                <w:lang w:bidi="zh-CN"/>
              </w:rPr>
            </w:pPr>
            <w:r>
              <w:rPr>
                <w:color w:val="auto"/>
                <w:lang w:bidi="zh-CN"/>
              </w:rPr>
              <w:t>序号</w:t>
            </w:r>
          </w:p>
        </w:tc>
        <w:tc>
          <w:tcPr>
            <w:tcW w:w="1081" w:type="pct"/>
            <w:vAlign w:val="center"/>
          </w:tcPr>
          <w:p w14:paraId="3BFFEB0B">
            <w:pPr>
              <w:pStyle w:val="218"/>
              <w:rPr>
                <w:color w:val="auto"/>
                <w:lang w:bidi="zh-CN"/>
              </w:rPr>
            </w:pPr>
            <w:r>
              <w:rPr>
                <w:color w:val="auto"/>
                <w:lang w:bidi="zh-CN"/>
              </w:rPr>
              <w:t>用水项目</w:t>
            </w:r>
          </w:p>
        </w:tc>
        <w:tc>
          <w:tcPr>
            <w:tcW w:w="583" w:type="pct"/>
            <w:vAlign w:val="center"/>
          </w:tcPr>
          <w:p w14:paraId="63E8CB0D">
            <w:pPr>
              <w:pStyle w:val="218"/>
              <w:rPr>
                <w:color w:val="auto"/>
                <w:lang w:bidi="zh-CN"/>
              </w:rPr>
            </w:pPr>
            <w:r>
              <w:rPr>
                <w:rFonts w:hint="eastAsia"/>
                <w:color w:val="auto"/>
                <w:lang w:bidi="zh-CN"/>
              </w:rPr>
              <w:t>用水量</w:t>
            </w:r>
          </w:p>
        </w:tc>
        <w:tc>
          <w:tcPr>
            <w:tcW w:w="831" w:type="pct"/>
            <w:vAlign w:val="center"/>
          </w:tcPr>
          <w:p w14:paraId="74C2AB8E">
            <w:pPr>
              <w:pStyle w:val="218"/>
              <w:rPr>
                <w:color w:val="auto"/>
                <w:lang w:bidi="zh-CN"/>
              </w:rPr>
            </w:pPr>
            <w:r>
              <w:rPr>
                <w:rFonts w:hint="eastAsia"/>
                <w:color w:val="auto"/>
                <w:lang w:bidi="zh-CN"/>
              </w:rPr>
              <w:t>回用量（原水制备系统）</w:t>
            </w:r>
          </w:p>
        </w:tc>
        <w:tc>
          <w:tcPr>
            <w:tcW w:w="749" w:type="pct"/>
            <w:vAlign w:val="center"/>
          </w:tcPr>
          <w:p w14:paraId="6B3C4DC3">
            <w:pPr>
              <w:pStyle w:val="218"/>
              <w:rPr>
                <w:color w:val="auto"/>
                <w:lang w:bidi="zh-CN"/>
              </w:rPr>
            </w:pPr>
            <w:r>
              <w:rPr>
                <w:rFonts w:hint="eastAsia"/>
                <w:color w:val="auto"/>
                <w:lang w:bidi="zh-CN"/>
              </w:rPr>
              <w:t>回用量（回用水池）</w:t>
            </w:r>
          </w:p>
        </w:tc>
        <w:tc>
          <w:tcPr>
            <w:tcW w:w="1443" w:type="pct"/>
            <w:vAlign w:val="center"/>
          </w:tcPr>
          <w:p w14:paraId="03801054">
            <w:pPr>
              <w:pStyle w:val="218"/>
              <w:rPr>
                <w:color w:val="auto"/>
                <w:lang w:bidi="zh-CN"/>
              </w:rPr>
            </w:pPr>
            <w:r>
              <w:rPr>
                <w:rFonts w:hint="eastAsia"/>
                <w:color w:val="auto"/>
                <w:lang w:bidi="zh-CN"/>
              </w:rPr>
              <w:t>备注</w:t>
            </w:r>
          </w:p>
        </w:tc>
      </w:tr>
      <w:tr w14:paraId="0867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 w:type="pct"/>
            <w:vAlign w:val="center"/>
          </w:tcPr>
          <w:p w14:paraId="6FDFB395">
            <w:pPr>
              <w:pStyle w:val="218"/>
              <w:rPr>
                <w:color w:val="auto"/>
                <w:lang w:bidi="zh-CN"/>
              </w:rPr>
            </w:pPr>
            <w:r>
              <w:rPr>
                <w:rFonts w:hint="eastAsia"/>
                <w:color w:val="auto"/>
                <w:lang w:bidi="zh-CN"/>
              </w:rPr>
              <w:t>1</w:t>
            </w:r>
          </w:p>
        </w:tc>
        <w:tc>
          <w:tcPr>
            <w:tcW w:w="1081" w:type="pct"/>
            <w:vAlign w:val="center"/>
          </w:tcPr>
          <w:p w14:paraId="73F93C75">
            <w:pPr>
              <w:pStyle w:val="218"/>
              <w:rPr>
                <w:color w:val="auto"/>
                <w:lang w:bidi="zh-CN"/>
              </w:rPr>
            </w:pPr>
            <w:r>
              <w:rPr>
                <w:rFonts w:hint="eastAsia"/>
                <w:color w:val="auto"/>
                <w:lang w:bidi="zh-CN"/>
              </w:rPr>
              <w:t>原水澄清处理系统</w:t>
            </w:r>
          </w:p>
        </w:tc>
        <w:tc>
          <w:tcPr>
            <w:tcW w:w="583" w:type="pct"/>
            <w:vAlign w:val="center"/>
          </w:tcPr>
          <w:p w14:paraId="3B9152E9">
            <w:pPr>
              <w:pStyle w:val="218"/>
              <w:rPr>
                <w:color w:val="auto"/>
                <w:lang w:bidi="zh-CN"/>
              </w:rPr>
            </w:pPr>
            <w:r>
              <w:rPr>
                <w:rFonts w:hint="eastAsia"/>
                <w:color w:val="auto"/>
                <w:lang w:bidi="zh-CN"/>
              </w:rPr>
              <w:t>1.5</w:t>
            </w:r>
          </w:p>
        </w:tc>
        <w:tc>
          <w:tcPr>
            <w:tcW w:w="831" w:type="pct"/>
            <w:vAlign w:val="center"/>
          </w:tcPr>
          <w:p w14:paraId="5126789B">
            <w:pPr>
              <w:pStyle w:val="218"/>
              <w:rPr>
                <w:color w:val="auto"/>
                <w:lang w:bidi="zh-CN"/>
              </w:rPr>
            </w:pPr>
            <w:r>
              <w:rPr>
                <w:rFonts w:hint="eastAsia"/>
                <w:color w:val="auto"/>
                <w:lang w:bidi="zh-CN"/>
              </w:rPr>
              <w:t>/</w:t>
            </w:r>
          </w:p>
        </w:tc>
        <w:tc>
          <w:tcPr>
            <w:tcW w:w="749" w:type="pct"/>
            <w:vAlign w:val="center"/>
          </w:tcPr>
          <w:p w14:paraId="4BEDA27B">
            <w:pPr>
              <w:pStyle w:val="218"/>
              <w:rPr>
                <w:color w:val="auto"/>
                <w:lang w:bidi="zh-CN"/>
              </w:rPr>
            </w:pPr>
            <w:r>
              <w:rPr>
                <w:rFonts w:hint="eastAsia"/>
                <w:color w:val="auto"/>
                <w:lang w:bidi="zh-CN"/>
              </w:rPr>
              <w:t>1.5</w:t>
            </w:r>
          </w:p>
        </w:tc>
        <w:tc>
          <w:tcPr>
            <w:tcW w:w="1443" w:type="pct"/>
            <w:vAlign w:val="center"/>
          </w:tcPr>
          <w:p w14:paraId="767F3028">
            <w:pPr>
              <w:pStyle w:val="218"/>
              <w:rPr>
                <w:color w:val="auto"/>
                <w:lang w:bidi="zh-CN"/>
              </w:rPr>
            </w:pPr>
          </w:p>
        </w:tc>
      </w:tr>
      <w:tr w14:paraId="3A46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 w:type="pct"/>
            <w:vAlign w:val="center"/>
          </w:tcPr>
          <w:p w14:paraId="022CDE31">
            <w:pPr>
              <w:pStyle w:val="218"/>
              <w:rPr>
                <w:color w:val="auto"/>
                <w:lang w:bidi="zh-CN"/>
              </w:rPr>
            </w:pPr>
            <w:r>
              <w:rPr>
                <w:rFonts w:hint="eastAsia"/>
                <w:color w:val="auto"/>
                <w:lang w:bidi="zh-CN"/>
              </w:rPr>
              <w:t>2</w:t>
            </w:r>
          </w:p>
        </w:tc>
        <w:tc>
          <w:tcPr>
            <w:tcW w:w="1081" w:type="pct"/>
            <w:vAlign w:val="center"/>
          </w:tcPr>
          <w:p w14:paraId="0E549D20">
            <w:pPr>
              <w:pStyle w:val="218"/>
              <w:rPr>
                <w:color w:val="auto"/>
                <w:lang w:bidi="zh-CN"/>
              </w:rPr>
            </w:pPr>
            <w:r>
              <w:rPr>
                <w:rFonts w:hint="eastAsia"/>
                <w:color w:val="auto"/>
                <w:lang w:bidi="zh-CN"/>
              </w:rPr>
              <w:t>污泥浓缩脱水处理</w:t>
            </w:r>
          </w:p>
        </w:tc>
        <w:tc>
          <w:tcPr>
            <w:tcW w:w="583" w:type="pct"/>
            <w:vAlign w:val="center"/>
          </w:tcPr>
          <w:p w14:paraId="5F1C8541">
            <w:pPr>
              <w:pStyle w:val="218"/>
              <w:rPr>
                <w:color w:val="auto"/>
                <w:lang w:bidi="zh-CN"/>
              </w:rPr>
            </w:pPr>
            <w:r>
              <w:rPr>
                <w:rFonts w:hint="eastAsia"/>
                <w:color w:val="auto"/>
                <w:lang w:bidi="zh-CN"/>
              </w:rPr>
              <w:t>2</w:t>
            </w:r>
          </w:p>
        </w:tc>
        <w:tc>
          <w:tcPr>
            <w:tcW w:w="831" w:type="pct"/>
            <w:vAlign w:val="center"/>
          </w:tcPr>
          <w:p w14:paraId="6430FB08">
            <w:pPr>
              <w:pStyle w:val="218"/>
              <w:rPr>
                <w:color w:val="auto"/>
                <w:lang w:bidi="zh-CN"/>
              </w:rPr>
            </w:pPr>
            <w:r>
              <w:rPr>
                <w:rFonts w:hint="eastAsia"/>
                <w:color w:val="auto"/>
                <w:lang w:bidi="zh-CN"/>
              </w:rPr>
              <w:t>18.89</w:t>
            </w:r>
          </w:p>
        </w:tc>
        <w:tc>
          <w:tcPr>
            <w:tcW w:w="749" w:type="pct"/>
            <w:vAlign w:val="center"/>
          </w:tcPr>
          <w:p w14:paraId="461B5BBD">
            <w:pPr>
              <w:pStyle w:val="218"/>
              <w:rPr>
                <w:color w:val="auto"/>
                <w:lang w:bidi="zh-CN"/>
              </w:rPr>
            </w:pPr>
          </w:p>
        </w:tc>
        <w:tc>
          <w:tcPr>
            <w:tcW w:w="1443" w:type="pct"/>
            <w:vAlign w:val="center"/>
          </w:tcPr>
          <w:p w14:paraId="229B48D7">
            <w:pPr>
              <w:pStyle w:val="218"/>
              <w:rPr>
                <w:color w:val="auto"/>
                <w:lang w:bidi="zh-CN"/>
              </w:rPr>
            </w:pPr>
            <w:r>
              <w:rPr>
                <w:color w:val="auto"/>
                <w:lang w:bidi="zh-CN"/>
              </w:rPr>
              <w:t>化学水</w:t>
            </w:r>
            <w:r>
              <w:rPr>
                <w:rFonts w:hint="eastAsia"/>
                <w:color w:val="auto"/>
                <w:lang w:bidi="zh-CN"/>
              </w:rPr>
              <w:t>系统</w:t>
            </w:r>
            <w:r>
              <w:rPr>
                <w:color w:val="auto"/>
                <w:lang w:bidi="zh-CN"/>
              </w:rPr>
              <w:t>污泥量</w:t>
            </w:r>
            <w:r>
              <w:rPr>
                <w:rFonts w:hint="eastAsia"/>
                <w:color w:val="auto"/>
                <w:lang w:bidi="zh-CN"/>
              </w:rPr>
              <w:t>17，产生泥饼0.11</w:t>
            </w:r>
          </w:p>
        </w:tc>
      </w:tr>
      <w:tr w14:paraId="4BF6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 w:type="pct"/>
            <w:vAlign w:val="center"/>
          </w:tcPr>
          <w:p w14:paraId="2E1964EA">
            <w:pPr>
              <w:pStyle w:val="218"/>
              <w:rPr>
                <w:color w:val="auto"/>
                <w:lang w:bidi="zh-CN"/>
              </w:rPr>
            </w:pPr>
            <w:r>
              <w:rPr>
                <w:rFonts w:hint="eastAsia"/>
                <w:color w:val="auto"/>
                <w:lang w:bidi="zh-CN"/>
              </w:rPr>
              <w:t>3</w:t>
            </w:r>
          </w:p>
        </w:tc>
        <w:tc>
          <w:tcPr>
            <w:tcW w:w="1081" w:type="pct"/>
            <w:vAlign w:val="center"/>
          </w:tcPr>
          <w:p w14:paraId="1F412932">
            <w:pPr>
              <w:pStyle w:val="218"/>
              <w:rPr>
                <w:color w:val="auto"/>
                <w:lang w:bidi="zh-CN"/>
              </w:rPr>
            </w:pPr>
            <w:r>
              <w:rPr>
                <w:rFonts w:hint="eastAsia"/>
                <w:color w:val="auto"/>
                <w:lang w:bidi="zh-CN"/>
              </w:rPr>
              <w:t>开放式冷却水</w:t>
            </w:r>
          </w:p>
        </w:tc>
        <w:tc>
          <w:tcPr>
            <w:tcW w:w="583" w:type="pct"/>
            <w:vAlign w:val="center"/>
          </w:tcPr>
          <w:p w14:paraId="21D621E2">
            <w:pPr>
              <w:pStyle w:val="218"/>
              <w:rPr>
                <w:color w:val="auto"/>
                <w:lang w:bidi="zh-CN"/>
              </w:rPr>
            </w:pPr>
            <w:r>
              <w:rPr>
                <w:rFonts w:hint="eastAsia"/>
                <w:color w:val="auto"/>
                <w:lang w:bidi="zh-CN"/>
              </w:rPr>
              <w:t>21</w:t>
            </w:r>
          </w:p>
        </w:tc>
        <w:tc>
          <w:tcPr>
            <w:tcW w:w="831" w:type="pct"/>
            <w:vAlign w:val="center"/>
          </w:tcPr>
          <w:p w14:paraId="2EDE8FDA">
            <w:pPr>
              <w:pStyle w:val="218"/>
              <w:rPr>
                <w:color w:val="auto"/>
                <w:lang w:bidi="zh-CN"/>
              </w:rPr>
            </w:pPr>
            <w:r>
              <w:rPr>
                <w:rFonts w:hint="eastAsia"/>
                <w:color w:val="auto"/>
                <w:lang w:bidi="zh-CN"/>
              </w:rPr>
              <w:t>/</w:t>
            </w:r>
          </w:p>
        </w:tc>
        <w:tc>
          <w:tcPr>
            <w:tcW w:w="749" w:type="pct"/>
            <w:vAlign w:val="center"/>
          </w:tcPr>
          <w:p w14:paraId="2B41733E">
            <w:pPr>
              <w:pStyle w:val="218"/>
              <w:rPr>
                <w:color w:val="auto"/>
                <w:lang w:bidi="zh-CN"/>
              </w:rPr>
            </w:pPr>
            <w:r>
              <w:rPr>
                <w:rFonts w:hint="eastAsia"/>
                <w:color w:val="auto"/>
                <w:lang w:bidi="zh-CN"/>
              </w:rPr>
              <w:t>4</w:t>
            </w:r>
          </w:p>
        </w:tc>
        <w:tc>
          <w:tcPr>
            <w:tcW w:w="1443" w:type="pct"/>
            <w:vAlign w:val="center"/>
          </w:tcPr>
          <w:p w14:paraId="08EECB39">
            <w:pPr>
              <w:pStyle w:val="218"/>
              <w:rPr>
                <w:color w:val="auto"/>
                <w:lang w:bidi="zh-CN"/>
              </w:rPr>
            </w:pPr>
            <w:r>
              <w:rPr>
                <w:color w:val="auto"/>
                <w:lang w:bidi="zh-CN"/>
              </w:rPr>
              <w:t>消耗</w:t>
            </w:r>
            <w:r>
              <w:rPr>
                <w:rFonts w:hint="eastAsia"/>
                <w:color w:val="auto"/>
                <w:lang w:bidi="zh-CN"/>
              </w:rPr>
              <w:t>17</w:t>
            </w:r>
          </w:p>
        </w:tc>
      </w:tr>
      <w:tr w14:paraId="6C23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 w:type="pct"/>
            <w:vAlign w:val="center"/>
          </w:tcPr>
          <w:p w14:paraId="5C928ECC">
            <w:pPr>
              <w:pStyle w:val="218"/>
              <w:rPr>
                <w:color w:val="auto"/>
                <w:lang w:bidi="zh-CN"/>
              </w:rPr>
            </w:pPr>
            <w:r>
              <w:rPr>
                <w:rFonts w:hint="eastAsia"/>
                <w:color w:val="auto"/>
                <w:lang w:bidi="zh-CN"/>
              </w:rPr>
              <w:t>4</w:t>
            </w:r>
          </w:p>
        </w:tc>
        <w:tc>
          <w:tcPr>
            <w:tcW w:w="1081" w:type="pct"/>
            <w:vAlign w:val="center"/>
          </w:tcPr>
          <w:p w14:paraId="7D7D156D">
            <w:pPr>
              <w:pStyle w:val="218"/>
              <w:rPr>
                <w:color w:val="auto"/>
                <w:lang w:bidi="zh-CN"/>
              </w:rPr>
            </w:pPr>
            <w:r>
              <w:rPr>
                <w:rFonts w:hint="eastAsia"/>
                <w:color w:val="auto"/>
                <w:lang w:bidi="zh-CN"/>
              </w:rPr>
              <w:t>化学水用水</w:t>
            </w:r>
          </w:p>
        </w:tc>
        <w:tc>
          <w:tcPr>
            <w:tcW w:w="583" w:type="pct"/>
            <w:vAlign w:val="center"/>
          </w:tcPr>
          <w:p w14:paraId="42ABF753">
            <w:pPr>
              <w:pStyle w:val="218"/>
              <w:rPr>
                <w:color w:val="auto"/>
                <w:lang w:bidi="zh-CN"/>
              </w:rPr>
            </w:pPr>
            <w:r>
              <w:rPr>
                <w:rFonts w:hint="eastAsia"/>
                <w:color w:val="auto"/>
                <w:lang w:bidi="zh-CN"/>
              </w:rPr>
              <w:t>332</w:t>
            </w:r>
          </w:p>
        </w:tc>
        <w:tc>
          <w:tcPr>
            <w:tcW w:w="831" w:type="pct"/>
            <w:vAlign w:val="center"/>
          </w:tcPr>
          <w:p w14:paraId="5A3C0763">
            <w:pPr>
              <w:pStyle w:val="218"/>
              <w:rPr>
                <w:color w:val="auto"/>
              </w:rPr>
            </w:pPr>
            <w:r>
              <w:rPr>
                <w:rFonts w:hint="eastAsia"/>
                <w:color w:val="auto"/>
              </w:rPr>
              <w:t>32</w:t>
            </w:r>
          </w:p>
        </w:tc>
        <w:tc>
          <w:tcPr>
            <w:tcW w:w="749" w:type="pct"/>
            <w:vAlign w:val="center"/>
          </w:tcPr>
          <w:p w14:paraId="4BF451CE">
            <w:pPr>
              <w:pStyle w:val="218"/>
              <w:rPr>
                <w:color w:val="auto"/>
              </w:rPr>
            </w:pPr>
            <w:r>
              <w:rPr>
                <w:rFonts w:hint="eastAsia"/>
                <w:color w:val="auto"/>
              </w:rPr>
              <w:t>43</w:t>
            </w:r>
          </w:p>
        </w:tc>
        <w:tc>
          <w:tcPr>
            <w:tcW w:w="1443" w:type="pct"/>
            <w:vAlign w:val="center"/>
          </w:tcPr>
          <w:p w14:paraId="76F33ACD">
            <w:pPr>
              <w:pStyle w:val="218"/>
              <w:rPr>
                <w:color w:val="auto"/>
              </w:rPr>
            </w:pPr>
            <w:r>
              <w:rPr>
                <w:rFonts w:hint="eastAsia"/>
                <w:color w:val="auto"/>
              </w:rPr>
              <w:t>17排入污泥脱水系统240供热消耗</w:t>
            </w:r>
          </w:p>
        </w:tc>
      </w:tr>
      <w:tr w14:paraId="65E7F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94" w:type="pct"/>
            <w:gridSpan w:val="2"/>
            <w:vAlign w:val="center"/>
          </w:tcPr>
          <w:p w14:paraId="34317FE0">
            <w:pPr>
              <w:pStyle w:val="218"/>
              <w:rPr>
                <w:color w:val="auto"/>
                <w:lang w:bidi="zh-CN"/>
              </w:rPr>
            </w:pPr>
            <w:r>
              <w:rPr>
                <w:rFonts w:hint="eastAsia"/>
                <w:color w:val="auto"/>
                <w:lang w:bidi="zh-CN"/>
              </w:rPr>
              <w:t>合计</w:t>
            </w:r>
          </w:p>
        </w:tc>
        <w:tc>
          <w:tcPr>
            <w:tcW w:w="583" w:type="pct"/>
            <w:vAlign w:val="center"/>
          </w:tcPr>
          <w:p w14:paraId="6A03793B">
            <w:pPr>
              <w:pStyle w:val="218"/>
              <w:rPr>
                <w:color w:val="auto"/>
                <w:lang w:bidi="zh-CN"/>
              </w:rPr>
            </w:pPr>
            <w:r>
              <w:rPr>
                <w:rFonts w:hint="eastAsia"/>
                <w:color w:val="auto"/>
                <w:lang w:bidi="zh-CN"/>
              </w:rPr>
              <w:t>356.5</w:t>
            </w:r>
          </w:p>
        </w:tc>
        <w:tc>
          <w:tcPr>
            <w:tcW w:w="831" w:type="pct"/>
            <w:vAlign w:val="center"/>
          </w:tcPr>
          <w:p w14:paraId="224EC9DE">
            <w:pPr>
              <w:pStyle w:val="218"/>
              <w:rPr>
                <w:color w:val="auto"/>
                <w:lang w:bidi="zh-CN"/>
              </w:rPr>
            </w:pPr>
            <w:r>
              <w:rPr>
                <w:rFonts w:hint="eastAsia"/>
                <w:color w:val="auto"/>
                <w:lang w:bidi="zh-CN"/>
              </w:rPr>
              <w:t>50.89</w:t>
            </w:r>
          </w:p>
        </w:tc>
        <w:tc>
          <w:tcPr>
            <w:tcW w:w="749" w:type="pct"/>
            <w:vAlign w:val="center"/>
          </w:tcPr>
          <w:p w14:paraId="43A2FFAC">
            <w:pPr>
              <w:pStyle w:val="218"/>
              <w:rPr>
                <w:color w:val="auto"/>
                <w:lang w:bidi="zh-CN"/>
              </w:rPr>
            </w:pPr>
            <w:r>
              <w:rPr>
                <w:rFonts w:hint="eastAsia"/>
                <w:color w:val="auto"/>
                <w:lang w:bidi="zh-CN"/>
              </w:rPr>
              <w:t>48.5</w:t>
            </w:r>
          </w:p>
        </w:tc>
        <w:tc>
          <w:tcPr>
            <w:tcW w:w="1443" w:type="pct"/>
            <w:vAlign w:val="center"/>
          </w:tcPr>
          <w:p w14:paraId="5F3741E6">
            <w:pPr>
              <w:pStyle w:val="218"/>
              <w:rPr>
                <w:color w:val="auto"/>
                <w:lang w:bidi="zh-CN"/>
              </w:rPr>
            </w:pPr>
            <w:r>
              <w:rPr>
                <w:color w:val="auto"/>
                <w:lang w:bidi="zh-CN"/>
              </w:rPr>
              <w:t>取水量</w:t>
            </w:r>
            <w:r>
              <w:rPr>
                <w:rFonts w:hint="eastAsia"/>
                <w:color w:val="auto"/>
                <w:lang w:bidi="zh-CN"/>
              </w:rPr>
              <w:t>305.61</w:t>
            </w:r>
          </w:p>
        </w:tc>
      </w:tr>
    </w:tbl>
    <w:p w14:paraId="0199705F">
      <w:pPr>
        <w:pStyle w:val="86"/>
      </w:pPr>
      <w:r>
        <w:rPr>
          <w:rFonts w:hint="eastAsia"/>
        </w:rPr>
        <w:t>全厂回用水池用水量一览表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4293"/>
        <w:gridCol w:w="1541"/>
        <w:gridCol w:w="1541"/>
      </w:tblGrid>
      <w:tr w14:paraId="5B32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7678AE72">
            <w:pPr>
              <w:pStyle w:val="218"/>
              <w:rPr>
                <w:color w:val="auto"/>
                <w:lang w:bidi="zh-CN"/>
              </w:rPr>
            </w:pPr>
            <w:r>
              <w:rPr>
                <w:rFonts w:hint="eastAsia"/>
                <w:color w:val="auto"/>
                <w:lang w:bidi="zh-CN"/>
              </w:rPr>
              <w:t>序号</w:t>
            </w:r>
          </w:p>
        </w:tc>
        <w:tc>
          <w:tcPr>
            <w:tcW w:w="2519" w:type="pct"/>
            <w:vAlign w:val="center"/>
          </w:tcPr>
          <w:p w14:paraId="0EC945A0">
            <w:pPr>
              <w:pStyle w:val="218"/>
              <w:rPr>
                <w:color w:val="auto"/>
                <w:lang w:bidi="zh-CN"/>
              </w:rPr>
            </w:pPr>
            <w:r>
              <w:rPr>
                <w:rFonts w:hint="eastAsia"/>
                <w:color w:val="auto"/>
                <w:lang w:bidi="zh-CN"/>
              </w:rPr>
              <w:t>用水项目</w:t>
            </w:r>
          </w:p>
        </w:tc>
        <w:tc>
          <w:tcPr>
            <w:tcW w:w="904" w:type="pct"/>
            <w:vAlign w:val="center"/>
          </w:tcPr>
          <w:p w14:paraId="5A80D407">
            <w:pPr>
              <w:pStyle w:val="218"/>
              <w:rPr>
                <w:color w:val="auto"/>
                <w:lang w:bidi="zh-CN"/>
              </w:rPr>
            </w:pPr>
            <w:r>
              <w:rPr>
                <w:color w:val="auto"/>
                <w:lang w:bidi="zh-CN"/>
              </w:rPr>
              <w:t>用水量</w:t>
            </w:r>
          </w:p>
        </w:tc>
        <w:tc>
          <w:tcPr>
            <w:tcW w:w="904" w:type="pct"/>
          </w:tcPr>
          <w:p w14:paraId="1B5306A2">
            <w:pPr>
              <w:pStyle w:val="218"/>
              <w:rPr>
                <w:color w:val="auto"/>
                <w:lang w:bidi="zh-CN"/>
              </w:rPr>
            </w:pPr>
            <w:r>
              <w:rPr>
                <w:color w:val="auto"/>
                <w:lang w:bidi="zh-CN"/>
              </w:rPr>
              <w:t>备注</w:t>
            </w:r>
          </w:p>
        </w:tc>
      </w:tr>
      <w:tr w14:paraId="53D48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2FC8DE9A">
            <w:pPr>
              <w:pStyle w:val="218"/>
              <w:rPr>
                <w:color w:val="auto"/>
                <w:lang w:bidi="zh-CN"/>
              </w:rPr>
            </w:pPr>
            <w:r>
              <w:rPr>
                <w:rFonts w:hint="eastAsia"/>
                <w:color w:val="auto"/>
                <w:lang w:bidi="zh-CN"/>
              </w:rPr>
              <w:t>1</w:t>
            </w:r>
          </w:p>
        </w:tc>
        <w:tc>
          <w:tcPr>
            <w:tcW w:w="2519" w:type="pct"/>
            <w:vAlign w:val="center"/>
          </w:tcPr>
          <w:p w14:paraId="48107BF5">
            <w:pPr>
              <w:pStyle w:val="218"/>
              <w:rPr>
                <w:color w:val="auto"/>
                <w:lang w:bidi="zh-CN"/>
              </w:rPr>
            </w:pPr>
            <w:r>
              <w:rPr>
                <w:color w:val="auto"/>
                <w:lang w:bidi="zh-CN"/>
              </w:rPr>
              <w:t>灰渣系统用水</w:t>
            </w:r>
          </w:p>
        </w:tc>
        <w:tc>
          <w:tcPr>
            <w:tcW w:w="904" w:type="pct"/>
            <w:vAlign w:val="center"/>
          </w:tcPr>
          <w:p w14:paraId="3B7040D1">
            <w:pPr>
              <w:pStyle w:val="218"/>
              <w:rPr>
                <w:color w:val="auto"/>
                <w:lang w:bidi="zh-CN"/>
              </w:rPr>
            </w:pPr>
            <w:r>
              <w:rPr>
                <w:rFonts w:hint="eastAsia"/>
                <w:color w:val="auto"/>
                <w:lang w:bidi="zh-CN"/>
              </w:rPr>
              <w:t>4</w:t>
            </w:r>
          </w:p>
        </w:tc>
        <w:tc>
          <w:tcPr>
            <w:tcW w:w="904" w:type="pct"/>
          </w:tcPr>
          <w:p w14:paraId="5C737175">
            <w:pPr>
              <w:pStyle w:val="218"/>
              <w:rPr>
                <w:color w:val="auto"/>
                <w:lang w:bidi="zh-CN"/>
              </w:rPr>
            </w:pPr>
            <w:r>
              <w:rPr>
                <w:color w:val="auto"/>
                <w:lang w:bidi="zh-CN"/>
              </w:rPr>
              <w:t>消耗</w:t>
            </w:r>
          </w:p>
        </w:tc>
      </w:tr>
      <w:tr w14:paraId="31A4D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1B274D75">
            <w:pPr>
              <w:pStyle w:val="218"/>
              <w:rPr>
                <w:color w:val="auto"/>
                <w:lang w:bidi="zh-CN"/>
              </w:rPr>
            </w:pPr>
            <w:r>
              <w:rPr>
                <w:rFonts w:hint="eastAsia"/>
                <w:color w:val="auto"/>
                <w:lang w:bidi="zh-CN"/>
              </w:rPr>
              <w:t>2</w:t>
            </w:r>
          </w:p>
        </w:tc>
        <w:tc>
          <w:tcPr>
            <w:tcW w:w="2519" w:type="pct"/>
            <w:vAlign w:val="center"/>
          </w:tcPr>
          <w:p w14:paraId="4DD345D7">
            <w:pPr>
              <w:pStyle w:val="218"/>
              <w:rPr>
                <w:color w:val="auto"/>
                <w:lang w:bidi="zh-CN"/>
              </w:rPr>
            </w:pPr>
            <w:r>
              <w:rPr>
                <w:color w:val="auto"/>
                <w:lang w:bidi="zh-CN"/>
              </w:rPr>
              <w:t>暖通用水</w:t>
            </w:r>
          </w:p>
        </w:tc>
        <w:tc>
          <w:tcPr>
            <w:tcW w:w="904" w:type="pct"/>
            <w:vAlign w:val="center"/>
          </w:tcPr>
          <w:p w14:paraId="3D2B15C2">
            <w:pPr>
              <w:pStyle w:val="218"/>
              <w:rPr>
                <w:color w:val="auto"/>
                <w:lang w:bidi="zh-CN"/>
              </w:rPr>
            </w:pPr>
            <w:r>
              <w:rPr>
                <w:rFonts w:hint="eastAsia"/>
                <w:color w:val="auto"/>
                <w:lang w:bidi="zh-CN"/>
              </w:rPr>
              <w:t>4</w:t>
            </w:r>
          </w:p>
        </w:tc>
        <w:tc>
          <w:tcPr>
            <w:tcW w:w="904" w:type="pct"/>
          </w:tcPr>
          <w:p w14:paraId="38EE8659">
            <w:pPr>
              <w:pStyle w:val="218"/>
              <w:rPr>
                <w:color w:val="auto"/>
                <w:lang w:bidi="zh-CN"/>
              </w:rPr>
            </w:pPr>
            <w:r>
              <w:rPr>
                <w:color w:val="auto"/>
                <w:lang w:bidi="zh-CN"/>
              </w:rPr>
              <w:t>消耗</w:t>
            </w:r>
          </w:p>
        </w:tc>
      </w:tr>
      <w:tr w14:paraId="4E7B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1C50D6A4">
            <w:pPr>
              <w:pStyle w:val="218"/>
              <w:rPr>
                <w:color w:val="auto"/>
                <w:lang w:bidi="zh-CN"/>
              </w:rPr>
            </w:pPr>
            <w:r>
              <w:rPr>
                <w:rFonts w:hint="eastAsia"/>
                <w:color w:val="auto"/>
                <w:lang w:bidi="zh-CN"/>
              </w:rPr>
              <w:t>3</w:t>
            </w:r>
          </w:p>
        </w:tc>
        <w:tc>
          <w:tcPr>
            <w:tcW w:w="2519" w:type="pct"/>
            <w:vAlign w:val="center"/>
          </w:tcPr>
          <w:p w14:paraId="64472353">
            <w:pPr>
              <w:pStyle w:val="218"/>
              <w:rPr>
                <w:color w:val="auto"/>
                <w:lang w:bidi="zh-CN"/>
              </w:rPr>
            </w:pPr>
            <w:r>
              <w:rPr>
                <w:color w:val="auto"/>
                <w:lang w:bidi="zh-CN"/>
              </w:rPr>
              <w:t>化学服务水</w:t>
            </w:r>
          </w:p>
        </w:tc>
        <w:tc>
          <w:tcPr>
            <w:tcW w:w="904" w:type="pct"/>
            <w:vAlign w:val="center"/>
          </w:tcPr>
          <w:p w14:paraId="18230783">
            <w:pPr>
              <w:pStyle w:val="218"/>
              <w:rPr>
                <w:color w:val="auto"/>
                <w:lang w:bidi="zh-CN"/>
              </w:rPr>
            </w:pPr>
            <w:r>
              <w:rPr>
                <w:rFonts w:hint="eastAsia"/>
                <w:color w:val="auto"/>
                <w:lang w:bidi="zh-CN"/>
              </w:rPr>
              <w:t>4</w:t>
            </w:r>
          </w:p>
        </w:tc>
        <w:tc>
          <w:tcPr>
            <w:tcW w:w="904" w:type="pct"/>
          </w:tcPr>
          <w:p w14:paraId="12E3F6B2">
            <w:pPr>
              <w:pStyle w:val="218"/>
              <w:rPr>
                <w:color w:val="auto"/>
                <w:lang w:bidi="zh-CN"/>
              </w:rPr>
            </w:pPr>
            <w:r>
              <w:rPr>
                <w:color w:val="auto"/>
                <w:lang w:bidi="zh-CN"/>
              </w:rPr>
              <w:t>消耗</w:t>
            </w:r>
          </w:p>
        </w:tc>
      </w:tr>
      <w:tr w14:paraId="2DFE3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7FEBF233">
            <w:pPr>
              <w:pStyle w:val="218"/>
              <w:rPr>
                <w:color w:val="auto"/>
                <w:lang w:bidi="zh-CN"/>
              </w:rPr>
            </w:pPr>
            <w:r>
              <w:rPr>
                <w:rFonts w:hint="eastAsia"/>
                <w:color w:val="auto"/>
                <w:lang w:bidi="zh-CN"/>
              </w:rPr>
              <w:t>4</w:t>
            </w:r>
          </w:p>
        </w:tc>
        <w:tc>
          <w:tcPr>
            <w:tcW w:w="2519" w:type="pct"/>
            <w:vAlign w:val="center"/>
          </w:tcPr>
          <w:p w14:paraId="19B7812C">
            <w:pPr>
              <w:pStyle w:val="218"/>
              <w:rPr>
                <w:color w:val="auto"/>
                <w:lang w:bidi="zh-CN"/>
              </w:rPr>
            </w:pPr>
            <w:r>
              <w:rPr>
                <w:color w:val="auto"/>
                <w:lang w:bidi="zh-CN"/>
              </w:rPr>
              <w:t>脱硫工艺用水</w:t>
            </w:r>
          </w:p>
        </w:tc>
        <w:tc>
          <w:tcPr>
            <w:tcW w:w="904" w:type="pct"/>
            <w:vAlign w:val="center"/>
          </w:tcPr>
          <w:p w14:paraId="2FE3252A">
            <w:pPr>
              <w:pStyle w:val="218"/>
              <w:rPr>
                <w:color w:val="auto"/>
                <w:lang w:bidi="zh-CN"/>
              </w:rPr>
            </w:pPr>
            <w:r>
              <w:rPr>
                <w:color w:val="auto"/>
                <w:lang w:bidi="zh-CN"/>
              </w:rPr>
              <w:t>28</w:t>
            </w:r>
          </w:p>
        </w:tc>
        <w:tc>
          <w:tcPr>
            <w:tcW w:w="904" w:type="pct"/>
          </w:tcPr>
          <w:p w14:paraId="38158E3B">
            <w:pPr>
              <w:pStyle w:val="218"/>
              <w:rPr>
                <w:color w:val="auto"/>
                <w:lang w:bidi="zh-CN"/>
              </w:rPr>
            </w:pPr>
            <w:r>
              <w:rPr>
                <w:color w:val="auto"/>
                <w:lang w:bidi="zh-CN"/>
              </w:rPr>
              <w:t>消耗</w:t>
            </w:r>
            <w:r>
              <w:rPr>
                <w:rFonts w:hint="eastAsia"/>
                <w:color w:val="auto"/>
                <w:lang w:bidi="zh-CN"/>
              </w:rPr>
              <w:t>27，</w:t>
            </w:r>
            <w:r>
              <w:rPr>
                <w:rFonts w:hint="eastAsia"/>
                <w:bCs/>
                <w:color w:val="auto"/>
                <w:lang w:bidi="zh-CN"/>
              </w:rPr>
              <w:t>旋转喷雾干燥1</w:t>
            </w:r>
          </w:p>
        </w:tc>
      </w:tr>
      <w:tr w14:paraId="1B5D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0D5D6CFD">
            <w:pPr>
              <w:pStyle w:val="218"/>
              <w:rPr>
                <w:color w:val="auto"/>
                <w:lang w:bidi="zh-CN"/>
              </w:rPr>
            </w:pPr>
            <w:r>
              <w:rPr>
                <w:rFonts w:hint="eastAsia"/>
                <w:color w:val="auto"/>
                <w:lang w:bidi="zh-CN"/>
              </w:rPr>
              <w:t>5</w:t>
            </w:r>
          </w:p>
        </w:tc>
        <w:tc>
          <w:tcPr>
            <w:tcW w:w="2519" w:type="pct"/>
            <w:vAlign w:val="center"/>
          </w:tcPr>
          <w:p w14:paraId="542ACCCC">
            <w:pPr>
              <w:pStyle w:val="218"/>
              <w:rPr>
                <w:color w:val="auto"/>
                <w:lang w:bidi="zh-CN"/>
              </w:rPr>
            </w:pPr>
            <w:r>
              <w:rPr>
                <w:color w:val="auto"/>
                <w:lang w:bidi="zh-CN"/>
              </w:rPr>
              <w:t>地面冲洗水</w:t>
            </w:r>
          </w:p>
        </w:tc>
        <w:tc>
          <w:tcPr>
            <w:tcW w:w="904" w:type="pct"/>
            <w:vAlign w:val="center"/>
          </w:tcPr>
          <w:p w14:paraId="08FF925E">
            <w:pPr>
              <w:pStyle w:val="218"/>
              <w:rPr>
                <w:color w:val="auto"/>
                <w:lang w:bidi="zh-CN"/>
              </w:rPr>
            </w:pPr>
            <w:r>
              <w:rPr>
                <w:rFonts w:hint="eastAsia"/>
                <w:color w:val="auto"/>
                <w:lang w:bidi="zh-CN"/>
              </w:rPr>
              <w:t>1</w:t>
            </w:r>
          </w:p>
        </w:tc>
        <w:tc>
          <w:tcPr>
            <w:tcW w:w="904" w:type="pct"/>
          </w:tcPr>
          <w:p w14:paraId="4F9ED4F9">
            <w:pPr>
              <w:pStyle w:val="218"/>
              <w:rPr>
                <w:color w:val="auto"/>
                <w:lang w:bidi="zh-CN"/>
              </w:rPr>
            </w:pPr>
            <w:r>
              <w:rPr>
                <w:color w:val="auto"/>
                <w:lang w:bidi="zh-CN"/>
              </w:rPr>
              <w:t>消耗</w:t>
            </w:r>
          </w:p>
        </w:tc>
      </w:tr>
      <w:tr w14:paraId="17DD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pct"/>
            <w:vAlign w:val="center"/>
          </w:tcPr>
          <w:p w14:paraId="61194787">
            <w:pPr>
              <w:pStyle w:val="218"/>
              <w:rPr>
                <w:color w:val="auto"/>
                <w:lang w:bidi="zh-CN"/>
              </w:rPr>
            </w:pPr>
            <w:r>
              <w:rPr>
                <w:rFonts w:hint="eastAsia"/>
                <w:color w:val="auto"/>
                <w:lang w:bidi="zh-CN"/>
              </w:rPr>
              <w:t>6</w:t>
            </w:r>
          </w:p>
        </w:tc>
        <w:tc>
          <w:tcPr>
            <w:tcW w:w="2519" w:type="pct"/>
            <w:vAlign w:val="center"/>
          </w:tcPr>
          <w:p w14:paraId="21DA0161">
            <w:pPr>
              <w:pStyle w:val="218"/>
              <w:rPr>
                <w:color w:val="auto"/>
                <w:lang w:bidi="zh-CN"/>
              </w:rPr>
            </w:pPr>
            <w:r>
              <w:rPr>
                <w:color w:val="auto"/>
                <w:lang w:bidi="zh-CN"/>
              </w:rPr>
              <w:t>煤场喷淋</w:t>
            </w:r>
            <w:r>
              <w:rPr>
                <w:rFonts w:hint="eastAsia"/>
                <w:color w:val="auto"/>
                <w:lang w:bidi="zh-CN"/>
              </w:rPr>
              <w:t>、栈桥冲洗水</w:t>
            </w:r>
          </w:p>
        </w:tc>
        <w:tc>
          <w:tcPr>
            <w:tcW w:w="904" w:type="pct"/>
            <w:vAlign w:val="center"/>
          </w:tcPr>
          <w:p w14:paraId="437398F7">
            <w:pPr>
              <w:pStyle w:val="218"/>
              <w:rPr>
                <w:color w:val="auto"/>
                <w:lang w:bidi="zh-CN"/>
              </w:rPr>
            </w:pPr>
            <w:r>
              <w:rPr>
                <w:rFonts w:hint="eastAsia"/>
                <w:color w:val="auto"/>
                <w:lang w:bidi="zh-CN"/>
              </w:rPr>
              <w:t>7.5</w:t>
            </w:r>
          </w:p>
        </w:tc>
        <w:tc>
          <w:tcPr>
            <w:tcW w:w="904" w:type="pct"/>
          </w:tcPr>
          <w:p w14:paraId="44C01472">
            <w:pPr>
              <w:pStyle w:val="218"/>
              <w:rPr>
                <w:color w:val="auto"/>
                <w:lang w:bidi="zh-CN"/>
              </w:rPr>
            </w:pPr>
            <w:r>
              <w:rPr>
                <w:rFonts w:hint="eastAsia"/>
                <w:color w:val="auto"/>
                <w:lang w:bidi="zh-CN"/>
              </w:rPr>
              <w:t>消耗10，码头回用2.5</w:t>
            </w:r>
          </w:p>
        </w:tc>
      </w:tr>
      <w:tr w14:paraId="51A7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pct"/>
            <w:gridSpan w:val="2"/>
            <w:vAlign w:val="center"/>
          </w:tcPr>
          <w:p w14:paraId="1C601226">
            <w:pPr>
              <w:pStyle w:val="218"/>
              <w:rPr>
                <w:color w:val="auto"/>
                <w:lang w:bidi="zh-CN"/>
              </w:rPr>
            </w:pPr>
            <w:r>
              <w:rPr>
                <w:rFonts w:hint="eastAsia"/>
                <w:color w:val="auto"/>
                <w:lang w:bidi="zh-CN"/>
              </w:rPr>
              <w:t>合计</w:t>
            </w:r>
          </w:p>
        </w:tc>
        <w:tc>
          <w:tcPr>
            <w:tcW w:w="1808" w:type="pct"/>
            <w:gridSpan w:val="2"/>
            <w:vAlign w:val="center"/>
          </w:tcPr>
          <w:p w14:paraId="2CA50469">
            <w:pPr>
              <w:pStyle w:val="218"/>
              <w:rPr>
                <w:color w:val="auto"/>
                <w:lang w:bidi="zh-CN"/>
              </w:rPr>
            </w:pPr>
            <w:r>
              <w:rPr>
                <w:rFonts w:hint="eastAsia"/>
                <w:color w:val="auto"/>
                <w:lang w:bidi="zh-CN"/>
              </w:rPr>
              <w:t>48.5</w:t>
            </w:r>
          </w:p>
        </w:tc>
      </w:tr>
    </w:tbl>
    <w:p w14:paraId="4ABE8130">
      <w:pPr>
        <w:pStyle w:val="86"/>
      </w:pPr>
      <w:r>
        <w:rPr>
          <w:rFonts w:hint="eastAsia"/>
        </w:rPr>
        <w:t>本项目市政管网用水量一览表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3635"/>
        <w:gridCol w:w="1305"/>
        <w:gridCol w:w="1305"/>
        <w:gridCol w:w="1305"/>
      </w:tblGrid>
      <w:tr w14:paraId="1D37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096EDE8A">
            <w:pPr>
              <w:pStyle w:val="218"/>
              <w:rPr>
                <w:color w:val="auto"/>
                <w:lang w:bidi="zh-CN"/>
              </w:rPr>
            </w:pPr>
            <w:r>
              <w:rPr>
                <w:rFonts w:hint="eastAsia"/>
                <w:color w:val="auto"/>
                <w:lang w:bidi="zh-CN"/>
              </w:rPr>
              <w:t>序号</w:t>
            </w:r>
          </w:p>
        </w:tc>
        <w:tc>
          <w:tcPr>
            <w:tcW w:w="2133" w:type="pct"/>
            <w:vAlign w:val="center"/>
          </w:tcPr>
          <w:p w14:paraId="7D5C0E46">
            <w:pPr>
              <w:pStyle w:val="218"/>
              <w:rPr>
                <w:color w:val="auto"/>
                <w:lang w:bidi="zh-CN"/>
              </w:rPr>
            </w:pPr>
            <w:r>
              <w:rPr>
                <w:rFonts w:hint="eastAsia"/>
                <w:color w:val="auto"/>
                <w:lang w:bidi="zh-CN"/>
              </w:rPr>
              <w:t>用水项目</w:t>
            </w:r>
          </w:p>
        </w:tc>
        <w:tc>
          <w:tcPr>
            <w:tcW w:w="766" w:type="pct"/>
            <w:vAlign w:val="center"/>
          </w:tcPr>
          <w:p w14:paraId="4F9C91D5">
            <w:pPr>
              <w:pStyle w:val="218"/>
              <w:rPr>
                <w:color w:val="auto"/>
                <w:lang w:bidi="zh-CN"/>
              </w:rPr>
            </w:pPr>
            <w:r>
              <w:rPr>
                <w:color w:val="auto"/>
                <w:lang w:bidi="zh-CN"/>
              </w:rPr>
              <w:t>用水量</w:t>
            </w:r>
          </w:p>
        </w:tc>
        <w:tc>
          <w:tcPr>
            <w:tcW w:w="766" w:type="pct"/>
            <w:vAlign w:val="center"/>
          </w:tcPr>
          <w:p w14:paraId="449382B4">
            <w:pPr>
              <w:pStyle w:val="218"/>
              <w:rPr>
                <w:color w:val="auto"/>
                <w:lang w:bidi="zh-CN"/>
              </w:rPr>
            </w:pPr>
            <w:r>
              <w:rPr>
                <w:color w:val="auto"/>
                <w:lang w:bidi="zh-CN"/>
              </w:rPr>
              <w:t>回水量</w:t>
            </w:r>
          </w:p>
        </w:tc>
        <w:tc>
          <w:tcPr>
            <w:tcW w:w="765" w:type="pct"/>
            <w:vAlign w:val="center"/>
          </w:tcPr>
          <w:p w14:paraId="6A0A0390">
            <w:pPr>
              <w:pStyle w:val="218"/>
              <w:rPr>
                <w:color w:val="auto"/>
                <w:lang w:bidi="zh-CN"/>
              </w:rPr>
            </w:pPr>
            <w:r>
              <w:rPr>
                <w:color w:val="auto"/>
                <w:lang w:bidi="zh-CN"/>
              </w:rPr>
              <w:t>备注</w:t>
            </w:r>
          </w:p>
        </w:tc>
      </w:tr>
      <w:tr w14:paraId="67BE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7807234D">
            <w:pPr>
              <w:pStyle w:val="218"/>
              <w:rPr>
                <w:color w:val="auto"/>
                <w:lang w:bidi="zh-CN"/>
              </w:rPr>
            </w:pPr>
            <w:r>
              <w:rPr>
                <w:rFonts w:hint="eastAsia"/>
                <w:color w:val="auto"/>
                <w:lang w:bidi="zh-CN"/>
              </w:rPr>
              <w:t>1</w:t>
            </w:r>
          </w:p>
        </w:tc>
        <w:tc>
          <w:tcPr>
            <w:tcW w:w="2133" w:type="pct"/>
            <w:vAlign w:val="center"/>
          </w:tcPr>
          <w:p w14:paraId="44E22B98">
            <w:pPr>
              <w:pStyle w:val="218"/>
              <w:rPr>
                <w:color w:val="auto"/>
                <w:lang w:bidi="zh-CN"/>
              </w:rPr>
            </w:pPr>
            <w:r>
              <w:rPr>
                <w:rFonts w:hint="eastAsia"/>
                <w:color w:val="auto"/>
                <w:lang w:bidi="zh-CN"/>
              </w:rPr>
              <w:t>厂区生活用水</w:t>
            </w:r>
          </w:p>
        </w:tc>
        <w:tc>
          <w:tcPr>
            <w:tcW w:w="766" w:type="pct"/>
            <w:vAlign w:val="center"/>
          </w:tcPr>
          <w:p w14:paraId="33AF5257">
            <w:pPr>
              <w:pStyle w:val="218"/>
              <w:rPr>
                <w:color w:val="auto"/>
                <w:lang w:bidi="zh-CN"/>
              </w:rPr>
            </w:pPr>
            <w:r>
              <w:rPr>
                <w:rFonts w:hint="eastAsia"/>
                <w:color w:val="auto"/>
                <w:lang w:bidi="zh-CN"/>
              </w:rPr>
              <w:t>3</w:t>
            </w:r>
          </w:p>
        </w:tc>
        <w:tc>
          <w:tcPr>
            <w:tcW w:w="766" w:type="pct"/>
            <w:vAlign w:val="center"/>
          </w:tcPr>
          <w:p w14:paraId="67F6B190">
            <w:pPr>
              <w:pStyle w:val="218"/>
              <w:rPr>
                <w:color w:val="auto"/>
                <w:lang w:bidi="zh-CN"/>
              </w:rPr>
            </w:pPr>
            <w:r>
              <w:rPr>
                <w:rFonts w:hint="eastAsia"/>
                <w:color w:val="auto"/>
                <w:lang w:bidi="zh-CN"/>
              </w:rPr>
              <w:t>2</w:t>
            </w:r>
          </w:p>
        </w:tc>
        <w:tc>
          <w:tcPr>
            <w:tcW w:w="765" w:type="pct"/>
            <w:vAlign w:val="center"/>
          </w:tcPr>
          <w:p w14:paraId="7E06D8F8">
            <w:pPr>
              <w:pStyle w:val="218"/>
              <w:rPr>
                <w:color w:val="auto"/>
                <w:lang w:bidi="zh-CN"/>
              </w:rPr>
            </w:pPr>
            <w:r>
              <w:rPr>
                <w:rFonts w:hint="eastAsia"/>
                <w:color w:val="auto"/>
                <w:lang w:bidi="zh-CN"/>
              </w:rPr>
              <w:t>消耗1</w:t>
            </w:r>
          </w:p>
        </w:tc>
      </w:tr>
      <w:tr w14:paraId="491D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17DAE9FB">
            <w:pPr>
              <w:pStyle w:val="218"/>
              <w:rPr>
                <w:color w:val="auto"/>
                <w:lang w:bidi="zh-CN"/>
              </w:rPr>
            </w:pPr>
            <w:r>
              <w:rPr>
                <w:rFonts w:hint="eastAsia"/>
                <w:color w:val="auto"/>
                <w:lang w:bidi="zh-CN"/>
              </w:rPr>
              <w:t>2</w:t>
            </w:r>
          </w:p>
        </w:tc>
        <w:tc>
          <w:tcPr>
            <w:tcW w:w="2133" w:type="pct"/>
            <w:vAlign w:val="center"/>
          </w:tcPr>
          <w:p w14:paraId="444F0C10">
            <w:pPr>
              <w:pStyle w:val="218"/>
              <w:rPr>
                <w:color w:val="auto"/>
                <w:lang w:bidi="zh-CN"/>
              </w:rPr>
            </w:pPr>
            <w:r>
              <w:rPr>
                <w:rFonts w:hint="eastAsia"/>
                <w:color w:val="auto"/>
                <w:lang w:bidi="zh-CN"/>
              </w:rPr>
              <w:t>码头</w:t>
            </w:r>
            <w:r>
              <w:rPr>
                <w:color w:val="auto"/>
                <w:lang w:bidi="zh-CN"/>
              </w:rPr>
              <w:t>生活用水</w:t>
            </w:r>
          </w:p>
        </w:tc>
        <w:tc>
          <w:tcPr>
            <w:tcW w:w="766" w:type="pct"/>
            <w:vAlign w:val="center"/>
          </w:tcPr>
          <w:p w14:paraId="278E9F66">
            <w:pPr>
              <w:pStyle w:val="218"/>
              <w:rPr>
                <w:color w:val="auto"/>
                <w:lang w:bidi="zh-CN"/>
              </w:rPr>
            </w:pPr>
            <w:r>
              <w:rPr>
                <w:rFonts w:hint="eastAsia"/>
                <w:color w:val="auto"/>
                <w:lang w:bidi="zh-CN"/>
              </w:rPr>
              <w:t>1.8</w:t>
            </w:r>
          </w:p>
        </w:tc>
        <w:tc>
          <w:tcPr>
            <w:tcW w:w="766" w:type="pct"/>
            <w:vAlign w:val="center"/>
          </w:tcPr>
          <w:p w14:paraId="2585E0E0">
            <w:pPr>
              <w:pStyle w:val="218"/>
              <w:rPr>
                <w:color w:val="auto"/>
                <w:lang w:bidi="zh-CN"/>
              </w:rPr>
            </w:pPr>
            <w:r>
              <w:rPr>
                <w:rFonts w:hint="eastAsia"/>
                <w:color w:val="auto"/>
                <w:lang w:bidi="zh-CN"/>
              </w:rPr>
              <w:t>0.3</w:t>
            </w:r>
          </w:p>
        </w:tc>
        <w:tc>
          <w:tcPr>
            <w:tcW w:w="765" w:type="pct"/>
            <w:vAlign w:val="center"/>
          </w:tcPr>
          <w:p w14:paraId="1C10BC88">
            <w:pPr>
              <w:pStyle w:val="218"/>
              <w:rPr>
                <w:color w:val="auto"/>
                <w:lang w:bidi="zh-CN"/>
              </w:rPr>
            </w:pPr>
            <w:r>
              <w:rPr>
                <w:rFonts w:hint="eastAsia"/>
                <w:color w:val="auto"/>
                <w:lang w:bidi="zh-CN"/>
              </w:rPr>
              <w:t>消耗1.5</w:t>
            </w:r>
          </w:p>
        </w:tc>
      </w:tr>
      <w:tr w14:paraId="48866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pct"/>
            <w:vAlign w:val="center"/>
          </w:tcPr>
          <w:p w14:paraId="082BA37E">
            <w:pPr>
              <w:pStyle w:val="218"/>
              <w:rPr>
                <w:color w:val="auto"/>
                <w:lang w:bidi="zh-CN"/>
              </w:rPr>
            </w:pPr>
            <w:r>
              <w:rPr>
                <w:rFonts w:hint="eastAsia"/>
                <w:color w:val="auto"/>
                <w:lang w:bidi="zh-CN"/>
              </w:rPr>
              <w:t>3</w:t>
            </w:r>
          </w:p>
        </w:tc>
        <w:tc>
          <w:tcPr>
            <w:tcW w:w="2133" w:type="pct"/>
            <w:vAlign w:val="center"/>
          </w:tcPr>
          <w:p w14:paraId="0D2BC3F0">
            <w:pPr>
              <w:pStyle w:val="218"/>
              <w:rPr>
                <w:color w:val="auto"/>
                <w:lang w:bidi="zh-CN"/>
              </w:rPr>
            </w:pPr>
            <w:r>
              <w:rPr>
                <w:rFonts w:hint="eastAsia"/>
                <w:color w:val="auto"/>
                <w:lang w:bidi="zh-CN"/>
              </w:rPr>
              <w:t>码头面</w:t>
            </w:r>
            <w:r>
              <w:rPr>
                <w:color w:val="auto"/>
                <w:lang w:bidi="zh-CN"/>
              </w:rPr>
              <w:t>冲洗水</w:t>
            </w:r>
          </w:p>
        </w:tc>
        <w:tc>
          <w:tcPr>
            <w:tcW w:w="766" w:type="pct"/>
            <w:vAlign w:val="center"/>
          </w:tcPr>
          <w:p w14:paraId="63087346">
            <w:pPr>
              <w:pStyle w:val="218"/>
              <w:rPr>
                <w:color w:val="auto"/>
                <w:lang w:bidi="zh-CN"/>
              </w:rPr>
            </w:pPr>
            <w:r>
              <w:rPr>
                <w:rFonts w:hint="eastAsia"/>
                <w:color w:val="auto"/>
                <w:lang w:bidi="zh-CN"/>
              </w:rPr>
              <w:t>2.5</w:t>
            </w:r>
          </w:p>
        </w:tc>
        <w:tc>
          <w:tcPr>
            <w:tcW w:w="766" w:type="pct"/>
            <w:vAlign w:val="center"/>
          </w:tcPr>
          <w:p w14:paraId="563B4142">
            <w:pPr>
              <w:pStyle w:val="218"/>
              <w:rPr>
                <w:color w:val="auto"/>
                <w:lang w:bidi="zh-CN"/>
              </w:rPr>
            </w:pPr>
            <w:r>
              <w:rPr>
                <w:rFonts w:hint="eastAsia"/>
                <w:color w:val="auto"/>
                <w:lang w:bidi="zh-CN"/>
              </w:rPr>
              <w:t>2.5</w:t>
            </w:r>
          </w:p>
        </w:tc>
        <w:tc>
          <w:tcPr>
            <w:tcW w:w="765" w:type="pct"/>
            <w:vAlign w:val="center"/>
          </w:tcPr>
          <w:p w14:paraId="3A437258">
            <w:pPr>
              <w:pStyle w:val="218"/>
              <w:rPr>
                <w:color w:val="auto"/>
                <w:lang w:bidi="zh-CN"/>
              </w:rPr>
            </w:pPr>
            <w:r>
              <w:rPr>
                <w:rFonts w:hint="eastAsia"/>
                <w:color w:val="auto"/>
                <w:lang w:bidi="zh-CN"/>
              </w:rPr>
              <w:t>厂区含煤废水处理系统</w:t>
            </w:r>
          </w:p>
        </w:tc>
      </w:tr>
      <w:tr w14:paraId="48396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2" w:type="pct"/>
            <w:gridSpan w:val="2"/>
            <w:vAlign w:val="center"/>
          </w:tcPr>
          <w:p w14:paraId="681009A3">
            <w:pPr>
              <w:pStyle w:val="218"/>
              <w:rPr>
                <w:color w:val="auto"/>
                <w:lang w:bidi="zh-CN"/>
              </w:rPr>
            </w:pPr>
            <w:r>
              <w:rPr>
                <w:rFonts w:hint="eastAsia"/>
                <w:color w:val="auto"/>
                <w:lang w:bidi="zh-CN"/>
              </w:rPr>
              <w:t>合计</w:t>
            </w:r>
          </w:p>
        </w:tc>
        <w:tc>
          <w:tcPr>
            <w:tcW w:w="766" w:type="pct"/>
            <w:vAlign w:val="center"/>
          </w:tcPr>
          <w:p w14:paraId="4A4EA95A">
            <w:pPr>
              <w:pStyle w:val="218"/>
              <w:rPr>
                <w:color w:val="auto"/>
                <w:lang w:bidi="zh-CN"/>
              </w:rPr>
            </w:pPr>
            <w:r>
              <w:rPr>
                <w:rFonts w:hint="eastAsia"/>
                <w:color w:val="auto"/>
                <w:lang w:bidi="zh-CN"/>
              </w:rPr>
              <w:t>7.3</w:t>
            </w:r>
          </w:p>
        </w:tc>
        <w:tc>
          <w:tcPr>
            <w:tcW w:w="766" w:type="pct"/>
            <w:vAlign w:val="center"/>
          </w:tcPr>
          <w:p w14:paraId="46C3B431">
            <w:pPr>
              <w:pStyle w:val="218"/>
              <w:rPr>
                <w:color w:val="auto"/>
                <w:lang w:bidi="zh-CN"/>
              </w:rPr>
            </w:pPr>
            <w:r>
              <w:rPr>
                <w:rFonts w:hint="eastAsia"/>
                <w:color w:val="auto"/>
                <w:lang w:bidi="zh-CN"/>
              </w:rPr>
              <w:t>4.8</w:t>
            </w:r>
          </w:p>
        </w:tc>
        <w:tc>
          <w:tcPr>
            <w:tcW w:w="765" w:type="pct"/>
            <w:vAlign w:val="center"/>
          </w:tcPr>
          <w:p w14:paraId="5CE4951D">
            <w:pPr>
              <w:pStyle w:val="218"/>
              <w:rPr>
                <w:color w:val="auto"/>
                <w:lang w:bidi="zh-CN"/>
              </w:rPr>
            </w:pPr>
          </w:p>
        </w:tc>
      </w:tr>
    </w:tbl>
    <w:p w14:paraId="5D373967">
      <w:pPr>
        <w:pStyle w:val="139"/>
        <w:ind w:firstLine="480"/>
        <w:rPr>
          <w:color w:val="auto"/>
          <w:lang w:val="en-US"/>
        </w:rPr>
      </w:pPr>
      <w:r>
        <w:rPr>
          <w:rFonts w:hint="eastAsia"/>
          <w:color w:val="auto"/>
          <w:lang w:val="en-US"/>
        </w:rPr>
        <w:t>热电项目</w:t>
      </w:r>
      <w:r>
        <w:rPr>
          <w:color w:val="auto"/>
          <w:lang w:val="en-US"/>
        </w:rPr>
        <w:t>原水取水量为3</w:t>
      </w:r>
      <w:r>
        <w:rPr>
          <w:rFonts w:hint="eastAsia"/>
          <w:color w:val="auto"/>
          <w:lang w:val="en-US"/>
        </w:rPr>
        <w:t>05.61</w:t>
      </w:r>
      <w:r>
        <w:rPr>
          <w:color w:val="auto"/>
          <w:lang w:val="en-US"/>
        </w:rPr>
        <w:t>t/h，其中用于冷却水补水21t/h</w:t>
      </w:r>
      <w:r>
        <w:rPr>
          <w:rFonts w:hint="eastAsia"/>
          <w:color w:val="auto"/>
          <w:lang w:val="en-US"/>
        </w:rPr>
        <w:t>，化学水</w:t>
      </w:r>
      <w:r>
        <w:rPr>
          <w:color w:val="auto"/>
          <w:lang w:val="en-US"/>
        </w:rPr>
        <w:t>用水</w:t>
      </w:r>
      <w:r>
        <w:rPr>
          <w:rFonts w:hint="eastAsia"/>
          <w:color w:val="auto"/>
          <w:lang w:val="en-US"/>
        </w:rPr>
        <w:t>332</w:t>
      </w:r>
      <w:r>
        <w:rPr>
          <w:color w:val="auto"/>
          <w:lang w:val="en-US"/>
        </w:rPr>
        <w:t xml:space="preserve"> t/h</w:t>
      </w:r>
      <w:r>
        <w:rPr>
          <w:rFonts w:hint="eastAsia"/>
          <w:color w:val="auto"/>
          <w:lang w:val="en-US"/>
        </w:rPr>
        <w:t>，</w:t>
      </w:r>
      <w:r>
        <w:rPr>
          <w:color w:val="auto"/>
          <w:lang w:val="en-US"/>
        </w:rPr>
        <w:t>污泥浓缩脱水系统用水</w:t>
      </w:r>
      <w:r>
        <w:rPr>
          <w:rFonts w:hint="eastAsia"/>
          <w:color w:val="auto"/>
          <w:lang w:val="en-US"/>
        </w:rPr>
        <w:t>2</w:t>
      </w:r>
      <w:r>
        <w:rPr>
          <w:color w:val="auto"/>
          <w:lang w:val="en-US"/>
        </w:rPr>
        <w:t xml:space="preserve"> t/h。污泥浓缩脱水处理环节产生的</w:t>
      </w:r>
      <w:r>
        <w:rPr>
          <w:rFonts w:hint="eastAsia"/>
          <w:color w:val="auto"/>
          <w:lang w:val="en-US"/>
        </w:rPr>
        <w:t>水量18.89t/h以及超滤反冲洗排水量约32t/h，</w:t>
      </w:r>
      <w:r>
        <w:rPr>
          <w:color w:val="auto"/>
          <w:lang w:val="en-US"/>
        </w:rPr>
        <w:t>主要污染物为</w:t>
      </w:r>
      <w:r>
        <w:rPr>
          <w:rFonts w:hint="eastAsia"/>
          <w:color w:val="auto"/>
          <w:lang w:val="en-US"/>
        </w:rPr>
        <w:t>SS，与原水水质接近，</w:t>
      </w:r>
      <w:r>
        <w:rPr>
          <w:color w:val="auto"/>
          <w:lang w:val="en-US"/>
        </w:rPr>
        <w:t>回至原水处理系统</w:t>
      </w:r>
      <w:r>
        <w:rPr>
          <w:rFonts w:hint="eastAsia"/>
          <w:color w:val="auto"/>
          <w:lang w:val="en-US"/>
        </w:rPr>
        <w:t>，与原水一起处理后回用。</w:t>
      </w:r>
    </w:p>
    <w:p w14:paraId="38086539">
      <w:pPr>
        <w:pStyle w:val="84"/>
      </w:pPr>
      <w:r>
        <w:rPr>
          <w:rFonts w:hint="eastAsia"/>
        </w:rPr>
        <w:t>厂区排水</w:t>
      </w:r>
    </w:p>
    <w:p w14:paraId="387F6B41">
      <w:pPr>
        <w:pStyle w:val="139"/>
        <w:ind w:firstLine="480"/>
        <w:rPr>
          <w:color w:val="auto"/>
          <w:lang w:val="en-US"/>
        </w:rPr>
      </w:pPr>
      <w:r>
        <w:rPr>
          <w:rFonts w:hint="eastAsia"/>
          <w:color w:val="auto"/>
          <w:lang w:val="en-US"/>
        </w:rPr>
        <w:t>厂区雨水本项目厂区内排水采用雨、污分流制。不设污水排放口，废水全部厂内利用不外排；厂区通过道路及场地雨水口、建构筑物雨</w:t>
      </w:r>
      <w:r>
        <w:rPr>
          <w:rFonts w:hint="eastAsia"/>
          <w:color w:val="auto"/>
          <w:lang w:val="en-US" w:eastAsia="zh-CN"/>
        </w:rPr>
        <w:t>水管</w:t>
      </w:r>
      <w:r>
        <w:rPr>
          <w:rFonts w:hint="eastAsia"/>
          <w:color w:val="auto"/>
          <w:lang w:val="en-US"/>
        </w:rPr>
        <w:t>沟等设施收集雨水，再经遍及全厂的雨水下水道自流汇集至雨水泵房，经雨水泵房再排至厂外。设初期雨水池，容积约</w:t>
      </w:r>
      <w:r>
        <w:rPr>
          <w:color w:val="auto"/>
          <w:lang w:val="en-US"/>
        </w:rPr>
        <w:t>1500m</w:t>
      </w:r>
      <w:r>
        <w:rPr>
          <w:color w:val="auto"/>
          <w:vertAlign w:val="superscript"/>
          <w:lang w:val="en-US"/>
        </w:rPr>
        <w:t>3</w:t>
      </w:r>
      <w:r>
        <w:rPr>
          <w:rFonts w:hint="eastAsia"/>
          <w:color w:val="auto"/>
          <w:lang w:val="en-US"/>
        </w:rPr>
        <w:t>，待降雨结束后，初期雨水经过滤处理达回用水标准后排至全厂回用水池，回用于后方电厂的灰渣系统用水、锅炉房冲洗、汽机房冲洗、暖通用水、输煤栈桥及煤场喷洒用水补水等，和码头的设备冲洗用水、道路洒水、卸船喷淋用水等，不外排。初期雨水过滤装置处理能力50t/h。</w:t>
      </w:r>
    </w:p>
    <w:p w14:paraId="02DC905E">
      <w:pPr>
        <w:pStyle w:val="82"/>
      </w:pPr>
      <w:r>
        <w:rPr>
          <w:rFonts w:hint="eastAsia"/>
        </w:rPr>
        <w:t>热电项目与本项目有关的污染防治措施</w:t>
      </w:r>
    </w:p>
    <w:p w14:paraId="0E9503C3">
      <w:pPr>
        <w:pStyle w:val="93"/>
        <w:ind w:firstLine="482"/>
        <w:rPr>
          <w:b/>
          <w:bCs/>
        </w:rPr>
      </w:pPr>
      <w:r>
        <w:rPr>
          <w:rFonts w:hint="eastAsia"/>
          <w:b/>
          <w:bCs/>
        </w:rPr>
        <w:t>一、废水处理措施</w:t>
      </w:r>
    </w:p>
    <w:p w14:paraId="639B02BA">
      <w:pPr>
        <w:pStyle w:val="139"/>
        <w:ind w:firstLine="480"/>
        <w:rPr>
          <w:color w:val="auto"/>
        </w:rPr>
      </w:pPr>
      <w:r>
        <w:rPr>
          <w:rFonts w:hint="eastAsia"/>
          <w:color w:val="auto"/>
        </w:rPr>
        <w:t>生产废水主要包括脱硫废水、含煤废水、锅炉补给水处理系统排水、循环冷却水排污水等，其中脱硫废水采用中和（碱化）、沉降、絮凝处理后，通过旋转喷雾干燥技术实现零排放；含煤废水经煤水处理设施处理后，回用于输煤系统冲洗和煤场喷淋；化学水处理系统产生的反渗透浓水和循环冷却水排污水全部排至回用水池，用于脱硫工艺用水补水，煤场冲洗、喷淋用水补水及全厂服</w:t>
      </w:r>
      <w:r>
        <w:rPr>
          <w:rFonts w:hint="eastAsia"/>
          <w:color w:val="auto"/>
          <w:lang w:eastAsia="zh-CN"/>
        </w:rPr>
        <w:t>务用</w:t>
      </w:r>
      <w:r>
        <w:rPr>
          <w:rFonts w:hint="eastAsia"/>
          <w:color w:val="auto"/>
        </w:rPr>
        <w:t>水；锅炉清洗排水4年</w:t>
      </w:r>
      <w:r>
        <w:rPr>
          <w:rFonts w:hint="eastAsia"/>
          <w:color w:val="auto"/>
          <w:lang w:eastAsia="zh-CN"/>
        </w:rPr>
        <w:t>生产</w:t>
      </w:r>
      <w:r>
        <w:rPr>
          <w:rFonts w:hint="eastAsia"/>
          <w:color w:val="auto"/>
        </w:rPr>
        <w:t>一次，电厂委托专业锅炉清洗公司负责将完成清洗后的废水用密闭罐车外运至具有处理资质的公司处置。</w:t>
      </w:r>
    </w:p>
    <w:p w14:paraId="3860ED21">
      <w:pPr>
        <w:pStyle w:val="139"/>
        <w:ind w:firstLine="480"/>
        <w:rPr>
          <w:color w:val="auto"/>
        </w:rPr>
      </w:pPr>
      <w:r>
        <w:rPr>
          <w:rFonts w:hint="eastAsia"/>
          <w:color w:val="auto"/>
        </w:rPr>
        <w:t>1、本项目工业废水按经常性废水、非经常性废水分类。经常性废水包括超滤反洗排水、反渗透浓水和脱硫废水等；非经常性废水包括膜化学清洗排水、锅炉化学清洗排水等。处理技术工艺流程如下：</w:t>
      </w:r>
    </w:p>
    <w:p w14:paraId="7975E127">
      <w:pPr>
        <w:pStyle w:val="139"/>
        <w:ind w:firstLine="480"/>
        <w:rPr>
          <w:color w:val="auto"/>
        </w:rPr>
      </w:pPr>
      <w:r>
        <w:rPr>
          <w:rFonts w:hint="eastAsia"/>
          <w:color w:val="auto"/>
        </w:rPr>
        <w:t>（1）</w:t>
      </w:r>
      <w:r>
        <w:rPr>
          <w:color w:val="auto"/>
        </w:rPr>
        <w:t>超滤反洗排水</w:t>
      </w:r>
      <w:r>
        <w:rPr>
          <w:rFonts w:hint="eastAsia"/>
          <w:color w:val="auto"/>
        </w:rPr>
        <w:t>：</w:t>
      </w:r>
      <w:r>
        <w:rPr>
          <w:color w:val="auto"/>
        </w:rPr>
        <w:t>悬浮物较高，含盐量同进水，回至原水预处理系统</w:t>
      </w:r>
      <w:r>
        <w:rPr>
          <w:rFonts w:hint="eastAsia"/>
          <w:color w:val="auto"/>
        </w:rPr>
        <w:t>反应</w:t>
      </w:r>
      <w:r>
        <w:rPr>
          <w:color w:val="auto"/>
        </w:rPr>
        <w:t>沉淀池</w:t>
      </w:r>
      <w:r>
        <w:rPr>
          <w:rFonts w:hint="eastAsia"/>
          <w:color w:val="auto"/>
        </w:rPr>
        <w:t>。</w:t>
      </w:r>
    </w:p>
    <w:p w14:paraId="3A4B9106">
      <w:pPr>
        <w:pStyle w:val="139"/>
        <w:ind w:firstLine="480"/>
        <w:rPr>
          <w:color w:val="auto"/>
        </w:rPr>
      </w:pPr>
      <w:r>
        <w:rPr>
          <w:rFonts w:hint="eastAsia"/>
          <w:color w:val="auto"/>
        </w:rPr>
        <w:t>（2）一级反渗透浓水：共计约1</w:t>
      </w:r>
      <w:r>
        <w:rPr>
          <w:color w:val="auto"/>
        </w:rPr>
        <w:t>05/h</w:t>
      </w:r>
      <w:r>
        <w:rPr>
          <w:rFonts w:hint="eastAsia"/>
          <w:color w:val="auto"/>
        </w:rPr>
        <w:t>：其中8</w:t>
      </w:r>
      <w:r>
        <w:rPr>
          <w:color w:val="auto"/>
        </w:rPr>
        <w:t>3</w:t>
      </w:r>
      <w:r>
        <w:rPr>
          <w:rFonts w:hint="eastAsia"/>
          <w:color w:val="auto"/>
        </w:rPr>
        <w:t>t</w:t>
      </w:r>
      <w:r>
        <w:rPr>
          <w:color w:val="auto"/>
        </w:rPr>
        <w:t>/h</w:t>
      </w:r>
      <w:r>
        <w:rPr>
          <w:rFonts w:hint="eastAsia"/>
          <w:color w:val="auto"/>
        </w:rPr>
        <w:t>再经浓水反渗透减量至2</w:t>
      </w:r>
      <w:r>
        <w:rPr>
          <w:color w:val="auto"/>
        </w:rPr>
        <w:t>1</w:t>
      </w:r>
      <w:r>
        <w:rPr>
          <w:rFonts w:hint="eastAsia"/>
          <w:color w:val="auto"/>
        </w:rPr>
        <w:t>t</w:t>
      </w:r>
      <w:r>
        <w:rPr>
          <w:color w:val="auto"/>
        </w:rPr>
        <w:t>/</w:t>
      </w:r>
      <w:r>
        <w:rPr>
          <w:rFonts w:hint="eastAsia"/>
          <w:color w:val="auto"/>
        </w:rPr>
        <w:t>h（剩余62t/h回到一级反渗透处理），至回用水池；另外2</w:t>
      </w:r>
      <w:r>
        <w:rPr>
          <w:color w:val="auto"/>
        </w:rPr>
        <w:t>2</w:t>
      </w:r>
      <w:r>
        <w:rPr>
          <w:rFonts w:hint="eastAsia"/>
          <w:color w:val="auto"/>
        </w:rPr>
        <w:t>t</w:t>
      </w:r>
      <w:r>
        <w:rPr>
          <w:color w:val="auto"/>
        </w:rPr>
        <w:t>/h反渗透浓水</w:t>
      </w:r>
      <w:r>
        <w:rPr>
          <w:rFonts w:hint="eastAsia"/>
          <w:color w:val="auto"/>
        </w:rPr>
        <w:t>直接至回用水池。反渗透浓水外观清澈，含盐量较高，可全部直接回用作为二级用户用水，无需进行处理。</w:t>
      </w:r>
    </w:p>
    <w:p w14:paraId="000776C3">
      <w:pPr>
        <w:pStyle w:val="139"/>
        <w:ind w:firstLine="480"/>
        <w:rPr>
          <w:color w:val="auto"/>
        </w:rPr>
      </w:pPr>
      <w:r>
        <w:rPr>
          <w:rFonts w:hint="eastAsia"/>
          <w:color w:val="auto"/>
        </w:rPr>
        <w:t>（3）脱硫废水</w:t>
      </w:r>
    </w:p>
    <w:p w14:paraId="3963D9AD">
      <w:pPr>
        <w:pStyle w:val="139"/>
        <w:ind w:firstLine="480"/>
        <w:rPr>
          <w:color w:val="auto"/>
        </w:rPr>
      </w:pPr>
      <w:r>
        <w:rPr>
          <w:rFonts w:hint="eastAsia"/>
          <w:color w:val="auto"/>
        </w:rPr>
        <w:t>本项目的脱硫废水产生量约1t/h，需要设置单独的脱硫废水处理设施进行处理，脱硫废水水质特点是悬浮物浓度高、COD高、pH值呈酸性，石膏脱水后的脱硫废水经曝气、絮凝、加药、沉淀、pH 调节等一系列处理过程后，使废水 SS、COD、重金属离子、氟化物等有害元素满足《污水综合排放标准》</w:t>
      </w:r>
      <w:r>
        <w:rPr>
          <w:rFonts w:hint="eastAsia"/>
          <w:color w:val="auto"/>
          <w:lang w:eastAsia="zh-CN"/>
        </w:rPr>
        <w:t>（</w:t>
      </w:r>
      <w:r>
        <w:rPr>
          <w:rFonts w:hint="eastAsia"/>
          <w:color w:val="auto"/>
        </w:rPr>
        <w:t>GB8978</w:t>
      </w:r>
      <w:r>
        <w:rPr>
          <w:rFonts w:hint="eastAsia"/>
          <w:color w:val="auto"/>
          <w:lang w:eastAsia="zh-CN"/>
        </w:rPr>
        <w:t>）</w:t>
      </w:r>
      <w:r>
        <w:rPr>
          <w:rFonts w:hint="eastAsia"/>
          <w:color w:val="auto"/>
        </w:rPr>
        <w:t>的</w:t>
      </w:r>
      <w:r>
        <w:rPr>
          <w:rFonts w:hint="eastAsia"/>
          <w:color w:val="auto"/>
          <w:lang w:eastAsia="zh-CN"/>
        </w:rPr>
        <w:t>第一，</w:t>
      </w:r>
      <w:r>
        <w:rPr>
          <w:rFonts w:hint="eastAsia"/>
          <w:color w:val="auto"/>
        </w:rPr>
        <w:t>二类污染物最高允许排放浓度规定的一级排水要求，但含盐量仍高达数万毫克每升。本项目脱硫废水产生量较少，因此</w:t>
      </w:r>
      <w:r>
        <w:rPr>
          <w:color w:val="auto"/>
        </w:rPr>
        <w:t>采用中和（碱化）、沉降、絮凝处理后，通过旋转喷雾干燥技术</w:t>
      </w:r>
      <w:r>
        <w:rPr>
          <w:rFonts w:hint="eastAsia"/>
          <w:color w:val="auto"/>
        </w:rPr>
        <w:t>实现零排放，三台炉合用一套。</w:t>
      </w:r>
    </w:p>
    <w:p w14:paraId="46A29C96">
      <w:pPr>
        <w:pStyle w:val="139"/>
        <w:ind w:firstLine="480"/>
        <w:rPr>
          <w:color w:val="auto"/>
        </w:rPr>
      </w:pPr>
      <w:r>
        <w:rPr>
          <w:rFonts w:hint="eastAsia"/>
          <w:color w:val="auto"/>
        </w:rPr>
        <w:t>脱硫废水经过旋转雾化器雾化成粒径约几十微米的细雾滴喷入干燥塔内，利用空预器前的锅炉热烟气或者空预器出口</w:t>
      </w:r>
      <w:r>
        <w:rPr>
          <w:rFonts w:hint="eastAsia"/>
          <w:color w:val="auto"/>
          <w:lang w:eastAsia="zh-CN"/>
        </w:rPr>
        <w:t>的</w:t>
      </w:r>
      <w:r>
        <w:rPr>
          <w:rFonts w:hint="eastAsia"/>
          <w:color w:val="auto"/>
        </w:rPr>
        <w:t>二次风作为热源，在喷雾干燥塔内将废水蒸发，水分进入烟气中，蒸发析出的粗盐分颗粒落入干燥塔底端被收集转运，细小盐分颗粒随烟气进入除尘器处理。</w:t>
      </w:r>
    </w:p>
    <w:p w14:paraId="675E0CB1">
      <w:pPr>
        <w:pStyle w:val="139"/>
        <w:ind w:firstLine="480"/>
        <w:rPr>
          <w:color w:val="auto"/>
        </w:rPr>
      </w:pPr>
      <w:r>
        <w:rPr>
          <w:rFonts w:hint="eastAsia"/>
          <w:color w:val="auto"/>
        </w:rPr>
        <w:t>本工程拟采用的旋转喷雾干燥技术较为成熟，已在国内多个项目应用，如：浙能长兴发电厂（4×300MW燃煤亚临界机组）脱硫废水设计出力为3t/h，工程总投资约6000万元，吨水处理费用约50~60元/吨。华能瑞金电厂二期、华电扬州电厂、江苏利港电厂、华电如皋电厂（热电联产1×13MW抽背机组+1×25MW抽背机组）等国内十几家电厂均已成功应用此技术，目前均运行良好。目前还有几十台火电机组正在按此技术建设脱硫废水零排放系统。</w:t>
      </w:r>
    </w:p>
    <w:p w14:paraId="1E19D937">
      <w:pPr>
        <w:pStyle w:val="139"/>
        <w:ind w:firstLine="480"/>
        <w:rPr>
          <w:color w:val="auto"/>
        </w:rPr>
      </w:pPr>
      <w:r>
        <w:rPr>
          <w:rFonts w:hint="eastAsia"/>
          <w:color w:val="auto"/>
        </w:rPr>
        <w:t>（4）非经常性废水：主要为</w:t>
      </w:r>
      <w:r>
        <w:rPr>
          <w:rFonts w:hint="eastAsia"/>
          <w:bCs/>
          <w:color w:val="auto"/>
        </w:rPr>
        <w:t>锅炉清洗排水</w:t>
      </w:r>
      <w:r>
        <w:rPr>
          <w:rFonts w:hint="eastAsia"/>
          <w:color w:val="auto"/>
        </w:rPr>
        <w:t>，每台锅炉约</w:t>
      </w:r>
      <w:r>
        <w:rPr>
          <w:color w:val="auto"/>
        </w:rPr>
        <w:t>4</w:t>
      </w:r>
      <w:r>
        <w:rPr>
          <w:rFonts w:hint="eastAsia"/>
          <w:color w:val="auto"/>
        </w:rPr>
        <w:t>年进行</w:t>
      </w:r>
      <w:r>
        <w:rPr>
          <w:color w:val="auto"/>
        </w:rPr>
        <w:t>1</w:t>
      </w:r>
      <w:r>
        <w:rPr>
          <w:rFonts w:hint="eastAsia"/>
          <w:color w:val="auto"/>
        </w:rPr>
        <w:t>次清洗，每次产生量为</w:t>
      </w:r>
      <w:r>
        <w:rPr>
          <w:color w:val="auto"/>
        </w:rPr>
        <w:t>455t</w:t>
      </w:r>
      <w:r>
        <w:rPr>
          <w:rFonts w:hint="eastAsia"/>
          <w:color w:val="auto"/>
        </w:rPr>
        <w:t>。主要污染物为</w:t>
      </w:r>
      <w:r>
        <w:rPr>
          <w:color w:val="auto"/>
        </w:rPr>
        <w:t>pH</w:t>
      </w:r>
      <w:r>
        <w:rPr>
          <w:rFonts w:hint="eastAsia"/>
          <w:color w:val="auto"/>
        </w:rPr>
        <w:t>值、</w:t>
      </w:r>
      <w:r>
        <w:rPr>
          <w:color w:val="auto"/>
        </w:rPr>
        <w:t>COD</w:t>
      </w:r>
      <w:r>
        <w:rPr>
          <w:rFonts w:hint="eastAsia"/>
          <w:color w:val="auto"/>
        </w:rPr>
        <w:t>、</w:t>
      </w:r>
      <w:r>
        <w:rPr>
          <w:color w:val="auto"/>
        </w:rPr>
        <w:t>SS</w:t>
      </w:r>
      <w:r>
        <w:rPr>
          <w:rFonts w:hint="eastAsia"/>
          <w:color w:val="auto"/>
        </w:rPr>
        <w:t>、氨氮、挥发酚、氟化物、</w:t>
      </w:r>
      <w:r>
        <w:rPr>
          <w:color w:val="auto"/>
        </w:rPr>
        <w:t>Fe</w:t>
      </w:r>
      <w:r>
        <w:rPr>
          <w:rFonts w:hint="eastAsia"/>
          <w:color w:val="auto"/>
        </w:rPr>
        <w:t>等。</w:t>
      </w:r>
      <w:r>
        <w:rPr>
          <w:rFonts w:hint="eastAsia"/>
          <w:bCs/>
          <w:color w:val="auto"/>
        </w:rPr>
        <w:t>电厂委托专业锅炉清洗公司负责将完成清洗后的废水用密闭罐车外运至具有工业污水处理资质的单位处置。</w:t>
      </w:r>
      <w:r>
        <w:rPr>
          <w:rFonts w:hint="eastAsia"/>
          <w:color w:val="auto"/>
        </w:rPr>
        <w:t>建设单位已与无锡能之汇环保科技有限公司签订处置协议，由其负责锅炉清洗工作，清洗完成后将废水外运处理。</w:t>
      </w:r>
    </w:p>
    <w:p w14:paraId="60AED092">
      <w:pPr>
        <w:pStyle w:val="139"/>
        <w:ind w:firstLine="480"/>
        <w:rPr>
          <w:color w:val="auto"/>
        </w:rPr>
      </w:pPr>
      <w:r>
        <w:rPr>
          <w:rFonts w:hint="eastAsia"/>
          <w:color w:val="auto"/>
        </w:rPr>
        <w:t>2、含煤废水</w:t>
      </w:r>
    </w:p>
    <w:p w14:paraId="2D8456B8">
      <w:pPr>
        <w:pStyle w:val="139"/>
        <w:ind w:firstLine="480"/>
        <w:rPr>
          <w:color w:val="auto"/>
        </w:rPr>
      </w:pPr>
      <w:r>
        <w:rPr>
          <w:rFonts w:hint="eastAsia"/>
          <w:color w:val="auto"/>
        </w:rPr>
        <w:t>煤场区输煤栈桥冲洗水、码头冲洗水等含煤废水及煤场初期雨水，首先由设在煤场的一座煤泥沉淀池储存并初步沉淀处理，再经一套煤污水絮凝处理装置处理后，用作煤场喷淋及栈桥冲洗。煤浆采用液下泵输送至室外煤泥沉淀池，煤泥抓取后晾干，然后转运至煤场。</w:t>
      </w:r>
    </w:p>
    <w:p w14:paraId="48FF96FA">
      <w:pPr>
        <w:pStyle w:val="139"/>
        <w:ind w:firstLine="480"/>
        <w:rPr>
          <w:color w:val="auto"/>
        </w:rPr>
      </w:pPr>
      <w:r>
        <w:rPr>
          <w:rFonts w:hint="eastAsia"/>
          <w:color w:val="auto"/>
        </w:rPr>
        <w:t>煤场周围设集水沟，雨水汇入集水沟后流入设在煤场一侧的煤泥沉淀池。</w:t>
      </w:r>
      <w:r>
        <w:rPr>
          <w:color w:val="auto"/>
        </w:rPr>
        <w:t>煤泥沉淀池长14.2m，宽17.5m，高约5.5m。</w:t>
      </w:r>
      <w:r>
        <w:rPr>
          <w:rFonts w:hint="eastAsia"/>
          <w:color w:val="auto"/>
        </w:rPr>
        <w:t>池内沉积下的煤泥采用</w:t>
      </w:r>
      <w:r>
        <w:rPr>
          <w:color w:val="auto"/>
        </w:rPr>
        <w:t>桁架式刮泥机</w:t>
      </w:r>
      <w:r>
        <w:rPr>
          <w:rFonts w:hint="eastAsia"/>
          <w:color w:val="auto"/>
        </w:rPr>
        <w:t>及</w:t>
      </w:r>
      <w:r>
        <w:rPr>
          <w:color w:val="auto"/>
        </w:rPr>
        <w:t>龙门式抓斗吊</w:t>
      </w:r>
      <w:r>
        <w:rPr>
          <w:rFonts w:hint="eastAsia"/>
          <w:color w:val="auto"/>
        </w:rPr>
        <w:t>或人工清理。</w:t>
      </w:r>
    </w:p>
    <w:p w14:paraId="104FCF43">
      <w:pPr>
        <w:pStyle w:val="139"/>
        <w:ind w:firstLine="480"/>
        <w:rPr>
          <w:color w:val="auto"/>
        </w:rPr>
      </w:pPr>
      <w:r>
        <w:rPr>
          <w:rFonts w:hint="eastAsia"/>
          <w:color w:val="auto"/>
        </w:rPr>
        <w:t>煤泥沉淀池旁另设有含煤废水处理设备，处理煤场喷淋及栈桥冲洗水、排污水以及雨季的初期雨水，分离出来的煤粒返回煤场，清水流入雨水管。煤泥沉淀池另设有溢流管，大雨期间的雨水经煤泥沉淀池沉淀后流入厂区雨水管。</w:t>
      </w:r>
    </w:p>
    <w:p w14:paraId="60CEFA08">
      <w:pPr>
        <w:pStyle w:val="139"/>
        <w:ind w:firstLine="480"/>
        <w:rPr>
          <w:color w:val="auto"/>
        </w:rPr>
      </w:pPr>
      <w:r>
        <w:rPr>
          <w:rFonts w:hint="eastAsia"/>
          <w:color w:val="auto"/>
        </w:rPr>
        <w:t>含煤废水处理工艺流程如下：</w:t>
      </w:r>
    </w:p>
    <w:p w14:paraId="7F5AE3B0">
      <w:pPr>
        <w:pStyle w:val="139"/>
        <w:ind w:firstLine="480"/>
        <w:rPr>
          <w:color w:val="auto"/>
        </w:rPr>
      </w:pPr>
      <w:r>
        <w:rPr>
          <w:rFonts w:hint="eastAsia"/>
          <w:color w:val="auto"/>
        </w:rPr>
        <w:t>废水：煤场排水沟、输煤建构筑物场地排水管、出渣系统中的沉淀池及贮水池排水管→煤泥沉淀池沉淀区域→煤泥池处理水区域→含煤废水提升泵→含煤废水处理设备（电子絮凝器→离心澄清反应器→中间水池→升压泵→过滤器）→煤泥池回用水区域→喷淋冲洗泵→喷淋冲洗水管→煤场喷淋及输煤建构筑物场地冲洗用户。</w:t>
      </w:r>
    </w:p>
    <w:p w14:paraId="5CDDCE86">
      <w:pPr>
        <w:pStyle w:val="139"/>
        <w:ind w:firstLine="480"/>
        <w:rPr>
          <w:color w:val="auto"/>
        </w:rPr>
      </w:pPr>
      <w:r>
        <w:rPr>
          <w:rFonts w:hint="eastAsia"/>
          <w:color w:val="auto"/>
        </w:rPr>
        <w:t>煤泥：含煤废水处理设备（包括澄清、过滤设施）→煤泥池沉淀区域→人工抓斗吊→自卸车辆→煤场。</w:t>
      </w:r>
    </w:p>
    <w:p w14:paraId="4448C09F">
      <w:pPr>
        <w:pStyle w:val="139"/>
        <w:ind w:firstLine="480"/>
        <w:rPr>
          <w:color w:val="auto"/>
        </w:rPr>
      </w:pPr>
      <w:r>
        <w:rPr>
          <w:rFonts w:hint="eastAsia"/>
          <w:color w:val="auto"/>
        </w:rPr>
        <w:t>3、含油废水</w:t>
      </w:r>
    </w:p>
    <w:p w14:paraId="36127AB7">
      <w:pPr>
        <w:pStyle w:val="139"/>
        <w:ind w:firstLine="480"/>
        <w:rPr>
          <w:color w:val="auto"/>
        </w:rPr>
      </w:pPr>
      <w:r>
        <w:rPr>
          <w:rFonts w:hint="eastAsia"/>
          <w:color w:val="auto"/>
        </w:rPr>
        <w:t>本项目</w:t>
      </w:r>
      <w:r>
        <w:rPr>
          <w:color w:val="auto"/>
        </w:rPr>
        <w:t>设1座</w:t>
      </w:r>
      <w:r>
        <w:rPr>
          <w:rFonts w:hint="eastAsia"/>
          <w:color w:val="auto"/>
        </w:rPr>
        <w:t>280m</w:t>
      </w:r>
      <w:r>
        <w:rPr>
          <w:rFonts w:hint="eastAsia"/>
          <w:color w:val="auto"/>
          <w:vertAlign w:val="superscript"/>
        </w:rPr>
        <w:t>3</w:t>
      </w:r>
      <w:r>
        <w:rPr>
          <w:color w:val="auto"/>
        </w:rPr>
        <w:t>的事故油池，用以接纳柴油罐区初期雨水以及变压器事故状态下排油</w:t>
      </w:r>
      <w:r>
        <w:rPr>
          <w:rFonts w:hint="eastAsia"/>
          <w:color w:val="auto"/>
        </w:rPr>
        <w:t>。</w:t>
      </w:r>
      <w:r>
        <w:rPr>
          <w:color w:val="auto"/>
        </w:rPr>
        <w:t>油与水在事故油池内分离后，水排入</w:t>
      </w:r>
      <w:r>
        <w:rPr>
          <w:rFonts w:hint="eastAsia"/>
          <w:color w:val="auto"/>
        </w:rPr>
        <w:t>回用水池</w:t>
      </w:r>
      <w:r>
        <w:rPr>
          <w:color w:val="auto"/>
        </w:rPr>
        <w:t>，油流入集油坑用油泵抽走后</w:t>
      </w:r>
      <w:r>
        <w:rPr>
          <w:rFonts w:hint="eastAsia"/>
          <w:color w:val="auto"/>
        </w:rPr>
        <w:t>，存放</w:t>
      </w:r>
      <w:r>
        <w:rPr>
          <w:color w:val="auto"/>
        </w:rPr>
        <w:t>在危废暂存间</w:t>
      </w:r>
      <w:r>
        <w:rPr>
          <w:rFonts w:hint="eastAsia"/>
          <w:color w:val="auto"/>
        </w:rPr>
        <w:t>，委托有资质单位处置</w:t>
      </w:r>
      <w:r>
        <w:rPr>
          <w:color w:val="auto"/>
        </w:rPr>
        <w:t>。</w:t>
      </w:r>
    </w:p>
    <w:p w14:paraId="7DFA87FB">
      <w:pPr>
        <w:pStyle w:val="139"/>
        <w:ind w:firstLine="480"/>
        <w:rPr>
          <w:color w:val="auto"/>
        </w:rPr>
      </w:pPr>
      <w:r>
        <w:rPr>
          <w:rFonts w:hint="eastAsia"/>
          <w:color w:val="auto"/>
        </w:rPr>
        <w:t>4、循环冷却水排污水</w:t>
      </w:r>
    </w:p>
    <w:p w14:paraId="0F3FAFA8">
      <w:pPr>
        <w:pStyle w:val="139"/>
        <w:ind w:firstLine="480"/>
        <w:rPr>
          <w:color w:val="auto"/>
        </w:rPr>
      </w:pPr>
      <w:r>
        <w:rPr>
          <w:rFonts w:hint="eastAsia"/>
          <w:color w:val="auto"/>
        </w:rPr>
        <w:t>本项目采用机械通风冷却塔的二次循环供水系统，</w:t>
      </w:r>
      <w:r>
        <w:rPr>
          <w:color w:val="auto"/>
        </w:rPr>
        <w:t>冷却后的开式循环水经冷却水泵将水送至主厂房开式循环冷却水系统，升温后返回机力通风冷却塔进行冷却，形成循环</w:t>
      </w:r>
      <w:r>
        <w:rPr>
          <w:rFonts w:hint="eastAsia"/>
          <w:color w:val="auto"/>
        </w:rPr>
        <w:t>。冷却塔会产生循环冷却水排水，主要含盐分较高，水量约4t/h，排放至回用水池，用于</w:t>
      </w:r>
      <w:r>
        <w:rPr>
          <w:color w:val="auto"/>
        </w:rPr>
        <w:t>脱硫工艺用水补水，煤场冲洗、喷淋用水补水及全厂服务水</w:t>
      </w:r>
      <w:r>
        <w:rPr>
          <w:rFonts w:hint="eastAsia"/>
          <w:color w:val="auto"/>
        </w:rPr>
        <w:t>，不外排。</w:t>
      </w:r>
    </w:p>
    <w:p w14:paraId="19428318">
      <w:pPr>
        <w:pStyle w:val="139"/>
        <w:ind w:firstLine="480"/>
        <w:rPr>
          <w:color w:val="auto"/>
        </w:rPr>
      </w:pPr>
      <w:r>
        <w:rPr>
          <w:rFonts w:hint="eastAsia"/>
          <w:color w:val="auto"/>
        </w:rPr>
        <w:t>5、</w:t>
      </w:r>
      <w:r>
        <w:rPr>
          <w:color w:val="auto"/>
        </w:rPr>
        <w:t>生活污水处理系统</w:t>
      </w:r>
    </w:p>
    <w:p w14:paraId="27ABF900">
      <w:pPr>
        <w:pStyle w:val="139"/>
        <w:ind w:firstLine="480"/>
        <w:rPr>
          <w:color w:val="auto"/>
        </w:rPr>
      </w:pPr>
      <w:r>
        <w:rPr>
          <w:rFonts w:hint="eastAsia"/>
          <w:color w:val="auto"/>
        </w:rPr>
        <w:t>本项目</w:t>
      </w:r>
      <w:r>
        <w:rPr>
          <w:color w:val="auto"/>
        </w:rPr>
        <w:t>生活污水量约</w:t>
      </w:r>
      <w:r>
        <w:rPr>
          <w:rFonts w:hint="eastAsia"/>
          <w:color w:val="auto"/>
        </w:rPr>
        <w:t>2</w:t>
      </w:r>
      <w:r>
        <w:rPr>
          <w:color w:val="auto"/>
        </w:rPr>
        <w:t>t/h，生活污水中的污染物主要为SS、COD、BOD</w:t>
      </w:r>
      <w:r>
        <w:rPr>
          <w:color w:val="auto"/>
          <w:vertAlign w:val="subscript"/>
        </w:rPr>
        <w:t>5</w:t>
      </w:r>
      <w:r>
        <w:rPr>
          <w:color w:val="auto"/>
        </w:rPr>
        <w:t>、氨氮和总磷等，经化粪池处理后，再排入生活污水处理系统。本项目</w:t>
      </w:r>
      <w:r>
        <w:rPr>
          <w:rFonts w:hint="eastAsia"/>
          <w:color w:val="auto"/>
        </w:rPr>
        <w:t>新建</w:t>
      </w:r>
      <w:r>
        <w:rPr>
          <w:color w:val="auto"/>
        </w:rPr>
        <w:t>2套处理能力均为</w:t>
      </w:r>
      <w:r>
        <w:rPr>
          <w:rFonts w:hint="eastAsia"/>
          <w:color w:val="auto"/>
        </w:rPr>
        <w:t>1</w:t>
      </w:r>
      <w:r>
        <w:rPr>
          <w:color w:val="auto"/>
        </w:rPr>
        <w:t>m</w:t>
      </w:r>
      <w:r>
        <w:rPr>
          <w:color w:val="auto"/>
          <w:vertAlign w:val="superscript"/>
        </w:rPr>
        <w:t>3</w:t>
      </w:r>
      <w:r>
        <w:rPr>
          <w:color w:val="auto"/>
        </w:rPr>
        <w:t>/h的地埋式一体化</w:t>
      </w:r>
      <w:r>
        <w:rPr>
          <w:rFonts w:hint="eastAsia"/>
          <w:color w:val="auto"/>
        </w:rPr>
        <w:t>生活</w:t>
      </w:r>
      <w:r>
        <w:rPr>
          <w:color w:val="auto"/>
        </w:rPr>
        <w:t>污水处理装置，</w:t>
      </w:r>
      <w:r>
        <w:rPr>
          <w:rFonts w:hint="eastAsia"/>
          <w:color w:val="auto"/>
        </w:rPr>
        <w:t>设于厂区东北侧。</w:t>
      </w:r>
      <w:r>
        <w:rPr>
          <w:color w:val="auto"/>
        </w:rPr>
        <w:t>主要处理工艺为二级生物接触氧化，经处理后的生活污水</w:t>
      </w:r>
      <w:r>
        <w:rPr>
          <w:rFonts w:hint="eastAsia"/>
          <w:color w:val="auto"/>
        </w:rPr>
        <w:t>回用于厂区绿化</w:t>
      </w:r>
      <w:r>
        <w:rPr>
          <w:color w:val="auto"/>
        </w:rPr>
        <w:t>。</w:t>
      </w:r>
    </w:p>
    <w:p w14:paraId="0B7C4135">
      <w:pPr>
        <w:pStyle w:val="139"/>
        <w:ind w:firstLine="480"/>
        <w:rPr>
          <w:color w:val="auto"/>
        </w:rPr>
      </w:pPr>
      <w:r>
        <w:rPr>
          <w:rFonts w:hint="eastAsia"/>
          <w:color w:val="auto"/>
        </w:rPr>
        <w:t>6、</w:t>
      </w:r>
      <w:r>
        <w:rPr>
          <w:color w:val="auto"/>
        </w:rPr>
        <w:t>初期雨水</w:t>
      </w:r>
    </w:p>
    <w:p w14:paraId="38DE3751">
      <w:pPr>
        <w:pStyle w:val="139"/>
        <w:ind w:firstLine="480"/>
        <w:rPr>
          <w:color w:val="auto"/>
        </w:rPr>
      </w:pPr>
      <w:r>
        <w:rPr>
          <w:rFonts w:hint="eastAsia"/>
          <w:color w:val="auto"/>
        </w:rPr>
        <w:t>本项目采取雨污分流制，设</w:t>
      </w:r>
      <w:r>
        <w:rPr>
          <w:color w:val="auto"/>
        </w:rPr>
        <w:t>雨水泵房一座，雨水泵房位于本期厂区东北侧，紧邻盐河</w:t>
      </w:r>
      <w:r>
        <w:rPr>
          <w:rFonts w:hint="eastAsia"/>
          <w:color w:val="auto"/>
        </w:rPr>
        <w:t>。</w:t>
      </w:r>
      <w:r>
        <w:rPr>
          <w:color w:val="auto"/>
        </w:rPr>
        <w:t>雨水管网在厂区呈枝状布置，采用钢筋混凝土排水管。厂区雨水经雨水泵提升，送至雨水泵房后排水井，并通过自流排入电厂东侧盐河。</w:t>
      </w:r>
      <w:r>
        <w:rPr>
          <w:rFonts w:hint="eastAsia"/>
          <w:color w:val="auto"/>
        </w:rPr>
        <w:t>初期雨水经过专用管道排至初期雨水收集池，</w:t>
      </w:r>
      <w:r>
        <w:rPr>
          <w:color w:val="auto"/>
        </w:rPr>
        <w:t>正常下雨时当该水池达初期雨水满水位时，将关闭闸门，不再接收雨水进水。</w:t>
      </w:r>
      <w:r>
        <w:rPr>
          <w:rFonts w:hint="eastAsia"/>
          <w:color w:val="auto"/>
        </w:rPr>
        <w:t>本项目设</w:t>
      </w:r>
      <w:r>
        <w:rPr>
          <w:color w:val="auto"/>
        </w:rPr>
        <w:t>初期雨水池</w:t>
      </w:r>
      <w:r>
        <w:rPr>
          <w:rFonts w:hint="eastAsia"/>
          <w:color w:val="auto"/>
        </w:rPr>
        <w:t>，</w:t>
      </w:r>
      <w:r>
        <w:rPr>
          <w:color w:val="auto"/>
        </w:rPr>
        <w:t>容积约1500m</w:t>
      </w:r>
      <w:r>
        <w:rPr>
          <w:color w:val="auto"/>
          <w:vertAlign w:val="superscript"/>
        </w:rPr>
        <w:t>3</w:t>
      </w:r>
      <w:r>
        <w:rPr>
          <w:rFonts w:hint="eastAsia"/>
          <w:color w:val="auto"/>
        </w:rPr>
        <w:t>。待降雨结束后，初期雨水经过滤处理达回用水标准后排至全厂回用水池，回用于后方电厂的灰渣系统用水、锅炉房冲洗、汽机房冲洗、暖通用水、输煤栈桥及煤场喷洒用水补水等，和码头的设备冲洗用水、道路洒水、卸船喷淋用水等，不外排。初期雨水过滤装置处理能力50t/h。</w:t>
      </w:r>
    </w:p>
    <w:p w14:paraId="3FFCE695">
      <w:pPr>
        <w:pStyle w:val="139"/>
        <w:ind w:firstLine="480"/>
        <w:rPr>
          <w:color w:val="auto"/>
        </w:rPr>
      </w:pPr>
      <w:r>
        <w:rPr>
          <w:rFonts w:hint="eastAsia"/>
          <w:color w:val="auto"/>
        </w:rPr>
        <w:t>本项目煤场和输煤系统为封闭式，这些区域初期雨水不需专门收集，依托</w:t>
      </w:r>
      <w:r>
        <w:rPr>
          <w:rFonts w:hint="eastAsia"/>
          <w:color w:val="auto"/>
          <w:lang w:eastAsia="zh-CN"/>
        </w:rPr>
        <w:t>含油废水</w:t>
      </w:r>
      <w:r>
        <w:rPr>
          <w:rFonts w:hint="eastAsia"/>
          <w:color w:val="auto"/>
        </w:rPr>
        <w:t>处理设施；油罐区四周设置围堰，围堰外设排水切换阀，正常情况下通向雨水系统的阀门关闭，柴油罐区初期雨水收集处理后送到回用水池，用于厂内二级用户用水。</w:t>
      </w:r>
    </w:p>
    <w:p w14:paraId="6426B8E5">
      <w:pPr>
        <w:pStyle w:val="139"/>
        <w:ind w:firstLine="480"/>
        <w:rPr>
          <w:b/>
          <w:bCs/>
          <w:color w:val="auto"/>
        </w:rPr>
      </w:pPr>
      <w:r>
        <w:rPr>
          <w:rFonts w:hint="eastAsia"/>
          <w:color w:val="auto"/>
        </w:rPr>
        <w:t>本项目</w:t>
      </w:r>
      <w:r>
        <w:rPr>
          <w:color w:val="auto"/>
        </w:rPr>
        <w:t>生产过程中，正常情况下产生的各类废水在厂内分别经处理后回用，不外排</w:t>
      </w:r>
      <w:r>
        <w:rPr>
          <w:rFonts w:hint="eastAsia"/>
          <w:color w:val="auto"/>
        </w:rPr>
        <w:t>。</w:t>
      </w:r>
    </w:p>
    <w:p w14:paraId="79910D1F">
      <w:pPr>
        <w:pStyle w:val="93"/>
        <w:ind w:firstLine="482"/>
        <w:rPr>
          <w:b/>
          <w:bCs/>
        </w:rPr>
      </w:pPr>
      <w:r>
        <w:rPr>
          <w:rFonts w:hint="eastAsia"/>
          <w:b/>
          <w:bCs/>
        </w:rPr>
        <w:t>二、固体废弃物</w:t>
      </w:r>
    </w:p>
    <w:p w14:paraId="4CB1607D">
      <w:pPr>
        <w:pStyle w:val="93"/>
      </w:pPr>
      <w:r>
        <w:rPr>
          <w:rFonts w:hint="eastAsia"/>
        </w:rPr>
        <w:t>热电联产项目运行过程中产生的固体废物主要为炉渣、飞灰、脱硫石膏、脱硝废催化剂、废布袋、废活性炭、废离子交换树脂、脱硫废水污泥、原水制备污泥、废机油、含油废水浮油和生活垃圾。</w:t>
      </w:r>
    </w:p>
    <w:p w14:paraId="4BCF74F3">
      <w:pPr>
        <w:pStyle w:val="93"/>
      </w:pPr>
      <w:r>
        <w:rPr>
          <w:rFonts w:hint="eastAsia"/>
        </w:rPr>
        <w:t>脱硝废催化剂、废活性炭、废离子交换树脂、废机油、含油废水浮油为危险废物，须委托有资质单位处置，建设单位已分别与具有废活性炭、废离子交换树脂、废矿物油、废脱硝催化剂处理处置资质的单位签订处置协议，并承诺严格落实相关处理处置要求。</w:t>
      </w:r>
    </w:p>
    <w:p w14:paraId="06EE3491">
      <w:pPr>
        <w:pStyle w:val="139"/>
        <w:ind w:firstLine="480"/>
        <w:rPr>
          <w:color w:val="auto"/>
        </w:rPr>
      </w:pPr>
      <w:r>
        <w:rPr>
          <w:rFonts w:hint="eastAsia"/>
          <w:color w:val="auto"/>
        </w:rPr>
        <w:t>建设单位拟在厂内建设危险废物暂存库1座，占地约50m</w:t>
      </w:r>
      <w:r>
        <w:rPr>
          <w:rFonts w:hint="eastAsia"/>
          <w:color w:val="auto"/>
          <w:vertAlign w:val="superscript"/>
        </w:rPr>
        <w:t>2</w:t>
      </w:r>
      <w:r>
        <w:rPr>
          <w:rFonts w:hint="eastAsia"/>
          <w:color w:val="auto"/>
        </w:rPr>
        <w:t>，总暂存能力约30t。本项目新增危险废物共约26.701/a，其中废活性炭约0.04t/a、废离子交换树脂0.2t/a、废矿物油1.001t/a、废脱硝催化剂14.4t/a、脱硫废水污泥7.3t/a、废布袋3.6 t/a。危废量小于危废暂存间的暂存能力，故本项目危废暂存间可满足危险废物暂存需要。</w:t>
      </w:r>
    </w:p>
    <w:p w14:paraId="6D486AFC">
      <w:pPr>
        <w:pStyle w:val="93"/>
        <w:ind w:firstLine="482"/>
        <w:rPr>
          <w:b/>
          <w:bCs/>
        </w:rPr>
      </w:pPr>
      <w:r>
        <w:rPr>
          <w:rFonts w:hint="eastAsia"/>
          <w:b/>
          <w:bCs/>
        </w:rPr>
        <w:t>三、初期雨水及事故水池</w:t>
      </w:r>
    </w:p>
    <w:p w14:paraId="0E3D2622">
      <w:pPr>
        <w:pStyle w:val="93"/>
      </w:pPr>
      <w:r>
        <w:rPr>
          <w:rFonts w:hint="eastAsia"/>
        </w:rPr>
        <w:t>热电一期项目不存在重大危险源，采用尿素为脱硝还原剂，不涉及液氨的贮存和使用；项目采用微油点火，涉及易燃液体柴油环境风险潜势为I，评价等级为简单分析。为控制事故时物料泄漏可能对地表水体造成的污染，柴油罐区四周设置围堰，防止发生事故时污染物进入地表水体。建设单位必须做好风险事故应急预案的编制、组织和实施工作，完善公司风险防范体系。</w:t>
      </w:r>
    </w:p>
    <w:p w14:paraId="5AEC9F12">
      <w:pPr>
        <w:pStyle w:val="93"/>
      </w:pPr>
      <w:r>
        <w:rPr>
          <w:rFonts w:hint="eastAsia"/>
        </w:rPr>
        <w:t>对厂区初期雨水设雨水收集池收集。热电一期项目初期雨水收集范围包括厂区道路、储罐及装卸区等，总汇水面积约10.31公顷，地面集水时间15分钟，经计算，热电一期项目初期雨水产生量约为948m</w:t>
      </w:r>
      <w:r>
        <w:rPr>
          <w:rFonts w:hint="eastAsia"/>
          <w:vertAlign w:val="superscript"/>
        </w:rPr>
        <w:t>3</w:t>
      </w:r>
      <w:r>
        <w:rPr>
          <w:rFonts w:hint="eastAsia"/>
        </w:rPr>
        <w:t>/次。厂区设初期雨水收集池1座，容积约1500m</w:t>
      </w:r>
      <w:r>
        <w:rPr>
          <w:rFonts w:hint="eastAsia"/>
          <w:vertAlign w:val="superscript"/>
        </w:rPr>
        <w:t>3</w:t>
      </w:r>
      <w:r>
        <w:rPr>
          <w:rFonts w:hint="eastAsia"/>
        </w:rPr>
        <w:t>，土建地下结构尺寸约10m×25m×6m（深），满足初期</w:t>
      </w:r>
      <w:r>
        <w:rPr>
          <w:rFonts w:hint="eastAsia"/>
          <w:lang w:eastAsia="zh-CN"/>
        </w:rPr>
        <w:t>雨水</w:t>
      </w:r>
      <w:r>
        <w:rPr>
          <w:rFonts w:hint="eastAsia"/>
        </w:rPr>
        <w:t>收集要求。初期雨水经过专用管道排至初期雨水收集池，正常下雨时当该水池达初期雨水满水位时，将关闭闸门，不再接收雨水进水，大量雨水将通过下游管道流入雨水泵站。待降雨结束后，初期雨水经过滤处理达回用水标准后排至全厂回用水池，回用于后方电厂的灰渣系统用水、锅炉房冲洗、汽机房冲洗、暖通用水、输煤栈桥及煤场喷洒用水补水等，和码头的设备冲洗用水、道路洒水、卸船喷淋用水等，不外排。初期雨水过滤装置处理能力50t/h。</w:t>
      </w:r>
    </w:p>
    <w:p w14:paraId="429F62A3">
      <w:pPr>
        <w:pStyle w:val="93"/>
      </w:pPr>
      <w:r>
        <w:rPr>
          <w:rFonts w:hint="eastAsia"/>
        </w:rPr>
        <w:t>根据计算结果可知，热电一期项目全厂事故废水为1321.6m</w:t>
      </w:r>
      <w:r>
        <w:rPr>
          <w:rFonts w:hint="eastAsia"/>
          <w:vertAlign w:val="superscript"/>
        </w:rPr>
        <w:t>3</w:t>
      </w:r>
      <w:r>
        <w:rPr>
          <w:rFonts w:hint="eastAsia"/>
        </w:rPr>
        <w:t>。热电一期项目厂内设置一体积约1500m</w:t>
      </w:r>
      <w:r>
        <w:rPr>
          <w:rFonts w:hint="eastAsia"/>
          <w:vertAlign w:val="superscript"/>
        </w:rPr>
        <w:t>3</w:t>
      </w:r>
      <w:r>
        <w:rPr>
          <w:rFonts w:hint="eastAsia"/>
        </w:rPr>
        <w:t>的事故应急水池，满足项目事故应急需要。土建地下结构尺寸约10m×25m×6m（深），并配备了提升泵、排水管网、截留阀等相关设施。发生事故时，场地事故排水就地散排进入雨水管网，并第一时间将雨水管网末端闸门由初期雨水池切换至事故水池，确保事故废水流入事故水池。</w:t>
      </w:r>
    </w:p>
    <w:p w14:paraId="7797CCAC">
      <w:pPr>
        <w:ind w:firstLine="480"/>
      </w:pPr>
      <w:r>
        <w:rPr>
          <w:rFonts w:hint="eastAsia"/>
        </w:rPr>
        <w:t>热电项目应急物资情况见表3.1-5。</w:t>
      </w:r>
    </w:p>
    <w:p w14:paraId="1593CAF0">
      <w:pPr>
        <w:pStyle w:val="86"/>
      </w:pPr>
      <w:r>
        <w:rPr>
          <w:rFonts w:hint="eastAsia"/>
        </w:rPr>
        <w:t>热电一期项目应急物资一览表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973"/>
        <w:gridCol w:w="1110"/>
        <w:gridCol w:w="842"/>
        <w:gridCol w:w="1975"/>
      </w:tblGrid>
      <w:tr w14:paraId="0B44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983" w:type="dxa"/>
            <w:vAlign w:val="center"/>
          </w:tcPr>
          <w:p w14:paraId="61DD14C1">
            <w:pPr>
              <w:pStyle w:val="196"/>
              <w:rPr>
                <w:b/>
                <w:bCs/>
                <w:szCs w:val="21"/>
              </w:rPr>
            </w:pPr>
            <w:r>
              <w:rPr>
                <w:b/>
                <w:bCs/>
              </w:rPr>
              <w:t>物资名称</w:t>
            </w:r>
          </w:p>
        </w:tc>
        <w:tc>
          <w:tcPr>
            <w:tcW w:w="2973" w:type="dxa"/>
            <w:vAlign w:val="center"/>
          </w:tcPr>
          <w:p w14:paraId="79721976">
            <w:pPr>
              <w:pStyle w:val="196"/>
              <w:rPr>
                <w:b/>
                <w:bCs/>
              </w:rPr>
            </w:pPr>
            <w:r>
              <w:rPr>
                <w:b/>
                <w:bCs/>
              </w:rPr>
              <w:t>规格型号</w:t>
            </w:r>
          </w:p>
        </w:tc>
        <w:tc>
          <w:tcPr>
            <w:tcW w:w="1110" w:type="dxa"/>
            <w:vAlign w:val="center"/>
          </w:tcPr>
          <w:p w14:paraId="2947AC8B">
            <w:pPr>
              <w:pStyle w:val="196"/>
              <w:rPr>
                <w:b/>
                <w:bCs/>
              </w:rPr>
            </w:pPr>
            <w:r>
              <w:rPr>
                <w:b/>
                <w:bCs/>
              </w:rPr>
              <w:t>单位</w:t>
            </w:r>
          </w:p>
        </w:tc>
        <w:tc>
          <w:tcPr>
            <w:tcW w:w="842" w:type="dxa"/>
            <w:vAlign w:val="center"/>
          </w:tcPr>
          <w:p w14:paraId="3DB320E5">
            <w:pPr>
              <w:pStyle w:val="196"/>
              <w:rPr>
                <w:b/>
                <w:bCs/>
              </w:rPr>
            </w:pPr>
            <w:r>
              <w:rPr>
                <w:b/>
                <w:bCs/>
              </w:rPr>
              <w:t>数量</w:t>
            </w:r>
          </w:p>
        </w:tc>
        <w:tc>
          <w:tcPr>
            <w:tcW w:w="1975" w:type="dxa"/>
            <w:vAlign w:val="center"/>
          </w:tcPr>
          <w:p w14:paraId="1C01C736">
            <w:pPr>
              <w:pStyle w:val="196"/>
              <w:rPr>
                <w:b/>
                <w:bCs/>
              </w:rPr>
            </w:pPr>
            <w:r>
              <w:rPr>
                <w:b/>
                <w:bCs/>
              </w:rPr>
              <w:t>存储地点</w:t>
            </w:r>
          </w:p>
        </w:tc>
      </w:tr>
      <w:tr w14:paraId="0B9D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112C5BB">
            <w:pPr>
              <w:pStyle w:val="196"/>
            </w:pPr>
            <w:r>
              <w:t>铁锹（尖锹）</w:t>
            </w:r>
          </w:p>
        </w:tc>
        <w:tc>
          <w:tcPr>
            <w:tcW w:w="2973" w:type="dxa"/>
            <w:vAlign w:val="center"/>
          </w:tcPr>
          <w:p w14:paraId="5838786A">
            <w:pPr>
              <w:pStyle w:val="196"/>
            </w:pPr>
            <w:r>
              <w:t>FT0222</w:t>
            </w:r>
          </w:p>
        </w:tc>
        <w:tc>
          <w:tcPr>
            <w:tcW w:w="1110" w:type="dxa"/>
            <w:vAlign w:val="center"/>
          </w:tcPr>
          <w:p w14:paraId="0970606A">
            <w:pPr>
              <w:pStyle w:val="196"/>
            </w:pPr>
            <w:r>
              <w:t>把</w:t>
            </w:r>
          </w:p>
        </w:tc>
        <w:tc>
          <w:tcPr>
            <w:tcW w:w="842" w:type="dxa"/>
            <w:vAlign w:val="center"/>
          </w:tcPr>
          <w:p w14:paraId="372F772F">
            <w:pPr>
              <w:pStyle w:val="196"/>
            </w:pPr>
            <w:r>
              <w:t>20</w:t>
            </w:r>
          </w:p>
        </w:tc>
        <w:tc>
          <w:tcPr>
            <w:tcW w:w="1975" w:type="dxa"/>
          </w:tcPr>
          <w:p w14:paraId="32FC1427">
            <w:pPr>
              <w:pStyle w:val="196"/>
              <w:rPr>
                <w:kern w:val="0"/>
              </w:rPr>
            </w:pPr>
            <w:r>
              <w:rPr>
                <w:rFonts w:hint="eastAsia"/>
              </w:rPr>
              <w:t>办公区</w:t>
            </w:r>
          </w:p>
        </w:tc>
      </w:tr>
      <w:tr w14:paraId="3CDB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1C06CC4">
            <w:pPr>
              <w:pStyle w:val="196"/>
            </w:pPr>
            <w:r>
              <w:t>塑料布</w:t>
            </w:r>
          </w:p>
        </w:tc>
        <w:tc>
          <w:tcPr>
            <w:tcW w:w="2973" w:type="dxa"/>
            <w:vAlign w:val="center"/>
          </w:tcPr>
          <w:p w14:paraId="0E197B57">
            <w:pPr>
              <w:pStyle w:val="196"/>
            </w:pPr>
            <w:r>
              <w:t>3</w:t>
            </w:r>
            <w:r>
              <w:rPr>
                <w:rFonts w:hint="eastAsia"/>
              </w:rPr>
              <w:t>米</w:t>
            </w:r>
            <w:r>
              <w:t>*100</w:t>
            </w:r>
            <w:r>
              <w:rPr>
                <w:rFonts w:hint="eastAsia"/>
              </w:rPr>
              <w:t>米</w:t>
            </w:r>
          </w:p>
        </w:tc>
        <w:tc>
          <w:tcPr>
            <w:tcW w:w="1110" w:type="dxa"/>
            <w:vAlign w:val="center"/>
          </w:tcPr>
          <w:p w14:paraId="029D6DCF">
            <w:pPr>
              <w:pStyle w:val="196"/>
            </w:pPr>
            <w:r>
              <w:t>卷</w:t>
            </w:r>
          </w:p>
        </w:tc>
        <w:tc>
          <w:tcPr>
            <w:tcW w:w="842" w:type="dxa"/>
            <w:vAlign w:val="center"/>
          </w:tcPr>
          <w:p w14:paraId="6C8A5053">
            <w:pPr>
              <w:pStyle w:val="196"/>
            </w:pPr>
            <w:r>
              <w:t>3</w:t>
            </w:r>
          </w:p>
        </w:tc>
        <w:tc>
          <w:tcPr>
            <w:tcW w:w="1975" w:type="dxa"/>
          </w:tcPr>
          <w:p w14:paraId="11386DDA">
            <w:pPr>
              <w:pStyle w:val="196"/>
              <w:rPr>
                <w:kern w:val="0"/>
              </w:rPr>
            </w:pPr>
            <w:r>
              <w:rPr>
                <w:rFonts w:hint="eastAsia"/>
              </w:rPr>
              <w:t>办公区</w:t>
            </w:r>
          </w:p>
        </w:tc>
      </w:tr>
      <w:tr w14:paraId="1C86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A5EB07F">
            <w:pPr>
              <w:pStyle w:val="196"/>
            </w:pPr>
            <w:r>
              <w:t>移动电源盘</w:t>
            </w:r>
          </w:p>
        </w:tc>
        <w:tc>
          <w:tcPr>
            <w:tcW w:w="2973" w:type="dxa"/>
            <w:vAlign w:val="center"/>
          </w:tcPr>
          <w:p w14:paraId="5DA5D99E">
            <w:pPr>
              <w:pStyle w:val="196"/>
            </w:pPr>
            <w:r>
              <w:t>QF—C4</w:t>
            </w:r>
          </w:p>
        </w:tc>
        <w:tc>
          <w:tcPr>
            <w:tcW w:w="1110" w:type="dxa"/>
            <w:vAlign w:val="center"/>
          </w:tcPr>
          <w:p w14:paraId="3E9A684D">
            <w:pPr>
              <w:pStyle w:val="196"/>
            </w:pPr>
            <w:r>
              <w:t>只</w:t>
            </w:r>
          </w:p>
        </w:tc>
        <w:tc>
          <w:tcPr>
            <w:tcW w:w="842" w:type="dxa"/>
            <w:vAlign w:val="center"/>
          </w:tcPr>
          <w:p w14:paraId="44A02D03">
            <w:pPr>
              <w:pStyle w:val="196"/>
            </w:pPr>
            <w:r>
              <w:t>3</w:t>
            </w:r>
          </w:p>
        </w:tc>
        <w:tc>
          <w:tcPr>
            <w:tcW w:w="1975" w:type="dxa"/>
          </w:tcPr>
          <w:p w14:paraId="4FEB9A2A">
            <w:pPr>
              <w:pStyle w:val="196"/>
              <w:rPr>
                <w:kern w:val="0"/>
              </w:rPr>
            </w:pPr>
            <w:r>
              <w:rPr>
                <w:rFonts w:hint="eastAsia"/>
              </w:rPr>
              <w:t>办公区</w:t>
            </w:r>
          </w:p>
        </w:tc>
      </w:tr>
      <w:tr w14:paraId="2CDC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0BD99E8">
            <w:pPr>
              <w:pStyle w:val="196"/>
            </w:pPr>
            <w:r>
              <w:t>编织袋</w:t>
            </w:r>
          </w:p>
        </w:tc>
        <w:tc>
          <w:tcPr>
            <w:tcW w:w="2973" w:type="dxa"/>
            <w:vAlign w:val="center"/>
          </w:tcPr>
          <w:p w14:paraId="64C6396A">
            <w:pPr>
              <w:pStyle w:val="196"/>
            </w:pPr>
            <w:r>
              <w:t>75 kg</w:t>
            </w:r>
          </w:p>
        </w:tc>
        <w:tc>
          <w:tcPr>
            <w:tcW w:w="1110" w:type="dxa"/>
            <w:vAlign w:val="center"/>
          </w:tcPr>
          <w:p w14:paraId="23957312">
            <w:pPr>
              <w:pStyle w:val="196"/>
            </w:pPr>
            <w:r>
              <w:t>只</w:t>
            </w:r>
          </w:p>
        </w:tc>
        <w:tc>
          <w:tcPr>
            <w:tcW w:w="842" w:type="dxa"/>
            <w:vAlign w:val="center"/>
          </w:tcPr>
          <w:p w14:paraId="376C5208">
            <w:pPr>
              <w:pStyle w:val="196"/>
            </w:pPr>
            <w:r>
              <w:t>500</w:t>
            </w:r>
          </w:p>
        </w:tc>
        <w:tc>
          <w:tcPr>
            <w:tcW w:w="1975" w:type="dxa"/>
          </w:tcPr>
          <w:p w14:paraId="5193C43D">
            <w:pPr>
              <w:pStyle w:val="196"/>
              <w:rPr>
                <w:kern w:val="0"/>
              </w:rPr>
            </w:pPr>
            <w:r>
              <w:rPr>
                <w:rFonts w:hint="eastAsia"/>
              </w:rPr>
              <w:t>办公区</w:t>
            </w:r>
          </w:p>
        </w:tc>
      </w:tr>
      <w:tr w14:paraId="34B8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60400D9">
            <w:pPr>
              <w:pStyle w:val="196"/>
            </w:pPr>
            <w:r>
              <w:t>雨靴</w:t>
            </w:r>
          </w:p>
        </w:tc>
        <w:tc>
          <w:tcPr>
            <w:tcW w:w="2973" w:type="dxa"/>
            <w:vAlign w:val="center"/>
          </w:tcPr>
          <w:p w14:paraId="32A14340">
            <w:pPr>
              <w:pStyle w:val="196"/>
            </w:pPr>
            <w:r>
              <w:t>42</w:t>
            </w:r>
            <w:r>
              <w:rPr>
                <w:rFonts w:hint="eastAsia"/>
              </w:rPr>
              <w:t>码</w:t>
            </w:r>
          </w:p>
        </w:tc>
        <w:tc>
          <w:tcPr>
            <w:tcW w:w="1110" w:type="dxa"/>
            <w:vAlign w:val="center"/>
          </w:tcPr>
          <w:p w14:paraId="6F9DAD7D">
            <w:pPr>
              <w:pStyle w:val="196"/>
            </w:pPr>
            <w:r>
              <w:t>双</w:t>
            </w:r>
          </w:p>
        </w:tc>
        <w:tc>
          <w:tcPr>
            <w:tcW w:w="842" w:type="dxa"/>
            <w:vAlign w:val="center"/>
          </w:tcPr>
          <w:p w14:paraId="0F1579F1">
            <w:pPr>
              <w:pStyle w:val="196"/>
            </w:pPr>
            <w:r>
              <w:t>15</w:t>
            </w:r>
          </w:p>
        </w:tc>
        <w:tc>
          <w:tcPr>
            <w:tcW w:w="1975" w:type="dxa"/>
          </w:tcPr>
          <w:p w14:paraId="45F3CAD2">
            <w:pPr>
              <w:pStyle w:val="196"/>
              <w:rPr>
                <w:kern w:val="0"/>
              </w:rPr>
            </w:pPr>
            <w:r>
              <w:rPr>
                <w:rFonts w:hint="eastAsia"/>
              </w:rPr>
              <w:t>办公区</w:t>
            </w:r>
          </w:p>
        </w:tc>
      </w:tr>
      <w:tr w14:paraId="3776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F41AC60">
            <w:pPr>
              <w:pStyle w:val="196"/>
            </w:pPr>
            <w:r>
              <w:t>雨衣</w:t>
            </w:r>
          </w:p>
        </w:tc>
        <w:tc>
          <w:tcPr>
            <w:tcW w:w="2973" w:type="dxa"/>
            <w:vAlign w:val="center"/>
          </w:tcPr>
          <w:p w14:paraId="057E9EB8">
            <w:pPr>
              <w:pStyle w:val="196"/>
            </w:pPr>
            <w:r>
              <w:t xml:space="preserve"> XXL</w:t>
            </w:r>
          </w:p>
        </w:tc>
        <w:tc>
          <w:tcPr>
            <w:tcW w:w="1110" w:type="dxa"/>
            <w:vAlign w:val="center"/>
          </w:tcPr>
          <w:p w14:paraId="659BA307">
            <w:pPr>
              <w:pStyle w:val="196"/>
            </w:pPr>
            <w:r>
              <w:t>套</w:t>
            </w:r>
          </w:p>
        </w:tc>
        <w:tc>
          <w:tcPr>
            <w:tcW w:w="842" w:type="dxa"/>
            <w:vAlign w:val="center"/>
          </w:tcPr>
          <w:p w14:paraId="1ECA2780">
            <w:pPr>
              <w:pStyle w:val="196"/>
            </w:pPr>
            <w:r>
              <w:t>15</w:t>
            </w:r>
          </w:p>
        </w:tc>
        <w:tc>
          <w:tcPr>
            <w:tcW w:w="1975" w:type="dxa"/>
          </w:tcPr>
          <w:p w14:paraId="4C5A18D0">
            <w:pPr>
              <w:pStyle w:val="196"/>
              <w:rPr>
                <w:kern w:val="0"/>
              </w:rPr>
            </w:pPr>
            <w:r>
              <w:rPr>
                <w:rFonts w:hint="eastAsia"/>
              </w:rPr>
              <w:t>办公区</w:t>
            </w:r>
          </w:p>
        </w:tc>
      </w:tr>
      <w:tr w14:paraId="4201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418A9E3">
            <w:pPr>
              <w:pStyle w:val="196"/>
            </w:pPr>
            <w:r>
              <w:t>安全带</w:t>
            </w:r>
          </w:p>
        </w:tc>
        <w:tc>
          <w:tcPr>
            <w:tcW w:w="2973" w:type="dxa"/>
            <w:vAlign w:val="center"/>
          </w:tcPr>
          <w:p w14:paraId="213A4C86">
            <w:pPr>
              <w:pStyle w:val="196"/>
            </w:pPr>
            <w:r>
              <w:t>XGD—2</w:t>
            </w:r>
          </w:p>
        </w:tc>
        <w:tc>
          <w:tcPr>
            <w:tcW w:w="1110" w:type="dxa"/>
            <w:vAlign w:val="center"/>
          </w:tcPr>
          <w:p w14:paraId="5496691A">
            <w:pPr>
              <w:pStyle w:val="196"/>
            </w:pPr>
            <w:r>
              <w:t>根</w:t>
            </w:r>
          </w:p>
        </w:tc>
        <w:tc>
          <w:tcPr>
            <w:tcW w:w="842" w:type="dxa"/>
            <w:vAlign w:val="center"/>
          </w:tcPr>
          <w:p w14:paraId="294ADBAB">
            <w:pPr>
              <w:pStyle w:val="196"/>
            </w:pPr>
            <w:r>
              <w:t>5</w:t>
            </w:r>
          </w:p>
        </w:tc>
        <w:tc>
          <w:tcPr>
            <w:tcW w:w="1975" w:type="dxa"/>
          </w:tcPr>
          <w:p w14:paraId="37DA0511">
            <w:pPr>
              <w:pStyle w:val="196"/>
              <w:rPr>
                <w:kern w:val="0"/>
              </w:rPr>
            </w:pPr>
            <w:r>
              <w:rPr>
                <w:rFonts w:hint="eastAsia"/>
              </w:rPr>
              <w:t>办公区</w:t>
            </w:r>
          </w:p>
        </w:tc>
      </w:tr>
      <w:tr w14:paraId="5967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FDFB1B5">
            <w:pPr>
              <w:pStyle w:val="196"/>
            </w:pPr>
            <w:r>
              <w:t>强光远射灯</w:t>
            </w:r>
          </w:p>
        </w:tc>
        <w:tc>
          <w:tcPr>
            <w:tcW w:w="2973" w:type="dxa"/>
            <w:vAlign w:val="center"/>
          </w:tcPr>
          <w:p w14:paraId="03B14DDD">
            <w:pPr>
              <w:pStyle w:val="196"/>
            </w:pPr>
            <w:r>
              <w:t>D08—A</w:t>
            </w:r>
          </w:p>
        </w:tc>
        <w:tc>
          <w:tcPr>
            <w:tcW w:w="1110" w:type="dxa"/>
            <w:vAlign w:val="center"/>
          </w:tcPr>
          <w:p w14:paraId="4404DA59">
            <w:pPr>
              <w:pStyle w:val="196"/>
            </w:pPr>
            <w:r>
              <w:t>台</w:t>
            </w:r>
          </w:p>
        </w:tc>
        <w:tc>
          <w:tcPr>
            <w:tcW w:w="842" w:type="dxa"/>
            <w:vAlign w:val="center"/>
          </w:tcPr>
          <w:p w14:paraId="0939519E">
            <w:pPr>
              <w:pStyle w:val="196"/>
            </w:pPr>
            <w:r>
              <w:t>2</w:t>
            </w:r>
          </w:p>
        </w:tc>
        <w:tc>
          <w:tcPr>
            <w:tcW w:w="1975" w:type="dxa"/>
          </w:tcPr>
          <w:p w14:paraId="76FCC03C">
            <w:pPr>
              <w:pStyle w:val="196"/>
              <w:rPr>
                <w:kern w:val="0"/>
              </w:rPr>
            </w:pPr>
            <w:r>
              <w:rPr>
                <w:rFonts w:hint="eastAsia"/>
              </w:rPr>
              <w:t>办公区</w:t>
            </w:r>
          </w:p>
        </w:tc>
      </w:tr>
      <w:tr w14:paraId="1B63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A6149A5">
            <w:pPr>
              <w:pStyle w:val="196"/>
            </w:pPr>
            <w:r>
              <w:t>麻绳</w:t>
            </w:r>
          </w:p>
        </w:tc>
        <w:tc>
          <w:tcPr>
            <w:tcW w:w="2973" w:type="dxa"/>
            <w:vAlign w:val="center"/>
          </w:tcPr>
          <w:p w14:paraId="01533C13">
            <w:pPr>
              <w:pStyle w:val="196"/>
            </w:pPr>
            <w:r>
              <w:t>直径20mm</w:t>
            </w:r>
          </w:p>
        </w:tc>
        <w:tc>
          <w:tcPr>
            <w:tcW w:w="1110" w:type="dxa"/>
            <w:vAlign w:val="center"/>
          </w:tcPr>
          <w:p w14:paraId="71346590">
            <w:pPr>
              <w:pStyle w:val="196"/>
            </w:pPr>
            <w:r>
              <w:t>米</w:t>
            </w:r>
          </w:p>
        </w:tc>
        <w:tc>
          <w:tcPr>
            <w:tcW w:w="842" w:type="dxa"/>
            <w:vAlign w:val="center"/>
          </w:tcPr>
          <w:p w14:paraId="02293C27">
            <w:pPr>
              <w:pStyle w:val="196"/>
            </w:pPr>
            <w:r>
              <w:t>100</w:t>
            </w:r>
          </w:p>
        </w:tc>
        <w:tc>
          <w:tcPr>
            <w:tcW w:w="1975" w:type="dxa"/>
          </w:tcPr>
          <w:p w14:paraId="02F56655">
            <w:pPr>
              <w:pStyle w:val="196"/>
              <w:rPr>
                <w:kern w:val="0"/>
              </w:rPr>
            </w:pPr>
            <w:r>
              <w:rPr>
                <w:rFonts w:hint="eastAsia"/>
              </w:rPr>
              <w:t>办公区</w:t>
            </w:r>
          </w:p>
        </w:tc>
      </w:tr>
      <w:tr w14:paraId="727A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52F57FE">
            <w:pPr>
              <w:pStyle w:val="196"/>
            </w:pPr>
            <w:r>
              <w:t>潜水泵</w:t>
            </w:r>
          </w:p>
        </w:tc>
        <w:tc>
          <w:tcPr>
            <w:tcW w:w="2973" w:type="dxa"/>
            <w:vAlign w:val="center"/>
          </w:tcPr>
          <w:p w14:paraId="144F8BDC">
            <w:pPr>
              <w:pStyle w:val="196"/>
            </w:pPr>
            <w:r>
              <w:t>BQW15-22-3　</w:t>
            </w:r>
          </w:p>
        </w:tc>
        <w:tc>
          <w:tcPr>
            <w:tcW w:w="1110" w:type="dxa"/>
            <w:vAlign w:val="center"/>
          </w:tcPr>
          <w:p w14:paraId="4AB52F91">
            <w:pPr>
              <w:pStyle w:val="196"/>
            </w:pPr>
            <w:r>
              <w:t>台</w:t>
            </w:r>
          </w:p>
        </w:tc>
        <w:tc>
          <w:tcPr>
            <w:tcW w:w="842" w:type="dxa"/>
            <w:vAlign w:val="center"/>
          </w:tcPr>
          <w:p w14:paraId="23EEB3CE">
            <w:pPr>
              <w:pStyle w:val="196"/>
            </w:pPr>
            <w:r>
              <w:t>3</w:t>
            </w:r>
          </w:p>
        </w:tc>
        <w:tc>
          <w:tcPr>
            <w:tcW w:w="1975" w:type="dxa"/>
          </w:tcPr>
          <w:p w14:paraId="1774AF6B">
            <w:pPr>
              <w:pStyle w:val="196"/>
              <w:rPr>
                <w:kern w:val="0"/>
              </w:rPr>
            </w:pPr>
            <w:r>
              <w:rPr>
                <w:rFonts w:hint="eastAsia"/>
              </w:rPr>
              <w:t>办公区</w:t>
            </w:r>
          </w:p>
        </w:tc>
      </w:tr>
      <w:tr w14:paraId="38E0B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B65026E">
            <w:pPr>
              <w:pStyle w:val="196"/>
            </w:pPr>
            <w:r>
              <w:t>全塑软管</w:t>
            </w:r>
          </w:p>
        </w:tc>
        <w:tc>
          <w:tcPr>
            <w:tcW w:w="2973" w:type="dxa"/>
            <w:vAlign w:val="center"/>
          </w:tcPr>
          <w:p w14:paraId="4D1B25FA">
            <w:pPr>
              <w:pStyle w:val="196"/>
            </w:pPr>
            <w:r>
              <w:t>直径80mm</w:t>
            </w:r>
          </w:p>
        </w:tc>
        <w:tc>
          <w:tcPr>
            <w:tcW w:w="1110" w:type="dxa"/>
            <w:vAlign w:val="center"/>
          </w:tcPr>
          <w:p w14:paraId="258CD6DE">
            <w:pPr>
              <w:pStyle w:val="196"/>
            </w:pPr>
            <w:r>
              <w:t>米</w:t>
            </w:r>
          </w:p>
        </w:tc>
        <w:tc>
          <w:tcPr>
            <w:tcW w:w="842" w:type="dxa"/>
            <w:vAlign w:val="center"/>
          </w:tcPr>
          <w:p w14:paraId="271BBD78">
            <w:pPr>
              <w:pStyle w:val="196"/>
            </w:pPr>
            <w:r>
              <w:t>40</w:t>
            </w:r>
          </w:p>
        </w:tc>
        <w:tc>
          <w:tcPr>
            <w:tcW w:w="1975" w:type="dxa"/>
            <w:vAlign w:val="center"/>
          </w:tcPr>
          <w:p w14:paraId="6E406E9F">
            <w:pPr>
              <w:pStyle w:val="196"/>
            </w:pPr>
            <w:r>
              <w:t>值班室</w:t>
            </w:r>
          </w:p>
        </w:tc>
      </w:tr>
      <w:tr w14:paraId="3539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F977E2C">
            <w:pPr>
              <w:pStyle w:val="196"/>
            </w:pPr>
            <w:r>
              <w:t>全塑软管</w:t>
            </w:r>
          </w:p>
        </w:tc>
        <w:tc>
          <w:tcPr>
            <w:tcW w:w="2973" w:type="dxa"/>
            <w:vAlign w:val="center"/>
          </w:tcPr>
          <w:p w14:paraId="11D030DC">
            <w:pPr>
              <w:pStyle w:val="196"/>
            </w:pPr>
            <w:r>
              <w:t>直径65mm</w:t>
            </w:r>
          </w:p>
        </w:tc>
        <w:tc>
          <w:tcPr>
            <w:tcW w:w="1110" w:type="dxa"/>
            <w:vAlign w:val="center"/>
          </w:tcPr>
          <w:p w14:paraId="7AEF1759">
            <w:pPr>
              <w:pStyle w:val="196"/>
            </w:pPr>
            <w:r>
              <w:t>米</w:t>
            </w:r>
          </w:p>
        </w:tc>
        <w:tc>
          <w:tcPr>
            <w:tcW w:w="842" w:type="dxa"/>
            <w:vAlign w:val="center"/>
          </w:tcPr>
          <w:p w14:paraId="415FB0B6">
            <w:pPr>
              <w:pStyle w:val="196"/>
            </w:pPr>
            <w:r>
              <w:t>120</w:t>
            </w:r>
          </w:p>
        </w:tc>
        <w:tc>
          <w:tcPr>
            <w:tcW w:w="1975" w:type="dxa"/>
            <w:vAlign w:val="center"/>
          </w:tcPr>
          <w:p w14:paraId="0F0B07DE">
            <w:pPr>
              <w:pStyle w:val="196"/>
            </w:pPr>
            <w:r>
              <w:t>值班室</w:t>
            </w:r>
          </w:p>
        </w:tc>
      </w:tr>
      <w:tr w14:paraId="0CA8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B62490B">
            <w:pPr>
              <w:pStyle w:val="196"/>
            </w:pPr>
            <w:r>
              <w:t>涂塑软管</w:t>
            </w:r>
          </w:p>
        </w:tc>
        <w:tc>
          <w:tcPr>
            <w:tcW w:w="2973" w:type="dxa"/>
            <w:vAlign w:val="center"/>
          </w:tcPr>
          <w:p w14:paraId="04991D7E">
            <w:pPr>
              <w:pStyle w:val="196"/>
            </w:pPr>
            <w:r>
              <w:t>直径40mm</w:t>
            </w:r>
          </w:p>
        </w:tc>
        <w:tc>
          <w:tcPr>
            <w:tcW w:w="1110" w:type="dxa"/>
            <w:vAlign w:val="center"/>
          </w:tcPr>
          <w:p w14:paraId="010D0CDF">
            <w:pPr>
              <w:pStyle w:val="196"/>
            </w:pPr>
            <w:r>
              <w:t>米</w:t>
            </w:r>
          </w:p>
        </w:tc>
        <w:tc>
          <w:tcPr>
            <w:tcW w:w="842" w:type="dxa"/>
            <w:vAlign w:val="center"/>
          </w:tcPr>
          <w:p w14:paraId="6CB36CEC">
            <w:pPr>
              <w:pStyle w:val="196"/>
            </w:pPr>
            <w:r>
              <w:t>40</w:t>
            </w:r>
          </w:p>
        </w:tc>
        <w:tc>
          <w:tcPr>
            <w:tcW w:w="1975" w:type="dxa"/>
            <w:vAlign w:val="center"/>
          </w:tcPr>
          <w:p w14:paraId="3A66967E">
            <w:pPr>
              <w:pStyle w:val="196"/>
            </w:pPr>
            <w:r>
              <w:t>值班室</w:t>
            </w:r>
          </w:p>
        </w:tc>
      </w:tr>
      <w:tr w14:paraId="3E9B2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B301F4C">
            <w:pPr>
              <w:pStyle w:val="196"/>
            </w:pPr>
            <w:r>
              <w:t>潜水泵软管</w:t>
            </w:r>
          </w:p>
        </w:tc>
        <w:tc>
          <w:tcPr>
            <w:tcW w:w="2973" w:type="dxa"/>
            <w:vAlign w:val="center"/>
          </w:tcPr>
          <w:p w14:paraId="702D7103">
            <w:pPr>
              <w:pStyle w:val="196"/>
            </w:pPr>
            <w:r>
              <w:t>直径50mm</w:t>
            </w:r>
          </w:p>
        </w:tc>
        <w:tc>
          <w:tcPr>
            <w:tcW w:w="1110" w:type="dxa"/>
            <w:vAlign w:val="center"/>
          </w:tcPr>
          <w:p w14:paraId="1A556818">
            <w:pPr>
              <w:pStyle w:val="196"/>
            </w:pPr>
            <w:r>
              <w:t>米</w:t>
            </w:r>
          </w:p>
        </w:tc>
        <w:tc>
          <w:tcPr>
            <w:tcW w:w="842" w:type="dxa"/>
            <w:vAlign w:val="center"/>
          </w:tcPr>
          <w:p w14:paraId="598718B0">
            <w:pPr>
              <w:pStyle w:val="196"/>
            </w:pPr>
            <w:r>
              <w:t>100</w:t>
            </w:r>
          </w:p>
        </w:tc>
        <w:tc>
          <w:tcPr>
            <w:tcW w:w="1975" w:type="dxa"/>
            <w:vAlign w:val="center"/>
          </w:tcPr>
          <w:p w14:paraId="2ECB0C14">
            <w:pPr>
              <w:pStyle w:val="196"/>
            </w:pPr>
            <w:r>
              <w:t>值班室</w:t>
            </w:r>
          </w:p>
        </w:tc>
      </w:tr>
      <w:tr w14:paraId="5ABD5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0B07CBE">
            <w:pPr>
              <w:pStyle w:val="196"/>
            </w:pPr>
            <w:r>
              <w:t>铅丝</w:t>
            </w:r>
          </w:p>
        </w:tc>
        <w:tc>
          <w:tcPr>
            <w:tcW w:w="2973" w:type="dxa"/>
            <w:vAlign w:val="center"/>
          </w:tcPr>
          <w:p w14:paraId="6DAE63A8">
            <w:pPr>
              <w:pStyle w:val="196"/>
            </w:pPr>
            <w:r>
              <w:t>#12</w:t>
            </w:r>
          </w:p>
        </w:tc>
        <w:tc>
          <w:tcPr>
            <w:tcW w:w="1110" w:type="dxa"/>
            <w:vAlign w:val="center"/>
          </w:tcPr>
          <w:p w14:paraId="56320DAE">
            <w:pPr>
              <w:pStyle w:val="196"/>
            </w:pPr>
            <w:r>
              <w:rPr>
                <w:rFonts w:hint="eastAsia"/>
              </w:rPr>
              <w:t>kg</w:t>
            </w:r>
          </w:p>
        </w:tc>
        <w:tc>
          <w:tcPr>
            <w:tcW w:w="842" w:type="dxa"/>
            <w:vAlign w:val="center"/>
          </w:tcPr>
          <w:p w14:paraId="5943AA8B">
            <w:pPr>
              <w:pStyle w:val="196"/>
            </w:pPr>
            <w:r>
              <w:t>10</w:t>
            </w:r>
          </w:p>
        </w:tc>
        <w:tc>
          <w:tcPr>
            <w:tcW w:w="1975" w:type="dxa"/>
            <w:vAlign w:val="center"/>
          </w:tcPr>
          <w:p w14:paraId="13F28AA3">
            <w:pPr>
              <w:pStyle w:val="196"/>
            </w:pPr>
            <w:r>
              <w:t>值班室</w:t>
            </w:r>
          </w:p>
        </w:tc>
      </w:tr>
      <w:tr w14:paraId="28FC0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CD36E06">
            <w:pPr>
              <w:pStyle w:val="196"/>
            </w:pPr>
            <w:r>
              <w:t>彩条尼龙布</w:t>
            </w:r>
          </w:p>
        </w:tc>
        <w:tc>
          <w:tcPr>
            <w:tcW w:w="2973" w:type="dxa"/>
            <w:vAlign w:val="center"/>
          </w:tcPr>
          <w:p w14:paraId="46309473">
            <w:pPr>
              <w:pStyle w:val="196"/>
            </w:pPr>
            <w:r>
              <w:t>50m×8m</w:t>
            </w:r>
          </w:p>
        </w:tc>
        <w:tc>
          <w:tcPr>
            <w:tcW w:w="1110" w:type="dxa"/>
            <w:vAlign w:val="center"/>
          </w:tcPr>
          <w:p w14:paraId="50BBE96D">
            <w:pPr>
              <w:pStyle w:val="196"/>
            </w:pPr>
            <w:r>
              <w:t>m</w:t>
            </w:r>
            <w:r>
              <w:rPr>
                <w:vertAlign w:val="superscript"/>
              </w:rPr>
              <w:t>2</w:t>
            </w:r>
          </w:p>
        </w:tc>
        <w:tc>
          <w:tcPr>
            <w:tcW w:w="842" w:type="dxa"/>
            <w:vAlign w:val="center"/>
          </w:tcPr>
          <w:p w14:paraId="53F6D8C8">
            <w:pPr>
              <w:pStyle w:val="196"/>
            </w:pPr>
            <w:r>
              <w:t>1600</w:t>
            </w:r>
          </w:p>
        </w:tc>
        <w:tc>
          <w:tcPr>
            <w:tcW w:w="1975" w:type="dxa"/>
            <w:vAlign w:val="center"/>
          </w:tcPr>
          <w:p w14:paraId="3FE756DC">
            <w:pPr>
              <w:pStyle w:val="196"/>
            </w:pPr>
            <w:r>
              <w:t>值班室</w:t>
            </w:r>
          </w:p>
        </w:tc>
      </w:tr>
      <w:tr w14:paraId="6F80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7910D8C">
            <w:pPr>
              <w:pStyle w:val="196"/>
            </w:pPr>
            <w:r>
              <w:t>特制泥浆专用袋</w:t>
            </w:r>
          </w:p>
        </w:tc>
        <w:tc>
          <w:tcPr>
            <w:tcW w:w="2973" w:type="dxa"/>
            <w:vAlign w:val="center"/>
          </w:tcPr>
          <w:p w14:paraId="42C1998A">
            <w:pPr>
              <w:pStyle w:val="196"/>
            </w:pPr>
            <w:r>
              <w:t>　</w:t>
            </w:r>
          </w:p>
        </w:tc>
        <w:tc>
          <w:tcPr>
            <w:tcW w:w="1110" w:type="dxa"/>
            <w:vAlign w:val="center"/>
          </w:tcPr>
          <w:p w14:paraId="182C0945">
            <w:pPr>
              <w:pStyle w:val="196"/>
            </w:pPr>
            <w:r>
              <w:t>只</w:t>
            </w:r>
          </w:p>
        </w:tc>
        <w:tc>
          <w:tcPr>
            <w:tcW w:w="842" w:type="dxa"/>
            <w:vAlign w:val="center"/>
          </w:tcPr>
          <w:p w14:paraId="6C6C5024">
            <w:pPr>
              <w:pStyle w:val="196"/>
            </w:pPr>
            <w:r>
              <w:t>12</w:t>
            </w:r>
          </w:p>
        </w:tc>
        <w:tc>
          <w:tcPr>
            <w:tcW w:w="1975" w:type="dxa"/>
            <w:vAlign w:val="center"/>
          </w:tcPr>
          <w:p w14:paraId="124B5823">
            <w:pPr>
              <w:pStyle w:val="196"/>
            </w:pPr>
            <w:r>
              <w:t>值班室</w:t>
            </w:r>
          </w:p>
        </w:tc>
      </w:tr>
      <w:tr w14:paraId="43EE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068A2AE">
            <w:pPr>
              <w:pStyle w:val="196"/>
            </w:pPr>
            <w:r>
              <w:t>防毒面具</w:t>
            </w:r>
          </w:p>
        </w:tc>
        <w:tc>
          <w:tcPr>
            <w:tcW w:w="2973" w:type="dxa"/>
            <w:vAlign w:val="center"/>
          </w:tcPr>
          <w:p w14:paraId="0935BB11">
            <w:pPr>
              <w:pStyle w:val="196"/>
            </w:pPr>
            <w:r>
              <w:t>防止伤害和气体中毒</w:t>
            </w:r>
          </w:p>
        </w:tc>
        <w:tc>
          <w:tcPr>
            <w:tcW w:w="1110" w:type="dxa"/>
            <w:vAlign w:val="center"/>
          </w:tcPr>
          <w:p w14:paraId="6D562416">
            <w:pPr>
              <w:pStyle w:val="196"/>
            </w:pPr>
            <w:r>
              <w:t>套</w:t>
            </w:r>
          </w:p>
        </w:tc>
        <w:tc>
          <w:tcPr>
            <w:tcW w:w="842" w:type="dxa"/>
            <w:vAlign w:val="center"/>
          </w:tcPr>
          <w:p w14:paraId="1CB34094">
            <w:pPr>
              <w:pStyle w:val="196"/>
            </w:pPr>
            <w:r>
              <w:t>6</w:t>
            </w:r>
          </w:p>
        </w:tc>
        <w:tc>
          <w:tcPr>
            <w:tcW w:w="1975" w:type="dxa"/>
            <w:vAlign w:val="center"/>
          </w:tcPr>
          <w:p w14:paraId="23C1267D">
            <w:pPr>
              <w:pStyle w:val="196"/>
            </w:pPr>
            <w:r>
              <w:t>值班室</w:t>
            </w:r>
          </w:p>
        </w:tc>
      </w:tr>
      <w:tr w14:paraId="7553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83" w:type="dxa"/>
            <w:vAlign w:val="center"/>
          </w:tcPr>
          <w:p w14:paraId="288560E7">
            <w:pPr>
              <w:pStyle w:val="196"/>
            </w:pPr>
            <w:r>
              <w:t>重型防护服</w:t>
            </w:r>
          </w:p>
        </w:tc>
        <w:tc>
          <w:tcPr>
            <w:tcW w:w="2973" w:type="dxa"/>
            <w:vAlign w:val="center"/>
          </w:tcPr>
          <w:p w14:paraId="1FE34002">
            <w:pPr>
              <w:pStyle w:val="196"/>
            </w:pPr>
            <w:r>
              <w:rPr>
                <w:rFonts w:hint="eastAsia"/>
                <w:lang w:eastAsia="zh-CN"/>
              </w:rPr>
              <w:t>防止</w:t>
            </w:r>
            <w:r>
              <w:t>接触皮肤伤害</w:t>
            </w:r>
          </w:p>
        </w:tc>
        <w:tc>
          <w:tcPr>
            <w:tcW w:w="1110" w:type="dxa"/>
            <w:vAlign w:val="center"/>
          </w:tcPr>
          <w:p w14:paraId="6C1B4824">
            <w:pPr>
              <w:pStyle w:val="196"/>
            </w:pPr>
            <w:r>
              <w:t>套</w:t>
            </w:r>
          </w:p>
        </w:tc>
        <w:tc>
          <w:tcPr>
            <w:tcW w:w="842" w:type="dxa"/>
            <w:vAlign w:val="center"/>
          </w:tcPr>
          <w:p w14:paraId="6DAB8EDA">
            <w:pPr>
              <w:pStyle w:val="196"/>
            </w:pPr>
            <w:r>
              <w:t>2</w:t>
            </w:r>
          </w:p>
        </w:tc>
        <w:tc>
          <w:tcPr>
            <w:tcW w:w="1975" w:type="dxa"/>
            <w:vAlign w:val="center"/>
          </w:tcPr>
          <w:p w14:paraId="6994321C">
            <w:pPr>
              <w:pStyle w:val="196"/>
            </w:pPr>
            <w:r>
              <w:t>值班室</w:t>
            </w:r>
          </w:p>
        </w:tc>
      </w:tr>
      <w:tr w14:paraId="0420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884B223">
            <w:pPr>
              <w:pStyle w:val="196"/>
            </w:pPr>
            <w:r>
              <w:t>正压式呼吸器</w:t>
            </w:r>
          </w:p>
        </w:tc>
        <w:tc>
          <w:tcPr>
            <w:tcW w:w="2973" w:type="dxa"/>
            <w:vAlign w:val="center"/>
          </w:tcPr>
          <w:p w14:paraId="35B2B345">
            <w:pPr>
              <w:pStyle w:val="196"/>
            </w:pPr>
            <w:r>
              <w:t>防止伤害和气体中毒</w:t>
            </w:r>
          </w:p>
        </w:tc>
        <w:tc>
          <w:tcPr>
            <w:tcW w:w="1110" w:type="dxa"/>
            <w:vAlign w:val="center"/>
          </w:tcPr>
          <w:p w14:paraId="23942DA4">
            <w:pPr>
              <w:pStyle w:val="196"/>
            </w:pPr>
            <w:r>
              <w:t>套</w:t>
            </w:r>
          </w:p>
        </w:tc>
        <w:tc>
          <w:tcPr>
            <w:tcW w:w="842" w:type="dxa"/>
            <w:vAlign w:val="center"/>
          </w:tcPr>
          <w:p w14:paraId="06A7C2AD">
            <w:pPr>
              <w:pStyle w:val="196"/>
            </w:pPr>
            <w:r>
              <w:t>2</w:t>
            </w:r>
          </w:p>
        </w:tc>
        <w:tc>
          <w:tcPr>
            <w:tcW w:w="1975" w:type="dxa"/>
            <w:vAlign w:val="center"/>
          </w:tcPr>
          <w:p w14:paraId="6CE40F02">
            <w:pPr>
              <w:pStyle w:val="196"/>
            </w:pPr>
            <w:r>
              <w:t>值班室</w:t>
            </w:r>
          </w:p>
        </w:tc>
      </w:tr>
      <w:tr w14:paraId="2A05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3C109A0">
            <w:pPr>
              <w:pStyle w:val="196"/>
            </w:pPr>
            <w:r>
              <w:t>便携式漏氨监测仪</w:t>
            </w:r>
          </w:p>
        </w:tc>
        <w:tc>
          <w:tcPr>
            <w:tcW w:w="2973" w:type="dxa"/>
            <w:vAlign w:val="center"/>
          </w:tcPr>
          <w:p w14:paraId="4F9B2879">
            <w:pPr>
              <w:pStyle w:val="196"/>
            </w:pPr>
            <w:r>
              <w:t>检测浓度</w:t>
            </w:r>
          </w:p>
        </w:tc>
        <w:tc>
          <w:tcPr>
            <w:tcW w:w="1110" w:type="dxa"/>
            <w:vAlign w:val="center"/>
          </w:tcPr>
          <w:p w14:paraId="0E6C92C9">
            <w:pPr>
              <w:pStyle w:val="196"/>
            </w:pPr>
            <w:r>
              <w:t>套</w:t>
            </w:r>
          </w:p>
        </w:tc>
        <w:tc>
          <w:tcPr>
            <w:tcW w:w="842" w:type="dxa"/>
            <w:vAlign w:val="center"/>
          </w:tcPr>
          <w:p w14:paraId="7647E0EA">
            <w:pPr>
              <w:pStyle w:val="196"/>
            </w:pPr>
            <w:r>
              <w:t>1</w:t>
            </w:r>
          </w:p>
        </w:tc>
        <w:tc>
          <w:tcPr>
            <w:tcW w:w="1975" w:type="dxa"/>
            <w:vAlign w:val="center"/>
          </w:tcPr>
          <w:p w14:paraId="3E8C5E2E">
            <w:pPr>
              <w:pStyle w:val="196"/>
            </w:pPr>
            <w:r>
              <w:t>值班室</w:t>
            </w:r>
          </w:p>
        </w:tc>
      </w:tr>
      <w:tr w14:paraId="14EF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D1E1DEA">
            <w:pPr>
              <w:pStyle w:val="196"/>
            </w:pPr>
            <w:r>
              <w:t>防护服</w:t>
            </w:r>
          </w:p>
        </w:tc>
        <w:tc>
          <w:tcPr>
            <w:tcW w:w="2973" w:type="dxa"/>
            <w:vAlign w:val="center"/>
          </w:tcPr>
          <w:p w14:paraId="476E780B">
            <w:pPr>
              <w:pStyle w:val="196"/>
            </w:pPr>
            <w:r>
              <w:t>防止接触皮肤伤害</w:t>
            </w:r>
          </w:p>
        </w:tc>
        <w:tc>
          <w:tcPr>
            <w:tcW w:w="1110" w:type="dxa"/>
            <w:vAlign w:val="center"/>
          </w:tcPr>
          <w:p w14:paraId="74001642">
            <w:pPr>
              <w:pStyle w:val="196"/>
            </w:pPr>
            <w:r>
              <w:t>套</w:t>
            </w:r>
          </w:p>
        </w:tc>
        <w:tc>
          <w:tcPr>
            <w:tcW w:w="842" w:type="dxa"/>
            <w:vAlign w:val="center"/>
          </w:tcPr>
          <w:p w14:paraId="4262E121">
            <w:pPr>
              <w:pStyle w:val="196"/>
            </w:pPr>
            <w:r>
              <w:t>4</w:t>
            </w:r>
          </w:p>
        </w:tc>
        <w:tc>
          <w:tcPr>
            <w:tcW w:w="1975" w:type="dxa"/>
            <w:vAlign w:val="center"/>
          </w:tcPr>
          <w:p w14:paraId="66639244">
            <w:pPr>
              <w:pStyle w:val="196"/>
            </w:pPr>
            <w:r>
              <w:t>值班室</w:t>
            </w:r>
          </w:p>
        </w:tc>
      </w:tr>
      <w:tr w14:paraId="35543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6D39D8D">
            <w:pPr>
              <w:pStyle w:val="196"/>
            </w:pPr>
            <w:r>
              <w:t>防护手套</w:t>
            </w:r>
          </w:p>
        </w:tc>
        <w:tc>
          <w:tcPr>
            <w:tcW w:w="2973" w:type="dxa"/>
            <w:vAlign w:val="center"/>
          </w:tcPr>
          <w:p w14:paraId="6F500149">
            <w:pPr>
              <w:pStyle w:val="196"/>
            </w:pPr>
            <w:r>
              <w:t>防止伤害</w:t>
            </w:r>
          </w:p>
        </w:tc>
        <w:tc>
          <w:tcPr>
            <w:tcW w:w="1110" w:type="dxa"/>
            <w:vAlign w:val="center"/>
          </w:tcPr>
          <w:p w14:paraId="6B4E5044">
            <w:pPr>
              <w:pStyle w:val="196"/>
            </w:pPr>
            <w:r>
              <w:t>副</w:t>
            </w:r>
          </w:p>
        </w:tc>
        <w:tc>
          <w:tcPr>
            <w:tcW w:w="842" w:type="dxa"/>
            <w:vAlign w:val="center"/>
          </w:tcPr>
          <w:p w14:paraId="366A3F8F">
            <w:pPr>
              <w:pStyle w:val="196"/>
            </w:pPr>
            <w:r>
              <w:t>4</w:t>
            </w:r>
          </w:p>
        </w:tc>
        <w:tc>
          <w:tcPr>
            <w:tcW w:w="1975" w:type="dxa"/>
            <w:vAlign w:val="center"/>
          </w:tcPr>
          <w:p w14:paraId="2515185C">
            <w:pPr>
              <w:pStyle w:val="196"/>
            </w:pPr>
            <w:r>
              <w:t>值班室</w:t>
            </w:r>
          </w:p>
        </w:tc>
      </w:tr>
      <w:tr w14:paraId="1169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B16865E">
            <w:pPr>
              <w:pStyle w:val="196"/>
            </w:pPr>
            <w:r>
              <w:t>防酸碱雨鞋</w:t>
            </w:r>
          </w:p>
        </w:tc>
        <w:tc>
          <w:tcPr>
            <w:tcW w:w="2973" w:type="dxa"/>
            <w:vAlign w:val="center"/>
          </w:tcPr>
          <w:p w14:paraId="2A2DCFAB">
            <w:pPr>
              <w:pStyle w:val="196"/>
            </w:pPr>
            <w:r>
              <w:t>防止伤害</w:t>
            </w:r>
          </w:p>
        </w:tc>
        <w:tc>
          <w:tcPr>
            <w:tcW w:w="1110" w:type="dxa"/>
            <w:vAlign w:val="center"/>
          </w:tcPr>
          <w:p w14:paraId="3A848EFD">
            <w:pPr>
              <w:pStyle w:val="196"/>
            </w:pPr>
            <w:r>
              <w:t>双</w:t>
            </w:r>
          </w:p>
        </w:tc>
        <w:tc>
          <w:tcPr>
            <w:tcW w:w="842" w:type="dxa"/>
            <w:vAlign w:val="center"/>
          </w:tcPr>
          <w:p w14:paraId="0A6E5EC6">
            <w:pPr>
              <w:pStyle w:val="196"/>
            </w:pPr>
            <w:r>
              <w:t>4</w:t>
            </w:r>
          </w:p>
        </w:tc>
        <w:tc>
          <w:tcPr>
            <w:tcW w:w="1975" w:type="dxa"/>
            <w:vAlign w:val="center"/>
          </w:tcPr>
          <w:p w14:paraId="473683C2">
            <w:pPr>
              <w:pStyle w:val="196"/>
            </w:pPr>
            <w:r>
              <w:t>值班室</w:t>
            </w:r>
          </w:p>
        </w:tc>
      </w:tr>
      <w:tr w14:paraId="6D3B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6ABF9F0">
            <w:pPr>
              <w:pStyle w:val="196"/>
            </w:pPr>
            <w:r>
              <w:t>毛巾</w:t>
            </w:r>
          </w:p>
        </w:tc>
        <w:tc>
          <w:tcPr>
            <w:tcW w:w="2973" w:type="dxa"/>
            <w:vAlign w:val="center"/>
          </w:tcPr>
          <w:p w14:paraId="5EA0322B">
            <w:pPr>
              <w:pStyle w:val="196"/>
            </w:pPr>
            <w:r>
              <w:t>擦拭、清理伤害部位</w:t>
            </w:r>
          </w:p>
        </w:tc>
        <w:tc>
          <w:tcPr>
            <w:tcW w:w="1110" w:type="dxa"/>
            <w:vAlign w:val="center"/>
          </w:tcPr>
          <w:p w14:paraId="42B18E7C">
            <w:pPr>
              <w:pStyle w:val="196"/>
            </w:pPr>
            <w:r>
              <w:t>条</w:t>
            </w:r>
          </w:p>
        </w:tc>
        <w:tc>
          <w:tcPr>
            <w:tcW w:w="842" w:type="dxa"/>
            <w:vAlign w:val="center"/>
          </w:tcPr>
          <w:p w14:paraId="30B41658">
            <w:pPr>
              <w:pStyle w:val="196"/>
            </w:pPr>
            <w:r>
              <w:t>若干</w:t>
            </w:r>
          </w:p>
        </w:tc>
        <w:tc>
          <w:tcPr>
            <w:tcW w:w="1975" w:type="dxa"/>
            <w:vAlign w:val="center"/>
          </w:tcPr>
          <w:p w14:paraId="07CA0C02">
            <w:pPr>
              <w:pStyle w:val="196"/>
            </w:pPr>
            <w:r>
              <w:t>值班室</w:t>
            </w:r>
          </w:p>
        </w:tc>
      </w:tr>
      <w:tr w14:paraId="567A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83" w:type="dxa"/>
            <w:vAlign w:val="center"/>
          </w:tcPr>
          <w:p w14:paraId="1910AB48">
            <w:pPr>
              <w:pStyle w:val="196"/>
            </w:pPr>
            <w:r>
              <w:t>肥皂</w:t>
            </w:r>
          </w:p>
        </w:tc>
        <w:tc>
          <w:tcPr>
            <w:tcW w:w="2973" w:type="dxa"/>
            <w:vAlign w:val="center"/>
          </w:tcPr>
          <w:p w14:paraId="2F87A613">
            <w:pPr>
              <w:pStyle w:val="196"/>
            </w:pPr>
            <w:r>
              <w:t>清理伤害部位</w:t>
            </w:r>
          </w:p>
        </w:tc>
        <w:tc>
          <w:tcPr>
            <w:tcW w:w="1110" w:type="dxa"/>
            <w:vAlign w:val="center"/>
          </w:tcPr>
          <w:p w14:paraId="01FAF43C">
            <w:pPr>
              <w:pStyle w:val="196"/>
            </w:pPr>
            <w:r>
              <w:t>块</w:t>
            </w:r>
          </w:p>
        </w:tc>
        <w:tc>
          <w:tcPr>
            <w:tcW w:w="842" w:type="dxa"/>
            <w:vAlign w:val="center"/>
          </w:tcPr>
          <w:p w14:paraId="1378404C">
            <w:pPr>
              <w:pStyle w:val="196"/>
            </w:pPr>
            <w:r>
              <w:t>若干</w:t>
            </w:r>
          </w:p>
        </w:tc>
        <w:tc>
          <w:tcPr>
            <w:tcW w:w="1975" w:type="dxa"/>
            <w:vAlign w:val="center"/>
          </w:tcPr>
          <w:p w14:paraId="07475452">
            <w:pPr>
              <w:pStyle w:val="196"/>
            </w:pPr>
            <w:r>
              <w:t>值班室</w:t>
            </w:r>
          </w:p>
        </w:tc>
      </w:tr>
      <w:tr w14:paraId="4848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2D2557E">
            <w:pPr>
              <w:pStyle w:val="196"/>
              <w:rPr>
                <w:kern w:val="0"/>
              </w:rPr>
            </w:pPr>
            <w:r>
              <w:rPr>
                <w:rFonts w:hint="eastAsia"/>
              </w:rPr>
              <w:t>手提灭火器</w:t>
            </w:r>
          </w:p>
        </w:tc>
        <w:tc>
          <w:tcPr>
            <w:tcW w:w="2973" w:type="dxa"/>
            <w:vAlign w:val="center"/>
          </w:tcPr>
          <w:p w14:paraId="4A2683F6">
            <w:pPr>
              <w:pStyle w:val="196"/>
            </w:pPr>
            <w:r>
              <w:t>灭火</w:t>
            </w:r>
          </w:p>
        </w:tc>
        <w:tc>
          <w:tcPr>
            <w:tcW w:w="1110" w:type="dxa"/>
            <w:vAlign w:val="center"/>
          </w:tcPr>
          <w:p w14:paraId="42A14F41">
            <w:pPr>
              <w:pStyle w:val="196"/>
            </w:pPr>
            <w:r>
              <w:t>个</w:t>
            </w:r>
          </w:p>
        </w:tc>
        <w:tc>
          <w:tcPr>
            <w:tcW w:w="842" w:type="dxa"/>
            <w:vAlign w:val="center"/>
          </w:tcPr>
          <w:p w14:paraId="416A571E">
            <w:pPr>
              <w:pStyle w:val="196"/>
            </w:pPr>
            <w:r>
              <w:rPr>
                <w:rFonts w:hint="eastAsia"/>
              </w:rPr>
              <w:t>6</w:t>
            </w:r>
          </w:p>
        </w:tc>
        <w:tc>
          <w:tcPr>
            <w:tcW w:w="1975" w:type="dxa"/>
            <w:vAlign w:val="center"/>
          </w:tcPr>
          <w:p w14:paraId="279CDFF5">
            <w:pPr>
              <w:pStyle w:val="196"/>
            </w:pPr>
            <w:r>
              <w:rPr>
                <w:rFonts w:hint="eastAsia"/>
              </w:rPr>
              <w:t>办公区、</w:t>
            </w:r>
          </w:p>
        </w:tc>
      </w:tr>
      <w:tr w14:paraId="445D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2684223">
            <w:pPr>
              <w:pStyle w:val="196"/>
            </w:pPr>
            <w:r>
              <w:rPr>
                <w:rFonts w:hint="eastAsia"/>
              </w:rPr>
              <w:t>手推式灭火器</w:t>
            </w:r>
          </w:p>
        </w:tc>
        <w:tc>
          <w:tcPr>
            <w:tcW w:w="2973" w:type="dxa"/>
            <w:vAlign w:val="center"/>
          </w:tcPr>
          <w:p w14:paraId="14BDF0C4">
            <w:pPr>
              <w:pStyle w:val="196"/>
            </w:pPr>
            <w:r>
              <w:t>灭火</w:t>
            </w:r>
          </w:p>
        </w:tc>
        <w:tc>
          <w:tcPr>
            <w:tcW w:w="1110" w:type="dxa"/>
            <w:vAlign w:val="center"/>
          </w:tcPr>
          <w:p w14:paraId="55CA3D95">
            <w:pPr>
              <w:pStyle w:val="196"/>
            </w:pPr>
            <w:r>
              <w:t>个</w:t>
            </w:r>
          </w:p>
        </w:tc>
        <w:tc>
          <w:tcPr>
            <w:tcW w:w="842" w:type="dxa"/>
            <w:vAlign w:val="center"/>
          </w:tcPr>
          <w:p w14:paraId="4AA967AD">
            <w:pPr>
              <w:pStyle w:val="196"/>
            </w:pPr>
            <w:r>
              <w:rPr>
                <w:rFonts w:hint="eastAsia"/>
              </w:rPr>
              <w:t>10</w:t>
            </w:r>
          </w:p>
        </w:tc>
        <w:tc>
          <w:tcPr>
            <w:tcW w:w="1975" w:type="dxa"/>
            <w:vAlign w:val="center"/>
          </w:tcPr>
          <w:p w14:paraId="5FFB3CED">
            <w:pPr>
              <w:pStyle w:val="196"/>
            </w:pPr>
            <w:r>
              <w:rPr>
                <w:rFonts w:hint="eastAsia"/>
              </w:rPr>
              <w:t>柴油储罐区、锅炉房、汽机房</w:t>
            </w:r>
          </w:p>
        </w:tc>
      </w:tr>
      <w:tr w14:paraId="410F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54F8BA9">
            <w:pPr>
              <w:pStyle w:val="196"/>
            </w:pPr>
            <w:r>
              <w:rPr>
                <w:rFonts w:hint="eastAsia"/>
              </w:rPr>
              <w:t>黄沙</w:t>
            </w:r>
          </w:p>
        </w:tc>
        <w:tc>
          <w:tcPr>
            <w:tcW w:w="2973" w:type="dxa"/>
            <w:vAlign w:val="center"/>
          </w:tcPr>
          <w:p w14:paraId="17ADB275">
            <w:pPr>
              <w:pStyle w:val="196"/>
            </w:pPr>
            <w:r>
              <w:t>灭火</w:t>
            </w:r>
          </w:p>
        </w:tc>
        <w:tc>
          <w:tcPr>
            <w:tcW w:w="1110" w:type="dxa"/>
            <w:vAlign w:val="center"/>
          </w:tcPr>
          <w:p w14:paraId="7DA3E0BB">
            <w:pPr>
              <w:pStyle w:val="196"/>
            </w:pPr>
            <w:r>
              <w:rPr>
                <w:rFonts w:hint="eastAsia"/>
              </w:rPr>
              <w:t>吨</w:t>
            </w:r>
          </w:p>
        </w:tc>
        <w:tc>
          <w:tcPr>
            <w:tcW w:w="842" w:type="dxa"/>
            <w:vAlign w:val="center"/>
          </w:tcPr>
          <w:p w14:paraId="12F168E9">
            <w:pPr>
              <w:pStyle w:val="196"/>
            </w:pPr>
            <w:r>
              <w:rPr>
                <w:rFonts w:hint="eastAsia"/>
              </w:rPr>
              <w:t>1</w:t>
            </w:r>
          </w:p>
        </w:tc>
        <w:tc>
          <w:tcPr>
            <w:tcW w:w="1975" w:type="dxa"/>
            <w:vAlign w:val="center"/>
          </w:tcPr>
          <w:p w14:paraId="5252799A">
            <w:pPr>
              <w:pStyle w:val="196"/>
            </w:pPr>
            <w:r>
              <w:rPr>
                <w:rFonts w:hint="eastAsia"/>
              </w:rPr>
              <w:t>柴油储罐区</w:t>
            </w:r>
          </w:p>
        </w:tc>
      </w:tr>
      <w:tr w14:paraId="4AA7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99029CA">
            <w:pPr>
              <w:pStyle w:val="196"/>
            </w:pPr>
            <w:r>
              <w:rPr>
                <w:rFonts w:hint="eastAsia"/>
              </w:rPr>
              <w:t>消防水带</w:t>
            </w:r>
          </w:p>
        </w:tc>
        <w:tc>
          <w:tcPr>
            <w:tcW w:w="2973" w:type="dxa"/>
            <w:vAlign w:val="center"/>
          </w:tcPr>
          <w:p w14:paraId="4A9FE6ED">
            <w:pPr>
              <w:pStyle w:val="196"/>
            </w:pPr>
            <w:r>
              <w:t>灭火</w:t>
            </w:r>
          </w:p>
        </w:tc>
        <w:tc>
          <w:tcPr>
            <w:tcW w:w="1110" w:type="dxa"/>
            <w:vAlign w:val="center"/>
          </w:tcPr>
          <w:p w14:paraId="736AE2F1">
            <w:pPr>
              <w:pStyle w:val="196"/>
            </w:pPr>
            <w:r>
              <w:t>米</w:t>
            </w:r>
          </w:p>
        </w:tc>
        <w:tc>
          <w:tcPr>
            <w:tcW w:w="842" w:type="dxa"/>
            <w:vAlign w:val="center"/>
          </w:tcPr>
          <w:p w14:paraId="66913760">
            <w:pPr>
              <w:pStyle w:val="196"/>
            </w:pPr>
            <w:r>
              <w:rPr>
                <w:rFonts w:hint="eastAsia"/>
              </w:rPr>
              <w:t>200</w:t>
            </w:r>
          </w:p>
        </w:tc>
        <w:tc>
          <w:tcPr>
            <w:tcW w:w="1975" w:type="dxa"/>
            <w:vAlign w:val="center"/>
          </w:tcPr>
          <w:p w14:paraId="6C065994">
            <w:pPr>
              <w:pStyle w:val="196"/>
            </w:pPr>
            <w:r>
              <w:rPr>
                <w:rFonts w:hint="eastAsia"/>
              </w:rPr>
              <w:t>锅炉房、办公区、点火油罐区</w:t>
            </w:r>
          </w:p>
        </w:tc>
      </w:tr>
    </w:tbl>
    <w:p w14:paraId="16B45D4A">
      <w:pPr>
        <w:pStyle w:val="196"/>
        <w:rPr>
          <w:lang w:val="en-US"/>
        </w:rPr>
      </w:pPr>
    </w:p>
    <w:p w14:paraId="206BA592">
      <w:pPr>
        <w:pStyle w:val="82"/>
      </w:pPr>
      <w:r>
        <w:rPr>
          <w:rFonts w:hint="eastAsia"/>
        </w:rPr>
        <w:t>热电项目污染物产生与排放情况</w:t>
      </w:r>
    </w:p>
    <w:p w14:paraId="5CBB82AB">
      <w:pPr>
        <w:pStyle w:val="93"/>
      </w:pPr>
      <w:r>
        <w:rPr>
          <w:rFonts w:hint="eastAsia"/>
        </w:rPr>
        <w:t>热电项目污染物产生与排放情况见表3.1-6。</w:t>
      </w:r>
    </w:p>
    <w:p w14:paraId="2090AF8B">
      <w:pPr>
        <w:pStyle w:val="86"/>
      </w:pPr>
      <w:r>
        <w:rPr>
          <w:rFonts w:hint="eastAsia"/>
        </w:rPr>
        <w:t>热电项目污染物产生与排放情况</w:t>
      </w:r>
      <w:r>
        <w:rPr>
          <w:rFonts w:hint="eastAsia"/>
          <w:lang w:val="en-US"/>
        </w:rPr>
        <w:t>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1"/>
        <w:gridCol w:w="1731"/>
        <w:gridCol w:w="1798"/>
        <w:gridCol w:w="1139"/>
        <w:gridCol w:w="1083"/>
        <w:gridCol w:w="1133"/>
      </w:tblGrid>
      <w:tr w14:paraId="1532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861" w:type="pct"/>
            <w:vAlign w:val="center"/>
          </w:tcPr>
          <w:p w14:paraId="69AB1DAB">
            <w:pPr>
              <w:pStyle w:val="196"/>
              <w:rPr>
                <w:b/>
                <w:bCs/>
                <w:kern w:val="0"/>
                <w:szCs w:val="21"/>
              </w:rPr>
            </w:pPr>
            <w:r>
              <w:rPr>
                <w:b/>
                <w:bCs/>
              </w:rPr>
              <w:t>污染物种类</w:t>
            </w:r>
          </w:p>
        </w:tc>
        <w:tc>
          <w:tcPr>
            <w:tcW w:w="2122" w:type="pct"/>
            <w:gridSpan w:val="2"/>
            <w:vAlign w:val="center"/>
          </w:tcPr>
          <w:p w14:paraId="649E0F79">
            <w:pPr>
              <w:pStyle w:val="196"/>
              <w:rPr>
                <w:b/>
                <w:bCs/>
              </w:rPr>
            </w:pPr>
            <w:r>
              <w:rPr>
                <w:b/>
                <w:bCs/>
              </w:rPr>
              <w:t>污染物</w:t>
            </w:r>
          </w:p>
        </w:tc>
        <w:tc>
          <w:tcPr>
            <w:tcW w:w="685" w:type="pct"/>
            <w:vAlign w:val="center"/>
          </w:tcPr>
          <w:p w14:paraId="1EC47372">
            <w:pPr>
              <w:pStyle w:val="196"/>
              <w:rPr>
                <w:b/>
                <w:bCs/>
              </w:rPr>
            </w:pPr>
            <w:r>
              <w:rPr>
                <w:b/>
                <w:bCs/>
              </w:rPr>
              <w:t>产生量t/a</w:t>
            </w:r>
          </w:p>
        </w:tc>
        <w:tc>
          <w:tcPr>
            <w:tcW w:w="651" w:type="pct"/>
            <w:vAlign w:val="center"/>
          </w:tcPr>
          <w:p w14:paraId="718D91C3">
            <w:pPr>
              <w:pStyle w:val="196"/>
              <w:rPr>
                <w:b/>
                <w:bCs/>
              </w:rPr>
            </w:pPr>
            <w:r>
              <w:rPr>
                <w:rFonts w:hint="eastAsia"/>
                <w:b/>
                <w:bCs/>
              </w:rPr>
              <w:t>削减量</w:t>
            </w:r>
          </w:p>
        </w:tc>
        <w:tc>
          <w:tcPr>
            <w:tcW w:w="681" w:type="pct"/>
            <w:vAlign w:val="center"/>
          </w:tcPr>
          <w:p w14:paraId="5F1DCC44">
            <w:pPr>
              <w:pStyle w:val="196"/>
              <w:rPr>
                <w:b/>
                <w:bCs/>
              </w:rPr>
            </w:pPr>
            <w:r>
              <w:rPr>
                <w:b/>
                <w:bCs/>
              </w:rPr>
              <w:t>排放量t/a</w:t>
            </w:r>
          </w:p>
        </w:tc>
      </w:tr>
      <w:tr w14:paraId="47E5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27" w:hRule="atLeast"/>
          <w:jc w:val="center"/>
        </w:trPr>
        <w:tc>
          <w:tcPr>
            <w:tcW w:w="861" w:type="pct"/>
            <w:vMerge w:val="restart"/>
            <w:vAlign w:val="center"/>
          </w:tcPr>
          <w:p w14:paraId="41BDDFFE">
            <w:pPr>
              <w:pStyle w:val="196"/>
              <w:rPr>
                <w:highlight w:val="yellow"/>
              </w:rPr>
            </w:pPr>
            <w:r>
              <w:t>废水</w:t>
            </w:r>
          </w:p>
        </w:tc>
        <w:tc>
          <w:tcPr>
            <w:tcW w:w="2122" w:type="pct"/>
            <w:gridSpan w:val="2"/>
            <w:vAlign w:val="center"/>
          </w:tcPr>
          <w:p w14:paraId="2C46F5F5">
            <w:pPr>
              <w:pStyle w:val="196"/>
            </w:pPr>
            <w:r>
              <w:t>冷却水系统排水</w:t>
            </w:r>
          </w:p>
        </w:tc>
        <w:tc>
          <w:tcPr>
            <w:tcW w:w="685" w:type="pct"/>
            <w:vAlign w:val="center"/>
          </w:tcPr>
          <w:p w14:paraId="395673F3">
            <w:pPr>
              <w:pStyle w:val="196"/>
            </w:pPr>
            <w:r>
              <w:rPr>
                <w:rFonts w:hint="eastAsia"/>
              </w:rPr>
              <w:t>32000</w:t>
            </w:r>
          </w:p>
        </w:tc>
        <w:tc>
          <w:tcPr>
            <w:tcW w:w="651" w:type="pct"/>
            <w:vAlign w:val="center"/>
          </w:tcPr>
          <w:p w14:paraId="44AAF0BE">
            <w:pPr>
              <w:pStyle w:val="196"/>
            </w:pPr>
            <w:r>
              <w:rPr>
                <w:rFonts w:hint="eastAsia"/>
              </w:rPr>
              <w:t>32000</w:t>
            </w:r>
          </w:p>
        </w:tc>
        <w:tc>
          <w:tcPr>
            <w:tcW w:w="681" w:type="pct"/>
            <w:vAlign w:val="center"/>
          </w:tcPr>
          <w:p w14:paraId="6CE27D17">
            <w:pPr>
              <w:pStyle w:val="196"/>
            </w:pPr>
            <w:r>
              <w:t>0</w:t>
            </w:r>
          </w:p>
        </w:tc>
      </w:tr>
      <w:tr w14:paraId="371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56FF9BE3">
            <w:pPr>
              <w:pStyle w:val="196"/>
              <w:rPr>
                <w:spacing w:val="-3"/>
                <w:kern w:val="0"/>
                <w:szCs w:val="21"/>
                <w:highlight w:val="yellow"/>
              </w:rPr>
            </w:pPr>
          </w:p>
        </w:tc>
        <w:tc>
          <w:tcPr>
            <w:tcW w:w="2122" w:type="pct"/>
            <w:gridSpan w:val="2"/>
            <w:vAlign w:val="center"/>
          </w:tcPr>
          <w:p w14:paraId="270C322D">
            <w:pPr>
              <w:pStyle w:val="196"/>
            </w:pPr>
            <w:r>
              <w:rPr>
                <w:rFonts w:hint="eastAsia"/>
              </w:rPr>
              <w:t>化学</w:t>
            </w:r>
            <w:r>
              <w:t>处理反渗透排水</w:t>
            </w:r>
          </w:p>
        </w:tc>
        <w:tc>
          <w:tcPr>
            <w:tcW w:w="685" w:type="pct"/>
            <w:vAlign w:val="center"/>
          </w:tcPr>
          <w:p w14:paraId="19EDB29B">
            <w:pPr>
              <w:pStyle w:val="196"/>
            </w:pPr>
            <w:r>
              <w:rPr>
                <w:rFonts w:hint="eastAsia"/>
              </w:rPr>
              <w:t>344000</w:t>
            </w:r>
          </w:p>
        </w:tc>
        <w:tc>
          <w:tcPr>
            <w:tcW w:w="651" w:type="pct"/>
            <w:vAlign w:val="center"/>
          </w:tcPr>
          <w:p w14:paraId="4EE99802">
            <w:pPr>
              <w:pStyle w:val="196"/>
            </w:pPr>
            <w:r>
              <w:rPr>
                <w:rFonts w:hint="eastAsia"/>
              </w:rPr>
              <w:t>344000</w:t>
            </w:r>
          </w:p>
        </w:tc>
        <w:tc>
          <w:tcPr>
            <w:tcW w:w="681" w:type="pct"/>
            <w:vAlign w:val="center"/>
          </w:tcPr>
          <w:p w14:paraId="72796B4D">
            <w:pPr>
              <w:pStyle w:val="196"/>
            </w:pPr>
            <w:r>
              <w:t>0</w:t>
            </w:r>
          </w:p>
        </w:tc>
      </w:tr>
      <w:tr w14:paraId="1295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FE22B22">
            <w:pPr>
              <w:pStyle w:val="196"/>
              <w:rPr>
                <w:spacing w:val="-3"/>
                <w:kern w:val="0"/>
                <w:szCs w:val="21"/>
                <w:highlight w:val="yellow"/>
              </w:rPr>
            </w:pPr>
          </w:p>
        </w:tc>
        <w:tc>
          <w:tcPr>
            <w:tcW w:w="2122" w:type="pct"/>
            <w:gridSpan w:val="2"/>
            <w:vAlign w:val="center"/>
          </w:tcPr>
          <w:p w14:paraId="529D9EE7">
            <w:pPr>
              <w:pStyle w:val="196"/>
            </w:pPr>
            <w:r>
              <w:rPr>
                <w:rFonts w:hint="eastAsia"/>
              </w:rPr>
              <w:t>化学水处理超滤反洗排水</w:t>
            </w:r>
          </w:p>
        </w:tc>
        <w:tc>
          <w:tcPr>
            <w:tcW w:w="685" w:type="pct"/>
            <w:vAlign w:val="center"/>
          </w:tcPr>
          <w:p w14:paraId="03E5DEF6">
            <w:pPr>
              <w:pStyle w:val="196"/>
            </w:pPr>
            <w:r>
              <w:rPr>
                <w:rFonts w:hint="eastAsia"/>
              </w:rPr>
              <w:t>256000</w:t>
            </w:r>
          </w:p>
        </w:tc>
        <w:tc>
          <w:tcPr>
            <w:tcW w:w="651" w:type="pct"/>
            <w:vAlign w:val="center"/>
          </w:tcPr>
          <w:p w14:paraId="24A72B15">
            <w:pPr>
              <w:pStyle w:val="196"/>
            </w:pPr>
            <w:r>
              <w:rPr>
                <w:rFonts w:hint="eastAsia"/>
              </w:rPr>
              <w:t>256000</w:t>
            </w:r>
          </w:p>
        </w:tc>
        <w:tc>
          <w:tcPr>
            <w:tcW w:w="681" w:type="pct"/>
            <w:vAlign w:val="center"/>
          </w:tcPr>
          <w:p w14:paraId="3C2C8272">
            <w:pPr>
              <w:pStyle w:val="196"/>
            </w:pPr>
            <w:r>
              <w:rPr>
                <w:rFonts w:hint="eastAsia"/>
              </w:rPr>
              <w:t>0</w:t>
            </w:r>
          </w:p>
        </w:tc>
      </w:tr>
      <w:tr w14:paraId="60323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7E84DDFB">
            <w:pPr>
              <w:pStyle w:val="196"/>
              <w:rPr>
                <w:spacing w:val="-3"/>
                <w:kern w:val="0"/>
                <w:szCs w:val="21"/>
                <w:highlight w:val="yellow"/>
              </w:rPr>
            </w:pPr>
          </w:p>
        </w:tc>
        <w:tc>
          <w:tcPr>
            <w:tcW w:w="2122" w:type="pct"/>
            <w:gridSpan w:val="2"/>
            <w:vAlign w:val="center"/>
          </w:tcPr>
          <w:p w14:paraId="4A44E81C">
            <w:pPr>
              <w:pStyle w:val="196"/>
            </w:pPr>
            <w:r>
              <w:t>含煤废水</w:t>
            </w:r>
          </w:p>
        </w:tc>
        <w:tc>
          <w:tcPr>
            <w:tcW w:w="685" w:type="pct"/>
            <w:vAlign w:val="center"/>
          </w:tcPr>
          <w:p w14:paraId="508952D0">
            <w:pPr>
              <w:pStyle w:val="196"/>
            </w:pPr>
            <w:r>
              <w:rPr>
                <w:rFonts w:hint="eastAsia"/>
              </w:rPr>
              <w:t>80000</w:t>
            </w:r>
          </w:p>
        </w:tc>
        <w:tc>
          <w:tcPr>
            <w:tcW w:w="651" w:type="pct"/>
            <w:vAlign w:val="center"/>
          </w:tcPr>
          <w:p w14:paraId="3F3ACAD5">
            <w:pPr>
              <w:pStyle w:val="196"/>
            </w:pPr>
            <w:r>
              <w:rPr>
                <w:rFonts w:hint="eastAsia"/>
              </w:rPr>
              <w:t>80000</w:t>
            </w:r>
          </w:p>
        </w:tc>
        <w:tc>
          <w:tcPr>
            <w:tcW w:w="681" w:type="pct"/>
            <w:vAlign w:val="center"/>
          </w:tcPr>
          <w:p w14:paraId="4D841BFA">
            <w:pPr>
              <w:pStyle w:val="196"/>
            </w:pPr>
            <w:r>
              <w:t>0</w:t>
            </w:r>
          </w:p>
        </w:tc>
      </w:tr>
      <w:tr w14:paraId="35EC4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111A43F">
            <w:pPr>
              <w:pStyle w:val="196"/>
              <w:rPr>
                <w:spacing w:val="-3"/>
                <w:kern w:val="0"/>
                <w:szCs w:val="21"/>
                <w:highlight w:val="yellow"/>
              </w:rPr>
            </w:pPr>
          </w:p>
        </w:tc>
        <w:tc>
          <w:tcPr>
            <w:tcW w:w="2122" w:type="pct"/>
            <w:gridSpan w:val="2"/>
            <w:vAlign w:val="center"/>
          </w:tcPr>
          <w:p w14:paraId="1CD6C148">
            <w:pPr>
              <w:pStyle w:val="196"/>
            </w:pPr>
            <w:r>
              <w:t>脱硫废水</w:t>
            </w:r>
          </w:p>
        </w:tc>
        <w:tc>
          <w:tcPr>
            <w:tcW w:w="685" w:type="pct"/>
            <w:vAlign w:val="center"/>
          </w:tcPr>
          <w:p w14:paraId="75C1AA11">
            <w:pPr>
              <w:pStyle w:val="196"/>
            </w:pPr>
            <w:r>
              <w:rPr>
                <w:rFonts w:hint="eastAsia"/>
              </w:rPr>
              <w:t>5500</w:t>
            </w:r>
          </w:p>
        </w:tc>
        <w:tc>
          <w:tcPr>
            <w:tcW w:w="651" w:type="pct"/>
            <w:vAlign w:val="center"/>
          </w:tcPr>
          <w:p w14:paraId="21A63B63">
            <w:pPr>
              <w:pStyle w:val="196"/>
            </w:pPr>
            <w:r>
              <w:rPr>
                <w:rFonts w:hint="eastAsia"/>
              </w:rPr>
              <w:t>5500</w:t>
            </w:r>
          </w:p>
        </w:tc>
        <w:tc>
          <w:tcPr>
            <w:tcW w:w="681" w:type="pct"/>
            <w:vAlign w:val="center"/>
          </w:tcPr>
          <w:p w14:paraId="014101BC">
            <w:pPr>
              <w:pStyle w:val="196"/>
            </w:pPr>
            <w:r>
              <w:rPr>
                <w:rFonts w:hint="eastAsia"/>
              </w:rPr>
              <w:t>0</w:t>
            </w:r>
          </w:p>
        </w:tc>
      </w:tr>
      <w:tr w14:paraId="2427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4AD550A">
            <w:pPr>
              <w:pStyle w:val="196"/>
              <w:rPr>
                <w:spacing w:val="-3"/>
                <w:kern w:val="0"/>
                <w:szCs w:val="21"/>
                <w:highlight w:val="yellow"/>
              </w:rPr>
            </w:pPr>
          </w:p>
        </w:tc>
        <w:tc>
          <w:tcPr>
            <w:tcW w:w="2122" w:type="pct"/>
            <w:gridSpan w:val="2"/>
            <w:vAlign w:val="center"/>
          </w:tcPr>
          <w:p w14:paraId="48A4426A">
            <w:pPr>
              <w:pStyle w:val="196"/>
            </w:pPr>
            <w:r>
              <w:t>生活污水</w:t>
            </w:r>
          </w:p>
        </w:tc>
        <w:tc>
          <w:tcPr>
            <w:tcW w:w="685" w:type="pct"/>
            <w:vAlign w:val="center"/>
          </w:tcPr>
          <w:p w14:paraId="6094B7EB">
            <w:pPr>
              <w:pStyle w:val="196"/>
            </w:pPr>
            <w:r>
              <w:rPr>
                <w:rFonts w:hint="eastAsia"/>
              </w:rPr>
              <w:t>20148</w:t>
            </w:r>
          </w:p>
        </w:tc>
        <w:tc>
          <w:tcPr>
            <w:tcW w:w="651" w:type="pct"/>
            <w:vAlign w:val="center"/>
          </w:tcPr>
          <w:p w14:paraId="4460A34A">
            <w:pPr>
              <w:pStyle w:val="196"/>
            </w:pPr>
            <w:r>
              <w:rPr>
                <w:rFonts w:hint="eastAsia"/>
              </w:rPr>
              <w:t>20148</w:t>
            </w:r>
          </w:p>
        </w:tc>
        <w:tc>
          <w:tcPr>
            <w:tcW w:w="681" w:type="pct"/>
            <w:vAlign w:val="center"/>
          </w:tcPr>
          <w:p w14:paraId="4A651D75">
            <w:pPr>
              <w:pStyle w:val="196"/>
            </w:pPr>
            <w:r>
              <w:rPr>
                <w:rFonts w:hint="eastAsia"/>
              </w:rPr>
              <w:t>0</w:t>
            </w:r>
          </w:p>
        </w:tc>
      </w:tr>
      <w:tr w14:paraId="5A27C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9ECA71C">
            <w:pPr>
              <w:pStyle w:val="196"/>
              <w:rPr>
                <w:spacing w:val="-3"/>
                <w:kern w:val="0"/>
                <w:szCs w:val="21"/>
                <w:highlight w:val="yellow"/>
              </w:rPr>
            </w:pPr>
          </w:p>
        </w:tc>
        <w:tc>
          <w:tcPr>
            <w:tcW w:w="2122" w:type="pct"/>
            <w:gridSpan w:val="2"/>
            <w:vAlign w:val="center"/>
          </w:tcPr>
          <w:p w14:paraId="76D39E6E">
            <w:pPr>
              <w:pStyle w:val="196"/>
            </w:pPr>
            <w:r>
              <w:t>合计</w:t>
            </w:r>
          </w:p>
        </w:tc>
        <w:tc>
          <w:tcPr>
            <w:tcW w:w="685" w:type="pct"/>
            <w:vAlign w:val="center"/>
          </w:tcPr>
          <w:p w14:paraId="2F71EA2F">
            <w:pPr>
              <w:pStyle w:val="196"/>
            </w:pPr>
            <w:r>
              <w:rPr>
                <w:rFonts w:hint="eastAsia"/>
              </w:rPr>
              <w:t>737648</w:t>
            </w:r>
          </w:p>
        </w:tc>
        <w:tc>
          <w:tcPr>
            <w:tcW w:w="651" w:type="pct"/>
            <w:vAlign w:val="center"/>
          </w:tcPr>
          <w:p w14:paraId="4031C93E">
            <w:pPr>
              <w:pStyle w:val="196"/>
            </w:pPr>
            <w:r>
              <w:rPr>
                <w:rFonts w:hint="eastAsia"/>
              </w:rPr>
              <w:t>737648</w:t>
            </w:r>
          </w:p>
        </w:tc>
        <w:tc>
          <w:tcPr>
            <w:tcW w:w="681" w:type="pct"/>
            <w:vAlign w:val="center"/>
          </w:tcPr>
          <w:p w14:paraId="510223E4">
            <w:pPr>
              <w:pStyle w:val="196"/>
            </w:pPr>
            <w:r>
              <w:rPr>
                <w:rFonts w:hint="eastAsia"/>
              </w:rPr>
              <w:t>0</w:t>
            </w:r>
          </w:p>
        </w:tc>
      </w:tr>
      <w:tr w14:paraId="652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61" w:type="pct"/>
            <w:vMerge w:val="restart"/>
            <w:vAlign w:val="center"/>
          </w:tcPr>
          <w:p w14:paraId="445F7DE0">
            <w:pPr>
              <w:pStyle w:val="196"/>
              <w:rPr>
                <w:highlight w:val="yellow"/>
              </w:rPr>
            </w:pPr>
            <w:r>
              <w:t>废气</w:t>
            </w:r>
          </w:p>
        </w:tc>
        <w:tc>
          <w:tcPr>
            <w:tcW w:w="1041" w:type="pct"/>
            <w:vMerge w:val="restart"/>
            <w:vAlign w:val="center"/>
          </w:tcPr>
          <w:p w14:paraId="1E6CD39E">
            <w:pPr>
              <w:pStyle w:val="196"/>
            </w:pPr>
            <w:r>
              <w:t>设计煤种</w:t>
            </w:r>
          </w:p>
        </w:tc>
        <w:tc>
          <w:tcPr>
            <w:tcW w:w="1081" w:type="pct"/>
            <w:vAlign w:val="center"/>
          </w:tcPr>
          <w:p w14:paraId="4FFF14B0">
            <w:pPr>
              <w:pStyle w:val="196"/>
            </w:pPr>
            <w:r>
              <w:t>SO</w:t>
            </w:r>
            <w:r>
              <w:rPr>
                <w:vertAlign w:val="subscript"/>
              </w:rPr>
              <w:t>2</w:t>
            </w:r>
          </w:p>
        </w:tc>
        <w:tc>
          <w:tcPr>
            <w:tcW w:w="685" w:type="pct"/>
            <w:vAlign w:val="center"/>
          </w:tcPr>
          <w:p w14:paraId="07C977F0">
            <w:pPr>
              <w:pStyle w:val="196"/>
            </w:pPr>
            <w:r>
              <w:rPr>
                <w:rFonts w:hint="eastAsia"/>
                <w:sz w:val="22"/>
              </w:rPr>
              <w:t>3941.09</w:t>
            </w:r>
          </w:p>
        </w:tc>
        <w:tc>
          <w:tcPr>
            <w:tcW w:w="651" w:type="pct"/>
            <w:vAlign w:val="center"/>
          </w:tcPr>
          <w:p w14:paraId="570AD70D">
            <w:pPr>
              <w:pStyle w:val="196"/>
            </w:pPr>
            <w:r>
              <w:rPr>
                <w:rFonts w:hint="eastAsia"/>
              </w:rPr>
              <w:t>3878.03</w:t>
            </w:r>
          </w:p>
        </w:tc>
        <w:tc>
          <w:tcPr>
            <w:tcW w:w="681" w:type="pct"/>
            <w:vAlign w:val="center"/>
          </w:tcPr>
          <w:p w14:paraId="55E8F5A6">
            <w:pPr>
              <w:pStyle w:val="196"/>
            </w:pPr>
            <w:r>
              <w:rPr>
                <w:rFonts w:hint="eastAsia"/>
                <w:sz w:val="22"/>
              </w:rPr>
              <w:t>63.06</w:t>
            </w:r>
          </w:p>
        </w:tc>
      </w:tr>
      <w:tr w14:paraId="676C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CCD7061">
            <w:pPr>
              <w:pStyle w:val="196"/>
              <w:rPr>
                <w:spacing w:val="-3"/>
                <w:kern w:val="0"/>
                <w:szCs w:val="21"/>
                <w:highlight w:val="yellow"/>
              </w:rPr>
            </w:pPr>
          </w:p>
        </w:tc>
        <w:tc>
          <w:tcPr>
            <w:tcW w:w="0" w:type="auto"/>
            <w:vMerge w:val="continue"/>
            <w:vAlign w:val="center"/>
          </w:tcPr>
          <w:p w14:paraId="005D2789">
            <w:pPr>
              <w:pStyle w:val="196"/>
              <w:rPr>
                <w:spacing w:val="-3"/>
                <w:kern w:val="0"/>
                <w:szCs w:val="21"/>
              </w:rPr>
            </w:pPr>
          </w:p>
        </w:tc>
        <w:tc>
          <w:tcPr>
            <w:tcW w:w="1081" w:type="pct"/>
            <w:vAlign w:val="center"/>
          </w:tcPr>
          <w:p w14:paraId="10C274A2">
            <w:pPr>
              <w:pStyle w:val="196"/>
            </w:pPr>
            <w:r>
              <w:t>NOx</w:t>
            </w:r>
          </w:p>
        </w:tc>
        <w:tc>
          <w:tcPr>
            <w:tcW w:w="685" w:type="pct"/>
            <w:vAlign w:val="center"/>
          </w:tcPr>
          <w:p w14:paraId="0F0137BC">
            <w:pPr>
              <w:pStyle w:val="196"/>
            </w:pPr>
            <w:r>
              <w:rPr>
                <w:rFonts w:hint="eastAsia"/>
              </w:rPr>
              <w:t>406.98</w:t>
            </w:r>
          </w:p>
        </w:tc>
        <w:tc>
          <w:tcPr>
            <w:tcW w:w="651" w:type="pct"/>
            <w:vAlign w:val="center"/>
          </w:tcPr>
          <w:p w14:paraId="3CC3D0B7">
            <w:pPr>
              <w:pStyle w:val="196"/>
            </w:pPr>
            <w:r>
              <w:rPr>
                <w:rFonts w:hint="eastAsia"/>
              </w:rPr>
              <w:t>325.58</w:t>
            </w:r>
          </w:p>
        </w:tc>
        <w:tc>
          <w:tcPr>
            <w:tcW w:w="681" w:type="pct"/>
            <w:vAlign w:val="center"/>
          </w:tcPr>
          <w:p w14:paraId="3F2AC8F7">
            <w:pPr>
              <w:pStyle w:val="196"/>
            </w:pPr>
            <w:r>
              <w:rPr>
                <w:rFonts w:hint="eastAsia"/>
              </w:rPr>
              <w:t>81.40</w:t>
            </w:r>
          </w:p>
        </w:tc>
      </w:tr>
      <w:tr w14:paraId="7967A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758DA37">
            <w:pPr>
              <w:pStyle w:val="196"/>
              <w:rPr>
                <w:spacing w:val="-3"/>
                <w:kern w:val="0"/>
                <w:szCs w:val="21"/>
                <w:highlight w:val="yellow"/>
              </w:rPr>
            </w:pPr>
          </w:p>
        </w:tc>
        <w:tc>
          <w:tcPr>
            <w:tcW w:w="0" w:type="auto"/>
            <w:vMerge w:val="continue"/>
            <w:vAlign w:val="center"/>
          </w:tcPr>
          <w:p w14:paraId="36B83D88">
            <w:pPr>
              <w:pStyle w:val="196"/>
              <w:rPr>
                <w:spacing w:val="-3"/>
                <w:kern w:val="0"/>
                <w:szCs w:val="21"/>
              </w:rPr>
            </w:pPr>
          </w:p>
        </w:tc>
        <w:tc>
          <w:tcPr>
            <w:tcW w:w="1081" w:type="pct"/>
            <w:vAlign w:val="center"/>
          </w:tcPr>
          <w:p w14:paraId="551D642B">
            <w:pPr>
              <w:pStyle w:val="196"/>
            </w:pPr>
            <w:r>
              <w:t>烟尘</w:t>
            </w:r>
          </w:p>
        </w:tc>
        <w:tc>
          <w:tcPr>
            <w:tcW w:w="685" w:type="pct"/>
            <w:vAlign w:val="center"/>
          </w:tcPr>
          <w:p w14:paraId="6398B6B0">
            <w:pPr>
              <w:pStyle w:val="196"/>
            </w:pPr>
            <w:r>
              <w:rPr>
                <w:rFonts w:hint="eastAsia"/>
              </w:rPr>
              <w:t>23111.88</w:t>
            </w:r>
          </w:p>
        </w:tc>
        <w:tc>
          <w:tcPr>
            <w:tcW w:w="651" w:type="pct"/>
            <w:vAlign w:val="center"/>
          </w:tcPr>
          <w:p w14:paraId="74A55B72">
            <w:pPr>
              <w:pStyle w:val="196"/>
            </w:pPr>
            <w:r>
              <w:rPr>
                <w:rFonts w:hint="eastAsia"/>
              </w:rPr>
              <w:t>23106.10</w:t>
            </w:r>
          </w:p>
        </w:tc>
        <w:tc>
          <w:tcPr>
            <w:tcW w:w="681" w:type="pct"/>
            <w:vAlign w:val="center"/>
          </w:tcPr>
          <w:p w14:paraId="06B218A2">
            <w:pPr>
              <w:pStyle w:val="196"/>
            </w:pPr>
            <w:r>
              <w:rPr>
                <w:rFonts w:hint="eastAsia"/>
              </w:rPr>
              <w:t>5.78</w:t>
            </w:r>
          </w:p>
        </w:tc>
      </w:tr>
      <w:tr w14:paraId="71B3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189EA44C">
            <w:pPr>
              <w:pStyle w:val="196"/>
              <w:rPr>
                <w:spacing w:val="-3"/>
                <w:kern w:val="0"/>
                <w:szCs w:val="21"/>
                <w:highlight w:val="yellow"/>
              </w:rPr>
            </w:pPr>
          </w:p>
        </w:tc>
        <w:tc>
          <w:tcPr>
            <w:tcW w:w="0" w:type="auto"/>
            <w:vMerge w:val="continue"/>
            <w:vAlign w:val="center"/>
          </w:tcPr>
          <w:p w14:paraId="1911AC49">
            <w:pPr>
              <w:pStyle w:val="196"/>
              <w:rPr>
                <w:spacing w:val="-3"/>
                <w:kern w:val="0"/>
                <w:szCs w:val="21"/>
              </w:rPr>
            </w:pPr>
          </w:p>
        </w:tc>
        <w:tc>
          <w:tcPr>
            <w:tcW w:w="1081" w:type="pct"/>
            <w:vAlign w:val="center"/>
          </w:tcPr>
          <w:p w14:paraId="560B3A98">
            <w:pPr>
              <w:pStyle w:val="196"/>
            </w:pPr>
            <w:r>
              <w:rPr>
                <w:rFonts w:hint="eastAsia"/>
              </w:rPr>
              <w:t>NH</w:t>
            </w:r>
            <w:r>
              <w:rPr>
                <w:rFonts w:hint="eastAsia"/>
                <w:vertAlign w:val="subscript"/>
              </w:rPr>
              <w:t>3</w:t>
            </w:r>
          </w:p>
        </w:tc>
        <w:tc>
          <w:tcPr>
            <w:tcW w:w="685" w:type="pct"/>
            <w:vAlign w:val="center"/>
          </w:tcPr>
          <w:p w14:paraId="07D3BD67">
            <w:pPr>
              <w:pStyle w:val="196"/>
            </w:pPr>
            <w:r>
              <w:rPr>
                <w:rFonts w:hint="eastAsia"/>
              </w:rPr>
              <w:t>2.06</w:t>
            </w:r>
          </w:p>
        </w:tc>
        <w:tc>
          <w:tcPr>
            <w:tcW w:w="651" w:type="pct"/>
            <w:vAlign w:val="center"/>
          </w:tcPr>
          <w:p w14:paraId="6115C646">
            <w:pPr>
              <w:pStyle w:val="196"/>
            </w:pPr>
            <w:r>
              <w:rPr>
                <w:rFonts w:hint="eastAsia"/>
              </w:rPr>
              <w:t>0</w:t>
            </w:r>
          </w:p>
        </w:tc>
        <w:tc>
          <w:tcPr>
            <w:tcW w:w="681" w:type="pct"/>
            <w:vAlign w:val="center"/>
          </w:tcPr>
          <w:p w14:paraId="1B644B91">
            <w:pPr>
              <w:pStyle w:val="196"/>
            </w:pPr>
            <w:r>
              <w:rPr>
                <w:rFonts w:hint="eastAsia"/>
              </w:rPr>
              <w:t>2.06</w:t>
            </w:r>
          </w:p>
        </w:tc>
      </w:tr>
      <w:tr w14:paraId="796B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9" w:hRule="atLeast"/>
          <w:jc w:val="center"/>
        </w:trPr>
        <w:tc>
          <w:tcPr>
            <w:tcW w:w="0" w:type="auto"/>
            <w:vMerge w:val="continue"/>
            <w:vAlign w:val="center"/>
          </w:tcPr>
          <w:p w14:paraId="15489FDE">
            <w:pPr>
              <w:pStyle w:val="196"/>
              <w:rPr>
                <w:spacing w:val="-3"/>
                <w:kern w:val="0"/>
                <w:szCs w:val="21"/>
                <w:highlight w:val="yellow"/>
              </w:rPr>
            </w:pPr>
          </w:p>
        </w:tc>
        <w:tc>
          <w:tcPr>
            <w:tcW w:w="0" w:type="auto"/>
            <w:vMerge w:val="continue"/>
            <w:vAlign w:val="center"/>
          </w:tcPr>
          <w:p w14:paraId="1E29CF0F">
            <w:pPr>
              <w:pStyle w:val="196"/>
              <w:rPr>
                <w:spacing w:val="-3"/>
                <w:kern w:val="0"/>
                <w:szCs w:val="21"/>
              </w:rPr>
            </w:pPr>
          </w:p>
        </w:tc>
        <w:tc>
          <w:tcPr>
            <w:tcW w:w="1081" w:type="pct"/>
            <w:vAlign w:val="center"/>
          </w:tcPr>
          <w:p w14:paraId="44F929E5">
            <w:pPr>
              <w:pStyle w:val="196"/>
            </w:pPr>
            <w:r>
              <w:t xml:space="preserve">Hg </w:t>
            </w:r>
          </w:p>
        </w:tc>
        <w:tc>
          <w:tcPr>
            <w:tcW w:w="685" w:type="pct"/>
            <w:vAlign w:val="center"/>
          </w:tcPr>
          <w:p w14:paraId="25C91FEB">
            <w:pPr>
              <w:pStyle w:val="196"/>
            </w:pPr>
            <w:r>
              <w:rPr>
                <w:rFonts w:hint="eastAsia"/>
              </w:rPr>
              <w:t>0.0402</w:t>
            </w:r>
          </w:p>
        </w:tc>
        <w:tc>
          <w:tcPr>
            <w:tcW w:w="651" w:type="pct"/>
            <w:vAlign w:val="center"/>
          </w:tcPr>
          <w:p w14:paraId="2FDA392A">
            <w:pPr>
              <w:pStyle w:val="196"/>
            </w:pPr>
            <w:r>
              <w:rPr>
                <w:rFonts w:hint="eastAsia"/>
              </w:rPr>
              <w:t>0.0279</w:t>
            </w:r>
          </w:p>
        </w:tc>
        <w:tc>
          <w:tcPr>
            <w:tcW w:w="681" w:type="pct"/>
            <w:vAlign w:val="center"/>
          </w:tcPr>
          <w:p w14:paraId="61CFBBF9">
            <w:pPr>
              <w:pStyle w:val="196"/>
            </w:pPr>
            <w:r>
              <w:rPr>
                <w:rFonts w:hint="eastAsia"/>
              </w:rPr>
              <w:t>0.0121</w:t>
            </w:r>
          </w:p>
        </w:tc>
      </w:tr>
      <w:tr w14:paraId="31FE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11FF775">
            <w:pPr>
              <w:pStyle w:val="196"/>
              <w:rPr>
                <w:spacing w:val="-3"/>
                <w:kern w:val="0"/>
                <w:szCs w:val="21"/>
                <w:highlight w:val="yellow"/>
              </w:rPr>
            </w:pPr>
          </w:p>
        </w:tc>
        <w:tc>
          <w:tcPr>
            <w:tcW w:w="1041" w:type="pct"/>
            <w:vMerge w:val="restart"/>
            <w:vAlign w:val="center"/>
          </w:tcPr>
          <w:p w14:paraId="626514A6">
            <w:pPr>
              <w:pStyle w:val="196"/>
            </w:pPr>
            <w:r>
              <w:t>校核煤种</w:t>
            </w:r>
          </w:p>
        </w:tc>
        <w:tc>
          <w:tcPr>
            <w:tcW w:w="1081" w:type="pct"/>
            <w:vAlign w:val="center"/>
          </w:tcPr>
          <w:p w14:paraId="5AD619A4">
            <w:pPr>
              <w:pStyle w:val="196"/>
            </w:pPr>
            <w:r>
              <w:t>SO</w:t>
            </w:r>
            <w:r>
              <w:rPr>
                <w:vertAlign w:val="subscript"/>
              </w:rPr>
              <w:t>2</w:t>
            </w:r>
          </w:p>
        </w:tc>
        <w:tc>
          <w:tcPr>
            <w:tcW w:w="685" w:type="pct"/>
            <w:vAlign w:val="center"/>
          </w:tcPr>
          <w:p w14:paraId="62A293A6">
            <w:pPr>
              <w:pStyle w:val="196"/>
            </w:pPr>
            <w:r>
              <w:rPr>
                <w:rFonts w:hint="eastAsia"/>
                <w:sz w:val="22"/>
              </w:rPr>
              <w:t>4236.79</w:t>
            </w:r>
          </w:p>
        </w:tc>
        <w:tc>
          <w:tcPr>
            <w:tcW w:w="651" w:type="pct"/>
            <w:vAlign w:val="center"/>
          </w:tcPr>
          <w:p w14:paraId="120736CD">
            <w:pPr>
              <w:pStyle w:val="196"/>
            </w:pPr>
            <w:r>
              <w:rPr>
                <w:rFonts w:hint="eastAsia"/>
              </w:rPr>
              <w:t>4169.0</w:t>
            </w:r>
          </w:p>
        </w:tc>
        <w:tc>
          <w:tcPr>
            <w:tcW w:w="681" w:type="pct"/>
            <w:vAlign w:val="center"/>
          </w:tcPr>
          <w:p w14:paraId="39CE14BD">
            <w:pPr>
              <w:pStyle w:val="196"/>
            </w:pPr>
            <w:r>
              <w:rPr>
                <w:rFonts w:hint="eastAsia"/>
              </w:rPr>
              <w:t>67.79</w:t>
            </w:r>
          </w:p>
        </w:tc>
      </w:tr>
      <w:tr w14:paraId="144D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8DB53ED">
            <w:pPr>
              <w:pStyle w:val="196"/>
              <w:rPr>
                <w:spacing w:val="-3"/>
                <w:kern w:val="0"/>
                <w:szCs w:val="21"/>
                <w:highlight w:val="yellow"/>
              </w:rPr>
            </w:pPr>
          </w:p>
        </w:tc>
        <w:tc>
          <w:tcPr>
            <w:tcW w:w="0" w:type="auto"/>
            <w:vMerge w:val="continue"/>
            <w:vAlign w:val="center"/>
          </w:tcPr>
          <w:p w14:paraId="612F628B">
            <w:pPr>
              <w:pStyle w:val="196"/>
              <w:rPr>
                <w:spacing w:val="-3"/>
                <w:kern w:val="0"/>
                <w:szCs w:val="21"/>
              </w:rPr>
            </w:pPr>
          </w:p>
        </w:tc>
        <w:tc>
          <w:tcPr>
            <w:tcW w:w="1081" w:type="pct"/>
            <w:vAlign w:val="center"/>
          </w:tcPr>
          <w:p w14:paraId="71E45838">
            <w:pPr>
              <w:pStyle w:val="196"/>
            </w:pPr>
            <w:r>
              <w:t>NOx</w:t>
            </w:r>
          </w:p>
        </w:tc>
        <w:tc>
          <w:tcPr>
            <w:tcW w:w="685" w:type="pct"/>
            <w:vAlign w:val="center"/>
          </w:tcPr>
          <w:p w14:paraId="6019417F">
            <w:pPr>
              <w:pStyle w:val="196"/>
            </w:pPr>
            <w:r>
              <w:rPr>
                <w:rFonts w:hint="eastAsia"/>
              </w:rPr>
              <w:t>438.75</w:t>
            </w:r>
          </w:p>
        </w:tc>
        <w:tc>
          <w:tcPr>
            <w:tcW w:w="651" w:type="pct"/>
            <w:vAlign w:val="center"/>
          </w:tcPr>
          <w:p w14:paraId="43F2875E">
            <w:pPr>
              <w:pStyle w:val="196"/>
            </w:pPr>
            <w:r>
              <w:rPr>
                <w:rFonts w:hint="eastAsia"/>
              </w:rPr>
              <w:t>351.0</w:t>
            </w:r>
          </w:p>
        </w:tc>
        <w:tc>
          <w:tcPr>
            <w:tcW w:w="681" w:type="pct"/>
            <w:vAlign w:val="center"/>
          </w:tcPr>
          <w:p w14:paraId="4A400002">
            <w:pPr>
              <w:pStyle w:val="196"/>
            </w:pPr>
            <w:r>
              <w:rPr>
                <w:rFonts w:hint="eastAsia"/>
              </w:rPr>
              <w:t>87.75</w:t>
            </w:r>
          </w:p>
        </w:tc>
      </w:tr>
      <w:tr w14:paraId="67F3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E8E1D31">
            <w:pPr>
              <w:pStyle w:val="196"/>
              <w:rPr>
                <w:spacing w:val="-3"/>
                <w:kern w:val="0"/>
                <w:szCs w:val="21"/>
                <w:highlight w:val="yellow"/>
              </w:rPr>
            </w:pPr>
          </w:p>
        </w:tc>
        <w:tc>
          <w:tcPr>
            <w:tcW w:w="0" w:type="auto"/>
            <w:vMerge w:val="continue"/>
            <w:vAlign w:val="center"/>
          </w:tcPr>
          <w:p w14:paraId="5D02C820">
            <w:pPr>
              <w:pStyle w:val="196"/>
              <w:rPr>
                <w:spacing w:val="-3"/>
                <w:kern w:val="0"/>
                <w:szCs w:val="21"/>
              </w:rPr>
            </w:pPr>
          </w:p>
        </w:tc>
        <w:tc>
          <w:tcPr>
            <w:tcW w:w="1081" w:type="pct"/>
            <w:vAlign w:val="center"/>
          </w:tcPr>
          <w:p w14:paraId="4EC4600C">
            <w:pPr>
              <w:pStyle w:val="196"/>
            </w:pPr>
            <w:r>
              <w:t>烟尘</w:t>
            </w:r>
          </w:p>
        </w:tc>
        <w:tc>
          <w:tcPr>
            <w:tcW w:w="685" w:type="pct"/>
            <w:vAlign w:val="center"/>
          </w:tcPr>
          <w:p w14:paraId="5EA57FD4">
            <w:pPr>
              <w:pStyle w:val="196"/>
            </w:pPr>
            <w:r>
              <w:rPr>
                <w:rFonts w:hint="eastAsia"/>
              </w:rPr>
              <w:t>36361.16</w:t>
            </w:r>
          </w:p>
        </w:tc>
        <w:tc>
          <w:tcPr>
            <w:tcW w:w="651" w:type="pct"/>
            <w:vAlign w:val="center"/>
          </w:tcPr>
          <w:p w14:paraId="0E25CF32">
            <w:pPr>
              <w:pStyle w:val="196"/>
            </w:pPr>
            <w:r>
              <w:rPr>
                <w:rFonts w:hint="eastAsia"/>
              </w:rPr>
              <w:t>36352.07</w:t>
            </w:r>
          </w:p>
        </w:tc>
        <w:tc>
          <w:tcPr>
            <w:tcW w:w="681" w:type="pct"/>
            <w:vAlign w:val="center"/>
          </w:tcPr>
          <w:p w14:paraId="5B8A6936">
            <w:pPr>
              <w:pStyle w:val="196"/>
            </w:pPr>
            <w:r>
              <w:rPr>
                <w:rFonts w:hint="eastAsia"/>
              </w:rPr>
              <w:t>9.09</w:t>
            </w:r>
          </w:p>
        </w:tc>
      </w:tr>
      <w:tr w14:paraId="72C60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72EDE0F8">
            <w:pPr>
              <w:pStyle w:val="196"/>
              <w:rPr>
                <w:spacing w:val="-3"/>
                <w:kern w:val="0"/>
                <w:szCs w:val="21"/>
                <w:highlight w:val="yellow"/>
              </w:rPr>
            </w:pPr>
          </w:p>
        </w:tc>
        <w:tc>
          <w:tcPr>
            <w:tcW w:w="0" w:type="auto"/>
            <w:vMerge w:val="continue"/>
            <w:vAlign w:val="center"/>
          </w:tcPr>
          <w:p w14:paraId="2ADC6F2C">
            <w:pPr>
              <w:pStyle w:val="196"/>
              <w:rPr>
                <w:spacing w:val="-3"/>
                <w:kern w:val="0"/>
                <w:szCs w:val="21"/>
              </w:rPr>
            </w:pPr>
          </w:p>
        </w:tc>
        <w:tc>
          <w:tcPr>
            <w:tcW w:w="1081" w:type="pct"/>
            <w:vAlign w:val="center"/>
          </w:tcPr>
          <w:p w14:paraId="65A1C62C">
            <w:pPr>
              <w:pStyle w:val="196"/>
            </w:pPr>
            <w:r>
              <w:rPr>
                <w:rFonts w:hint="eastAsia"/>
              </w:rPr>
              <w:t>NH</w:t>
            </w:r>
            <w:r>
              <w:rPr>
                <w:rFonts w:hint="eastAsia"/>
                <w:vertAlign w:val="subscript"/>
              </w:rPr>
              <w:t>3</w:t>
            </w:r>
          </w:p>
        </w:tc>
        <w:tc>
          <w:tcPr>
            <w:tcW w:w="685" w:type="pct"/>
            <w:vAlign w:val="center"/>
          </w:tcPr>
          <w:p w14:paraId="0A3C6200">
            <w:pPr>
              <w:pStyle w:val="196"/>
            </w:pPr>
            <w:r>
              <w:rPr>
                <w:rFonts w:hint="eastAsia"/>
              </w:rPr>
              <w:t>2.22</w:t>
            </w:r>
          </w:p>
        </w:tc>
        <w:tc>
          <w:tcPr>
            <w:tcW w:w="651" w:type="pct"/>
            <w:vAlign w:val="center"/>
          </w:tcPr>
          <w:p w14:paraId="49884F93">
            <w:pPr>
              <w:pStyle w:val="196"/>
            </w:pPr>
            <w:r>
              <w:rPr>
                <w:rFonts w:hint="eastAsia"/>
              </w:rPr>
              <w:t>0</w:t>
            </w:r>
          </w:p>
        </w:tc>
        <w:tc>
          <w:tcPr>
            <w:tcW w:w="681" w:type="pct"/>
            <w:vAlign w:val="center"/>
          </w:tcPr>
          <w:p w14:paraId="0D618F60">
            <w:pPr>
              <w:pStyle w:val="196"/>
            </w:pPr>
            <w:r>
              <w:rPr>
                <w:rFonts w:hint="eastAsia"/>
              </w:rPr>
              <w:t>2.22</w:t>
            </w:r>
          </w:p>
        </w:tc>
      </w:tr>
      <w:tr w14:paraId="0974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3" w:hRule="atLeast"/>
          <w:jc w:val="center"/>
        </w:trPr>
        <w:tc>
          <w:tcPr>
            <w:tcW w:w="0" w:type="auto"/>
            <w:vMerge w:val="continue"/>
            <w:vAlign w:val="center"/>
          </w:tcPr>
          <w:p w14:paraId="3244D4A9">
            <w:pPr>
              <w:pStyle w:val="196"/>
              <w:rPr>
                <w:spacing w:val="-3"/>
                <w:kern w:val="0"/>
                <w:szCs w:val="21"/>
                <w:highlight w:val="yellow"/>
              </w:rPr>
            </w:pPr>
          </w:p>
        </w:tc>
        <w:tc>
          <w:tcPr>
            <w:tcW w:w="0" w:type="auto"/>
            <w:vMerge w:val="continue"/>
            <w:vAlign w:val="center"/>
          </w:tcPr>
          <w:p w14:paraId="159F33A2">
            <w:pPr>
              <w:pStyle w:val="196"/>
              <w:rPr>
                <w:spacing w:val="-3"/>
                <w:kern w:val="0"/>
                <w:szCs w:val="21"/>
              </w:rPr>
            </w:pPr>
          </w:p>
        </w:tc>
        <w:tc>
          <w:tcPr>
            <w:tcW w:w="1081" w:type="pct"/>
            <w:vAlign w:val="center"/>
          </w:tcPr>
          <w:p w14:paraId="178C9855">
            <w:pPr>
              <w:pStyle w:val="196"/>
            </w:pPr>
            <w:r>
              <w:t xml:space="preserve">Hg </w:t>
            </w:r>
          </w:p>
        </w:tc>
        <w:tc>
          <w:tcPr>
            <w:tcW w:w="685" w:type="pct"/>
            <w:vAlign w:val="center"/>
          </w:tcPr>
          <w:p w14:paraId="07BCBD7D">
            <w:pPr>
              <w:pStyle w:val="196"/>
            </w:pPr>
            <w:r>
              <w:rPr>
                <w:rFonts w:hint="eastAsia"/>
              </w:rPr>
              <w:t>0.0446</w:t>
            </w:r>
          </w:p>
        </w:tc>
        <w:tc>
          <w:tcPr>
            <w:tcW w:w="651" w:type="pct"/>
            <w:vAlign w:val="center"/>
          </w:tcPr>
          <w:p w14:paraId="6EBE1842">
            <w:pPr>
              <w:pStyle w:val="196"/>
            </w:pPr>
            <w:r>
              <w:rPr>
                <w:rFonts w:hint="eastAsia"/>
              </w:rPr>
              <w:t>0.0316</w:t>
            </w:r>
          </w:p>
        </w:tc>
        <w:tc>
          <w:tcPr>
            <w:tcW w:w="681" w:type="pct"/>
            <w:vAlign w:val="center"/>
          </w:tcPr>
          <w:p w14:paraId="0DB5907E">
            <w:pPr>
              <w:pStyle w:val="196"/>
            </w:pPr>
            <w:r>
              <w:rPr>
                <w:rFonts w:hint="eastAsia"/>
              </w:rPr>
              <w:t>0.0134</w:t>
            </w:r>
          </w:p>
        </w:tc>
      </w:tr>
      <w:tr w14:paraId="197A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7267BEB">
            <w:pPr>
              <w:pStyle w:val="196"/>
              <w:rPr>
                <w:spacing w:val="-3"/>
                <w:kern w:val="0"/>
                <w:szCs w:val="21"/>
                <w:highlight w:val="yellow"/>
              </w:rPr>
            </w:pPr>
          </w:p>
        </w:tc>
        <w:tc>
          <w:tcPr>
            <w:tcW w:w="1041" w:type="pct"/>
            <w:vMerge w:val="restart"/>
            <w:vAlign w:val="center"/>
          </w:tcPr>
          <w:p w14:paraId="4A6CC2C2">
            <w:pPr>
              <w:pStyle w:val="196"/>
            </w:pPr>
            <w:r>
              <w:rPr>
                <w:rFonts w:hint="eastAsia"/>
              </w:rPr>
              <w:t>低矮源及无组织</w:t>
            </w:r>
            <w:r>
              <w:t>颗粒物</w:t>
            </w:r>
          </w:p>
        </w:tc>
        <w:tc>
          <w:tcPr>
            <w:tcW w:w="1081" w:type="pct"/>
            <w:vAlign w:val="center"/>
          </w:tcPr>
          <w:p w14:paraId="497864E4">
            <w:pPr>
              <w:pStyle w:val="196"/>
            </w:pPr>
            <w:r>
              <w:rPr>
                <w:rFonts w:hint="eastAsia"/>
              </w:rPr>
              <w:t>封闭</w:t>
            </w:r>
            <w:r>
              <w:t>煤场</w:t>
            </w:r>
          </w:p>
        </w:tc>
        <w:tc>
          <w:tcPr>
            <w:tcW w:w="685" w:type="pct"/>
            <w:vAlign w:val="center"/>
          </w:tcPr>
          <w:p w14:paraId="2AC3658E">
            <w:pPr>
              <w:pStyle w:val="196"/>
            </w:pPr>
            <w:r>
              <w:rPr>
                <w:rFonts w:hint="eastAsia"/>
              </w:rPr>
              <w:t>0.41</w:t>
            </w:r>
          </w:p>
        </w:tc>
        <w:tc>
          <w:tcPr>
            <w:tcW w:w="651" w:type="pct"/>
            <w:vAlign w:val="center"/>
          </w:tcPr>
          <w:p w14:paraId="251BD38D">
            <w:pPr>
              <w:pStyle w:val="196"/>
            </w:pPr>
            <w:r>
              <w:rPr>
                <w:rFonts w:hint="eastAsia"/>
              </w:rPr>
              <w:t>0</w:t>
            </w:r>
          </w:p>
        </w:tc>
        <w:tc>
          <w:tcPr>
            <w:tcW w:w="681" w:type="pct"/>
            <w:vAlign w:val="center"/>
          </w:tcPr>
          <w:p w14:paraId="378F8F55">
            <w:pPr>
              <w:pStyle w:val="196"/>
            </w:pPr>
            <w:r>
              <w:rPr>
                <w:rFonts w:hint="eastAsia"/>
              </w:rPr>
              <w:t>0.41</w:t>
            </w:r>
          </w:p>
        </w:tc>
      </w:tr>
      <w:tr w14:paraId="0CF4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96D32C6">
            <w:pPr>
              <w:pStyle w:val="196"/>
              <w:rPr>
                <w:spacing w:val="-3"/>
                <w:kern w:val="0"/>
                <w:szCs w:val="21"/>
                <w:highlight w:val="yellow"/>
              </w:rPr>
            </w:pPr>
          </w:p>
        </w:tc>
        <w:tc>
          <w:tcPr>
            <w:tcW w:w="0" w:type="auto"/>
            <w:vMerge w:val="continue"/>
            <w:vAlign w:val="center"/>
          </w:tcPr>
          <w:p w14:paraId="3D419339">
            <w:pPr>
              <w:pStyle w:val="196"/>
              <w:rPr>
                <w:spacing w:val="-3"/>
                <w:kern w:val="0"/>
                <w:szCs w:val="21"/>
              </w:rPr>
            </w:pPr>
          </w:p>
        </w:tc>
        <w:tc>
          <w:tcPr>
            <w:tcW w:w="1081" w:type="pct"/>
            <w:vAlign w:val="center"/>
          </w:tcPr>
          <w:p w14:paraId="17B9BB84">
            <w:pPr>
              <w:pStyle w:val="196"/>
            </w:pPr>
            <w:r>
              <w:t>煤仓间</w:t>
            </w:r>
          </w:p>
        </w:tc>
        <w:tc>
          <w:tcPr>
            <w:tcW w:w="685" w:type="pct"/>
            <w:vAlign w:val="bottom"/>
          </w:tcPr>
          <w:p w14:paraId="4B5B6735">
            <w:pPr>
              <w:pStyle w:val="196"/>
              <w:rPr>
                <w:sz w:val="22"/>
              </w:rPr>
            </w:pPr>
            <w:r>
              <w:rPr>
                <w:rFonts w:hint="eastAsia"/>
                <w:sz w:val="22"/>
              </w:rPr>
              <w:t>123.8</w:t>
            </w:r>
          </w:p>
        </w:tc>
        <w:tc>
          <w:tcPr>
            <w:tcW w:w="651" w:type="pct"/>
            <w:vAlign w:val="bottom"/>
          </w:tcPr>
          <w:p w14:paraId="0C933532">
            <w:pPr>
              <w:pStyle w:val="196"/>
              <w:rPr>
                <w:sz w:val="22"/>
              </w:rPr>
            </w:pPr>
            <w:r>
              <w:rPr>
                <w:rFonts w:hint="eastAsia"/>
                <w:sz w:val="22"/>
              </w:rPr>
              <w:t>123.181</w:t>
            </w:r>
          </w:p>
        </w:tc>
        <w:tc>
          <w:tcPr>
            <w:tcW w:w="681" w:type="pct"/>
            <w:vAlign w:val="center"/>
          </w:tcPr>
          <w:p w14:paraId="066C89F2">
            <w:pPr>
              <w:pStyle w:val="196"/>
              <w:rPr>
                <w:szCs w:val="21"/>
              </w:rPr>
            </w:pPr>
            <w:r>
              <w:rPr>
                <w:rFonts w:hint="eastAsia"/>
              </w:rPr>
              <w:t>0.619</w:t>
            </w:r>
          </w:p>
        </w:tc>
      </w:tr>
      <w:tr w14:paraId="48D8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58447A3">
            <w:pPr>
              <w:pStyle w:val="196"/>
              <w:rPr>
                <w:spacing w:val="-3"/>
                <w:kern w:val="0"/>
                <w:szCs w:val="21"/>
                <w:highlight w:val="yellow"/>
              </w:rPr>
            </w:pPr>
          </w:p>
        </w:tc>
        <w:tc>
          <w:tcPr>
            <w:tcW w:w="0" w:type="auto"/>
            <w:vMerge w:val="continue"/>
            <w:vAlign w:val="center"/>
          </w:tcPr>
          <w:p w14:paraId="5EBD07DD">
            <w:pPr>
              <w:pStyle w:val="196"/>
              <w:rPr>
                <w:spacing w:val="-3"/>
                <w:kern w:val="0"/>
                <w:szCs w:val="21"/>
              </w:rPr>
            </w:pPr>
          </w:p>
        </w:tc>
        <w:tc>
          <w:tcPr>
            <w:tcW w:w="1081" w:type="pct"/>
            <w:vAlign w:val="center"/>
          </w:tcPr>
          <w:p w14:paraId="14E38659">
            <w:pPr>
              <w:pStyle w:val="196"/>
            </w:pPr>
            <w:r>
              <w:rPr>
                <w:rFonts w:hint="eastAsia"/>
              </w:rPr>
              <w:t>尿素车间</w:t>
            </w:r>
          </w:p>
        </w:tc>
        <w:tc>
          <w:tcPr>
            <w:tcW w:w="685" w:type="pct"/>
            <w:vAlign w:val="center"/>
          </w:tcPr>
          <w:p w14:paraId="77A5CEBC">
            <w:pPr>
              <w:pStyle w:val="196"/>
            </w:pPr>
            <w:r>
              <w:rPr>
                <w:rFonts w:hint="eastAsia"/>
              </w:rPr>
              <w:t>0.00066</w:t>
            </w:r>
          </w:p>
        </w:tc>
        <w:tc>
          <w:tcPr>
            <w:tcW w:w="651" w:type="pct"/>
            <w:vAlign w:val="center"/>
          </w:tcPr>
          <w:p w14:paraId="2EF8EA4C">
            <w:pPr>
              <w:pStyle w:val="196"/>
            </w:pPr>
            <w:r>
              <w:rPr>
                <w:rFonts w:hint="eastAsia"/>
              </w:rPr>
              <w:t>0</w:t>
            </w:r>
          </w:p>
        </w:tc>
        <w:tc>
          <w:tcPr>
            <w:tcW w:w="681" w:type="pct"/>
            <w:vAlign w:val="center"/>
          </w:tcPr>
          <w:p w14:paraId="1E4143F2">
            <w:pPr>
              <w:pStyle w:val="196"/>
            </w:pPr>
            <w:r>
              <w:rPr>
                <w:rFonts w:hint="eastAsia"/>
              </w:rPr>
              <w:t>0.00066</w:t>
            </w:r>
          </w:p>
        </w:tc>
      </w:tr>
      <w:tr w14:paraId="345D8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3135169C">
            <w:pPr>
              <w:pStyle w:val="196"/>
              <w:rPr>
                <w:spacing w:val="-3"/>
                <w:kern w:val="0"/>
                <w:szCs w:val="21"/>
                <w:highlight w:val="yellow"/>
              </w:rPr>
            </w:pPr>
          </w:p>
        </w:tc>
        <w:tc>
          <w:tcPr>
            <w:tcW w:w="0" w:type="auto"/>
            <w:vMerge w:val="continue"/>
            <w:vAlign w:val="center"/>
          </w:tcPr>
          <w:p w14:paraId="5CB11D03">
            <w:pPr>
              <w:pStyle w:val="196"/>
              <w:rPr>
                <w:spacing w:val="-3"/>
                <w:kern w:val="0"/>
                <w:szCs w:val="21"/>
              </w:rPr>
            </w:pPr>
          </w:p>
        </w:tc>
        <w:tc>
          <w:tcPr>
            <w:tcW w:w="1081" w:type="pct"/>
            <w:vAlign w:val="center"/>
          </w:tcPr>
          <w:p w14:paraId="11B2DABA">
            <w:pPr>
              <w:pStyle w:val="196"/>
            </w:pPr>
            <w:r>
              <w:rPr>
                <w:rFonts w:hint="eastAsia"/>
              </w:rPr>
              <w:t>转运站T0</w:t>
            </w:r>
          </w:p>
        </w:tc>
        <w:tc>
          <w:tcPr>
            <w:tcW w:w="685" w:type="pct"/>
            <w:vAlign w:val="bottom"/>
          </w:tcPr>
          <w:p w14:paraId="157DD4DC">
            <w:pPr>
              <w:pStyle w:val="196"/>
              <w:rPr>
                <w:sz w:val="22"/>
              </w:rPr>
            </w:pPr>
            <w:r>
              <w:rPr>
                <w:rFonts w:hint="eastAsia"/>
                <w:sz w:val="22"/>
              </w:rPr>
              <w:t>115.6</w:t>
            </w:r>
          </w:p>
        </w:tc>
        <w:tc>
          <w:tcPr>
            <w:tcW w:w="651" w:type="pct"/>
            <w:vAlign w:val="bottom"/>
          </w:tcPr>
          <w:p w14:paraId="175BB3BF">
            <w:pPr>
              <w:pStyle w:val="196"/>
              <w:rPr>
                <w:sz w:val="22"/>
              </w:rPr>
            </w:pPr>
            <w:r>
              <w:rPr>
                <w:rFonts w:hint="eastAsia"/>
                <w:sz w:val="22"/>
              </w:rPr>
              <w:t>115.022</w:t>
            </w:r>
          </w:p>
        </w:tc>
        <w:tc>
          <w:tcPr>
            <w:tcW w:w="681" w:type="pct"/>
            <w:vAlign w:val="center"/>
          </w:tcPr>
          <w:p w14:paraId="340B663A">
            <w:pPr>
              <w:pStyle w:val="196"/>
              <w:rPr>
                <w:szCs w:val="21"/>
              </w:rPr>
            </w:pPr>
            <w:r>
              <w:rPr>
                <w:rFonts w:hint="eastAsia"/>
              </w:rPr>
              <w:t>0.578</w:t>
            </w:r>
          </w:p>
        </w:tc>
      </w:tr>
      <w:tr w14:paraId="71B5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45B845B">
            <w:pPr>
              <w:pStyle w:val="196"/>
              <w:rPr>
                <w:spacing w:val="-3"/>
                <w:kern w:val="0"/>
                <w:szCs w:val="21"/>
                <w:highlight w:val="yellow"/>
              </w:rPr>
            </w:pPr>
          </w:p>
        </w:tc>
        <w:tc>
          <w:tcPr>
            <w:tcW w:w="0" w:type="auto"/>
            <w:vMerge w:val="continue"/>
            <w:vAlign w:val="center"/>
          </w:tcPr>
          <w:p w14:paraId="45F1565F">
            <w:pPr>
              <w:pStyle w:val="196"/>
              <w:rPr>
                <w:spacing w:val="-3"/>
                <w:kern w:val="0"/>
                <w:szCs w:val="21"/>
              </w:rPr>
            </w:pPr>
          </w:p>
        </w:tc>
        <w:tc>
          <w:tcPr>
            <w:tcW w:w="1081" w:type="pct"/>
            <w:vAlign w:val="center"/>
          </w:tcPr>
          <w:p w14:paraId="568B6702">
            <w:pPr>
              <w:pStyle w:val="196"/>
            </w:pPr>
            <w:r>
              <w:rPr>
                <w:rFonts w:hint="eastAsia"/>
              </w:rPr>
              <w:t>转运站T1</w:t>
            </w:r>
          </w:p>
        </w:tc>
        <w:tc>
          <w:tcPr>
            <w:tcW w:w="685" w:type="pct"/>
            <w:vAlign w:val="bottom"/>
          </w:tcPr>
          <w:p w14:paraId="3CFB922A">
            <w:pPr>
              <w:pStyle w:val="196"/>
              <w:rPr>
                <w:sz w:val="22"/>
              </w:rPr>
            </w:pPr>
            <w:r>
              <w:rPr>
                <w:rFonts w:hint="eastAsia"/>
                <w:sz w:val="22"/>
              </w:rPr>
              <w:t>280.6</w:t>
            </w:r>
          </w:p>
        </w:tc>
        <w:tc>
          <w:tcPr>
            <w:tcW w:w="651" w:type="pct"/>
            <w:vAlign w:val="bottom"/>
          </w:tcPr>
          <w:p w14:paraId="1A233851">
            <w:pPr>
              <w:pStyle w:val="196"/>
              <w:rPr>
                <w:sz w:val="22"/>
              </w:rPr>
            </w:pPr>
            <w:r>
              <w:rPr>
                <w:rFonts w:hint="eastAsia"/>
                <w:sz w:val="22"/>
              </w:rPr>
              <w:t>279.197</w:t>
            </w:r>
          </w:p>
        </w:tc>
        <w:tc>
          <w:tcPr>
            <w:tcW w:w="681" w:type="pct"/>
            <w:vAlign w:val="center"/>
          </w:tcPr>
          <w:p w14:paraId="543433D9">
            <w:pPr>
              <w:pStyle w:val="196"/>
              <w:rPr>
                <w:szCs w:val="21"/>
              </w:rPr>
            </w:pPr>
            <w:r>
              <w:rPr>
                <w:rFonts w:hint="eastAsia"/>
              </w:rPr>
              <w:t>1.403</w:t>
            </w:r>
          </w:p>
        </w:tc>
      </w:tr>
      <w:tr w14:paraId="4217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8EE3807">
            <w:pPr>
              <w:pStyle w:val="196"/>
              <w:rPr>
                <w:spacing w:val="-3"/>
                <w:kern w:val="0"/>
                <w:szCs w:val="21"/>
                <w:highlight w:val="yellow"/>
              </w:rPr>
            </w:pPr>
          </w:p>
        </w:tc>
        <w:tc>
          <w:tcPr>
            <w:tcW w:w="0" w:type="auto"/>
            <w:vMerge w:val="continue"/>
            <w:vAlign w:val="center"/>
          </w:tcPr>
          <w:p w14:paraId="15E84B92">
            <w:pPr>
              <w:pStyle w:val="196"/>
              <w:rPr>
                <w:spacing w:val="-3"/>
                <w:kern w:val="0"/>
                <w:szCs w:val="21"/>
              </w:rPr>
            </w:pPr>
          </w:p>
        </w:tc>
        <w:tc>
          <w:tcPr>
            <w:tcW w:w="1081" w:type="pct"/>
            <w:vAlign w:val="center"/>
          </w:tcPr>
          <w:p w14:paraId="0BA7F084">
            <w:pPr>
              <w:pStyle w:val="196"/>
            </w:pPr>
            <w:r>
              <w:rPr>
                <w:rFonts w:hint="eastAsia"/>
              </w:rPr>
              <w:t>转运站T2</w:t>
            </w:r>
          </w:p>
        </w:tc>
        <w:tc>
          <w:tcPr>
            <w:tcW w:w="685" w:type="pct"/>
            <w:vAlign w:val="bottom"/>
          </w:tcPr>
          <w:p w14:paraId="44C2AE93">
            <w:pPr>
              <w:pStyle w:val="196"/>
              <w:rPr>
                <w:sz w:val="22"/>
              </w:rPr>
            </w:pPr>
            <w:r>
              <w:rPr>
                <w:rFonts w:hint="eastAsia"/>
                <w:sz w:val="22"/>
              </w:rPr>
              <w:t>264</w:t>
            </w:r>
          </w:p>
        </w:tc>
        <w:tc>
          <w:tcPr>
            <w:tcW w:w="651" w:type="pct"/>
            <w:vAlign w:val="bottom"/>
          </w:tcPr>
          <w:p w14:paraId="7BB02733">
            <w:pPr>
              <w:pStyle w:val="196"/>
              <w:rPr>
                <w:sz w:val="22"/>
              </w:rPr>
            </w:pPr>
            <w:r>
              <w:rPr>
                <w:rFonts w:hint="eastAsia"/>
                <w:sz w:val="22"/>
              </w:rPr>
              <w:t>262.68</w:t>
            </w:r>
          </w:p>
        </w:tc>
        <w:tc>
          <w:tcPr>
            <w:tcW w:w="681" w:type="pct"/>
            <w:vAlign w:val="center"/>
          </w:tcPr>
          <w:p w14:paraId="2FDCBBA6">
            <w:pPr>
              <w:pStyle w:val="196"/>
              <w:rPr>
                <w:szCs w:val="21"/>
              </w:rPr>
            </w:pPr>
            <w:r>
              <w:rPr>
                <w:rFonts w:hint="eastAsia"/>
              </w:rPr>
              <w:t>1.32</w:t>
            </w:r>
          </w:p>
        </w:tc>
      </w:tr>
      <w:tr w14:paraId="6C47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161BAE0">
            <w:pPr>
              <w:pStyle w:val="196"/>
              <w:rPr>
                <w:spacing w:val="-3"/>
                <w:kern w:val="0"/>
                <w:szCs w:val="21"/>
                <w:highlight w:val="yellow"/>
              </w:rPr>
            </w:pPr>
          </w:p>
        </w:tc>
        <w:tc>
          <w:tcPr>
            <w:tcW w:w="0" w:type="auto"/>
            <w:vMerge w:val="continue"/>
            <w:vAlign w:val="center"/>
          </w:tcPr>
          <w:p w14:paraId="3D4AD5CD">
            <w:pPr>
              <w:pStyle w:val="196"/>
              <w:rPr>
                <w:spacing w:val="-3"/>
                <w:kern w:val="0"/>
                <w:szCs w:val="21"/>
              </w:rPr>
            </w:pPr>
          </w:p>
        </w:tc>
        <w:tc>
          <w:tcPr>
            <w:tcW w:w="1081" w:type="pct"/>
            <w:vAlign w:val="center"/>
          </w:tcPr>
          <w:p w14:paraId="7AF8FCAD">
            <w:pPr>
              <w:pStyle w:val="196"/>
            </w:pPr>
            <w:r>
              <w:rPr>
                <w:rFonts w:hint="eastAsia"/>
              </w:rPr>
              <w:t>碎煤机室</w:t>
            </w:r>
          </w:p>
        </w:tc>
        <w:tc>
          <w:tcPr>
            <w:tcW w:w="685" w:type="pct"/>
            <w:vAlign w:val="bottom"/>
          </w:tcPr>
          <w:p w14:paraId="3D026592">
            <w:pPr>
              <w:pStyle w:val="196"/>
              <w:rPr>
                <w:sz w:val="22"/>
              </w:rPr>
            </w:pPr>
            <w:r>
              <w:rPr>
                <w:rFonts w:hint="eastAsia"/>
                <w:sz w:val="22"/>
              </w:rPr>
              <w:t>165</w:t>
            </w:r>
          </w:p>
        </w:tc>
        <w:tc>
          <w:tcPr>
            <w:tcW w:w="651" w:type="pct"/>
            <w:vAlign w:val="bottom"/>
          </w:tcPr>
          <w:p w14:paraId="1FFF5B19">
            <w:pPr>
              <w:pStyle w:val="196"/>
              <w:rPr>
                <w:sz w:val="22"/>
              </w:rPr>
            </w:pPr>
            <w:r>
              <w:rPr>
                <w:rFonts w:hint="eastAsia"/>
                <w:sz w:val="22"/>
              </w:rPr>
              <w:t>164.175</w:t>
            </w:r>
          </w:p>
        </w:tc>
        <w:tc>
          <w:tcPr>
            <w:tcW w:w="681" w:type="pct"/>
            <w:vAlign w:val="center"/>
          </w:tcPr>
          <w:p w14:paraId="22568562">
            <w:pPr>
              <w:pStyle w:val="196"/>
              <w:rPr>
                <w:szCs w:val="21"/>
              </w:rPr>
            </w:pPr>
            <w:r>
              <w:rPr>
                <w:rFonts w:hint="eastAsia"/>
              </w:rPr>
              <w:t>0.825</w:t>
            </w:r>
          </w:p>
        </w:tc>
      </w:tr>
      <w:tr w14:paraId="39FB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161EF194">
            <w:pPr>
              <w:pStyle w:val="196"/>
              <w:rPr>
                <w:spacing w:val="-3"/>
                <w:kern w:val="0"/>
                <w:szCs w:val="21"/>
                <w:highlight w:val="yellow"/>
              </w:rPr>
            </w:pPr>
          </w:p>
        </w:tc>
        <w:tc>
          <w:tcPr>
            <w:tcW w:w="0" w:type="auto"/>
            <w:vMerge w:val="continue"/>
            <w:vAlign w:val="center"/>
          </w:tcPr>
          <w:p w14:paraId="3C2675BC">
            <w:pPr>
              <w:pStyle w:val="196"/>
              <w:rPr>
                <w:spacing w:val="-3"/>
                <w:kern w:val="0"/>
                <w:szCs w:val="21"/>
              </w:rPr>
            </w:pPr>
          </w:p>
        </w:tc>
        <w:tc>
          <w:tcPr>
            <w:tcW w:w="1081" w:type="pct"/>
            <w:vAlign w:val="center"/>
          </w:tcPr>
          <w:p w14:paraId="2A7F8544">
            <w:pPr>
              <w:pStyle w:val="196"/>
            </w:pPr>
            <w:r>
              <w:rPr>
                <w:rFonts w:hint="eastAsia"/>
              </w:rPr>
              <w:t>干灰库</w:t>
            </w:r>
          </w:p>
        </w:tc>
        <w:tc>
          <w:tcPr>
            <w:tcW w:w="685" w:type="pct"/>
            <w:vAlign w:val="bottom"/>
          </w:tcPr>
          <w:p w14:paraId="79283E9E">
            <w:pPr>
              <w:pStyle w:val="196"/>
              <w:rPr>
                <w:sz w:val="22"/>
              </w:rPr>
            </w:pPr>
            <w:r>
              <w:rPr>
                <w:rFonts w:hint="eastAsia"/>
                <w:sz w:val="22"/>
              </w:rPr>
              <w:t>79.2</w:t>
            </w:r>
          </w:p>
        </w:tc>
        <w:tc>
          <w:tcPr>
            <w:tcW w:w="651" w:type="pct"/>
            <w:vAlign w:val="bottom"/>
          </w:tcPr>
          <w:p w14:paraId="17F72717">
            <w:pPr>
              <w:pStyle w:val="196"/>
              <w:rPr>
                <w:sz w:val="22"/>
              </w:rPr>
            </w:pPr>
            <w:r>
              <w:rPr>
                <w:rFonts w:hint="eastAsia"/>
                <w:sz w:val="22"/>
              </w:rPr>
              <w:t>78.804</w:t>
            </w:r>
          </w:p>
        </w:tc>
        <w:tc>
          <w:tcPr>
            <w:tcW w:w="681" w:type="pct"/>
            <w:vAlign w:val="center"/>
          </w:tcPr>
          <w:p w14:paraId="7FA36236">
            <w:pPr>
              <w:pStyle w:val="196"/>
              <w:rPr>
                <w:szCs w:val="21"/>
              </w:rPr>
            </w:pPr>
            <w:r>
              <w:rPr>
                <w:rFonts w:hint="eastAsia"/>
              </w:rPr>
              <w:t>0.396</w:t>
            </w:r>
          </w:p>
        </w:tc>
      </w:tr>
      <w:tr w14:paraId="6F5B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7773BE6">
            <w:pPr>
              <w:pStyle w:val="196"/>
              <w:rPr>
                <w:spacing w:val="-3"/>
                <w:kern w:val="0"/>
                <w:szCs w:val="21"/>
                <w:highlight w:val="yellow"/>
              </w:rPr>
            </w:pPr>
          </w:p>
        </w:tc>
        <w:tc>
          <w:tcPr>
            <w:tcW w:w="0" w:type="auto"/>
            <w:vMerge w:val="continue"/>
            <w:vAlign w:val="center"/>
          </w:tcPr>
          <w:p w14:paraId="0441A68C">
            <w:pPr>
              <w:pStyle w:val="196"/>
              <w:rPr>
                <w:spacing w:val="-3"/>
                <w:kern w:val="0"/>
                <w:szCs w:val="21"/>
              </w:rPr>
            </w:pPr>
          </w:p>
        </w:tc>
        <w:tc>
          <w:tcPr>
            <w:tcW w:w="1081" w:type="pct"/>
            <w:vAlign w:val="center"/>
          </w:tcPr>
          <w:p w14:paraId="659F00FB">
            <w:pPr>
              <w:pStyle w:val="196"/>
            </w:pPr>
            <w:r>
              <w:rPr>
                <w:rFonts w:hint="eastAsia"/>
              </w:rPr>
              <w:t>渣仓</w:t>
            </w:r>
          </w:p>
        </w:tc>
        <w:tc>
          <w:tcPr>
            <w:tcW w:w="685" w:type="pct"/>
            <w:vAlign w:val="bottom"/>
          </w:tcPr>
          <w:p w14:paraId="1FF578E6">
            <w:pPr>
              <w:pStyle w:val="196"/>
              <w:rPr>
                <w:sz w:val="22"/>
              </w:rPr>
            </w:pPr>
            <w:r>
              <w:rPr>
                <w:rFonts w:hint="eastAsia"/>
                <w:sz w:val="22"/>
              </w:rPr>
              <w:t>79.2</w:t>
            </w:r>
          </w:p>
        </w:tc>
        <w:tc>
          <w:tcPr>
            <w:tcW w:w="651" w:type="pct"/>
            <w:vAlign w:val="bottom"/>
          </w:tcPr>
          <w:p w14:paraId="272BCF9F">
            <w:pPr>
              <w:pStyle w:val="196"/>
              <w:rPr>
                <w:sz w:val="22"/>
              </w:rPr>
            </w:pPr>
            <w:r>
              <w:rPr>
                <w:rFonts w:hint="eastAsia"/>
                <w:sz w:val="22"/>
              </w:rPr>
              <w:t>78.804</w:t>
            </w:r>
          </w:p>
        </w:tc>
        <w:tc>
          <w:tcPr>
            <w:tcW w:w="681" w:type="pct"/>
            <w:vAlign w:val="center"/>
          </w:tcPr>
          <w:p w14:paraId="56C8C5DA">
            <w:pPr>
              <w:pStyle w:val="196"/>
              <w:rPr>
                <w:szCs w:val="21"/>
              </w:rPr>
            </w:pPr>
            <w:r>
              <w:rPr>
                <w:rFonts w:hint="eastAsia"/>
              </w:rPr>
              <w:t>0.396</w:t>
            </w:r>
          </w:p>
        </w:tc>
      </w:tr>
      <w:tr w14:paraId="41DF7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1412ECD3">
            <w:pPr>
              <w:pStyle w:val="196"/>
              <w:rPr>
                <w:spacing w:val="-3"/>
                <w:kern w:val="0"/>
                <w:szCs w:val="21"/>
                <w:highlight w:val="yellow"/>
              </w:rPr>
            </w:pPr>
          </w:p>
        </w:tc>
        <w:tc>
          <w:tcPr>
            <w:tcW w:w="0" w:type="auto"/>
            <w:vMerge w:val="continue"/>
            <w:vAlign w:val="center"/>
          </w:tcPr>
          <w:p w14:paraId="35141639">
            <w:pPr>
              <w:pStyle w:val="196"/>
              <w:rPr>
                <w:spacing w:val="-3"/>
                <w:kern w:val="0"/>
                <w:szCs w:val="21"/>
              </w:rPr>
            </w:pPr>
          </w:p>
        </w:tc>
        <w:tc>
          <w:tcPr>
            <w:tcW w:w="1081" w:type="pct"/>
            <w:vAlign w:val="center"/>
          </w:tcPr>
          <w:p w14:paraId="5EA54BB1">
            <w:pPr>
              <w:pStyle w:val="196"/>
            </w:pPr>
            <w:r>
              <w:rPr>
                <w:rFonts w:hint="eastAsia"/>
              </w:rPr>
              <w:t>石灰石粉仓</w:t>
            </w:r>
          </w:p>
        </w:tc>
        <w:tc>
          <w:tcPr>
            <w:tcW w:w="685" w:type="pct"/>
            <w:vAlign w:val="bottom"/>
          </w:tcPr>
          <w:p w14:paraId="0655ADFB">
            <w:pPr>
              <w:pStyle w:val="196"/>
              <w:rPr>
                <w:sz w:val="22"/>
              </w:rPr>
            </w:pPr>
            <w:r>
              <w:rPr>
                <w:rFonts w:hint="eastAsia"/>
                <w:sz w:val="22"/>
              </w:rPr>
              <w:t>19.8</w:t>
            </w:r>
          </w:p>
        </w:tc>
        <w:tc>
          <w:tcPr>
            <w:tcW w:w="651" w:type="pct"/>
            <w:vAlign w:val="bottom"/>
          </w:tcPr>
          <w:p w14:paraId="20002025">
            <w:pPr>
              <w:pStyle w:val="196"/>
              <w:rPr>
                <w:sz w:val="22"/>
              </w:rPr>
            </w:pPr>
            <w:r>
              <w:rPr>
                <w:rFonts w:hint="eastAsia"/>
                <w:sz w:val="22"/>
              </w:rPr>
              <w:t>19.701</w:t>
            </w:r>
          </w:p>
        </w:tc>
        <w:tc>
          <w:tcPr>
            <w:tcW w:w="681" w:type="pct"/>
            <w:vAlign w:val="center"/>
          </w:tcPr>
          <w:p w14:paraId="3FDDFA7E">
            <w:pPr>
              <w:pStyle w:val="196"/>
              <w:rPr>
                <w:szCs w:val="21"/>
              </w:rPr>
            </w:pPr>
            <w:r>
              <w:rPr>
                <w:rFonts w:hint="eastAsia"/>
              </w:rPr>
              <w:t>0.099</w:t>
            </w:r>
          </w:p>
        </w:tc>
      </w:tr>
      <w:tr w14:paraId="2374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861" w:type="pct"/>
            <w:vMerge w:val="restart"/>
            <w:vAlign w:val="center"/>
          </w:tcPr>
          <w:p w14:paraId="36294A27">
            <w:pPr>
              <w:pStyle w:val="196"/>
              <w:rPr>
                <w:highlight w:val="yellow"/>
              </w:rPr>
            </w:pPr>
            <w:r>
              <w:t>固废</w:t>
            </w:r>
          </w:p>
        </w:tc>
        <w:tc>
          <w:tcPr>
            <w:tcW w:w="1041" w:type="pct"/>
            <w:vMerge w:val="restart"/>
            <w:vAlign w:val="center"/>
          </w:tcPr>
          <w:p w14:paraId="690E78CE">
            <w:pPr>
              <w:pStyle w:val="196"/>
            </w:pPr>
            <w:r>
              <w:t>炉渣</w:t>
            </w:r>
          </w:p>
        </w:tc>
        <w:tc>
          <w:tcPr>
            <w:tcW w:w="1081" w:type="pct"/>
            <w:vAlign w:val="center"/>
          </w:tcPr>
          <w:p w14:paraId="6B3D7157">
            <w:pPr>
              <w:pStyle w:val="196"/>
            </w:pPr>
            <w:r>
              <w:t>设计煤种</w:t>
            </w:r>
          </w:p>
        </w:tc>
        <w:tc>
          <w:tcPr>
            <w:tcW w:w="685" w:type="pct"/>
            <w:vAlign w:val="center"/>
          </w:tcPr>
          <w:p w14:paraId="2F321623">
            <w:pPr>
              <w:pStyle w:val="196"/>
            </w:pPr>
            <w:r>
              <w:rPr>
                <w:rFonts w:hint="eastAsia"/>
              </w:rPr>
              <w:t>15407.92</w:t>
            </w:r>
          </w:p>
        </w:tc>
        <w:tc>
          <w:tcPr>
            <w:tcW w:w="651" w:type="pct"/>
            <w:vAlign w:val="center"/>
          </w:tcPr>
          <w:p w14:paraId="2F87F630">
            <w:pPr>
              <w:pStyle w:val="196"/>
            </w:pPr>
            <w:r>
              <w:rPr>
                <w:rFonts w:hint="eastAsia"/>
              </w:rPr>
              <w:t>15407.92</w:t>
            </w:r>
          </w:p>
        </w:tc>
        <w:tc>
          <w:tcPr>
            <w:tcW w:w="681" w:type="pct"/>
            <w:vAlign w:val="center"/>
          </w:tcPr>
          <w:p w14:paraId="0DFC4F21">
            <w:pPr>
              <w:pStyle w:val="196"/>
            </w:pPr>
            <w:r>
              <w:t>0</w:t>
            </w:r>
          </w:p>
        </w:tc>
      </w:tr>
      <w:tr w14:paraId="2EA6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5" w:hRule="atLeast"/>
          <w:jc w:val="center"/>
        </w:trPr>
        <w:tc>
          <w:tcPr>
            <w:tcW w:w="0" w:type="auto"/>
            <w:vMerge w:val="continue"/>
            <w:vAlign w:val="center"/>
          </w:tcPr>
          <w:p w14:paraId="43B744C7">
            <w:pPr>
              <w:pStyle w:val="196"/>
              <w:rPr>
                <w:spacing w:val="-3"/>
                <w:kern w:val="0"/>
                <w:szCs w:val="21"/>
                <w:highlight w:val="yellow"/>
              </w:rPr>
            </w:pPr>
          </w:p>
        </w:tc>
        <w:tc>
          <w:tcPr>
            <w:tcW w:w="0" w:type="auto"/>
            <w:vMerge w:val="continue"/>
            <w:vAlign w:val="center"/>
          </w:tcPr>
          <w:p w14:paraId="68D66B38">
            <w:pPr>
              <w:pStyle w:val="196"/>
              <w:rPr>
                <w:spacing w:val="-3"/>
                <w:kern w:val="0"/>
                <w:szCs w:val="21"/>
              </w:rPr>
            </w:pPr>
          </w:p>
        </w:tc>
        <w:tc>
          <w:tcPr>
            <w:tcW w:w="1081" w:type="pct"/>
            <w:vAlign w:val="center"/>
          </w:tcPr>
          <w:p w14:paraId="04DC36E3">
            <w:pPr>
              <w:pStyle w:val="196"/>
            </w:pPr>
            <w:r>
              <w:t>校核煤种</w:t>
            </w:r>
          </w:p>
        </w:tc>
        <w:tc>
          <w:tcPr>
            <w:tcW w:w="685" w:type="pct"/>
            <w:vAlign w:val="center"/>
          </w:tcPr>
          <w:p w14:paraId="0F325964">
            <w:pPr>
              <w:pStyle w:val="196"/>
            </w:pPr>
            <w:r>
              <w:rPr>
                <w:rFonts w:hint="eastAsia"/>
              </w:rPr>
              <w:t>24240.77</w:t>
            </w:r>
          </w:p>
        </w:tc>
        <w:tc>
          <w:tcPr>
            <w:tcW w:w="651" w:type="pct"/>
            <w:vAlign w:val="center"/>
          </w:tcPr>
          <w:p w14:paraId="199C0A47">
            <w:pPr>
              <w:pStyle w:val="196"/>
            </w:pPr>
            <w:r>
              <w:rPr>
                <w:rFonts w:hint="eastAsia"/>
              </w:rPr>
              <w:t>24240.77</w:t>
            </w:r>
          </w:p>
        </w:tc>
        <w:tc>
          <w:tcPr>
            <w:tcW w:w="681" w:type="pct"/>
            <w:vAlign w:val="center"/>
          </w:tcPr>
          <w:p w14:paraId="1242FB12">
            <w:pPr>
              <w:pStyle w:val="196"/>
            </w:pPr>
            <w:r>
              <w:t>0</w:t>
            </w:r>
          </w:p>
        </w:tc>
      </w:tr>
      <w:tr w14:paraId="779F4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887226D">
            <w:pPr>
              <w:pStyle w:val="196"/>
              <w:rPr>
                <w:spacing w:val="-3"/>
                <w:kern w:val="0"/>
                <w:szCs w:val="21"/>
                <w:highlight w:val="yellow"/>
              </w:rPr>
            </w:pPr>
          </w:p>
        </w:tc>
        <w:tc>
          <w:tcPr>
            <w:tcW w:w="1041" w:type="pct"/>
            <w:vMerge w:val="restart"/>
            <w:vAlign w:val="center"/>
          </w:tcPr>
          <w:p w14:paraId="034086D1">
            <w:pPr>
              <w:pStyle w:val="196"/>
            </w:pPr>
            <w:r>
              <w:rPr>
                <w:rFonts w:hint="eastAsia"/>
              </w:rPr>
              <w:t>飞灰</w:t>
            </w:r>
          </w:p>
        </w:tc>
        <w:tc>
          <w:tcPr>
            <w:tcW w:w="1081" w:type="pct"/>
            <w:vAlign w:val="center"/>
          </w:tcPr>
          <w:p w14:paraId="5D80C3E2">
            <w:pPr>
              <w:pStyle w:val="196"/>
            </w:pPr>
            <w:r>
              <w:t>设计煤种</w:t>
            </w:r>
          </w:p>
        </w:tc>
        <w:tc>
          <w:tcPr>
            <w:tcW w:w="685" w:type="pct"/>
            <w:vAlign w:val="center"/>
          </w:tcPr>
          <w:p w14:paraId="2FE7ABA4">
            <w:pPr>
              <w:pStyle w:val="196"/>
            </w:pPr>
            <w:r>
              <w:rPr>
                <w:rFonts w:hint="eastAsia"/>
              </w:rPr>
              <w:t>23106.10</w:t>
            </w:r>
          </w:p>
        </w:tc>
        <w:tc>
          <w:tcPr>
            <w:tcW w:w="651" w:type="pct"/>
            <w:vAlign w:val="center"/>
          </w:tcPr>
          <w:p w14:paraId="65B08AB1">
            <w:pPr>
              <w:pStyle w:val="196"/>
            </w:pPr>
            <w:r>
              <w:rPr>
                <w:rFonts w:hint="eastAsia"/>
              </w:rPr>
              <w:t>23106.10</w:t>
            </w:r>
          </w:p>
        </w:tc>
        <w:tc>
          <w:tcPr>
            <w:tcW w:w="681" w:type="pct"/>
            <w:vAlign w:val="center"/>
          </w:tcPr>
          <w:p w14:paraId="40C59985">
            <w:pPr>
              <w:pStyle w:val="196"/>
            </w:pPr>
            <w:r>
              <w:t>0</w:t>
            </w:r>
          </w:p>
        </w:tc>
      </w:tr>
      <w:tr w14:paraId="6432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34A95D07">
            <w:pPr>
              <w:pStyle w:val="196"/>
              <w:rPr>
                <w:spacing w:val="-3"/>
                <w:kern w:val="0"/>
                <w:szCs w:val="21"/>
                <w:highlight w:val="yellow"/>
              </w:rPr>
            </w:pPr>
          </w:p>
        </w:tc>
        <w:tc>
          <w:tcPr>
            <w:tcW w:w="0" w:type="auto"/>
            <w:vMerge w:val="continue"/>
            <w:vAlign w:val="center"/>
          </w:tcPr>
          <w:p w14:paraId="6062A5A4">
            <w:pPr>
              <w:pStyle w:val="196"/>
              <w:rPr>
                <w:spacing w:val="-3"/>
                <w:kern w:val="0"/>
                <w:szCs w:val="21"/>
              </w:rPr>
            </w:pPr>
          </w:p>
        </w:tc>
        <w:tc>
          <w:tcPr>
            <w:tcW w:w="1081" w:type="pct"/>
            <w:vAlign w:val="center"/>
          </w:tcPr>
          <w:p w14:paraId="43796516">
            <w:pPr>
              <w:pStyle w:val="196"/>
            </w:pPr>
            <w:r>
              <w:t>校核煤种</w:t>
            </w:r>
          </w:p>
        </w:tc>
        <w:tc>
          <w:tcPr>
            <w:tcW w:w="685" w:type="pct"/>
            <w:vAlign w:val="center"/>
          </w:tcPr>
          <w:p w14:paraId="2327D509">
            <w:pPr>
              <w:pStyle w:val="196"/>
            </w:pPr>
            <w:r>
              <w:rPr>
                <w:rFonts w:hint="eastAsia"/>
              </w:rPr>
              <w:t>36352.07</w:t>
            </w:r>
          </w:p>
        </w:tc>
        <w:tc>
          <w:tcPr>
            <w:tcW w:w="651" w:type="pct"/>
            <w:vAlign w:val="center"/>
          </w:tcPr>
          <w:p w14:paraId="4A247E27">
            <w:pPr>
              <w:pStyle w:val="196"/>
            </w:pPr>
            <w:r>
              <w:rPr>
                <w:rFonts w:hint="eastAsia"/>
              </w:rPr>
              <w:t>36352.07</w:t>
            </w:r>
          </w:p>
        </w:tc>
        <w:tc>
          <w:tcPr>
            <w:tcW w:w="681" w:type="pct"/>
            <w:vAlign w:val="center"/>
          </w:tcPr>
          <w:p w14:paraId="75088DBC">
            <w:pPr>
              <w:pStyle w:val="196"/>
            </w:pPr>
            <w:r>
              <w:t>0</w:t>
            </w:r>
          </w:p>
        </w:tc>
      </w:tr>
      <w:tr w14:paraId="4E1C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795634BC">
            <w:pPr>
              <w:pStyle w:val="196"/>
              <w:rPr>
                <w:spacing w:val="-3"/>
                <w:kern w:val="0"/>
                <w:szCs w:val="21"/>
                <w:highlight w:val="yellow"/>
              </w:rPr>
            </w:pPr>
          </w:p>
        </w:tc>
        <w:tc>
          <w:tcPr>
            <w:tcW w:w="1041" w:type="pct"/>
            <w:vMerge w:val="restart"/>
            <w:vAlign w:val="center"/>
          </w:tcPr>
          <w:p w14:paraId="7B31FE70">
            <w:pPr>
              <w:pStyle w:val="196"/>
            </w:pPr>
            <w:r>
              <w:rPr>
                <w:rFonts w:hint="eastAsia"/>
              </w:rPr>
              <w:t>脱硫石膏</w:t>
            </w:r>
          </w:p>
        </w:tc>
        <w:tc>
          <w:tcPr>
            <w:tcW w:w="1081" w:type="pct"/>
            <w:vAlign w:val="center"/>
          </w:tcPr>
          <w:p w14:paraId="47FB0F7D">
            <w:pPr>
              <w:pStyle w:val="196"/>
            </w:pPr>
            <w:r>
              <w:t>设计煤种</w:t>
            </w:r>
          </w:p>
        </w:tc>
        <w:tc>
          <w:tcPr>
            <w:tcW w:w="685" w:type="pct"/>
            <w:vAlign w:val="center"/>
          </w:tcPr>
          <w:p w14:paraId="058E118B">
            <w:pPr>
              <w:pStyle w:val="196"/>
            </w:pPr>
            <w:r>
              <w:rPr>
                <w:rFonts w:hint="eastAsia"/>
              </w:rPr>
              <w:t>12877.41</w:t>
            </w:r>
          </w:p>
        </w:tc>
        <w:tc>
          <w:tcPr>
            <w:tcW w:w="651" w:type="pct"/>
            <w:vAlign w:val="center"/>
          </w:tcPr>
          <w:p w14:paraId="3643C0E3">
            <w:pPr>
              <w:pStyle w:val="196"/>
            </w:pPr>
            <w:r>
              <w:rPr>
                <w:rFonts w:hint="eastAsia"/>
              </w:rPr>
              <w:t>12877.41</w:t>
            </w:r>
          </w:p>
        </w:tc>
        <w:tc>
          <w:tcPr>
            <w:tcW w:w="681" w:type="pct"/>
            <w:vAlign w:val="center"/>
          </w:tcPr>
          <w:p w14:paraId="604B9190">
            <w:pPr>
              <w:pStyle w:val="196"/>
            </w:pPr>
            <w:r>
              <w:rPr>
                <w:rFonts w:hint="eastAsia"/>
              </w:rPr>
              <w:t>0</w:t>
            </w:r>
          </w:p>
        </w:tc>
      </w:tr>
      <w:tr w14:paraId="1898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C831CB4">
            <w:pPr>
              <w:pStyle w:val="196"/>
              <w:rPr>
                <w:spacing w:val="-3"/>
                <w:kern w:val="0"/>
                <w:szCs w:val="21"/>
                <w:highlight w:val="yellow"/>
              </w:rPr>
            </w:pPr>
          </w:p>
        </w:tc>
        <w:tc>
          <w:tcPr>
            <w:tcW w:w="0" w:type="auto"/>
            <w:vMerge w:val="continue"/>
            <w:vAlign w:val="center"/>
          </w:tcPr>
          <w:p w14:paraId="3CF100A7">
            <w:pPr>
              <w:pStyle w:val="196"/>
              <w:rPr>
                <w:spacing w:val="-3"/>
                <w:kern w:val="0"/>
                <w:szCs w:val="21"/>
              </w:rPr>
            </w:pPr>
          </w:p>
        </w:tc>
        <w:tc>
          <w:tcPr>
            <w:tcW w:w="1081" w:type="pct"/>
            <w:vAlign w:val="center"/>
          </w:tcPr>
          <w:p w14:paraId="04B2E9A7">
            <w:pPr>
              <w:pStyle w:val="196"/>
            </w:pPr>
            <w:r>
              <w:t>校核煤种</w:t>
            </w:r>
          </w:p>
        </w:tc>
        <w:tc>
          <w:tcPr>
            <w:tcW w:w="685" w:type="pct"/>
            <w:vAlign w:val="center"/>
          </w:tcPr>
          <w:p w14:paraId="5EBA5D1E">
            <w:pPr>
              <w:pStyle w:val="196"/>
            </w:pPr>
            <w:r>
              <w:rPr>
                <w:rFonts w:hint="eastAsia"/>
              </w:rPr>
              <w:t>13843.58</w:t>
            </w:r>
          </w:p>
        </w:tc>
        <w:tc>
          <w:tcPr>
            <w:tcW w:w="651" w:type="pct"/>
            <w:vAlign w:val="center"/>
          </w:tcPr>
          <w:p w14:paraId="2E93439B">
            <w:pPr>
              <w:pStyle w:val="196"/>
            </w:pPr>
            <w:r>
              <w:rPr>
                <w:rFonts w:hint="eastAsia"/>
              </w:rPr>
              <w:t>13843.58</w:t>
            </w:r>
          </w:p>
        </w:tc>
        <w:tc>
          <w:tcPr>
            <w:tcW w:w="681" w:type="pct"/>
            <w:vAlign w:val="center"/>
          </w:tcPr>
          <w:p w14:paraId="629566E0">
            <w:pPr>
              <w:pStyle w:val="196"/>
            </w:pPr>
            <w:r>
              <w:rPr>
                <w:rFonts w:hint="eastAsia"/>
              </w:rPr>
              <w:t>0</w:t>
            </w:r>
          </w:p>
        </w:tc>
      </w:tr>
      <w:tr w14:paraId="7EC5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2EED27F1">
            <w:pPr>
              <w:pStyle w:val="196"/>
              <w:rPr>
                <w:spacing w:val="-3"/>
                <w:kern w:val="0"/>
                <w:szCs w:val="21"/>
                <w:highlight w:val="yellow"/>
              </w:rPr>
            </w:pPr>
          </w:p>
        </w:tc>
        <w:tc>
          <w:tcPr>
            <w:tcW w:w="2122" w:type="pct"/>
            <w:gridSpan w:val="2"/>
            <w:vAlign w:val="center"/>
          </w:tcPr>
          <w:p w14:paraId="5B2227C9">
            <w:pPr>
              <w:pStyle w:val="196"/>
            </w:pPr>
            <w:r>
              <w:t>原水制备污泥</w:t>
            </w:r>
          </w:p>
        </w:tc>
        <w:tc>
          <w:tcPr>
            <w:tcW w:w="685" w:type="pct"/>
            <w:vAlign w:val="center"/>
          </w:tcPr>
          <w:p w14:paraId="485D1EB0">
            <w:pPr>
              <w:pStyle w:val="196"/>
            </w:pPr>
            <w:r>
              <w:rPr>
                <w:rFonts w:hint="eastAsia"/>
              </w:rPr>
              <w:t>920</w:t>
            </w:r>
          </w:p>
        </w:tc>
        <w:tc>
          <w:tcPr>
            <w:tcW w:w="651" w:type="pct"/>
            <w:vAlign w:val="center"/>
          </w:tcPr>
          <w:p w14:paraId="376F2985">
            <w:pPr>
              <w:pStyle w:val="196"/>
            </w:pPr>
            <w:r>
              <w:rPr>
                <w:rFonts w:hint="eastAsia"/>
              </w:rPr>
              <w:t>920</w:t>
            </w:r>
          </w:p>
        </w:tc>
        <w:tc>
          <w:tcPr>
            <w:tcW w:w="681" w:type="pct"/>
            <w:vAlign w:val="center"/>
          </w:tcPr>
          <w:p w14:paraId="3E989627">
            <w:pPr>
              <w:pStyle w:val="196"/>
            </w:pPr>
            <w:r>
              <w:rPr>
                <w:rFonts w:hint="eastAsia"/>
              </w:rPr>
              <w:t>0</w:t>
            </w:r>
          </w:p>
        </w:tc>
      </w:tr>
      <w:tr w14:paraId="10ED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DF20CD8">
            <w:pPr>
              <w:pStyle w:val="196"/>
              <w:rPr>
                <w:spacing w:val="-3"/>
                <w:kern w:val="0"/>
                <w:szCs w:val="21"/>
                <w:highlight w:val="yellow"/>
              </w:rPr>
            </w:pPr>
          </w:p>
        </w:tc>
        <w:tc>
          <w:tcPr>
            <w:tcW w:w="2122" w:type="pct"/>
            <w:gridSpan w:val="2"/>
            <w:vAlign w:val="center"/>
          </w:tcPr>
          <w:p w14:paraId="79E3AF47">
            <w:pPr>
              <w:pStyle w:val="196"/>
            </w:pPr>
            <w:r>
              <w:rPr>
                <w:rFonts w:hint="eastAsia"/>
              </w:rPr>
              <w:t>废</w:t>
            </w:r>
            <w:r>
              <w:t>脱硝催化剂</w:t>
            </w:r>
          </w:p>
        </w:tc>
        <w:tc>
          <w:tcPr>
            <w:tcW w:w="685" w:type="pct"/>
            <w:vAlign w:val="center"/>
          </w:tcPr>
          <w:p w14:paraId="2EC83DE4">
            <w:pPr>
              <w:pStyle w:val="196"/>
              <w:rPr>
                <w:bCs/>
              </w:rPr>
            </w:pPr>
            <w:r>
              <w:rPr>
                <w:rFonts w:hint="eastAsia"/>
              </w:rPr>
              <w:t>43.2t</w:t>
            </w:r>
            <w:r>
              <w:t>/3</w:t>
            </w:r>
            <w:r>
              <w:rPr>
                <w:rFonts w:hint="eastAsia"/>
              </w:rPr>
              <w:t>年</w:t>
            </w:r>
          </w:p>
        </w:tc>
        <w:tc>
          <w:tcPr>
            <w:tcW w:w="651" w:type="pct"/>
            <w:vAlign w:val="center"/>
          </w:tcPr>
          <w:p w14:paraId="52FB1A7C">
            <w:pPr>
              <w:pStyle w:val="196"/>
              <w:rPr>
                <w:bCs/>
              </w:rPr>
            </w:pPr>
            <w:r>
              <w:rPr>
                <w:rFonts w:hint="eastAsia"/>
              </w:rPr>
              <w:t>43.2t</w:t>
            </w:r>
            <w:r>
              <w:t>/3</w:t>
            </w:r>
            <w:r>
              <w:rPr>
                <w:rFonts w:hint="eastAsia"/>
              </w:rPr>
              <w:t>年</w:t>
            </w:r>
          </w:p>
        </w:tc>
        <w:tc>
          <w:tcPr>
            <w:tcW w:w="681" w:type="pct"/>
            <w:vAlign w:val="center"/>
          </w:tcPr>
          <w:p w14:paraId="0633EBE7">
            <w:pPr>
              <w:pStyle w:val="196"/>
            </w:pPr>
            <w:r>
              <w:t>0</w:t>
            </w:r>
          </w:p>
        </w:tc>
      </w:tr>
      <w:tr w14:paraId="4517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0C638409">
            <w:pPr>
              <w:pStyle w:val="196"/>
              <w:rPr>
                <w:spacing w:val="-3"/>
                <w:kern w:val="0"/>
                <w:szCs w:val="21"/>
                <w:highlight w:val="yellow"/>
              </w:rPr>
            </w:pPr>
          </w:p>
        </w:tc>
        <w:tc>
          <w:tcPr>
            <w:tcW w:w="2122" w:type="pct"/>
            <w:gridSpan w:val="2"/>
            <w:vAlign w:val="center"/>
          </w:tcPr>
          <w:p w14:paraId="60CD05D7">
            <w:pPr>
              <w:pStyle w:val="196"/>
            </w:pPr>
            <w:r>
              <w:t>废布袋</w:t>
            </w:r>
          </w:p>
        </w:tc>
        <w:tc>
          <w:tcPr>
            <w:tcW w:w="685" w:type="pct"/>
            <w:vAlign w:val="center"/>
          </w:tcPr>
          <w:p w14:paraId="3465E844">
            <w:pPr>
              <w:pStyle w:val="196"/>
              <w:rPr>
                <w:bCs/>
              </w:rPr>
            </w:pPr>
            <w:r>
              <w:rPr>
                <w:rFonts w:hint="eastAsia"/>
              </w:rPr>
              <w:t>10.8t/3年</w:t>
            </w:r>
          </w:p>
        </w:tc>
        <w:tc>
          <w:tcPr>
            <w:tcW w:w="651" w:type="pct"/>
            <w:vAlign w:val="center"/>
          </w:tcPr>
          <w:p w14:paraId="448C4667">
            <w:pPr>
              <w:pStyle w:val="196"/>
              <w:rPr>
                <w:bCs/>
              </w:rPr>
            </w:pPr>
            <w:r>
              <w:rPr>
                <w:rFonts w:hint="eastAsia"/>
              </w:rPr>
              <w:t>10.8t/3年</w:t>
            </w:r>
          </w:p>
        </w:tc>
        <w:tc>
          <w:tcPr>
            <w:tcW w:w="681" w:type="pct"/>
            <w:vAlign w:val="center"/>
          </w:tcPr>
          <w:p w14:paraId="5475C51E">
            <w:pPr>
              <w:pStyle w:val="196"/>
            </w:pPr>
            <w:r>
              <w:rPr>
                <w:rFonts w:hint="eastAsia"/>
              </w:rPr>
              <w:t>0</w:t>
            </w:r>
          </w:p>
        </w:tc>
      </w:tr>
      <w:tr w14:paraId="0C7C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3ADAF78">
            <w:pPr>
              <w:pStyle w:val="196"/>
              <w:rPr>
                <w:spacing w:val="-3"/>
                <w:kern w:val="0"/>
                <w:szCs w:val="21"/>
                <w:highlight w:val="yellow"/>
              </w:rPr>
            </w:pPr>
          </w:p>
        </w:tc>
        <w:tc>
          <w:tcPr>
            <w:tcW w:w="2122" w:type="pct"/>
            <w:gridSpan w:val="2"/>
            <w:vAlign w:val="center"/>
          </w:tcPr>
          <w:p w14:paraId="79315566">
            <w:pPr>
              <w:pStyle w:val="196"/>
            </w:pPr>
            <w:r>
              <w:t>废活性炭</w:t>
            </w:r>
          </w:p>
        </w:tc>
        <w:tc>
          <w:tcPr>
            <w:tcW w:w="685" w:type="pct"/>
            <w:vAlign w:val="center"/>
          </w:tcPr>
          <w:p w14:paraId="74A61CD8">
            <w:pPr>
              <w:pStyle w:val="196"/>
              <w:rPr>
                <w:bCs/>
              </w:rPr>
            </w:pPr>
            <w:r>
              <w:rPr>
                <w:rFonts w:hint="eastAsia"/>
              </w:rPr>
              <w:t>0.08t/2年</w:t>
            </w:r>
          </w:p>
        </w:tc>
        <w:tc>
          <w:tcPr>
            <w:tcW w:w="651" w:type="pct"/>
            <w:vAlign w:val="center"/>
          </w:tcPr>
          <w:p w14:paraId="23AD6ECD">
            <w:pPr>
              <w:pStyle w:val="196"/>
              <w:rPr>
                <w:bCs/>
              </w:rPr>
            </w:pPr>
            <w:r>
              <w:rPr>
                <w:rFonts w:hint="eastAsia"/>
              </w:rPr>
              <w:t>0.08t/2年</w:t>
            </w:r>
          </w:p>
        </w:tc>
        <w:tc>
          <w:tcPr>
            <w:tcW w:w="681" w:type="pct"/>
            <w:vAlign w:val="center"/>
          </w:tcPr>
          <w:p w14:paraId="4F806A57">
            <w:pPr>
              <w:pStyle w:val="196"/>
            </w:pPr>
            <w:r>
              <w:rPr>
                <w:rFonts w:hint="eastAsia"/>
              </w:rPr>
              <w:t>0</w:t>
            </w:r>
          </w:p>
        </w:tc>
      </w:tr>
      <w:tr w14:paraId="390D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1C0D2F6C">
            <w:pPr>
              <w:pStyle w:val="196"/>
              <w:rPr>
                <w:spacing w:val="-3"/>
                <w:kern w:val="0"/>
                <w:szCs w:val="21"/>
                <w:highlight w:val="yellow"/>
              </w:rPr>
            </w:pPr>
          </w:p>
        </w:tc>
        <w:tc>
          <w:tcPr>
            <w:tcW w:w="2122" w:type="pct"/>
            <w:gridSpan w:val="2"/>
            <w:vAlign w:val="center"/>
          </w:tcPr>
          <w:p w14:paraId="40E1140E">
            <w:pPr>
              <w:pStyle w:val="196"/>
            </w:pPr>
            <w:r>
              <w:t>废离子交换树脂</w:t>
            </w:r>
          </w:p>
        </w:tc>
        <w:tc>
          <w:tcPr>
            <w:tcW w:w="685" w:type="pct"/>
            <w:vAlign w:val="center"/>
          </w:tcPr>
          <w:p w14:paraId="15CB446A">
            <w:pPr>
              <w:pStyle w:val="196"/>
              <w:rPr>
                <w:bCs/>
              </w:rPr>
            </w:pPr>
            <w:r>
              <w:rPr>
                <w:rFonts w:hint="eastAsia"/>
              </w:rPr>
              <w:t>2t</w:t>
            </w:r>
            <w:r>
              <w:t>/</w:t>
            </w:r>
            <w:r>
              <w:rPr>
                <w:rFonts w:hint="eastAsia"/>
              </w:rPr>
              <w:t>10</w:t>
            </w:r>
            <w:r>
              <w:t>年</w:t>
            </w:r>
          </w:p>
        </w:tc>
        <w:tc>
          <w:tcPr>
            <w:tcW w:w="651" w:type="pct"/>
            <w:vAlign w:val="center"/>
          </w:tcPr>
          <w:p w14:paraId="320C5C7E">
            <w:pPr>
              <w:pStyle w:val="196"/>
              <w:rPr>
                <w:bCs/>
              </w:rPr>
            </w:pPr>
            <w:r>
              <w:rPr>
                <w:rFonts w:hint="eastAsia"/>
              </w:rPr>
              <w:t>2t</w:t>
            </w:r>
            <w:r>
              <w:t>/</w:t>
            </w:r>
            <w:r>
              <w:rPr>
                <w:rFonts w:hint="eastAsia"/>
              </w:rPr>
              <w:t>10</w:t>
            </w:r>
            <w:r>
              <w:t>年</w:t>
            </w:r>
          </w:p>
        </w:tc>
        <w:tc>
          <w:tcPr>
            <w:tcW w:w="681" w:type="pct"/>
            <w:vAlign w:val="center"/>
          </w:tcPr>
          <w:p w14:paraId="1F451A47">
            <w:pPr>
              <w:pStyle w:val="196"/>
            </w:pPr>
            <w:r>
              <w:rPr>
                <w:rFonts w:hint="eastAsia"/>
              </w:rPr>
              <w:t>0</w:t>
            </w:r>
          </w:p>
        </w:tc>
      </w:tr>
      <w:tr w14:paraId="046F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638CEF9A">
            <w:pPr>
              <w:pStyle w:val="196"/>
              <w:rPr>
                <w:spacing w:val="-3"/>
                <w:kern w:val="0"/>
                <w:szCs w:val="21"/>
                <w:highlight w:val="yellow"/>
              </w:rPr>
            </w:pPr>
          </w:p>
        </w:tc>
        <w:tc>
          <w:tcPr>
            <w:tcW w:w="2122" w:type="pct"/>
            <w:gridSpan w:val="2"/>
            <w:vAlign w:val="center"/>
          </w:tcPr>
          <w:p w14:paraId="30D0E593">
            <w:pPr>
              <w:pStyle w:val="196"/>
            </w:pPr>
            <w:r>
              <w:t>脱硫废水污泥</w:t>
            </w:r>
          </w:p>
        </w:tc>
        <w:tc>
          <w:tcPr>
            <w:tcW w:w="685" w:type="pct"/>
            <w:vAlign w:val="center"/>
          </w:tcPr>
          <w:p w14:paraId="59041131">
            <w:pPr>
              <w:pStyle w:val="196"/>
              <w:rPr>
                <w:bCs/>
              </w:rPr>
            </w:pPr>
            <w:r>
              <w:rPr>
                <w:rFonts w:hint="eastAsia"/>
                <w:bCs/>
              </w:rPr>
              <w:t>16.5</w:t>
            </w:r>
          </w:p>
        </w:tc>
        <w:tc>
          <w:tcPr>
            <w:tcW w:w="651" w:type="pct"/>
            <w:vAlign w:val="center"/>
          </w:tcPr>
          <w:p w14:paraId="0C146802">
            <w:pPr>
              <w:pStyle w:val="196"/>
              <w:rPr>
                <w:bCs/>
              </w:rPr>
            </w:pPr>
            <w:r>
              <w:rPr>
                <w:rFonts w:hint="eastAsia"/>
                <w:bCs/>
              </w:rPr>
              <w:t>16.5</w:t>
            </w:r>
          </w:p>
        </w:tc>
        <w:tc>
          <w:tcPr>
            <w:tcW w:w="681" w:type="pct"/>
            <w:vAlign w:val="center"/>
          </w:tcPr>
          <w:p w14:paraId="05E6DB17">
            <w:pPr>
              <w:pStyle w:val="196"/>
            </w:pPr>
            <w:r>
              <w:t>0</w:t>
            </w:r>
          </w:p>
        </w:tc>
      </w:tr>
      <w:tr w14:paraId="4D5B4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9F25E26">
            <w:pPr>
              <w:pStyle w:val="196"/>
              <w:rPr>
                <w:spacing w:val="-3"/>
                <w:kern w:val="0"/>
                <w:szCs w:val="21"/>
                <w:highlight w:val="yellow"/>
              </w:rPr>
            </w:pPr>
          </w:p>
        </w:tc>
        <w:tc>
          <w:tcPr>
            <w:tcW w:w="2122" w:type="pct"/>
            <w:gridSpan w:val="2"/>
            <w:vAlign w:val="center"/>
          </w:tcPr>
          <w:p w14:paraId="7212B7B6">
            <w:pPr>
              <w:pStyle w:val="196"/>
            </w:pPr>
            <w:r>
              <w:t>废矿物油</w:t>
            </w:r>
          </w:p>
        </w:tc>
        <w:tc>
          <w:tcPr>
            <w:tcW w:w="685" w:type="pct"/>
            <w:vAlign w:val="center"/>
          </w:tcPr>
          <w:p w14:paraId="531EAE23">
            <w:pPr>
              <w:pStyle w:val="196"/>
              <w:rPr>
                <w:bCs/>
              </w:rPr>
            </w:pPr>
            <w:r>
              <w:rPr>
                <w:rFonts w:hint="eastAsia"/>
                <w:bCs/>
              </w:rPr>
              <w:t>1.001</w:t>
            </w:r>
          </w:p>
        </w:tc>
        <w:tc>
          <w:tcPr>
            <w:tcW w:w="651" w:type="pct"/>
            <w:vAlign w:val="center"/>
          </w:tcPr>
          <w:p w14:paraId="5B0B59A4">
            <w:pPr>
              <w:pStyle w:val="196"/>
              <w:rPr>
                <w:bCs/>
              </w:rPr>
            </w:pPr>
            <w:r>
              <w:rPr>
                <w:rFonts w:hint="eastAsia"/>
                <w:bCs/>
              </w:rPr>
              <w:t>1.001</w:t>
            </w:r>
          </w:p>
        </w:tc>
        <w:tc>
          <w:tcPr>
            <w:tcW w:w="681" w:type="pct"/>
            <w:vAlign w:val="center"/>
          </w:tcPr>
          <w:p w14:paraId="5D7ADC1E">
            <w:pPr>
              <w:pStyle w:val="196"/>
            </w:pPr>
            <w:r>
              <w:t>0</w:t>
            </w:r>
          </w:p>
        </w:tc>
      </w:tr>
      <w:tr w14:paraId="5181D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0" w:type="auto"/>
            <w:vMerge w:val="continue"/>
            <w:vAlign w:val="center"/>
          </w:tcPr>
          <w:p w14:paraId="41ED1262">
            <w:pPr>
              <w:pStyle w:val="196"/>
              <w:rPr>
                <w:spacing w:val="-3"/>
                <w:kern w:val="0"/>
                <w:szCs w:val="21"/>
                <w:highlight w:val="yellow"/>
              </w:rPr>
            </w:pPr>
          </w:p>
        </w:tc>
        <w:tc>
          <w:tcPr>
            <w:tcW w:w="2122" w:type="pct"/>
            <w:gridSpan w:val="2"/>
            <w:vAlign w:val="center"/>
          </w:tcPr>
          <w:p w14:paraId="3EE7153D">
            <w:pPr>
              <w:pStyle w:val="196"/>
            </w:pPr>
            <w:r>
              <w:t>生活垃圾</w:t>
            </w:r>
          </w:p>
        </w:tc>
        <w:tc>
          <w:tcPr>
            <w:tcW w:w="685" w:type="pct"/>
            <w:vAlign w:val="center"/>
          </w:tcPr>
          <w:p w14:paraId="4226A49E">
            <w:pPr>
              <w:pStyle w:val="196"/>
              <w:rPr>
                <w:bCs/>
              </w:rPr>
            </w:pPr>
            <w:r>
              <w:rPr>
                <w:rFonts w:hint="eastAsia"/>
                <w:bCs/>
              </w:rPr>
              <w:t>50</w:t>
            </w:r>
          </w:p>
        </w:tc>
        <w:tc>
          <w:tcPr>
            <w:tcW w:w="651" w:type="pct"/>
            <w:vAlign w:val="center"/>
          </w:tcPr>
          <w:p w14:paraId="5F862AF9">
            <w:pPr>
              <w:pStyle w:val="196"/>
              <w:rPr>
                <w:bCs/>
              </w:rPr>
            </w:pPr>
            <w:r>
              <w:rPr>
                <w:rFonts w:hint="eastAsia"/>
                <w:bCs/>
              </w:rPr>
              <w:t>50</w:t>
            </w:r>
          </w:p>
        </w:tc>
        <w:tc>
          <w:tcPr>
            <w:tcW w:w="681" w:type="pct"/>
            <w:vAlign w:val="center"/>
          </w:tcPr>
          <w:p w14:paraId="392B69AD">
            <w:pPr>
              <w:pStyle w:val="196"/>
            </w:pPr>
            <w:r>
              <w:t>0</w:t>
            </w:r>
          </w:p>
        </w:tc>
      </w:tr>
    </w:tbl>
    <w:p w14:paraId="7CF4365E">
      <w:pPr>
        <w:pStyle w:val="80"/>
        <w:rPr>
          <w:rFonts w:cs="Times New Roman"/>
        </w:rPr>
      </w:pPr>
      <w:bookmarkStart w:id="99" w:name="_Toc182171809"/>
      <w:bookmarkStart w:id="100" w:name="_Toc63482428"/>
      <w:bookmarkStart w:id="101" w:name="_Toc52196955"/>
      <w:bookmarkStart w:id="102" w:name="_Toc29703565"/>
      <w:bookmarkStart w:id="103" w:name="_Toc63239940"/>
      <w:bookmarkStart w:id="104" w:name="_Toc528759476"/>
      <w:bookmarkStart w:id="105" w:name="_Toc29703656"/>
      <w:bookmarkStart w:id="106" w:name="_Toc74450586"/>
      <w:bookmarkStart w:id="107" w:name="_Toc29547866"/>
      <w:bookmarkStart w:id="108" w:name="_Hlk30449781"/>
      <w:bookmarkStart w:id="109" w:name="_Toc535821143"/>
      <w:bookmarkStart w:id="110" w:name="_Toc29547133"/>
      <w:bookmarkStart w:id="111" w:name="_Toc535820035"/>
      <w:bookmarkStart w:id="112" w:name="_Toc52196555"/>
      <w:bookmarkStart w:id="113" w:name="_Toc54583863"/>
      <w:bookmarkStart w:id="114" w:name="_Toc528759717"/>
      <w:bookmarkStart w:id="115" w:name="_Toc528759713"/>
      <w:bookmarkStart w:id="116" w:name="_Toc29547403"/>
      <w:bookmarkStart w:id="117" w:name="_Toc535819164"/>
      <w:bookmarkStart w:id="118" w:name="_Toc396667044"/>
      <w:bookmarkStart w:id="119" w:name="_Toc63242311"/>
      <w:bookmarkStart w:id="120" w:name="_Toc535819887"/>
      <w:bookmarkStart w:id="121" w:name="_Toc72900787"/>
      <w:bookmarkStart w:id="122" w:name="_Toc289436925"/>
      <w:bookmarkStart w:id="123" w:name="_Toc396667023"/>
      <w:bookmarkStart w:id="124" w:name="_Toc528759472"/>
      <w:r>
        <w:rPr>
          <w:rFonts w:hint="eastAsia" w:cs="Times New Roman"/>
        </w:rPr>
        <w:t>本次码头项目概况及工程分析</w:t>
      </w:r>
      <w:bookmarkEnd w:id="99"/>
    </w:p>
    <w:p w14:paraId="3FD6C1FD">
      <w:pPr>
        <w:pStyle w:val="82"/>
      </w:pPr>
      <w:bookmarkStart w:id="125" w:name="_Hlk178562453"/>
      <w:r>
        <w:rPr>
          <w:rFonts w:hint="eastAsia"/>
        </w:rPr>
        <w:t>港口吞吐量预测</w:t>
      </w:r>
    </w:p>
    <w:bookmarkEnd w:id="125"/>
    <w:p w14:paraId="2CDCDAE8">
      <w:pPr>
        <w:pStyle w:val="84"/>
      </w:pPr>
      <w:r>
        <w:rPr>
          <w:rFonts w:hint="eastAsia"/>
        </w:rPr>
        <w:t xml:space="preserve">吞吐量预测思路、依据及方法 </w:t>
      </w:r>
    </w:p>
    <w:p w14:paraId="76FA8026">
      <w:pPr>
        <w:ind w:firstLine="480"/>
        <w:rPr>
          <w:lang w:val="zh-CN"/>
        </w:rPr>
      </w:pPr>
      <w:r>
        <w:rPr>
          <w:rFonts w:hint="eastAsia"/>
          <w:lang w:val="zh-CN"/>
        </w:rPr>
        <w:t>本工程主要为后方临港企业国能涟水热电联产项目提供水运服务，主要承担燃煤运输。因此，本次吞吐量预测主要在总规吞吐量预测结果的基础上，结合区域热电规划、发展需求，以及国能热电联产项目的水运发展需求，通过产、运、销平衡综合分析预测吞吐量。</w:t>
      </w:r>
    </w:p>
    <w:p w14:paraId="03132F8A">
      <w:pPr>
        <w:ind w:firstLine="480"/>
        <w:rPr>
          <w:lang w:val="zh-CN"/>
        </w:rPr>
      </w:pPr>
      <w:r>
        <w:rPr>
          <w:rFonts w:hint="eastAsia"/>
          <w:lang w:val="zh-CN"/>
        </w:rPr>
        <w:t xml:space="preserve">2、预测水平年 </w:t>
      </w:r>
    </w:p>
    <w:p w14:paraId="05A834C2">
      <w:pPr>
        <w:ind w:firstLine="480"/>
        <w:rPr>
          <w:lang w:val="zh-CN"/>
        </w:rPr>
      </w:pPr>
      <w:r>
        <w:rPr>
          <w:rFonts w:hint="eastAsia"/>
          <w:lang w:val="zh-CN"/>
        </w:rPr>
        <w:t>本次预测基准年为 2022 年。</w:t>
      </w:r>
    </w:p>
    <w:p w14:paraId="12136CD2">
      <w:pPr>
        <w:pStyle w:val="139"/>
        <w:ind w:firstLine="480"/>
        <w:rPr>
          <w:color w:val="auto"/>
        </w:rPr>
      </w:pPr>
      <w:r>
        <w:rPr>
          <w:rFonts w:hint="eastAsia"/>
          <w:color w:val="auto"/>
        </w:rPr>
        <w:t>预测特征年取 2025 年：热电项目一期建成时间；2030 年：热电项目二期建成时间。</w:t>
      </w:r>
    </w:p>
    <w:p w14:paraId="0E4263CD">
      <w:pPr>
        <w:pStyle w:val="84"/>
      </w:pPr>
      <w:r>
        <w:rPr>
          <w:rFonts w:hint="eastAsia"/>
        </w:rPr>
        <w:t>涟水港区吞吐量预测</w:t>
      </w:r>
    </w:p>
    <w:p w14:paraId="23FB59BC">
      <w:pPr>
        <w:pStyle w:val="139"/>
        <w:ind w:firstLine="480"/>
        <w:rPr>
          <w:color w:val="auto"/>
        </w:rPr>
      </w:pPr>
      <w:r>
        <w:rPr>
          <w:rFonts w:hint="eastAsia"/>
          <w:color w:val="auto"/>
        </w:rPr>
        <w:t>根据《淮安港总体规划（2020-2035 年）》，预测涟水港区 2025 年和 2035 年吞吐量预测值分别为 1640万吨和 1865 万吨。根据总规预测结果，涟水港区 2025～2035 年年均增速为 1.37%，因此预测其 2030 年的吞吐量为 1756万吨。</w:t>
      </w:r>
    </w:p>
    <w:p w14:paraId="3D9E7A56">
      <w:pPr>
        <w:pStyle w:val="84"/>
      </w:pPr>
      <w:bookmarkStart w:id="126" w:name="_Hlk181743642"/>
      <w:bookmarkStart w:id="127" w:name="_Hlk181743608"/>
      <w:r>
        <w:rPr>
          <w:rFonts w:hint="eastAsia"/>
        </w:rPr>
        <w:t>本工程吞吐量分析</w:t>
      </w:r>
    </w:p>
    <w:bookmarkEnd w:id="126"/>
    <w:p w14:paraId="03C81A06">
      <w:pPr>
        <w:pStyle w:val="139"/>
        <w:ind w:firstLine="480"/>
        <w:rPr>
          <w:color w:val="auto"/>
        </w:rPr>
      </w:pPr>
      <w:r>
        <w:rPr>
          <w:rFonts w:hint="eastAsia"/>
          <w:color w:val="auto"/>
        </w:rPr>
        <w:t>本工程为国能涟水热电联产项目的配套码头，其吞吐量符合该项目的规模和生产能力。根据《国能涟水绿色智慧综合能源示范项目一期工程（国能涟水一期热电联产项目）可行性研究报告》，热电项目采用山西、蒙东等地区的燃煤，按锅炉最大连续蒸发量（B-MCR）时的耗煤量计，近期年耗燃煤量约 39.344 万吨（校核煤种），远期新增耗煤量约 71.854 万吨（校核煤种），合计 111.198 万吨（校核煤种），均采用水运。</w:t>
      </w:r>
    </w:p>
    <w:p w14:paraId="2E9B176C">
      <w:pPr>
        <w:pStyle w:val="139"/>
        <w:ind w:firstLine="480"/>
        <w:rPr>
          <w:color w:val="auto"/>
        </w:rPr>
      </w:pPr>
      <w:r>
        <w:rPr>
          <w:rFonts w:hint="eastAsia"/>
          <w:color w:val="auto"/>
        </w:rPr>
        <w:t>根据上述近远期国能涟水热电联产项目耗煤量分析结果，预计码头近期 2025年水运吞吐量将达到约 40 万吨，远期 2030 年将达到约 112 万吨。具体见表3.2-1。</w:t>
      </w:r>
    </w:p>
    <w:p w14:paraId="0EDE4967">
      <w:pPr>
        <w:pStyle w:val="86"/>
      </w:pPr>
      <w:bookmarkStart w:id="128" w:name="_Hlk181743630"/>
      <w:r>
        <w:rPr>
          <w:rFonts w:hint="eastAsia"/>
        </w:rPr>
        <w:t xml:space="preserve">本工程吞吐量预测表（单位：万吨） </w:t>
      </w:r>
    </w:p>
    <w:bookmarkEnd w:id="128"/>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16"/>
        <w:gridCol w:w="1217"/>
        <w:gridCol w:w="1219"/>
        <w:gridCol w:w="1217"/>
        <w:gridCol w:w="1217"/>
        <w:gridCol w:w="1219"/>
      </w:tblGrid>
      <w:tr w14:paraId="5A5C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restart"/>
            <w:vAlign w:val="center"/>
          </w:tcPr>
          <w:p w14:paraId="00B2AC9E">
            <w:pPr>
              <w:pStyle w:val="218"/>
              <w:rPr>
                <w:color w:val="auto"/>
              </w:rPr>
            </w:pPr>
            <w:r>
              <w:rPr>
                <w:rFonts w:hint="eastAsia"/>
                <w:color w:val="auto"/>
              </w:rPr>
              <w:t>货种</w:t>
            </w:r>
          </w:p>
        </w:tc>
        <w:tc>
          <w:tcPr>
            <w:tcW w:w="2143" w:type="pct"/>
            <w:gridSpan w:val="3"/>
            <w:vAlign w:val="center"/>
          </w:tcPr>
          <w:p w14:paraId="6194E5B7">
            <w:pPr>
              <w:pStyle w:val="218"/>
              <w:rPr>
                <w:color w:val="auto"/>
              </w:rPr>
            </w:pPr>
            <w:r>
              <w:rPr>
                <w:rFonts w:hint="eastAsia"/>
                <w:color w:val="auto"/>
              </w:rPr>
              <w:t>2025年</w:t>
            </w:r>
          </w:p>
        </w:tc>
        <w:tc>
          <w:tcPr>
            <w:tcW w:w="2143" w:type="pct"/>
            <w:gridSpan w:val="3"/>
            <w:vAlign w:val="center"/>
          </w:tcPr>
          <w:p w14:paraId="283D7FCA">
            <w:pPr>
              <w:pStyle w:val="218"/>
              <w:rPr>
                <w:color w:val="auto"/>
              </w:rPr>
            </w:pPr>
            <w:r>
              <w:rPr>
                <w:rFonts w:hint="eastAsia"/>
                <w:color w:val="auto"/>
              </w:rPr>
              <w:t>2030年</w:t>
            </w:r>
          </w:p>
        </w:tc>
      </w:tr>
      <w:tr w14:paraId="1690A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14:paraId="1E29501E">
            <w:pPr>
              <w:pStyle w:val="218"/>
              <w:rPr>
                <w:color w:val="auto"/>
              </w:rPr>
            </w:pPr>
          </w:p>
        </w:tc>
        <w:tc>
          <w:tcPr>
            <w:tcW w:w="714" w:type="pct"/>
            <w:vAlign w:val="center"/>
          </w:tcPr>
          <w:p w14:paraId="31F35063">
            <w:pPr>
              <w:pStyle w:val="218"/>
              <w:rPr>
                <w:color w:val="auto"/>
              </w:rPr>
            </w:pPr>
            <w:r>
              <w:rPr>
                <w:rFonts w:hint="eastAsia"/>
                <w:color w:val="auto"/>
              </w:rPr>
              <w:t>出港</w:t>
            </w:r>
          </w:p>
        </w:tc>
        <w:tc>
          <w:tcPr>
            <w:tcW w:w="714" w:type="pct"/>
            <w:vAlign w:val="center"/>
          </w:tcPr>
          <w:p w14:paraId="5E5FB65D">
            <w:pPr>
              <w:pStyle w:val="218"/>
              <w:rPr>
                <w:color w:val="auto"/>
              </w:rPr>
            </w:pPr>
            <w:r>
              <w:rPr>
                <w:rFonts w:hint="eastAsia"/>
                <w:color w:val="auto"/>
              </w:rPr>
              <w:t>进港</w:t>
            </w:r>
          </w:p>
        </w:tc>
        <w:tc>
          <w:tcPr>
            <w:tcW w:w="714" w:type="pct"/>
            <w:vAlign w:val="center"/>
          </w:tcPr>
          <w:p w14:paraId="18E3E3CE">
            <w:pPr>
              <w:pStyle w:val="218"/>
              <w:rPr>
                <w:color w:val="auto"/>
              </w:rPr>
            </w:pPr>
            <w:r>
              <w:rPr>
                <w:rFonts w:hint="eastAsia"/>
                <w:color w:val="auto"/>
              </w:rPr>
              <w:t>合计</w:t>
            </w:r>
          </w:p>
        </w:tc>
        <w:tc>
          <w:tcPr>
            <w:tcW w:w="714" w:type="pct"/>
            <w:vAlign w:val="center"/>
          </w:tcPr>
          <w:p w14:paraId="79A71D64">
            <w:pPr>
              <w:pStyle w:val="218"/>
              <w:rPr>
                <w:color w:val="auto"/>
              </w:rPr>
            </w:pPr>
            <w:r>
              <w:rPr>
                <w:rFonts w:hint="eastAsia"/>
                <w:color w:val="auto"/>
              </w:rPr>
              <w:t>出港</w:t>
            </w:r>
          </w:p>
        </w:tc>
        <w:tc>
          <w:tcPr>
            <w:tcW w:w="714" w:type="pct"/>
            <w:vAlign w:val="center"/>
          </w:tcPr>
          <w:p w14:paraId="1B1F7114">
            <w:pPr>
              <w:pStyle w:val="218"/>
              <w:rPr>
                <w:color w:val="auto"/>
              </w:rPr>
            </w:pPr>
            <w:r>
              <w:rPr>
                <w:rFonts w:hint="eastAsia"/>
                <w:color w:val="auto"/>
              </w:rPr>
              <w:t>进港</w:t>
            </w:r>
          </w:p>
        </w:tc>
        <w:tc>
          <w:tcPr>
            <w:tcW w:w="714" w:type="pct"/>
            <w:vAlign w:val="center"/>
          </w:tcPr>
          <w:p w14:paraId="2041C789">
            <w:pPr>
              <w:pStyle w:val="218"/>
              <w:rPr>
                <w:color w:val="auto"/>
              </w:rPr>
            </w:pPr>
            <w:r>
              <w:rPr>
                <w:rFonts w:hint="eastAsia"/>
                <w:color w:val="auto"/>
              </w:rPr>
              <w:t>合计</w:t>
            </w:r>
          </w:p>
        </w:tc>
      </w:tr>
      <w:tr w14:paraId="514D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456063AF">
            <w:pPr>
              <w:pStyle w:val="218"/>
              <w:rPr>
                <w:color w:val="auto"/>
              </w:rPr>
            </w:pPr>
            <w:r>
              <w:rPr>
                <w:rFonts w:hint="eastAsia"/>
                <w:color w:val="auto"/>
              </w:rPr>
              <w:t>煤炭</w:t>
            </w:r>
          </w:p>
        </w:tc>
        <w:tc>
          <w:tcPr>
            <w:tcW w:w="714" w:type="pct"/>
            <w:vAlign w:val="center"/>
          </w:tcPr>
          <w:p w14:paraId="1DDCFF67">
            <w:pPr>
              <w:pStyle w:val="218"/>
              <w:rPr>
                <w:color w:val="auto"/>
              </w:rPr>
            </w:pPr>
            <w:r>
              <w:rPr>
                <w:rFonts w:hint="eastAsia"/>
                <w:color w:val="auto"/>
              </w:rPr>
              <w:t>0</w:t>
            </w:r>
          </w:p>
        </w:tc>
        <w:tc>
          <w:tcPr>
            <w:tcW w:w="714" w:type="pct"/>
            <w:vAlign w:val="center"/>
          </w:tcPr>
          <w:p w14:paraId="423EC931">
            <w:pPr>
              <w:pStyle w:val="218"/>
              <w:rPr>
                <w:color w:val="auto"/>
              </w:rPr>
            </w:pPr>
            <w:r>
              <w:rPr>
                <w:rFonts w:hint="eastAsia"/>
                <w:color w:val="auto"/>
              </w:rPr>
              <w:t>40</w:t>
            </w:r>
          </w:p>
        </w:tc>
        <w:tc>
          <w:tcPr>
            <w:tcW w:w="714" w:type="pct"/>
            <w:vAlign w:val="center"/>
          </w:tcPr>
          <w:p w14:paraId="7DB92E2B">
            <w:pPr>
              <w:pStyle w:val="218"/>
              <w:rPr>
                <w:color w:val="auto"/>
              </w:rPr>
            </w:pPr>
            <w:r>
              <w:rPr>
                <w:rFonts w:hint="eastAsia"/>
                <w:color w:val="auto"/>
              </w:rPr>
              <w:t>40</w:t>
            </w:r>
          </w:p>
        </w:tc>
        <w:tc>
          <w:tcPr>
            <w:tcW w:w="714" w:type="pct"/>
            <w:vAlign w:val="center"/>
          </w:tcPr>
          <w:p w14:paraId="442D31DD">
            <w:pPr>
              <w:pStyle w:val="218"/>
              <w:rPr>
                <w:color w:val="auto"/>
              </w:rPr>
            </w:pPr>
            <w:r>
              <w:rPr>
                <w:rFonts w:hint="eastAsia"/>
                <w:color w:val="auto"/>
              </w:rPr>
              <w:t>0</w:t>
            </w:r>
          </w:p>
        </w:tc>
        <w:tc>
          <w:tcPr>
            <w:tcW w:w="714" w:type="pct"/>
            <w:vAlign w:val="center"/>
          </w:tcPr>
          <w:p w14:paraId="14DECA13">
            <w:pPr>
              <w:pStyle w:val="218"/>
              <w:rPr>
                <w:color w:val="auto"/>
              </w:rPr>
            </w:pPr>
            <w:r>
              <w:rPr>
                <w:rFonts w:hint="eastAsia"/>
                <w:color w:val="auto"/>
              </w:rPr>
              <w:t>112</w:t>
            </w:r>
          </w:p>
        </w:tc>
        <w:tc>
          <w:tcPr>
            <w:tcW w:w="714" w:type="pct"/>
            <w:vAlign w:val="center"/>
          </w:tcPr>
          <w:p w14:paraId="41FAE5C3">
            <w:pPr>
              <w:pStyle w:val="218"/>
              <w:rPr>
                <w:color w:val="auto"/>
              </w:rPr>
            </w:pPr>
            <w:r>
              <w:rPr>
                <w:rFonts w:hint="eastAsia"/>
                <w:color w:val="auto"/>
              </w:rPr>
              <w:t>112</w:t>
            </w:r>
          </w:p>
        </w:tc>
      </w:tr>
      <w:tr w14:paraId="675C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1B94C29C">
            <w:pPr>
              <w:pStyle w:val="218"/>
              <w:rPr>
                <w:color w:val="auto"/>
              </w:rPr>
            </w:pPr>
            <w:r>
              <w:rPr>
                <w:rFonts w:hint="eastAsia"/>
                <w:color w:val="auto"/>
              </w:rPr>
              <w:t>合计</w:t>
            </w:r>
          </w:p>
        </w:tc>
        <w:tc>
          <w:tcPr>
            <w:tcW w:w="714" w:type="pct"/>
            <w:vAlign w:val="center"/>
          </w:tcPr>
          <w:p w14:paraId="34FAA42D">
            <w:pPr>
              <w:pStyle w:val="218"/>
              <w:rPr>
                <w:color w:val="auto"/>
              </w:rPr>
            </w:pPr>
            <w:r>
              <w:rPr>
                <w:rFonts w:hint="eastAsia"/>
                <w:color w:val="auto"/>
              </w:rPr>
              <w:t>0</w:t>
            </w:r>
          </w:p>
        </w:tc>
        <w:tc>
          <w:tcPr>
            <w:tcW w:w="714" w:type="pct"/>
            <w:vAlign w:val="center"/>
          </w:tcPr>
          <w:p w14:paraId="0E793375">
            <w:pPr>
              <w:pStyle w:val="218"/>
              <w:rPr>
                <w:color w:val="auto"/>
              </w:rPr>
            </w:pPr>
            <w:r>
              <w:rPr>
                <w:rFonts w:hint="eastAsia"/>
                <w:color w:val="auto"/>
              </w:rPr>
              <w:t>40</w:t>
            </w:r>
          </w:p>
        </w:tc>
        <w:tc>
          <w:tcPr>
            <w:tcW w:w="714" w:type="pct"/>
            <w:vAlign w:val="center"/>
          </w:tcPr>
          <w:p w14:paraId="5AB7D290">
            <w:pPr>
              <w:pStyle w:val="218"/>
              <w:rPr>
                <w:color w:val="auto"/>
              </w:rPr>
            </w:pPr>
            <w:r>
              <w:rPr>
                <w:rFonts w:hint="eastAsia"/>
                <w:color w:val="auto"/>
              </w:rPr>
              <w:t>40</w:t>
            </w:r>
          </w:p>
        </w:tc>
        <w:tc>
          <w:tcPr>
            <w:tcW w:w="714" w:type="pct"/>
            <w:vAlign w:val="center"/>
          </w:tcPr>
          <w:p w14:paraId="5915CDF4">
            <w:pPr>
              <w:pStyle w:val="218"/>
              <w:rPr>
                <w:color w:val="auto"/>
              </w:rPr>
            </w:pPr>
            <w:r>
              <w:rPr>
                <w:rFonts w:hint="eastAsia"/>
                <w:color w:val="auto"/>
              </w:rPr>
              <w:t>0</w:t>
            </w:r>
          </w:p>
        </w:tc>
        <w:tc>
          <w:tcPr>
            <w:tcW w:w="714" w:type="pct"/>
            <w:vAlign w:val="center"/>
          </w:tcPr>
          <w:p w14:paraId="348AFC35">
            <w:pPr>
              <w:pStyle w:val="218"/>
              <w:rPr>
                <w:color w:val="auto"/>
              </w:rPr>
            </w:pPr>
            <w:r>
              <w:rPr>
                <w:rFonts w:hint="eastAsia"/>
                <w:color w:val="auto"/>
              </w:rPr>
              <w:t>112</w:t>
            </w:r>
          </w:p>
        </w:tc>
        <w:tc>
          <w:tcPr>
            <w:tcW w:w="714" w:type="pct"/>
            <w:vAlign w:val="center"/>
          </w:tcPr>
          <w:p w14:paraId="52FA4CAD">
            <w:pPr>
              <w:pStyle w:val="218"/>
              <w:rPr>
                <w:color w:val="auto"/>
              </w:rPr>
            </w:pPr>
            <w:r>
              <w:rPr>
                <w:rFonts w:hint="eastAsia"/>
                <w:color w:val="auto"/>
              </w:rPr>
              <w:t>112</w:t>
            </w:r>
          </w:p>
        </w:tc>
      </w:tr>
      <w:bookmarkEnd w:id="127"/>
    </w:tbl>
    <w:p w14:paraId="615C27EA">
      <w:pPr>
        <w:pStyle w:val="82"/>
      </w:pPr>
      <w:bookmarkStart w:id="129" w:name="_Toc22143"/>
      <w:bookmarkEnd w:id="129"/>
      <w:bookmarkStart w:id="130" w:name="_Toc6194"/>
      <w:bookmarkEnd w:id="130"/>
      <w:bookmarkStart w:id="131" w:name="_Toc3377"/>
      <w:r>
        <w:rPr>
          <w:rFonts w:hint="eastAsia"/>
        </w:rPr>
        <w:t>基本情况</w:t>
      </w:r>
      <w:bookmarkEnd w:id="131"/>
    </w:p>
    <w:p w14:paraId="277422E3">
      <w:pPr>
        <w:pStyle w:val="93"/>
      </w:pPr>
      <w:bookmarkStart w:id="132" w:name="_Hlk482624407"/>
      <w:bookmarkEnd w:id="132"/>
      <w:r>
        <w:rPr>
          <w:rFonts w:hint="eastAsia"/>
        </w:rPr>
        <w:t>（1）项目名称：淮安港涟水港区薛行作业区国能涟水一期热电联产项目配套码头工程。</w:t>
      </w:r>
    </w:p>
    <w:p w14:paraId="2D6B2101">
      <w:pPr>
        <w:pStyle w:val="93"/>
      </w:pPr>
      <w:r>
        <w:rPr>
          <w:rFonts w:hint="eastAsia"/>
        </w:rPr>
        <w:t>（2）建设性质：新建</w:t>
      </w:r>
    </w:p>
    <w:p w14:paraId="01DDE23B">
      <w:pPr>
        <w:pStyle w:val="93"/>
      </w:pPr>
      <w:r>
        <w:rPr>
          <w:rFonts w:hint="eastAsia"/>
        </w:rPr>
        <w:t>（3）建设单位：国家能源集团江苏电力有限公司</w:t>
      </w:r>
    </w:p>
    <w:p w14:paraId="383CB41F">
      <w:pPr>
        <w:pStyle w:val="93"/>
      </w:pPr>
      <w:r>
        <w:rPr>
          <w:rFonts w:hint="eastAsia"/>
        </w:rPr>
        <w:t>（4）建设地点：</w:t>
      </w:r>
      <w:bookmarkStart w:id="133" w:name="_Hlk480287401"/>
      <w:r>
        <w:rPr>
          <w:rFonts w:hint="eastAsia"/>
        </w:rPr>
        <w:t>淮安市涟水县朱码街道高台村</w:t>
      </w:r>
      <w:bookmarkEnd w:id="133"/>
      <w:r>
        <w:rPr>
          <w:rFonts w:hint="eastAsia"/>
        </w:rPr>
        <w:t>国能涟水一期热电联产项目厂区内，项目地理位置见图3.2-1，周边环境概况图见图3.2-2。</w:t>
      </w:r>
    </w:p>
    <w:p w14:paraId="0BD6D612">
      <w:pPr>
        <w:pStyle w:val="93"/>
      </w:pPr>
      <w:r>
        <w:rPr>
          <w:rFonts w:hint="eastAsia"/>
        </w:rPr>
        <w:t>（5）项目总投资：5942.36万元，其中环保投资90万元，占总投资的1.52%；</w:t>
      </w:r>
    </w:p>
    <w:p w14:paraId="4BDF1B9F">
      <w:pPr>
        <w:pStyle w:val="93"/>
      </w:pPr>
      <w:r>
        <w:rPr>
          <w:rFonts w:hint="eastAsia"/>
        </w:rPr>
        <w:t>（6）建设内容和规模：本项目采用顺岸凹入式港池型式，拟布置3个1000吨级散货泊位，</w:t>
      </w:r>
      <w:r>
        <w:rPr>
          <w:rFonts w:hint="eastAsia"/>
          <w:bCs/>
        </w:rPr>
        <w:t>平行于航道方向布置2个1000吨级煤炭卸船泊位；西南侧布置1个1000吨级待泊泊位。本项目码头泊位长度为220m，距离航道中心线120m。</w:t>
      </w:r>
      <w:r>
        <w:rPr>
          <w:rFonts w:hint="eastAsia"/>
        </w:rPr>
        <w:t>本项目设计通过能力为118万t，设计吞吐量为112万t，主要货种是煤炭。在码头上游端部设转运站一座（9m×9m），码头密闭式带式输送机直接接入该转运站内；水平运输采用直径为65mm的管状带式输送，将煤直接运输至后方电厂封闭煤场。项目配套建设相应的码头前沿铺面结构、生产辅助建筑物、供电照明、通讯、环保、给排水、消防等设施。</w:t>
      </w:r>
    </w:p>
    <w:p w14:paraId="49338D9C">
      <w:pPr>
        <w:pStyle w:val="93"/>
      </w:pPr>
      <w:r>
        <w:rPr>
          <w:rFonts w:hint="eastAsia"/>
        </w:rPr>
        <w:t>（7）建设占地：本码头工程</w:t>
      </w:r>
      <w:r>
        <w:rPr>
          <w:rFonts w:hint="eastAsia"/>
          <w:lang w:eastAsia="zh-CN"/>
        </w:rPr>
        <w:t>占地</w:t>
      </w:r>
      <w:r>
        <w:rPr>
          <w:rFonts w:hint="eastAsia"/>
        </w:rPr>
        <w:t>面积21661m</w:t>
      </w:r>
      <w:r>
        <w:rPr>
          <w:rFonts w:hint="eastAsia"/>
          <w:vertAlign w:val="superscript"/>
        </w:rPr>
        <w:t>2</w:t>
      </w:r>
      <w:r>
        <w:rPr>
          <w:rFonts w:hint="eastAsia"/>
        </w:rPr>
        <w:t>，其中码头区域水域面积约12077m</w:t>
      </w:r>
      <w:r>
        <w:rPr>
          <w:rFonts w:hint="eastAsia"/>
          <w:vertAlign w:val="superscript"/>
        </w:rPr>
        <w:t>2</w:t>
      </w:r>
      <w:r>
        <w:rPr>
          <w:rFonts w:hint="eastAsia"/>
        </w:rPr>
        <w:t>，陆域面积约9584m</w:t>
      </w:r>
      <w:r>
        <w:rPr>
          <w:rFonts w:hint="eastAsia"/>
          <w:vertAlign w:val="superscript"/>
        </w:rPr>
        <w:t>2</w:t>
      </w:r>
      <w:r>
        <w:rPr>
          <w:rFonts w:hint="eastAsia"/>
        </w:rPr>
        <w:t>。</w:t>
      </w:r>
    </w:p>
    <w:p w14:paraId="59CC7442">
      <w:pPr>
        <w:pStyle w:val="93"/>
      </w:pPr>
      <w:r>
        <w:rPr>
          <w:rFonts w:hint="eastAsia"/>
        </w:rPr>
        <w:t>（8）职工定员及构成：</w:t>
      </w:r>
      <w:bookmarkStart w:id="134" w:name="_Hlk480287431"/>
      <w:r>
        <w:rPr>
          <w:rFonts w:hint="eastAsia"/>
        </w:rPr>
        <w:t>职工定员45人，其中装卸司机7人，装卸工人3人</w:t>
      </w:r>
      <w:bookmarkEnd w:id="134"/>
      <w:r>
        <w:rPr>
          <w:rFonts w:hint="eastAsia"/>
        </w:rPr>
        <w:t>，管理人员25人，其他人员（仓库管理员、巡检工、保安等）10人，本项目不设食堂。热电项目环评中已经考虑了码头定员。本次不新增定员。</w:t>
      </w:r>
    </w:p>
    <w:p w14:paraId="1394F8F9">
      <w:pPr>
        <w:pStyle w:val="93"/>
      </w:pPr>
      <w:r>
        <w:rPr>
          <w:rFonts w:hint="eastAsia"/>
        </w:rPr>
        <w:t>（9）作业制度：实行全天工作24小时，三班两运转，码头年作业天数为330天；</w:t>
      </w:r>
    </w:p>
    <w:p w14:paraId="552018A3">
      <w:pPr>
        <w:pStyle w:val="139"/>
        <w:ind w:firstLine="480"/>
        <w:rPr>
          <w:color w:val="auto"/>
        </w:rPr>
      </w:pPr>
      <w:r>
        <w:rPr>
          <w:rFonts w:hint="eastAsia"/>
          <w:color w:val="auto"/>
        </w:rPr>
        <w:t>（10）</w:t>
      </w:r>
      <w:bookmarkStart w:id="135" w:name="_Hlk181747034"/>
      <w:r>
        <w:rPr>
          <w:rFonts w:hint="eastAsia"/>
          <w:color w:val="auto"/>
        </w:rPr>
        <w:t>工程建设计划：工程的建设期总工期约10个月，初步拟定为2025年2月至202</w:t>
      </w:r>
      <w:r>
        <w:rPr>
          <w:color w:val="auto"/>
        </w:rPr>
        <w:t>5</w:t>
      </w:r>
      <w:r>
        <w:rPr>
          <w:rFonts w:hint="eastAsia"/>
          <w:color w:val="auto"/>
        </w:rPr>
        <w:t>年11月。</w:t>
      </w:r>
      <w:bookmarkEnd w:id="135"/>
      <w:r>
        <w:rPr>
          <w:rFonts w:hint="eastAsia"/>
          <w:color w:val="auto"/>
        </w:rPr>
        <w:t>本项目为热电项目配套码头项目，规划为同时施工，统一安排施工建设时序，并同时投入生产。</w:t>
      </w:r>
    </w:p>
    <w:p w14:paraId="4B5DF730">
      <w:pPr>
        <w:pStyle w:val="82"/>
      </w:pPr>
      <w:r>
        <w:rPr>
          <w:rFonts w:hint="eastAsia"/>
        </w:rPr>
        <w:t>项目组成</w:t>
      </w:r>
    </w:p>
    <w:p w14:paraId="6EE0BB56">
      <w:pPr>
        <w:pStyle w:val="93"/>
      </w:pPr>
      <w:r>
        <w:rPr>
          <w:rFonts w:hint="eastAsia"/>
        </w:rPr>
        <w:t>本工程建设内容包括主体工程、依托工程、辅助工程、公用工程以及环保工程，本项目项目组成见表3.2-2。本项目是国能涟水一期热电联产项目配套码头工程，污水处理、危废库、事故池及煤炭堆场依托码头后方热电厂区，航道利用现有航道，其余为本项目新建。本项目依托现有项目情况见图3.2-</w:t>
      </w:r>
      <w:r>
        <w:t>3</w:t>
      </w:r>
      <w:r>
        <w:rPr>
          <w:rFonts w:hint="eastAsia"/>
          <w:lang w:eastAsia="zh-CN"/>
        </w:rPr>
        <w:t>～</w:t>
      </w:r>
      <w:r>
        <w:rPr>
          <w:rFonts w:hint="eastAsia"/>
        </w:rPr>
        <w:t>图</w:t>
      </w:r>
      <w:r>
        <w:t>3.2-5</w:t>
      </w:r>
      <w:r>
        <w:rPr>
          <w:rFonts w:hint="eastAsia"/>
        </w:rPr>
        <w:t>。</w:t>
      </w:r>
    </w:p>
    <w:p w14:paraId="3E7FB659">
      <w:pPr>
        <w:pStyle w:val="86"/>
      </w:pPr>
      <w:bookmarkStart w:id="136" w:name="_Hlk181743681"/>
      <w:r>
        <w:rPr>
          <w:rFonts w:hint="eastAsia"/>
        </w:rPr>
        <w:t>本项目工程组成</w:t>
      </w:r>
    </w:p>
    <w:bookmarkEnd w:id="136"/>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166"/>
        <w:gridCol w:w="5680"/>
        <w:gridCol w:w="953"/>
      </w:tblGrid>
      <w:tr w14:paraId="15FF80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8" w:type="pct"/>
            <w:gridSpan w:val="2"/>
            <w:tcBorders>
              <w:top w:val="single" w:color="auto" w:sz="4" w:space="0"/>
              <w:left w:val="single" w:color="auto" w:sz="4" w:space="0"/>
              <w:bottom w:val="single" w:color="auto" w:sz="4" w:space="0"/>
              <w:right w:val="single" w:color="auto" w:sz="4" w:space="0"/>
            </w:tcBorders>
            <w:vAlign w:val="center"/>
          </w:tcPr>
          <w:p w14:paraId="44834195">
            <w:pPr>
              <w:pStyle w:val="196"/>
              <w:rPr>
                <w:b/>
                <w:bCs/>
              </w:rPr>
            </w:pPr>
            <w:r>
              <w:rPr>
                <w:rFonts w:hint="eastAsia"/>
                <w:b/>
                <w:bCs/>
              </w:rPr>
              <w:t>项目</w:t>
            </w:r>
          </w:p>
        </w:tc>
        <w:tc>
          <w:tcPr>
            <w:tcW w:w="3333" w:type="pct"/>
            <w:tcBorders>
              <w:top w:val="single" w:color="auto" w:sz="4" w:space="0"/>
              <w:left w:val="single" w:color="auto" w:sz="4" w:space="0"/>
              <w:bottom w:val="single" w:color="auto" w:sz="4" w:space="0"/>
              <w:right w:val="single" w:color="auto" w:sz="4" w:space="0"/>
            </w:tcBorders>
            <w:vAlign w:val="center"/>
          </w:tcPr>
          <w:p w14:paraId="7A77D561">
            <w:pPr>
              <w:pStyle w:val="196"/>
              <w:rPr>
                <w:b/>
                <w:bCs/>
              </w:rPr>
            </w:pPr>
            <w:r>
              <w:rPr>
                <w:rFonts w:hint="eastAsia"/>
                <w:b/>
                <w:bCs/>
              </w:rPr>
              <w:t>建设内容及规模</w:t>
            </w:r>
          </w:p>
        </w:tc>
        <w:tc>
          <w:tcPr>
            <w:tcW w:w="559" w:type="pct"/>
            <w:tcBorders>
              <w:top w:val="single" w:color="auto" w:sz="4" w:space="0"/>
              <w:left w:val="single" w:color="auto" w:sz="4" w:space="0"/>
              <w:bottom w:val="single" w:color="auto" w:sz="4" w:space="0"/>
              <w:right w:val="single" w:color="auto" w:sz="4" w:space="0"/>
            </w:tcBorders>
            <w:vAlign w:val="center"/>
          </w:tcPr>
          <w:p w14:paraId="6241EBCA">
            <w:pPr>
              <w:pStyle w:val="196"/>
              <w:rPr>
                <w:b/>
                <w:bCs/>
              </w:rPr>
            </w:pPr>
            <w:r>
              <w:rPr>
                <w:rFonts w:hint="eastAsia"/>
                <w:b/>
                <w:bCs/>
              </w:rPr>
              <w:t>备注</w:t>
            </w:r>
          </w:p>
        </w:tc>
      </w:tr>
      <w:tr w14:paraId="1B5542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tcBorders>
              <w:top w:val="single" w:color="auto" w:sz="4" w:space="0"/>
              <w:left w:val="single" w:color="auto" w:sz="4" w:space="0"/>
              <w:bottom w:val="single" w:color="auto" w:sz="4" w:space="0"/>
              <w:right w:val="single" w:color="auto" w:sz="4" w:space="0"/>
            </w:tcBorders>
            <w:vAlign w:val="center"/>
          </w:tcPr>
          <w:p w14:paraId="05F05E81">
            <w:pPr>
              <w:pStyle w:val="196"/>
            </w:pPr>
            <w:r>
              <w:rPr>
                <w:rFonts w:hint="eastAsia"/>
              </w:rPr>
              <w:t>主体工程</w:t>
            </w:r>
          </w:p>
        </w:tc>
        <w:tc>
          <w:tcPr>
            <w:tcW w:w="684" w:type="pct"/>
            <w:tcBorders>
              <w:top w:val="single" w:color="auto" w:sz="4" w:space="0"/>
              <w:left w:val="single" w:color="auto" w:sz="4" w:space="0"/>
              <w:bottom w:val="single" w:color="auto" w:sz="4" w:space="0"/>
              <w:right w:val="single" w:color="auto" w:sz="4" w:space="0"/>
            </w:tcBorders>
            <w:vAlign w:val="center"/>
          </w:tcPr>
          <w:p w14:paraId="71662558">
            <w:pPr>
              <w:pStyle w:val="196"/>
            </w:pPr>
            <w:r>
              <w:rPr>
                <w:rFonts w:hint="eastAsia"/>
              </w:rPr>
              <w:t>码头泊位</w:t>
            </w:r>
          </w:p>
        </w:tc>
        <w:tc>
          <w:tcPr>
            <w:tcW w:w="3333" w:type="pct"/>
            <w:tcBorders>
              <w:top w:val="single" w:color="auto" w:sz="4" w:space="0"/>
              <w:left w:val="single" w:color="auto" w:sz="4" w:space="0"/>
              <w:bottom w:val="single" w:color="auto" w:sz="4" w:space="0"/>
              <w:right w:val="single" w:color="auto" w:sz="4" w:space="0"/>
            </w:tcBorders>
            <w:vAlign w:val="center"/>
          </w:tcPr>
          <w:p w14:paraId="76B3A0CB">
            <w:pPr>
              <w:pStyle w:val="196"/>
            </w:pPr>
            <w:r>
              <w:rPr>
                <w:rFonts w:hint="eastAsia"/>
                <w:bCs/>
              </w:rPr>
              <w:t>采用顺岸凹入式港池型式，拟布置3个1000吨级散货泊位，平行于航道方向布置2个1000吨级煤炭卸船泊位；西南侧布置1个1000吨级待泊泊位。本项目码头泊位长度为220m，距离航道中心线120m。码头采用船舶岸电设施，且岸电供应能力设计泊位数量占比100%。</w:t>
            </w:r>
            <w:r>
              <w:rPr>
                <w:rFonts w:hint="eastAsia"/>
              </w:rPr>
              <w:t>项目设计通过能力为118t，设计吞吐量为112t，详见表3.2-3。</w:t>
            </w:r>
          </w:p>
        </w:tc>
        <w:tc>
          <w:tcPr>
            <w:tcW w:w="559" w:type="pct"/>
            <w:tcBorders>
              <w:top w:val="single" w:color="auto" w:sz="4" w:space="0"/>
              <w:left w:val="single" w:color="auto" w:sz="4" w:space="0"/>
              <w:bottom w:val="single" w:color="auto" w:sz="4" w:space="0"/>
              <w:right w:val="single" w:color="auto" w:sz="4" w:space="0"/>
            </w:tcBorders>
            <w:vAlign w:val="center"/>
          </w:tcPr>
          <w:p w14:paraId="642C8773">
            <w:pPr>
              <w:pStyle w:val="196"/>
            </w:pPr>
            <w:r>
              <w:rPr>
                <w:rFonts w:hint="eastAsia"/>
              </w:rPr>
              <w:t>货种是煤炭（不涉及危化品）</w:t>
            </w:r>
          </w:p>
        </w:tc>
      </w:tr>
      <w:tr w14:paraId="32332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gridSpan w:val="2"/>
            <w:tcBorders>
              <w:top w:val="single" w:color="auto" w:sz="4" w:space="0"/>
              <w:left w:val="single" w:color="auto" w:sz="4" w:space="0"/>
              <w:bottom w:val="single" w:color="auto" w:sz="4" w:space="0"/>
              <w:right w:val="single" w:color="auto" w:sz="4" w:space="0"/>
            </w:tcBorders>
            <w:vAlign w:val="center"/>
          </w:tcPr>
          <w:p w14:paraId="30EFE419">
            <w:pPr>
              <w:pStyle w:val="196"/>
            </w:pPr>
            <w:r>
              <w:rPr>
                <w:rFonts w:hint="eastAsia"/>
              </w:rPr>
              <w:t>储运工程</w:t>
            </w:r>
          </w:p>
        </w:tc>
        <w:tc>
          <w:tcPr>
            <w:tcW w:w="3333" w:type="pct"/>
            <w:tcBorders>
              <w:top w:val="single" w:color="auto" w:sz="4" w:space="0"/>
              <w:left w:val="single" w:color="auto" w:sz="4" w:space="0"/>
              <w:bottom w:val="single" w:color="auto" w:sz="4" w:space="0"/>
              <w:right w:val="single" w:color="auto" w:sz="4" w:space="0"/>
            </w:tcBorders>
            <w:vAlign w:val="center"/>
          </w:tcPr>
          <w:p w14:paraId="7E0E6D11">
            <w:pPr>
              <w:pStyle w:val="196"/>
              <w:rPr>
                <w:bCs/>
              </w:rPr>
            </w:pPr>
            <w:r>
              <w:rPr>
                <w:rFonts w:hint="eastAsia"/>
                <w:bCs/>
              </w:rPr>
              <w:t>本项目为国能涟水一期热电联产项目配套码头，卸载的燃煤直接通过封闭输煤皮带输送至热电项目封闭煤场，码头区域不设置煤炭暂存设施</w:t>
            </w:r>
          </w:p>
        </w:tc>
        <w:tc>
          <w:tcPr>
            <w:tcW w:w="559" w:type="pct"/>
            <w:tcBorders>
              <w:top w:val="single" w:color="auto" w:sz="4" w:space="0"/>
              <w:left w:val="single" w:color="auto" w:sz="4" w:space="0"/>
              <w:bottom w:val="single" w:color="auto" w:sz="4" w:space="0"/>
              <w:right w:val="single" w:color="auto" w:sz="4" w:space="0"/>
            </w:tcBorders>
            <w:vAlign w:val="center"/>
          </w:tcPr>
          <w:p w14:paraId="0A7B2B27">
            <w:pPr>
              <w:pStyle w:val="196"/>
            </w:pPr>
          </w:p>
        </w:tc>
      </w:tr>
      <w:tr w14:paraId="6B21B4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tcBorders>
              <w:top w:val="single" w:color="auto" w:sz="4" w:space="0"/>
              <w:left w:val="single" w:color="auto" w:sz="4" w:space="0"/>
              <w:bottom w:val="single" w:color="auto" w:sz="4" w:space="0"/>
              <w:right w:val="single" w:color="auto" w:sz="4" w:space="0"/>
            </w:tcBorders>
            <w:vAlign w:val="center"/>
          </w:tcPr>
          <w:p w14:paraId="6EAA5C9D">
            <w:pPr>
              <w:pStyle w:val="196"/>
            </w:pPr>
            <w:r>
              <w:rPr>
                <w:rFonts w:hint="eastAsia"/>
              </w:rPr>
              <w:t>辅助工程</w:t>
            </w:r>
          </w:p>
        </w:tc>
        <w:tc>
          <w:tcPr>
            <w:tcW w:w="684" w:type="pct"/>
            <w:tcBorders>
              <w:top w:val="single" w:color="auto" w:sz="4" w:space="0"/>
              <w:left w:val="single" w:color="auto" w:sz="4" w:space="0"/>
              <w:bottom w:val="single" w:color="auto" w:sz="4" w:space="0"/>
              <w:right w:val="single" w:color="auto" w:sz="4" w:space="0"/>
            </w:tcBorders>
            <w:vAlign w:val="center"/>
          </w:tcPr>
          <w:p w14:paraId="18AFDE1C">
            <w:pPr>
              <w:pStyle w:val="196"/>
            </w:pPr>
            <w:r>
              <w:rPr>
                <w:rFonts w:hint="eastAsia"/>
              </w:rPr>
              <w:t>1#转运站</w:t>
            </w:r>
          </w:p>
        </w:tc>
        <w:tc>
          <w:tcPr>
            <w:tcW w:w="3333" w:type="pct"/>
            <w:tcBorders>
              <w:top w:val="single" w:color="auto" w:sz="4" w:space="0"/>
              <w:left w:val="single" w:color="auto" w:sz="4" w:space="0"/>
              <w:bottom w:val="single" w:color="auto" w:sz="4" w:space="0"/>
              <w:right w:val="single" w:color="auto" w:sz="4" w:space="0"/>
            </w:tcBorders>
            <w:vAlign w:val="center"/>
          </w:tcPr>
          <w:p w14:paraId="2DE8A161">
            <w:pPr>
              <w:pStyle w:val="196"/>
            </w:pPr>
            <w:r>
              <w:rPr>
                <w:rFonts w:hint="eastAsia"/>
                <w:bCs/>
              </w:rPr>
              <w:t>煤炭转运站，用于煤炭自船舶到T1转运站的接力转运，</w:t>
            </w:r>
            <w:r>
              <w:rPr>
                <w:rFonts w:hint="eastAsia"/>
              </w:rPr>
              <w:t>转移能力≥400t/h</w:t>
            </w:r>
          </w:p>
        </w:tc>
        <w:tc>
          <w:tcPr>
            <w:tcW w:w="559" w:type="pct"/>
            <w:tcBorders>
              <w:top w:val="single" w:color="auto" w:sz="4" w:space="0"/>
              <w:left w:val="single" w:color="auto" w:sz="4" w:space="0"/>
              <w:bottom w:val="single" w:color="auto" w:sz="4" w:space="0"/>
              <w:right w:val="single" w:color="auto" w:sz="4" w:space="0"/>
            </w:tcBorders>
            <w:vAlign w:val="center"/>
          </w:tcPr>
          <w:p w14:paraId="5083CB79">
            <w:pPr>
              <w:pStyle w:val="196"/>
            </w:pPr>
          </w:p>
        </w:tc>
      </w:tr>
      <w:tr w14:paraId="58766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071680A6">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05521462">
            <w:pPr>
              <w:pStyle w:val="196"/>
            </w:pPr>
            <w:r>
              <w:rPr>
                <w:rFonts w:hint="eastAsia"/>
              </w:rPr>
              <w:t>运输</w:t>
            </w:r>
          </w:p>
        </w:tc>
        <w:tc>
          <w:tcPr>
            <w:tcW w:w="3333" w:type="pct"/>
            <w:tcBorders>
              <w:top w:val="single" w:color="auto" w:sz="4" w:space="0"/>
              <w:left w:val="single" w:color="auto" w:sz="4" w:space="0"/>
              <w:bottom w:val="single" w:color="auto" w:sz="4" w:space="0"/>
              <w:right w:val="single" w:color="auto" w:sz="4" w:space="0"/>
            </w:tcBorders>
            <w:vAlign w:val="center"/>
          </w:tcPr>
          <w:p w14:paraId="38E4B04B">
            <w:pPr>
              <w:pStyle w:val="196"/>
            </w:pPr>
            <w:r>
              <w:rPr>
                <w:rFonts w:hint="eastAsia"/>
              </w:rPr>
              <w:t>固定皮带机，L=340m，封闭式，B=1.2m，V=2.5m/s</w:t>
            </w:r>
          </w:p>
        </w:tc>
        <w:tc>
          <w:tcPr>
            <w:tcW w:w="559" w:type="pct"/>
            <w:tcBorders>
              <w:top w:val="single" w:color="auto" w:sz="4" w:space="0"/>
              <w:left w:val="single" w:color="auto" w:sz="4" w:space="0"/>
              <w:bottom w:val="single" w:color="auto" w:sz="4" w:space="0"/>
              <w:right w:val="single" w:color="auto" w:sz="4" w:space="0"/>
            </w:tcBorders>
            <w:vAlign w:val="center"/>
          </w:tcPr>
          <w:p w14:paraId="384C0C08">
            <w:pPr>
              <w:pStyle w:val="196"/>
            </w:pPr>
          </w:p>
        </w:tc>
      </w:tr>
      <w:tr w14:paraId="62C923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24" w:type="pct"/>
            <w:vMerge w:val="restart"/>
            <w:tcBorders>
              <w:top w:val="single" w:color="auto" w:sz="4" w:space="0"/>
              <w:left w:val="single" w:color="auto" w:sz="4" w:space="0"/>
              <w:bottom w:val="single" w:color="auto" w:sz="4" w:space="0"/>
              <w:right w:val="single" w:color="auto" w:sz="4" w:space="0"/>
            </w:tcBorders>
            <w:vAlign w:val="center"/>
          </w:tcPr>
          <w:p w14:paraId="5052A7EE">
            <w:pPr>
              <w:pStyle w:val="196"/>
            </w:pPr>
            <w:r>
              <w:rPr>
                <w:rFonts w:hint="eastAsia"/>
              </w:rPr>
              <w:t>配套工程</w:t>
            </w:r>
          </w:p>
        </w:tc>
        <w:tc>
          <w:tcPr>
            <w:tcW w:w="684" w:type="pct"/>
            <w:tcBorders>
              <w:top w:val="single" w:color="auto" w:sz="4" w:space="0"/>
              <w:left w:val="single" w:color="auto" w:sz="4" w:space="0"/>
              <w:bottom w:val="single" w:color="auto" w:sz="4" w:space="0"/>
              <w:right w:val="single" w:color="auto" w:sz="4" w:space="0"/>
            </w:tcBorders>
            <w:vAlign w:val="center"/>
          </w:tcPr>
          <w:p w14:paraId="0E013C6A">
            <w:pPr>
              <w:pStyle w:val="196"/>
            </w:pPr>
            <w:r>
              <w:rPr>
                <w:rFonts w:hint="eastAsia"/>
              </w:rPr>
              <w:t>给水</w:t>
            </w:r>
          </w:p>
        </w:tc>
        <w:tc>
          <w:tcPr>
            <w:tcW w:w="3333" w:type="pct"/>
            <w:tcBorders>
              <w:top w:val="single" w:color="auto" w:sz="4" w:space="0"/>
              <w:left w:val="single" w:color="auto" w:sz="4" w:space="0"/>
              <w:bottom w:val="single" w:color="auto" w:sz="4" w:space="0"/>
              <w:right w:val="single" w:color="auto" w:sz="4" w:space="0"/>
            </w:tcBorders>
            <w:vAlign w:val="center"/>
          </w:tcPr>
          <w:p w14:paraId="60777803">
            <w:pPr>
              <w:pStyle w:val="196"/>
            </w:pPr>
            <w:r>
              <w:rPr>
                <w:rFonts w:hint="eastAsia"/>
              </w:rPr>
              <w:t>市政自来水给水，项目用水量34056m</w:t>
            </w:r>
            <w:r>
              <w:rPr>
                <w:rFonts w:hint="eastAsia"/>
                <w:vertAlign w:val="superscript"/>
              </w:rPr>
              <w:t>3</w:t>
            </w:r>
            <w:r>
              <w:rPr>
                <w:rFonts w:hint="eastAsia"/>
              </w:rPr>
              <w:t>/a，生产及</w:t>
            </w:r>
            <w:r>
              <w:rPr>
                <w:rFonts w:hint="eastAsia"/>
                <w:lang w:eastAsia="zh-CN"/>
              </w:rPr>
              <w:t>生活污水</w:t>
            </w:r>
            <w:r>
              <w:rPr>
                <w:rFonts w:hint="eastAsia"/>
              </w:rPr>
              <w:t>水源由给水管网接入</w:t>
            </w:r>
          </w:p>
        </w:tc>
        <w:tc>
          <w:tcPr>
            <w:tcW w:w="559" w:type="pct"/>
            <w:tcBorders>
              <w:top w:val="single" w:color="auto" w:sz="4" w:space="0"/>
              <w:left w:val="single" w:color="auto" w:sz="4" w:space="0"/>
              <w:bottom w:val="single" w:color="auto" w:sz="4" w:space="0"/>
              <w:right w:val="single" w:color="auto" w:sz="4" w:space="0"/>
            </w:tcBorders>
            <w:vAlign w:val="center"/>
          </w:tcPr>
          <w:p w14:paraId="6243EC32">
            <w:pPr>
              <w:pStyle w:val="196"/>
            </w:pPr>
            <w:r>
              <w:rPr>
                <w:rFonts w:hint="eastAsia"/>
              </w:rPr>
              <w:t>依托热电项目</w:t>
            </w:r>
          </w:p>
        </w:tc>
      </w:tr>
      <w:tr w14:paraId="6317E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59672122">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646F07EA">
            <w:pPr>
              <w:pStyle w:val="196"/>
            </w:pPr>
            <w:r>
              <w:rPr>
                <w:rFonts w:hint="eastAsia"/>
              </w:rPr>
              <w:t>排水</w:t>
            </w:r>
          </w:p>
        </w:tc>
        <w:tc>
          <w:tcPr>
            <w:tcW w:w="3333" w:type="pct"/>
            <w:tcBorders>
              <w:top w:val="single" w:color="auto" w:sz="4" w:space="0"/>
              <w:left w:val="single" w:color="auto" w:sz="4" w:space="0"/>
              <w:bottom w:val="single" w:color="auto" w:sz="4" w:space="0"/>
              <w:right w:val="single" w:color="auto" w:sz="4" w:space="0"/>
            </w:tcBorders>
            <w:vAlign w:val="center"/>
          </w:tcPr>
          <w:p w14:paraId="128F91CC">
            <w:pPr>
              <w:pStyle w:val="196"/>
            </w:pPr>
            <w:r>
              <w:rPr>
                <w:rFonts w:hint="eastAsia"/>
              </w:rPr>
              <w:t>雨污分</w:t>
            </w:r>
            <w:r>
              <w:rPr>
                <w:rFonts w:hint="eastAsia"/>
                <w:lang w:eastAsia="zh-CN"/>
              </w:rPr>
              <w:t>流机</w:t>
            </w:r>
            <w:r>
              <w:rPr>
                <w:rFonts w:hint="eastAsia"/>
              </w:rPr>
              <w:t>制，新建雨污分流系统。</w:t>
            </w:r>
            <w:r>
              <w:rPr>
                <w:rFonts w:hint="eastAsia" w:ascii="宋体" w:hAnsi="宋体" w:cs="宋体"/>
              </w:rPr>
              <w:t>①</w:t>
            </w:r>
            <w:r>
              <w:rPr>
                <w:rFonts w:hint="eastAsia"/>
              </w:rPr>
              <w:t>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w:t>
            </w:r>
            <w:r>
              <w:rPr>
                <w:rFonts w:hint="eastAsia"/>
                <w:lang w:eastAsia="zh-CN"/>
              </w:rPr>
              <w:t>达到</w:t>
            </w:r>
            <w:r>
              <w:rPr>
                <w:rFonts w:hint="eastAsia"/>
              </w:rPr>
              <w:t>回用水标准后排至全厂回用水池，回用于后方电厂的灰渣系统用水、锅炉房冲洗、汽机房冲洗、暖通用水、输煤栈桥及煤场喷洒用水补水等，和码头的设备冲洗用水、道路洒水、卸船喷淋用水等，不外排；码头</w:t>
            </w:r>
            <w:r>
              <w:rPr>
                <w:rFonts w:hint="eastAsia"/>
                <w:lang w:eastAsia="zh-CN"/>
              </w:rPr>
              <w:t>的</w:t>
            </w:r>
            <w:r>
              <w:rPr>
                <w:rFonts w:hint="eastAsia"/>
              </w:rPr>
              <w:t>后期洁净雨水依托后方电厂雨水排口，与电厂洁净雨水通过雨水泵房经电厂现有雨水排口一并排至盐河。</w:t>
            </w:r>
            <w:r>
              <w:rPr>
                <w:rFonts w:hint="eastAsia" w:ascii="宋体" w:hAnsi="宋体" w:cs="宋体"/>
              </w:rPr>
              <w:t>②</w:t>
            </w:r>
            <w:r>
              <w:rPr>
                <w:rFonts w:hint="eastAsia"/>
              </w:rPr>
              <w:t>码头冲洗废水经排水沟收集排入国能涟水一期热电联产项目含煤废水处理系统处理后用作厂区煤场喷淋和输煤栈桥冲洗，不外排。</w:t>
            </w:r>
            <w:r>
              <w:rPr>
                <w:rFonts w:hint="eastAsia" w:ascii="宋体" w:hAnsi="宋体" w:cs="宋体"/>
              </w:rPr>
              <w:t>③</w:t>
            </w:r>
            <w:r>
              <w:rPr>
                <w:rFonts w:hint="eastAsia"/>
              </w:rPr>
              <w:t>船舶生活污水经岸上接收装置接收后接管至国能涟水一期热电联产项目厂区污水处理设施处理，禁止船舶生活污水直接向水域排放；陆域生活污水依托国能涟水一期热电联产项目厂区污水处理设施处理，不外排；</w:t>
            </w:r>
          </w:p>
          <w:p w14:paraId="28D90744">
            <w:pPr>
              <w:pStyle w:val="196"/>
            </w:pPr>
            <w:r>
              <w:rPr>
                <w:rFonts w:hint="eastAsia" w:ascii="宋体" w:hAnsi="宋体" w:cs="宋体"/>
              </w:rPr>
              <w:t>④</w:t>
            </w:r>
            <w:r>
              <w:rPr>
                <w:rFonts w:hint="eastAsia"/>
              </w:rPr>
              <w:t>船舶舱底油污水由船舶自备的油水分离器隔油处理后通过软管、污水泵及时输送至码头面油污水收集装置，然后由海事部门认可的具备资质的油污水处理单位接收处理。禁止船舶舱底油污水在码头附近水域排放。</w:t>
            </w:r>
          </w:p>
        </w:tc>
        <w:tc>
          <w:tcPr>
            <w:tcW w:w="559" w:type="pct"/>
            <w:tcBorders>
              <w:top w:val="single" w:color="auto" w:sz="4" w:space="0"/>
              <w:left w:val="single" w:color="auto" w:sz="4" w:space="0"/>
              <w:bottom w:val="single" w:color="auto" w:sz="4" w:space="0"/>
              <w:right w:val="single" w:color="auto" w:sz="4" w:space="0"/>
            </w:tcBorders>
            <w:vAlign w:val="center"/>
          </w:tcPr>
          <w:p w14:paraId="28F89279">
            <w:pPr>
              <w:pStyle w:val="196"/>
            </w:pPr>
            <w:r>
              <w:rPr>
                <w:rFonts w:hint="eastAsia"/>
              </w:rPr>
              <w:t>依托热电项目</w:t>
            </w:r>
          </w:p>
        </w:tc>
      </w:tr>
      <w:tr w14:paraId="647EC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27D7A07F">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1634E701">
            <w:pPr>
              <w:pStyle w:val="196"/>
            </w:pPr>
            <w:r>
              <w:rPr>
                <w:rFonts w:hint="eastAsia"/>
              </w:rPr>
              <w:t>供电</w:t>
            </w:r>
          </w:p>
        </w:tc>
        <w:tc>
          <w:tcPr>
            <w:tcW w:w="3333" w:type="pct"/>
            <w:tcBorders>
              <w:top w:val="single" w:color="auto" w:sz="4" w:space="0"/>
              <w:left w:val="single" w:color="auto" w:sz="4" w:space="0"/>
              <w:bottom w:val="single" w:color="auto" w:sz="4" w:space="0"/>
              <w:right w:val="single" w:color="auto" w:sz="4" w:space="0"/>
            </w:tcBorders>
            <w:vAlign w:val="center"/>
          </w:tcPr>
          <w:p w14:paraId="068ED40E">
            <w:pPr>
              <w:pStyle w:val="196"/>
            </w:pPr>
            <w:r>
              <w:rPr>
                <w:rFonts w:hint="eastAsia"/>
              </w:rPr>
              <w:t>依托国能涟水一期热电联产项目供应</w:t>
            </w:r>
          </w:p>
        </w:tc>
        <w:tc>
          <w:tcPr>
            <w:tcW w:w="559" w:type="pct"/>
            <w:tcBorders>
              <w:top w:val="single" w:color="auto" w:sz="4" w:space="0"/>
              <w:left w:val="single" w:color="auto" w:sz="4" w:space="0"/>
              <w:bottom w:val="single" w:color="auto" w:sz="4" w:space="0"/>
              <w:right w:val="single" w:color="auto" w:sz="4" w:space="0"/>
            </w:tcBorders>
            <w:vAlign w:val="center"/>
          </w:tcPr>
          <w:p w14:paraId="3069C387">
            <w:pPr>
              <w:pStyle w:val="196"/>
            </w:pPr>
            <w:r>
              <w:rPr>
                <w:rFonts w:hint="eastAsia"/>
              </w:rPr>
              <w:t>/</w:t>
            </w:r>
          </w:p>
        </w:tc>
      </w:tr>
      <w:tr w14:paraId="53EBD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tcBorders>
              <w:top w:val="single" w:color="auto" w:sz="4" w:space="0"/>
              <w:left w:val="single" w:color="auto" w:sz="4" w:space="0"/>
              <w:bottom w:val="single" w:color="auto" w:sz="4" w:space="0"/>
              <w:right w:val="single" w:color="auto" w:sz="4" w:space="0"/>
            </w:tcBorders>
            <w:vAlign w:val="center"/>
          </w:tcPr>
          <w:p w14:paraId="6F77A4F5">
            <w:pPr>
              <w:pStyle w:val="196"/>
            </w:pPr>
            <w:r>
              <w:rPr>
                <w:rFonts w:hint="eastAsia"/>
              </w:rPr>
              <w:t>环保</w:t>
            </w:r>
          </w:p>
          <w:p w14:paraId="5C004B21">
            <w:pPr>
              <w:pStyle w:val="196"/>
            </w:pPr>
            <w:r>
              <w:rPr>
                <w:rFonts w:hint="eastAsia"/>
              </w:rPr>
              <w:t>工程</w:t>
            </w:r>
          </w:p>
        </w:tc>
        <w:tc>
          <w:tcPr>
            <w:tcW w:w="684" w:type="pct"/>
            <w:vMerge w:val="restart"/>
            <w:tcBorders>
              <w:top w:val="single" w:color="auto" w:sz="4" w:space="0"/>
              <w:left w:val="single" w:color="auto" w:sz="4" w:space="0"/>
              <w:right w:val="single" w:color="auto" w:sz="4" w:space="0"/>
            </w:tcBorders>
            <w:vAlign w:val="center"/>
          </w:tcPr>
          <w:p w14:paraId="124F2235">
            <w:pPr>
              <w:pStyle w:val="196"/>
            </w:pPr>
            <w:r>
              <w:rPr>
                <w:rFonts w:hint="eastAsia"/>
              </w:rPr>
              <w:t>废水</w:t>
            </w:r>
          </w:p>
        </w:tc>
        <w:tc>
          <w:tcPr>
            <w:tcW w:w="3333" w:type="pct"/>
            <w:tcBorders>
              <w:top w:val="single" w:color="auto" w:sz="4" w:space="0"/>
              <w:left w:val="single" w:color="auto" w:sz="4" w:space="0"/>
              <w:bottom w:val="single" w:color="auto" w:sz="4" w:space="0"/>
              <w:right w:val="single" w:color="auto" w:sz="4" w:space="0"/>
            </w:tcBorders>
            <w:vAlign w:val="center"/>
          </w:tcPr>
          <w:p w14:paraId="00E01058">
            <w:pPr>
              <w:pStyle w:val="196"/>
            </w:pPr>
            <w:r>
              <w:rPr>
                <w:rFonts w:hint="eastAsia"/>
              </w:rPr>
              <w:t>船舶舱底油污水由码头前沿接收装置收集，用不锈钢水箱作为船舶含油污水收集容器，配备自吸排污泵，标准法兰盘以及铜丝软管收集船舶含油污水，接收装置规模1m</w:t>
            </w:r>
            <w:r>
              <w:rPr>
                <w:rFonts w:hint="eastAsia"/>
                <w:vertAlign w:val="superscript"/>
              </w:rPr>
              <w:t>3</w:t>
            </w:r>
            <w:r>
              <w:rPr>
                <w:rFonts w:hint="eastAsia"/>
              </w:rPr>
              <w:t>，不锈钢水箱盛满后，委托有资质单位处置</w:t>
            </w:r>
          </w:p>
        </w:tc>
        <w:tc>
          <w:tcPr>
            <w:tcW w:w="559" w:type="pct"/>
            <w:tcBorders>
              <w:top w:val="single" w:color="auto" w:sz="4" w:space="0"/>
              <w:left w:val="single" w:color="auto" w:sz="4" w:space="0"/>
              <w:bottom w:val="single" w:color="auto" w:sz="4" w:space="0"/>
              <w:right w:val="single" w:color="auto" w:sz="4" w:space="0"/>
            </w:tcBorders>
            <w:vAlign w:val="center"/>
          </w:tcPr>
          <w:p w14:paraId="2EDF9F37">
            <w:pPr>
              <w:pStyle w:val="196"/>
            </w:pPr>
            <w:r>
              <w:rPr>
                <w:rFonts w:hint="eastAsia"/>
              </w:rPr>
              <w:t>新建</w:t>
            </w:r>
          </w:p>
        </w:tc>
      </w:tr>
      <w:tr w14:paraId="7EE6CF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18BDF868">
            <w:pPr>
              <w:pStyle w:val="196"/>
            </w:pPr>
          </w:p>
        </w:tc>
        <w:tc>
          <w:tcPr>
            <w:tcW w:w="684" w:type="pct"/>
            <w:vMerge w:val="continue"/>
            <w:tcBorders>
              <w:left w:val="single" w:color="auto" w:sz="4" w:space="0"/>
              <w:right w:val="single" w:color="auto" w:sz="4" w:space="0"/>
            </w:tcBorders>
            <w:vAlign w:val="center"/>
          </w:tcPr>
          <w:p w14:paraId="4AEF7244">
            <w:pPr>
              <w:pStyle w:val="196"/>
            </w:pPr>
          </w:p>
        </w:tc>
        <w:tc>
          <w:tcPr>
            <w:tcW w:w="3333" w:type="pct"/>
            <w:tcBorders>
              <w:top w:val="single" w:color="auto" w:sz="4" w:space="0"/>
              <w:left w:val="single" w:color="auto" w:sz="4" w:space="0"/>
              <w:right w:val="single" w:color="auto" w:sz="4" w:space="0"/>
            </w:tcBorders>
            <w:vAlign w:val="center"/>
          </w:tcPr>
          <w:p w14:paraId="5EFF754A">
            <w:pPr>
              <w:pStyle w:val="196"/>
            </w:pPr>
            <w:r>
              <w:rPr>
                <w:rFonts w:hint="eastAsia"/>
              </w:rPr>
              <w:t>船舶生活污水经岸上接收装置接收后接管至国能涟水一期热电联产项目厂区污水处理设施处理；陆域生活污水依托国能涟水一期热电联产项目厂区污水处理设施处理。国能涟水一期热电联产项目建设</w:t>
            </w:r>
            <w:r>
              <w:t>1</w:t>
            </w:r>
            <w:r>
              <w:rPr>
                <w:rFonts w:hint="eastAsia"/>
              </w:rPr>
              <w:t>套处理能力均为</w:t>
            </w:r>
            <w:r>
              <w:t>3</w:t>
            </w:r>
            <w:r>
              <w:rPr>
                <w:rFonts w:hint="eastAsia"/>
              </w:rPr>
              <w:t>m</w:t>
            </w:r>
            <w:r>
              <w:rPr>
                <w:rFonts w:hint="eastAsia"/>
                <w:vertAlign w:val="superscript"/>
              </w:rPr>
              <w:t>3</w:t>
            </w:r>
            <w:r>
              <w:rPr>
                <w:rFonts w:hint="eastAsia"/>
              </w:rPr>
              <w:t>/h的地埋式一体化生活污水处理装置。处理工艺为二级生物接触氧化，经处理后的生活污水回用于厂区绿化</w:t>
            </w:r>
          </w:p>
        </w:tc>
        <w:tc>
          <w:tcPr>
            <w:tcW w:w="559" w:type="pct"/>
            <w:tcBorders>
              <w:top w:val="single" w:color="auto" w:sz="4" w:space="0"/>
              <w:left w:val="single" w:color="auto" w:sz="4" w:space="0"/>
              <w:bottom w:val="single" w:color="auto" w:sz="4" w:space="0"/>
              <w:right w:val="single" w:color="auto" w:sz="4" w:space="0"/>
            </w:tcBorders>
            <w:vAlign w:val="center"/>
          </w:tcPr>
          <w:p w14:paraId="094388E1">
            <w:pPr>
              <w:pStyle w:val="196"/>
            </w:pPr>
            <w:r>
              <w:rPr>
                <w:rFonts w:hint="eastAsia"/>
              </w:rPr>
              <w:t>依托热电项目</w:t>
            </w:r>
          </w:p>
        </w:tc>
      </w:tr>
      <w:tr w14:paraId="65D76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7C33C57">
            <w:pPr>
              <w:pStyle w:val="196"/>
            </w:pPr>
          </w:p>
        </w:tc>
        <w:tc>
          <w:tcPr>
            <w:tcW w:w="684" w:type="pct"/>
            <w:vMerge w:val="continue"/>
            <w:tcBorders>
              <w:left w:val="single" w:color="auto" w:sz="4" w:space="0"/>
              <w:right w:val="single" w:color="auto" w:sz="4" w:space="0"/>
            </w:tcBorders>
            <w:vAlign w:val="center"/>
          </w:tcPr>
          <w:p w14:paraId="17EECB05">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3EEF4A92">
            <w:pPr>
              <w:pStyle w:val="196"/>
            </w:pPr>
            <w:r>
              <w:rPr>
                <w:rFonts w:hint="eastAsia"/>
              </w:rPr>
              <w:t>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w:t>
            </w:r>
          </w:p>
        </w:tc>
        <w:tc>
          <w:tcPr>
            <w:tcW w:w="559" w:type="pct"/>
            <w:tcBorders>
              <w:top w:val="single" w:color="auto" w:sz="4" w:space="0"/>
              <w:left w:val="single" w:color="auto" w:sz="4" w:space="0"/>
              <w:bottom w:val="single" w:color="auto" w:sz="4" w:space="0"/>
              <w:right w:val="single" w:color="auto" w:sz="4" w:space="0"/>
            </w:tcBorders>
            <w:vAlign w:val="center"/>
          </w:tcPr>
          <w:p w14:paraId="7D0C8F03">
            <w:pPr>
              <w:pStyle w:val="196"/>
            </w:pPr>
            <w:r>
              <w:rPr>
                <w:rFonts w:hint="eastAsia"/>
              </w:rPr>
              <w:t>依托热电项目</w:t>
            </w:r>
          </w:p>
        </w:tc>
      </w:tr>
      <w:tr w14:paraId="030C25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148A50D7">
            <w:pPr>
              <w:pStyle w:val="196"/>
            </w:pPr>
          </w:p>
        </w:tc>
        <w:tc>
          <w:tcPr>
            <w:tcW w:w="684" w:type="pct"/>
            <w:vMerge w:val="continue"/>
            <w:tcBorders>
              <w:left w:val="single" w:color="auto" w:sz="4" w:space="0"/>
              <w:right w:val="single" w:color="auto" w:sz="4" w:space="0"/>
            </w:tcBorders>
            <w:vAlign w:val="center"/>
          </w:tcPr>
          <w:p w14:paraId="194BFE5B">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1369B005">
            <w:pPr>
              <w:pStyle w:val="196"/>
            </w:pPr>
            <w:r>
              <w:rPr>
                <w:rFonts w:hint="eastAsia"/>
              </w:rPr>
              <w:t>码头冲洗废水经排水沟收集排入国能涟水一期热电联产项目含煤废水处理系统，含煤废水处理系统处理能力为20t/h，处理工艺为沉煤池+电子絮凝沉淀+澄清、过滤处理。1座煤泥沉淀池（14.2m×17.5m×5.5m）储存并初步沉淀处理，再经1套煤污水絮凝处理装置。用作厂区煤场喷淋和输煤栈桥冲洗，不外排</w:t>
            </w:r>
          </w:p>
        </w:tc>
        <w:tc>
          <w:tcPr>
            <w:tcW w:w="559" w:type="pct"/>
            <w:tcBorders>
              <w:top w:val="single" w:color="auto" w:sz="4" w:space="0"/>
              <w:left w:val="single" w:color="auto" w:sz="4" w:space="0"/>
              <w:bottom w:val="single" w:color="auto" w:sz="4" w:space="0"/>
              <w:right w:val="single" w:color="auto" w:sz="4" w:space="0"/>
            </w:tcBorders>
            <w:vAlign w:val="center"/>
          </w:tcPr>
          <w:p w14:paraId="589263D1">
            <w:pPr>
              <w:pStyle w:val="196"/>
            </w:pPr>
            <w:r>
              <w:rPr>
                <w:rFonts w:hint="eastAsia"/>
              </w:rPr>
              <w:t>依托热电项目</w:t>
            </w:r>
          </w:p>
        </w:tc>
      </w:tr>
      <w:tr w14:paraId="2FD81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91FA7CA">
            <w:pPr>
              <w:pStyle w:val="196"/>
            </w:pPr>
          </w:p>
        </w:tc>
        <w:tc>
          <w:tcPr>
            <w:tcW w:w="684" w:type="pct"/>
            <w:vMerge w:val="continue"/>
            <w:tcBorders>
              <w:left w:val="single" w:color="auto" w:sz="4" w:space="0"/>
              <w:bottom w:val="single" w:color="auto" w:sz="4" w:space="0"/>
              <w:right w:val="single" w:color="auto" w:sz="4" w:space="0"/>
            </w:tcBorders>
            <w:vAlign w:val="center"/>
          </w:tcPr>
          <w:p w14:paraId="4E74EBF0">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768C4441">
            <w:pPr>
              <w:pStyle w:val="196"/>
            </w:pPr>
            <w:r>
              <w:rPr>
                <w:rFonts w:hint="eastAsia"/>
              </w:rPr>
              <w:t>机械设备冲洗过程会产生含油废水，依托热电项目油水分离装置，经处理后排至回用水池，不外排。本项目依托后方厂区的机修间承担装卸机械的保养与小修任务，机修废水依托后方厂区的污水处理设施处理。</w:t>
            </w:r>
          </w:p>
        </w:tc>
        <w:tc>
          <w:tcPr>
            <w:tcW w:w="559" w:type="pct"/>
            <w:tcBorders>
              <w:top w:val="single" w:color="auto" w:sz="4" w:space="0"/>
              <w:left w:val="single" w:color="auto" w:sz="4" w:space="0"/>
              <w:bottom w:val="single" w:color="auto" w:sz="4" w:space="0"/>
              <w:right w:val="single" w:color="auto" w:sz="4" w:space="0"/>
            </w:tcBorders>
            <w:vAlign w:val="center"/>
          </w:tcPr>
          <w:p w14:paraId="7E236B4B">
            <w:pPr>
              <w:pStyle w:val="196"/>
            </w:pPr>
            <w:r>
              <w:rPr>
                <w:rFonts w:hint="eastAsia"/>
              </w:rPr>
              <w:t>依托热电项目</w:t>
            </w:r>
          </w:p>
        </w:tc>
      </w:tr>
      <w:tr w14:paraId="2AFB06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03F4C700">
            <w:pPr>
              <w:pStyle w:val="196"/>
            </w:pPr>
          </w:p>
        </w:tc>
        <w:tc>
          <w:tcPr>
            <w:tcW w:w="684" w:type="pct"/>
            <w:vMerge w:val="restart"/>
            <w:tcBorders>
              <w:top w:val="single" w:color="auto" w:sz="4" w:space="0"/>
              <w:left w:val="single" w:color="auto" w:sz="4" w:space="0"/>
              <w:right w:val="single" w:color="auto" w:sz="4" w:space="0"/>
            </w:tcBorders>
            <w:vAlign w:val="center"/>
          </w:tcPr>
          <w:p w14:paraId="6082F57C">
            <w:pPr>
              <w:pStyle w:val="196"/>
            </w:pPr>
            <w:r>
              <w:rPr>
                <w:rFonts w:hint="eastAsia"/>
              </w:rPr>
              <w:t>废气</w:t>
            </w:r>
          </w:p>
        </w:tc>
        <w:tc>
          <w:tcPr>
            <w:tcW w:w="3333" w:type="pct"/>
            <w:tcBorders>
              <w:top w:val="single" w:color="auto" w:sz="4" w:space="0"/>
              <w:left w:val="single" w:color="auto" w:sz="4" w:space="0"/>
              <w:bottom w:val="single" w:color="auto" w:sz="4" w:space="0"/>
              <w:right w:val="single" w:color="auto" w:sz="4" w:space="0"/>
            </w:tcBorders>
            <w:vAlign w:val="center"/>
          </w:tcPr>
          <w:p w14:paraId="1B108682">
            <w:pPr>
              <w:pStyle w:val="196"/>
            </w:pPr>
            <w:r>
              <w:rPr>
                <w:rFonts w:hint="eastAsia"/>
              </w:rPr>
              <w:t>道路扬尘的治理采用除尘炮雾车、洒水车进行抑尘</w:t>
            </w:r>
          </w:p>
        </w:tc>
        <w:tc>
          <w:tcPr>
            <w:tcW w:w="559" w:type="pct"/>
            <w:tcBorders>
              <w:top w:val="single" w:color="auto" w:sz="4" w:space="0"/>
              <w:left w:val="single" w:color="auto" w:sz="4" w:space="0"/>
              <w:bottom w:val="single" w:color="auto" w:sz="4" w:space="0"/>
              <w:right w:val="single" w:color="auto" w:sz="4" w:space="0"/>
            </w:tcBorders>
            <w:vAlign w:val="center"/>
          </w:tcPr>
          <w:p w14:paraId="6404E611">
            <w:pPr>
              <w:pStyle w:val="196"/>
            </w:pPr>
          </w:p>
        </w:tc>
      </w:tr>
      <w:tr w14:paraId="048B1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B446E88">
            <w:pPr>
              <w:pStyle w:val="196"/>
            </w:pPr>
          </w:p>
        </w:tc>
        <w:tc>
          <w:tcPr>
            <w:tcW w:w="684" w:type="pct"/>
            <w:vMerge w:val="continue"/>
            <w:tcBorders>
              <w:left w:val="single" w:color="auto" w:sz="4" w:space="0"/>
              <w:right w:val="single" w:color="auto" w:sz="4" w:space="0"/>
            </w:tcBorders>
            <w:vAlign w:val="center"/>
          </w:tcPr>
          <w:p w14:paraId="0B515477">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4A2212DA">
            <w:pPr>
              <w:pStyle w:val="196"/>
            </w:pPr>
            <w:r>
              <w:rPr>
                <w:rFonts w:hint="eastAsia"/>
              </w:rPr>
              <w:t>车船、装卸机械废气选择优质燃料、加强车辆管理</w:t>
            </w:r>
          </w:p>
        </w:tc>
        <w:tc>
          <w:tcPr>
            <w:tcW w:w="559" w:type="pct"/>
            <w:tcBorders>
              <w:top w:val="single" w:color="auto" w:sz="4" w:space="0"/>
              <w:left w:val="single" w:color="auto" w:sz="4" w:space="0"/>
              <w:bottom w:val="single" w:color="auto" w:sz="4" w:space="0"/>
              <w:right w:val="single" w:color="auto" w:sz="4" w:space="0"/>
            </w:tcBorders>
            <w:vAlign w:val="center"/>
          </w:tcPr>
          <w:p w14:paraId="183A02D3">
            <w:pPr>
              <w:pStyle w:val="196"/>
            </w:pPr>
          </w:p>
        </w:tc>
      </w:tr>
      <w:tr w14:paraId="31CC77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6688384E">
            <w:pPr>
              <w:pStyle w:val="196"/>
            </w:pPr>
          </w:p>
        </w:tc>
        <w:tc>
          <w:tcPr>
            <w:tcW w:w="684" w:type="pct"/>
            <w:vMerge w:val="continue"/>
            <w:tcBorders>
              <w:left w:val="single" w:color="auto" w:sz="4" w:space="0"/>
              <w:right w:val="single" w:color="auto" w:sz="4" w:space="0"/>
            </w:tcBorders>
            <w:vAlign w:val="center"/>
          </w:tcPr>
          <w:p w14:paraId="12E4F762">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74F3256B">
            <w:pPr>
              <w:pStyle w:val="196"/>
            </w:pPr>
            <w:r>
              <w:rPr>
                <w:rFonts w:hint="eastAsia"/>
              </w:rPr>
              <w:t>桥式抓斗卸船机的防尘、抑尘系统：</w:t>
            </w:r>
            <w:r>
              <w:rPr>
                <w:rFonts w:hint="eastAsia"/>
              </w:rPr>
              <w:tab/>
            </w:r>
            <w:r>
              <w:rPr>
                <w:rFonts w:hint="eastAsia"/>
              </w:rPr>
              <w:t>每台桥式抓斗卸船机装备1套干雾加高压水雾的抑尘系统，并对桥式抓斗卸船机在运转过程中的起尘部位采取密闭防尘措施。桥式抓斗卸船机漏斗上口设挡风板，漏斗至码头皮带转运处设密闭溜槽和密闭导料槽，</w:t>
            </w:r>
            <w:r>
              <w:rPr>
                <w:rFonts w:cs="Times New Roman"/>
              </w:rPr>
              <w:t>卸船接料斗下口应设闸板、出料溜筒</w:t>
            </w:r>
            <w:r>
              <w:rPr>
                <w:rFonts w:hint="eastAsia" w:cs="Times New Roman"/>
              </w:rPr>
              <w:t>，</w:t>
            </w:r>
            <w:r>
              <w:rPr>
                <w:rFonts w:hint="eastAsia"/>
              </w:rPr>
              <w:t>进、出口设橡胶帘</w:t>
            </w:r>
          </w:p>
        </w:tc>
        <w:tc>
          <w:tcPr>
            <w:tcW w:w="559" w:type="pct"/>
            <w:tcBorders>
              <w:top w:val="single" w:color="auto" w:sz="4" w:space="0"/>
              <w:left w:val="single" w:color="auto" w:sz="4" w:space="0"/>
              <w:bottom w:val="single" w:color="auto" w:sz="4" w:space="0"/>
              <w:right w:val="single" w:color="auto" w:sz="4" w:space="0"/>
            </w:tcBorders>
            <w:vAlign w:val="center"/>
          </w:tcPr>
          <w:p w14:paraId="2EEF6A44">
            <w:pPr>
              <w:pStyle w:val="196"/>
            </w:pPr>
          </w:p>
        </w:tc>
      </w:tr>
      <w:tr w14:paraId="22C61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30FBF626">
            <w:pPr>
              <w:pStyle w:val="196"/>
            </w:pPr>
          </w:p>
        </w:tc>
        <w:tc>
          <w:tcPr>
            <w:tcW w:w="684" w:type="pct"/>
            <w:vMerge w:val="continue"/>
            <w:tcBorders>
              <w:left w:val="single" w:color="auto" w:sz="4" w:space="0"/>
              <w:bottom w:val="single" w:color="auto" w:sz="4" w:space="0"/>
              <w:right w:val="single" w:color="auto" w:sz="4" w:space="0"/>
            </w:tcBorders>
            <w:vAlign w:val="center"/>
          </w:tcPr>
          <w:p w14:paraId="4D1ECB99">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31758479">
            <w:pPr>
              <w:pStyle w:val="196"/>
            </w:pPr>
            <w:r>
              <w:rPr>
                <w:rFonts w:hint="eastAsia"/>
              </w:rPr>
              <w:t>带式输送机的防尘、抑尘措施：</w:t>
            </w:r>
            <w:r>
              <w:rPr>
                <w:rFonts w:hint="eastAsia"/>
              </w:rPr>
              <w:tab/>
            </w:r>
            <w:r>
              <w:rPr>
                <w:rFonts w:hint="eastAsia"/>
              </w:rPr>
              <w:t>带式输送机设置皮带机罩，混凝土栈桥两侧设置防风板，在带式输送机卸料处回程皮带头部设置自动洗带装置</w:t>
            </w:r>
          </w:p>
        </w:tc>
        <w:tc>
          <w:tcPr>
            <w:tcW w:w="559" w:type="pct"/>
            <w:tcBorders>
              <w:top w:val="single" w:color="auto" w:sz="4" w:space="0"/>
              <w:left w:val="single" w:color="auto" w:sz="4" w:space="0"/>
              <w:bottom w:val="single" w:color="auto" w:sz="4" w:space="0"/>
              <w:right w:val="single" w:color="auto" w:sz="4" w:space="0"/>
            </w:tcBorders>
            <w:vAlign w:val="center"/>
          </w:tcPr>
          <w:p w14:paraId="0467F246">
            <w:pPr>
              <w:pStyle w:val="196"/>
            </w:pPr>
          </w:p>
        </w:tc>
      </w:tr>
      <w:tr w14:paraId="532C76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666593C3">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61E27DB9">
            <w:pPr>
              <w:pStyle w:val="196"/>
            </w:pPr>
            <w:r>
              <w:rPr>
                <w:rFonts w:hint="eastAsia"/>
              </w:rPr>
              <w:t>噪声</w:t>
            </w:r>
          </w:p>
        </w:tc>
        <w:tc>
          <w:tcPr>
            <w:tcW w:w="3333" w:type="pct"/>
            <w:tcBorders>
              <w:top w:val="single" w:color="auto" w:sz="4" w:space="0"/>
              <w:left w:val="single" w:color="auto" w:sz="4" w:space="0"/>
              <w:bottom w:val="single" w:color="auto" w:sz="4" w:space="0"/>
              <w:right w:val="single" w:color="auto" w:sz="4" w:space="0"/>
            </w:tcBorders>
            <w:vAlign w:val="center"/>
          </w:tcPr>
          <w:p w14:paraId="48FE12E6">
            <w:pPr>
              <w:pStyle w:val="196"/>
            </w:pPr>
            <w:r>
              <w:rPr>
                <w:rFonts w:hint="eastAsia"/>
              </w:rPr>
              <w:t>采用低噪声设备、减震隔声、消音等</w:t>
            </w:r>
          </w:p>
        </w:tc>
        <w:tc>
          <w:tcPr>
            <w:tcW w:w="559" w:type="pct"/>
            <w:tcBorders>
              <w:top w:val="single" w:color="auto" w:sz="4" w:space="0"/>
              <w:left w:val="single" w:color="auto" w:sz="4" w:space="0"/>
              <w:bottom w:val="single" w:color="auto" w:sz="4" w:space="0"/>
              <w:right w:val="single" w:color="auto" w:sz="4" w:space="0"/>
            </w:tcBorders>
            <w:vAlign w:val="center"/>
          </w:tcPr>
          <w:p w14:paraId="5627E296">
            <w:pPr>
              <w:pStyle w:val="196"/>
            </w:pPr>
          </w:p>
        </w:tc>
      </w:tr>
      <w:tr w14:paraId="173D7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6BDC15AD">
            <w:pPr>
              <w:pStyle w:val="196"/>
            </w:pPr>
          </w:p>
        </w:tc>
        <w:tc>
          <w:tcPr>
            <w:tcW w:w="684" w:type="pct"/>
            <w:vMerge w:val="restart"/>
            <w:tcBorders>
              <w:top w:val="single" w:color="auto" w:sz="4" w:space="0"/>
              <w:left w:val="single" w:color="auto" w:sz="4" w:space="0"/>
              <w:bottom w:val="single" w:color="auto" w:sz="4" w:space="0"/>
              <w:right w:val="single" w:color="auto" w:sz="4" w:space="0"/>
            </w:tcBorders>
            <w:vAlign w:val="center"/>
          </w:tcPr>
          <w:p w14:paraId="75388009">
            <w:pPr>
              <w:pStyle w:val="196"/>
            </w:pPr>
            <w:r>
              <w:rPr>
                <w:rFonts w:hint="eastAsia"/>
              </w:rPr>
              <w:t>固废</w:t>
            </w:r>
          </w:p>
        </w:tc>
        <w:tc>
          <w:tcPr>
            <w:tcW w:w="3333" w:type="pct"/>
            <w:tcBorders>
              <w:top w:val="single" w:color="auto" w:sz="4" w:space="0"/>
              <w:left w:val="single" w:color="auto" w:sz="4" w:space="0"/>
              <w:bottom w:val="single" w:color="auto" w:sz="4" w:space="0"/>
              <w:right w:val="single" w:color="auto" w:sz="4" w:space="0"/>
            </w:tcBorders>
            <w:vAlign w:val="center"/>
          </w:tcPr>
          <w:p w14:paraId="1394D295">
            <w:pPr>
              <w:pStyle w:val="196"/>
            </w:pPr>
            <w:r>
              <w:rPr>
                <w:rFonts w:hint="eastAsia"/>
              </w:rPr>
              <w:t>生活垃圾由垃圾桶收集，交由市政环卫部门处理</w:t>
            </w:r>
          </w:p>
        </w:tc>
        <w:tc>
          <w:tcPr>
            <w:tcW w:w="559" w:type="pct"/>
            <w:tcBorders>
              <w:top w:val="single" w:color="auto" w:sz="4" w:space="0"/>
              <w:left w:val="single" w:color="auto" w:sz="4" w:space="0"/>
              <w:bottom w:val="single" w:color="auto" w:sz="4" w:space="0"/>
              <w:right w:val="single" w:color="auto" w:sz="4" w:space="0"/>
            </w:tcBorders>
            <w:vAlign w:val="center"/>
          </w:tcPr>
          <w:p w14:paraId="4F5F549A">
            <w:pPr>
              <w:pStyle w:val="196"/>
            </w:pPr>
          </w:p>
        </w:tc>
      </w:tr>
      <w:tr w14:paraId="0334F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2B909A33">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657873BC">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58FCF200">
            <w:pPr>
              <w:pStyle w:val="196"/>
            </w:pPr>
            <w:r>
              <w:rPr>
                <w:rFonts w:hint="eastAsia"/>
              </w:rPr>
              <w:t>危险废物依托国能涟水一期热电联产项目厂区西南角建设的1座危险废物暂存库，占地约50m</w:t>
            </w:r>
            <w:r>
              <w:rPr>
                <w:rFonts w:hint="eastAsia"/>
                <w:vertAlign w:val="superscript"/>
              </w:rPr>
              <w:t>2</w:t>
            </w:r>
            <w:r>
              <w:rPr>
                <w:rFonts w:hint="eastAsia"/>
              </w:rPr>
              <w:t>，总暂存能力约30t</w:t>
            </w:r>
          </w:p>
        </w:tc>
        <w:tc>
          <w:tcPr>
            <w:tcW w:w="559" w:type="pct"/>
            <w:tcBorders>
              <w:top w:val="single" w:color="auto" w:sz="4" w:space="0"/>
              <w:left w:val="single" w:color="auto" w:sz="4" w:space="0"/>
              <w:bottom w:val="single" w:color="auto" w:sz="4" w:space="0"/>
              <w:right w:val="single" w:color="auto" w:sz="4" w:space="0"/>
            </w:tcBorders>
            <w:vAlign w:val="center"/>
          </w:tcPr>
          <w:p w14:paraId="7ADCC9C1">
            <w:pPr>
              <w:pStyle w:val="196"/>
            </w:pPr>
            <w:r>
              <w:rPr>
                <w:rFonts w:hint="eastAsia"/>
              </w:rPr>
              <w:t>依托</w:t>
            </w:r>
          </w:p>
        </w:tc>
      </w:tr>
      <w:tr w14:paraId="5DACF8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21E3B91F">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3841A6B1">
            <w:pPr>
              <w:pStyle w:val="196"/>
            </w:pPr>
            <w:r>
              <w:rPr>
                <w:rFonts w:hint="eastAsia" w:ascii="宋体" w:hAnsi="宋体"/>
              </w:rPr>
              <w:t>船舶生活污水接收设施</w:t>
            </w:r>
          </w:p>
        </w:tc>
        <w:tc>
          <w:tcPr>
            <w:tcW w:w="3333" w:type="pct"/>
            <w:tcBorders>
              <w:top w:val="single" w:color="auto" w:sz="4" w:space="0"/>
              <w:left w:val="single" w:color="auto" w:sz="4" w:space="0"/>
              <w:bottom w:val="single" w:color="auto" w:sz="4" w:space="0"/>
              <w:right w:val="single" w:color="auto" w:sz="4" w:space="0"/>
            </w:tcBorders>
            <w:vAlign w:val="center"/>
          </w:tcPr>
          <w:p w14:paraId="49A4A945">
            <w:pPr>
              <w:pStyle w:val="196"/>
            </w:pPr>
            <w:r>
              <w:rPr>
                <w:rFonts w:hint="eastAsia" w:ascii="宋体" w:hAnsi="宋体"/>
              </w:rPr>
              <w:t>在码头前沿设置智能一体化船舶生活污水收集设施</w:t>
            </w:r>
            <w:r>
              <w:t>1</w:t>
            </w:r>
            <w:r>
              <w:rPr>
                <w:rFonts w:hint="eastAsia" w:ascii="宋体" w:hAnsi="宋体"/>
              </w:rPr>
              <w:t>处，有效容积10</w:t>
            </w:r>
            <w:r>
              <w:rPr>
                <w:rFonts w:hint="eastAsia"/>
              </w:rPr>
              <w:t>m</w:t>
            </w:r>
            <w:r>
              <w:rPr>
                <w:rFonts w:hint="eastAsia"/>
                <w:vertAlign w:val="superscript"/>
              </w:rPr>
              <w:t>3</w:t>
            </w:r>
            <w:r>
              <w:rPr>
                <w:rFonts w:hint="eastAsia" w:ascii="宋体" w:hAnsi="宋体"/>
              </w:rPr>
              <w:t>。</w:t>
            </w:r>
          </w:p>
        </w:tc>
        <w:tc>
          <w:tcPr>
            <w:tcW w:w="559" w:type="pct"/>
            <w:tcBorders>
              <w:top w:val="single" w:color="auto" w:sz="4" w:space="0"/>
              <w:left w:val="single" w:color="auto" w:sz="4" w:space="0"/>
              <w:bottom w:val="single" w:color="auto" w:sz="4" w:space="0"/>
              <w:right w:val="single" w:color="auto" w:sz="4" w:space="0"/>
            </w:tcBorders>
            <w:vAlign w:val="center"/>
          </w:tcPr>
          <w:p w14:paraId="4CFE9528">
            <w:pPr>
              <w:pStyle w:val="196"/>
            </w:pPr>
          </w:p>
        </w:tc>
      </w:tr>
      <w:tr w14:paraId="7D34A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4FBC651F">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0980471B">
            <w:pPr>
              <w:pStyle w:val="196"/>
            </w:pPr>
            <w:r>
              <w:rPr>
                <w:rFonts w:hint="eastAsia" w:ascii="宋体" w:hAnsi="宋体"/>
              </w:rPr>
              <w:t>船舶含油污水接收设施</w:t>
            </w:r>
          </w:p>
        </w:tc>
        <w:tc>
          <w:tcPr>
            <w:tcW w:w="3333" w:type="pct"/>
            <w:tcBorders>
              <w:top w:val="single" w:color="auto" w:sz="4" w:space="0"/>
              <w:left w:val="single" w:color="auto" w:sz="4" w:space="0"/>
              <w:bottom w:val="single" w:color="auto" w:sz="4" w:space="0"/>
              <w:right w:val="single" w:color="auto" w:sz="4" w:space="0"/>
            </w:tcBorders>
            <w:vAlign w:val="center"/>
          </w:tcPr>
          <w:p w14:paraId="19349F6B">
            <w:pPr>
              <w:pStyle w:val="196"/>
            </w:pPr>
            <w:r>
              <w:rPr>
                <w:rFonts w:hint="eastAsia" w:ascii="宋体" w:hAnsi="宋体"/>
              </w:rPr>
              <w:t>在码头前沿设置智能一体化船舶含油污水收集设施</w:t>
            </w:r>
            <w:r>
              <w:t>1</w:t>
            </w:r>
            <w:r>
              <w:rPr>
                <w:rFonts w:hint="eastAsia" w:ascii="宋体" w:hAnsi="宋体"/>
              </w:rPr>
              <w:t>处，有效容积1</w:t>
            </w:r>
            <w:r>
              <w:rPr>
                <w:rFonts w:hint="eastAsia"/>
              </w:rPr>
              <w:t>m</w:t>
            </w:r>
            <w:r>
              <w:rPr>
                <w:rFonts w:hint="eastAsia"/>
                <w:vertAlign w:val="superscript"/>
              </w:rPr>
              <w:t>3</w:t>
            </w:r>
            <w:r>
              <w:rPr>
                <w:rFonts w:hint="eastAsia" w:ascii="宋体" w:hAnsi="宋体"/>
              </w:rPr>
              <w:t>。</w:t>
            </w:r>
          </w:p>
        </w:tc>
        <w:tc>
          <w:tcPr>
            <w:tcW w:w="559" w:type="pct"/>
            <w:tcBorders>
              <w:top w:val="single" w:color="auto" w:sz="4" w:space="0"/>
              <w:left w:val="single" w:color="auto" w:sz="4" w:space="0"/>
              <w:bottom w:val="single" w:color="auto" w:sz="4" w:space="0"/>
              <w:right w:val="single" w:color="auto" w:sz="4" w:space="0"/>
            </w:tcBorders>
            <w:vAlign w:val="center"/>
          </w:tcPr>
          <w:p w14:paraId="12D47FB9">
            <w:pPr>
              <w:pStyle w:val="196"/>
            </w:pPr>
          </w:p>
        </w:tc>
      </w:tr>
      <w:tr w14:paraId="2D492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68785034">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6AA9D180">
            <w:pPr>
              <w:pStyle w:val="196"/>
            </w:pPr>
            <w:r>
              <w:rPr>
                <w:rFonts w:hint="eastAsia" w:ascii="宋体" w:hAnsi="宋体"/>
              </w:rPr>
              <w:t>船舶生活垃圾接收设施</w:t>
            </w:r>
          </w:p>
        </w:tc>
        <w:tc>
          <w:tcPr>
            <w:tcW w:w="3333" w:type="pct"/>
            <w:tcBorders>
              <w:top w:val="single" w:color="auto" w:sz="4" w:space="0"/>
              <w:left w:val="single" w:color="auto" w:sz="4" w:space="0"/>
              <w:bottom w:val="single" w:color="auto" w:sz="4" w:space="0"/>
              <w:right w:val="single" w:color="auto" w:sz="4" w:space="0"/>
            </w:tcBorders>
            <w:vAlign w:val="center"/>
          </w:tcPr>
          <w:p w14:paraId="0FD709F3">
            <w:pPr>
              <w:pStyle w:val="196"/>
            </w:pPr>
            <w:r>
              <w:rPr>
                <w:rFonts w:hint="eastAsia" w:ascii="宋体" w:hAnsi="宋体"/>
              </w:rPr>
              <w:t>在码头前沿设置船舶污染物接收柜</w:t>
            </w:r>
            <w:r>
              <w:t>1</w:t>
            </w:r>
            <w:r>
              <w:rPr>
                <w:rFonts w:hint="eastAsia" w:ascii="宋体" w:hAnsi="宋体"/>
              </w:rPr>
              <w:t>处，有效接收能力为</w:t>
            </w:r>
            <w:r>
              <w:rPr>
                <w:rFonts w:hint="eastAsia"/>
              </w:rPr>
              <w:t>2t</w:t>
            </w:r>
            <w:r>
              <w:rPr>
                <w:rFonts w:hint="eastAsia" w:ascii="宋体" w:hAnsi="宋体"/>
              </w:rPr>
              <w:t>。</w:t>
            </w:r>
          </w:p>
        </w:tc>
        <w:tc>
          <w:tcPr>
            <w:tcW w:w="559" w:type="pct"/>
            <w:tcBorders>
              <w:top w:val="single" w:color="auto" w:sz="4" w:space="0"/>
              <w:left w:val="single" w:color="auto" w:sz="4" w:space="0"/>
              <w:bottom w:val="single" w:color="auto" w:sz="4" w:space="0"/>
              <w:right w:val="single" w:color="auto" w:sz="4" w:space="0"/>
            </w:tcBorders>
            <w:vAlign w:val="center"/>
          </w:tcPr>
          <w:p w14:paraId="47A558B6">
            <w:pPr>
              <w:pStyle w:val="196"/>
            </w:pPr>
          </w:p>
        </w:tc>
      </w:tr>
      <w:tr w14:paraId="389EE8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6ABB260F">
            <w:pPr>
              <w:pStyle w:val="196"/>
            </w:pPr>
          </w:p>
        </w:tc>
        <w:tc>
          <w:tcPr>
            <w:tcW w:w="684" w:type="pct"/>
            <w:tcBorders>
              <w:top w:val="single" w:color="auto" w:sz="4" w:space="0"/>
              <w:left w:val="single" w:color="auto" w:sz="4" w:space="0"/>
              <w:bottom w:val="single" w:color="auto" w:sz="4" w:space="0"/>
              <w:right w:val="single" w:color="auto" w:sz="4" w:space="0"/>
            </w:tcBorders>
            <w:vAlign w:val="center"/>
          </w:tcPr>
          <w:p w14:paraId="28AFF633">
            <w:pPr>
              <w:pStyle w:val="196"/>
            </w:pPr>
            <w:r>
              <w:rPr>
                <w:rFonts w:hint="eastAsia"/>
              </w:rPr>
              <w:t>风险</w:t>
            </w:r>
          </w:p>
        </w:tc>
        <w:tc>
          <w:tcPr>
            <w:tcW w:w="3333" w:type="pct"/>
            <w:tcBorders>
              <w:top w:val="single" w:color="auto" w:sz="4" w:space="0"/>
              <w:left w:val="single" w:color="auto" w:sz="4" w:space="0"/>
              <w:bottom w:val="single" w:color="auto" w:sz="4" w:space="0"/>
              <w:right w:val="single" w:color="auto" w:sz="4" w:space="0"/>
            </w:tcBorders>
            <w:vAlign w:val="center"/>
          </w:tcPr>
          <w:p w14:paraId="0184D9D3">
            <w:pPr>
              <w:pStyle w:val="196"/>
            </w:pPr>
            <w:r>
              <w:rPr>
                <w:rFonts w:hint="eastAsia"/>
              </w:rPr>
              <w:t>设置围油栏、收油机、油拖网、吸油材料等</w:t>
            </w:r>
          </w:p>
        </w:tc>
        <w:tc>
          <w:tcPr>
            <w:tcW w:w="559" w:type="pct"/>
            <w:tcBorders>
              <w:top w:val="single" w:color="auto" w:sz="4" w:space="0"/>
              <w:left w:val="single" w:color="auto" w:sz="4" w:space="0"/>
              <w:bottom w:val="single" w:color="auto" w:sz="4" w:space="0"/>
              <w:right w:val="single" w:color="auto" w:sz="4" w:space="0"/>
            </w:tcBorders>
            <w:vAlign w:val="center"/>
          </w:tcPr>
          <w:p w14:paraId="60A51837">
            <w:pPr>
              <w:pStyle w:val="196"/>
            </w:pPr>
          </w:p>
        </w:tc>
      </w:tr>
      <w:tr w14:paraId="34E5E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restart"/>
            <w:tcBorders>
              <w:top w:val="single" w:color="auto" w:sz="4" w:space="0"/>
              <w:left w:val="single" w:color="auto" w:sz="4" w:space="0"/>
              <w:bottom w:val="single" w:color="auto" w:sz="4" w:space="0"/>
              <w:right w:val="single" w:color="auto" w:sz="4" w:space="0"/>
            </w:tcBorders>
            <w:vAlign w:val="center"/>
          </w:tcPr>
          <w:p w14:paraId="43465E02">
            <w:pPr>
              <w:pStyle w:val="196"/>
            </w:pPr>
            <w:r>
              <w:rPr>
                <w:rFonts w:hint="eastAsia"/>
              </w:rPr>
              <w:t>临时工程</w:t>
            </w:r>
          </w:p>
        </w:tc>
        <w:tc>
          <w:tcPr>
            <w:tcW w:w="684" w:type="pct"/>
            <w:vMerge w:val="restart"/>
            <w:tcBorders>
              <w:top w:val="single" w:color="auto" w:sz="4" w:space="0"/>
              <w:left w:val="single" w:color="auto" w:sz="4" w:space="0"/>
              <w:bottom w:val="single" w:color="auto" w:sz="4" w:space="0"/>
              <w:right w:val="single" w:color="auto" w:sz="4" w:space="0"/>
            </w:tcBorders>
            <w:vAlign w:val="center"/>
          </w:tcPr>
          <w:p w14:paraId="7D913B1B">
            <w:pPr>
              <w:pStyle w:val="196"/>
            </w:pPr>
            <w:r>
              <w:rPr>
                <w:rFonts w:hint="eastAsia"/>
              </w:rPr>
              <w:t>临时场地</w:t>
            </w:r>
          </w:p>
        </w:tc>
        <w:tc>
          <w:tcPr>
            <w:tcW w:w="3333" w:type="pct"/>
            <w:tcBorders>
              <w:top w:val="single" w:color="auto" w:sz="4" w:space="0"/>
              <w:left w:val="single" w:color="auto" w:sz="4" w:space="0"/>
              <w:bottom w:val="single" w:color="auto" w:sz="4" w:space="0"/>
              <w:right w:val="single" w:color="auto" w:sz="4" w:space="0"/>
            </w:tcBorders>
            <w:vAlign w:val="center"/>
          </w:tcPr>
          <w:p w14:paraId="4795667B">
            <w:pPr>
              <w:pStyle w:val="196"/>
            </w:pPr>
            <w:r>
              <w:rPr>
                <w:rFonts w:hint="eastAsia"/>
              </w:rPr>
              <w:t>临时疏浚水下土方堆场，占地面积约5000m</w:t>
            </w:r>
            <w:r>
              <w:rPr>
                <w:rFonts w:hint="eastAsia"/>
                <w:vertAlign w:val="superscript"/>
              </w:rPr>
              <w:t>2</w:t>
            </w:r>
            <w:r>
              <w:rPr>
                <w:rFonts w:hint="eastAsia"/>
              </w:rPr>
              <w:t>，围堰高4m，总容量约为3.5万方，位于国能涟水一期热电联产项目厂区空地处</w:t>
            </w:r>
          </w:p>
        </w:tc>
        <w:tc>
          <w:tcPr>
            <w:tcW w:w="559" w:type="pct"/>
            <w:tcBorders>
              <w:top w:val="single" w:color="auto" w:sz="4" w:space="0"/>
              <w:left w:val="single" w:color="auto" w:sz="4" w:space="0"/>
              <w:bottom w:val="single" w:color="auto" w:sz="4" w:space="0"/>
              <w:right w:val="single" w:color="auto" w:sz="4" w:space="0"/>
            </w:tcBorders>
            <w:vAlign w:val="center"/>
          </w:tcPr>
          <w:p w14:paraId="49895746">
            <w:pPr>
              <w:pStyle w:val="196"/>
            </w:pPr>
            <w:r>
              <w:rPr>
                <w:rFonts w:hint="eastAsia"/>
              </w:rPr>
              <w:t>依托</w:t>
            </w:r>
          </w:p>
        </w:tc>
      </w:tr>
      <w:tr w14:paraId="5783B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2448CFD">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4AE1BE3F">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514C45EF">
            <w:pPr>
              <w:pStyle w:val="196"/>
            </w:pPr>
            <w:r>
              <w:rPr>
                <w:rFonts w:hint="eastAsia"/>
              </w:rPr>
              <w:t>临时堆土场依托国能涟水一期热电联产项目施工临时堆场进行调配</w:t>
            </w:r>
          </w:p>
        </w:tc>
        <w:tc>
          <w:tcPr>
            <w:tcW w:w="559" w:type="pct"/>
            <w:tcBorders>
              <w:top w:val="single" w:color="auto" w:sz="4" w:space="0"/>
              <w:left w:val="single" w:color="auto" w:sz="4" w:space="0"/>
              <w:bottom w:val="single" w:color="auto" w:sz="4" w:space="0"/>
              <w:right w:val="single" w:color="auto" w:sz="4" w:space="0"/>
            </w:tcBorders>
            <w:vAlign w:val="center"/>
          </w:tcPr>
          <w:p w14:paraId="7623D3DD">
            <w:pPr>
              <w:pStyle w:val="196"/>
            </w:pPr>
            <w:r>
              <w:rPr>
                <w:rFonts w:hint="eastAsia"/>
              </w:rPr>
              <w:t>依托</w:t>
            </w:r>
          </w:p>
        </w:tc>
      </w:tr>
      <w:tr w14:paraId="06EBC5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721D021B">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5DE6C748">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7978108F">
            <w:pPr>
              <w:pStyle w:val="196"/>
            </w:pPr>
            <w:r>
              <w:rPr>
                <w:rFonts w:hint="eastAsia"/>
              </w:rPr>
              <w:t>施工营地依托国能涟水一期热电联产项目施工营地进行调配</w:t>
            </w:r>
          </w:p>
        </w:tc>
        <w:tc>
          <w:tcPr>
            <w:tcW w:w="559" w:type="pct"/>
            <w:tcBorders>
              <w:top w:val="single" w:color="auto" w:sz="4" w:space="0"/>
              <w:left w:val="single" w:color="auto" w:sz="4" w:space="0"/>
              <w:bottom w:val="single" w:color="auto" w:sz="4" w:space="0"/>
              <w:right w:val="single" w:color="auto" w:sz="4" w:space="0"/>
            </w:tcBorders>
            <w:vAlign w:val="center"/>
          </w:tcPr>
          <w:p w14:paraId="0E204460">
            <w:pPr>
              <w:pStyle w:val="196"/>
            </w:pPr>
            <w:r>
              <w:rPr>
                <w:rFonts w:hint="eastAsia"/>
              </w:rPr>
              <w:t>依托</w:t>
            </w:r>
          </w:p>
        </w:tc>
      </w:tr>
      <w:tr w14:paraId="16429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1DFB392A">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49CCBEF9">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4EC73192">
            <w:pPr>
              <w:pStyle w:val="196"/>
            </w:pPr>
            <w:r>
              <w:rPr>
                <w:rFonts w:hint="eastAsia"/>
              </w:rPr>
              <w:t>机械设备场地依托国能涟水一期热电联产项目施工机械设备场地进行调配</w:t>
            </w:r>
          </w:p>
        </w:tc>
        <w:tc>
          <w:tcPr>
            <w:tcW w:w="559" w:type="pct"/>
            <w:tcBorders>
              <w:top w:val="single" w:color="auto" w:sz="4" w:space="0"/>
              <w:left w:val="single" w:color="auto" w:sz="4" w:space="0"/>
              <w:bottom w:val="single" w:color="auto" w:sz="4" w:space="0"/>
              <w:right w:val="single" w:color="auto" w:sz="4" w:space="0"/>
            </w:tcBorders>
            <w:vAlign w:val="center"/>
          </w:tcPr>
          <w:p w14:paraId="4AC58315">
            <w:pPr>
              <w:pStyle w:val="196"/>
            </w:pPr>
            <w:r>
              <w:rPr>
                <w:rFonts w:hint="eastAsia"/>
              </w:rPr>
              <w:t>依托</w:t>
            </w:r>
          </w:p>
        </w:tc>
      </w:tr>
      <w:tr w14:paraId="16391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1481E089">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558F9E04">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01ADECC7">
            <w:pPr>
              <w:pStyle w:val="196"/>
            </w:pPr>
            <w:r>
              <w:rPr>
                <w:rFonts w:hint="eastAsia"/>
              </w:rPr>
              <w:t>施工材料堆放场所依托国能涟水一期热电联产项目施工材料堆放场地进行调配</w:t>
            </w:r>
          </w:p>
        </w:tc>
        <w:tc>
          <w:tcPr>
            <w:tcW w:w="559" w:type="pct"/>
            <w:tcBorders>
              <w:top w:val="single" w:color="auto" w:sz="4" w:space="0"/>
              <w:left w:val="single" w:color="auto" w:sz="4" w:space="0"/>
              <w:bottom w:val="single" w:color="auto" w:sz="4" w:space="0"/>
              <w:right w:val="single" w:color="auto" w:sz="4" w:space="0"/>
            </w:tcBorders>
            <w:vAlign w:val="center"/>
          </w:tcPr>
          <w:p w14:paraId="0861424C">
            <w:pPr>
              <w:pStyle w:val="196"/>
            </w:pPr>
            <w:r>
              <w:rPr>
                <w:rFonts w:hint="eastAsia"/>
              </w:rPr>
              <w:t>依托</w:t>
            </w:r>
          </w:p>
        </w:tc>
      </w:tr>
      <w:tr w14:paraId="6A247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26A79DC8">
            <w:pPr>
              <w:pStyle w:val="196"/>
            </w:pPr>
          </w:p>
        </w:tc>
        <w:tc>
          <w:tcPr>
            <w:tcW w:w="684" w:type="pct"/>
            <w:vMerge w:val="restart"/>
            <w:tcBorders>
              <w:top w:val="single" w:color="auto" w:sz="4" w:space="0"/>
              <w:left w:val="single" w:color="auto" w:sz="4" w:space="0"/>
              <w:bottom w:val="single" w:color="auto" w:sz="4" w:space="0"/>
              <w:right w:val="single" w:color="auto" w:sz="4" w:space="0"/>
            </w:tcBorders>
            <w:vAlign w:val="center"/>
          </w:tcPr>
          <w:p w14:paraId="075CBA32">
            <w:pPr>
              <w:pStyle w:val="196"/>
            </w:pPr>
            <w:r>
              <w:rPr>
                <w:rFonts w:hint="eastAsia"/>
              </w:rPr>
              <w:t>临时环保工程</w:t>
            </w:r>
          </w:p>
        </w:tc>
        <w:tc>
          <w:tcPr>
            <w:tcW w:w="3333" w:type="pct"/>
            <w:tcBorders>
              <w:top w:val="single" w:color="auto" w:sz="4" w:space="0"/>
              <w:left w:val="single" w:color="auto" w:sz="4" w:space="0"/>
              <w:bottom w:val="single" w:color="auto" w:sz="4" w:space="0"/>
              <w:right w:val="single" w:color="auto" w:sz="4" w:space="0"/>
            </w:tcBorders>
            <w:vAlign w:val="center"/>
          </w:tcPr>
          <w:p w14:paraId="0B5FB24C">
            <w:pPr>
              <w:pStyle w:val="196"/>
            </w:pPr>
            <w:r>
              <w:rPr>
                <w:rFonts w:hint="eastAsia"/>
              </w:rPr>
              <w:t>陆域施工生活污水依托国能涟水一期热电联产项目施工生活区临时生活污水处理站进行处理不排放，处理能力2m</w:t>
            </w:r>
            <w:r>
              <w:rPr>
                <w:rFonts w:hint="eastAsia"/>
                <w:vertAlign w:val="superscript"/>
              </w:rPr>
              <w:t>3</w:t>
            </w:r>
            <w:r>
              <w:rPr>
                <w:rFonts w:hint="eastAsia"/>
              </w:rPr>
              <w:t>/h</w:t>
            </w:r>
          </w:p>
        </w:tc>
        <w:tc>
          <w:tcPr>
            <w:tcW w:w="559" w:type="pct"/>
            <w:tcBorders>
              <w:top w:val="single" w:color="auto" w:sz="4" w:space="0"/>
              <w:left w:val="single" w:color="auto" w:sz="4" w:space="0"/>
              <w:bottom w:val="single" w:color="auto" w:sz="4" w:space="0"/>
              <w:right w:val="single" w:color="auto" w:sz="4" w:space="0"/>
            </w:tcBorders>
            <w:vAlign w:val="center"/>
          </w:tcPr>
          <w:p w14:paraId="7147CA30">
            <w:pPr>
              <w:pStyle w:val="196"/>
            </w:pPr>
            <w:r>
              <w:rPr>
                <w:rFonts w:hint="eastAsia"/>
              </w:rPr>
              <w:t>依托</w:t>
            </w:r>
          </w:p>
        </w:tc>
      </w:tr>
      <w:tr w14:paraId="4ECE6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4" w:type="pct"/>
            <w:vMerge w:val="continue"/>
            <w:tcBorders>
              <w:top w:val="single" w:color="auto" w:sz="4" w:space="0"/>
              <w:left w:val="single" w:color="auto" w:sz="4" w:space="0"/>
              <w:bottom w:val="single" w:color="auto" w:sz="4" w:space="0"/>
              <w:right w:val="single" w:color="auto" w:sz="4" w:space="0"/>
            </w:tcBorders>
            <w:vAlign w:val="center"/>
          </w:tcPr>
          <w:p w14:paraId="148DA6E7">
            <w:pPr>
              <w:pStyle w:val="196"/>
            </w:pPr>
          </w:p>
        </w:tc>
        <w:tc>
          <w:tcPr>
            <w:tcW w:w="684" w:type="pct"/>
            <w:vMerge w:val="continue"/>
            <w:tcBorders>
              <w:top w:val="single" w:color="auto" w:sz="4" w:space="0"/>
              <w:left w:val="single" w:color="auto" w:sz="4" w:space="0"/>
              <w:bottom w:val="single" w:color="auto" w:sz="4" w:space="0"/>
              <w:right w:val="single" w:color="auto" w:sz="4" w:space="0"/>
            </w:tcBorders>
            <w:vAlign w:val="center"/>
          </w:tcPr>
          <w:p w14:paraId="1948B19B">
            <w:pPr>
              <w:pStyle w:val="196"/>
            </w:pPr>
          </w:p>
        </w:tc>
        <w:tc>
          <w:tcPr>
            <w:tcW w:w="3333" w:type="pct"/>
            <w:tcBorders>
              <w:top w:val="single" w:color="auto" w:sz="4" w:space="0"/>
              <w:left w:val="single" w:color="auto" w:sz="4" w:space="0"/>
              <w:bottom w:val="single" w:color="auto" w:sz="4" w:space="0"/>
              <w:right w:val="single" w:color="auto" w:sz="4" w:space="0"/>
            </w:tcBorders>
            <w:vAlign w:val="center"/>
          </w:tcPr>
          <w:p w14:paraId="14D237F1">
            <w:pPr>
              <w:pStyle w:val="196"/>
            </w:pPr>
            <w:r>
              <w:rPr>
                <w:rFonts w:hint="eastAsia"/>
              </w:rPr>
              <w:t>依托国能涟水一期热电联产项目临时沉淀池，处理能力5m</w:t>
            </w:r>
            <w:r>
              <w:rPr>
                <w:rFonts w:hint="eastAsia"/>
                <w:vertAlign w:val="superscript"/>
              </w:rPr>
              <w:t>3</w:t>
            </w:r>
            <w:r>
              <w:rPr>
                <w:rFonts w:hint="eastAsia"/>
              </w:rPr>
              <w:t>/h，疏浚污泥余水经围堰、泄水口及后续沉淀池等预处理后，满足《污水综合排放标准》（GB8978-1996）表4一级标准后排入盐河</w:t>
            </w:r>
          </w:p>
        </w:tc>
        <w:tc>
          <w:tcPr>
            <w:tcW w:w="559" w:type="pct"/>
            <w:tcBorders>
              <w:top w:val="single" w:color="auto" w:sz="4" w:space="0"/>
              <w:left w:val="single" w:color="auto" w:sz="4" w:space="0"/>
              <w:bottom w:val="single" w:color="auto" w:sz="4" w:space="0"/>
              <w:right w:val="single" w:color="auto" w:sz="4" w:space="0"/>
            </w:tcBorders>
            <w:vAlign w:val="center"/>
          </w:tcPr>
          <w:p w14:paraId="5FB8C79B">
            <w:pPr>
              <w:pStyle w:val="196"/>
            </w:pPr>
            <w:r>
              <w:rPr>
                <w:rFonts w:hint="eastAsia"/>
              </w:rPr>
              <w:t>依托</w:t>
            </w:r>
          </w:p>
        </w:tc>
      </w:tr>
    </w:tbl>
    <w:p w14:paraId="3E89B681">
      <w:pPr>
        <w:ind w:firstLine="480"/>
      </w:pPr>
      <w:r>
        <w:rPr>
          <w:rFonts w:hint="eastAsia"/>
        </w:rPr>
        <w:t>本项目所使用的混凝土均为商品混凝土，水工构筑物及结构均为厂家预制，不在现场设置搅拌站、预制场等临时工程。</w:t>
      </w:r>
    </w:p>
    <w:p w14:paraId="2AEF47CC">
      <w:pPr>
        <w:pStyle w:val="86"/>
      </w:pPr>
      <w:bookmarkStart w:id="137" w:name="_Hlk182168153"/>
      <w:bookmarkStart w:id="138" w:name="_Hlk182168177"/>
      <w:r>
        <w:rPr>
          <w:rFonts w:hint="eastAsia"/>
        </w:rPr>
        <w:t>项目依托可行性分析</w:t>
      </w:r>
    </w:p>
    <w:bookmarkEnd w:id="137"/>
    <w:tbl>
      <w:tblPr>
        <w:tblStyle w:val="38"/>
        <w:tblW w:w="512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1"/>
        <w:gridCol w:w="1061"/>
        <w:gridCol w:w="3343"/>
        <w:gridCol w:w="2657"/>
        <w:gridCol w:w="837"/>
      </w:tblGrid>
      <w:tr w14:paraId="574F5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tblHeader/>
          <w:jc w:val="center"/>
        </w:trPr>
        <w:tc>
          <w:tcPr>
            <w:tcW w:w="476" w:type="pct"/>
            <w:vAlign w:val="center"/>
          </w:tcPr>
          <w:p w14:paraId="35D5DF0C">
            <w:pPr>
              <w:pStyle w:val="218"/>
              <w:rPr>
                <w:b/>
                <w:bCs/>
                <w:color w:val="auto"/>
              </w:rPr>
            </w:pPr>
            <w:r>
              <w:rPr>
                <w:rFonts w:hint="eastAsia"/>
                <w:b/>
                <w:bCs/>
                <w:color w:val="auto"/>
              </w:rPr>
              <w:t>类别</w:t>
            </w:r>
          </w:p>
        </w:tc>
        <w:tc>
          <w:tcPr>
            <w:tcW w:w="608" w:type="pct"/>
            <w:vAlign w:val="center"/>
          </w:tcPr>
          <w:p w14:paraId="68DAA97F">
            <w:pPr>
              <w:pStyle w:val="218"/>
              <w:rPr>
                <w:b/>
                <w:bCs/>
                <w:color w:val="auto"/>
              </w:rPr>
            </w:pPr>
            <w:r>
              <w:rPr>
                <w:rFonts w:hint="eastAsia"/>
                <w:b/>
                <w:bCs/>
                <w:color w:val="auto"/>
              </w:rPr>
              <w:t>依托工程内容</w:t>
            </w:r>
          </w:p>
        </w:tc>
        <w:tc>
          <w:tcPr>
            <w:tcW w:w="1915" w:type="pct"/>
            <w:vAlign w:val="center"/>
          </w:tcPr>
          <w:p w14:paraId="27A55AAF">
            <w:pPr>
              <w:pStyle w:val="218"/>
              <w:rPr>
                <w:b/>
                <w:bCs/>
                <w:color w:val="auto"/>
              </w:rPr>
            </w:pPr>
            <w:r>
              <w:rPr>
                <w:rFonts w:hint="eastAsia"/>
                <w:b/>
                <w:bCs/>
                <w:color w:val="auto"/>
              </w:rPr>
              <w:t>依托工程规模及建设情况</w:t>
            </w:r>
          </w:p>
        </w:tc>
        <w:tc>
          <w:tcPr>
            <w:tcW w:w="1522" w:type="pct"/>
            <w:vAlign w:val="center"/>
          </w:tcPr>
          <w:p w14:paraId="0D94B47C">
            <w:pPr>
              <w:pStyle w:val="218"/>
              <w:rPr>
                <w:b/>
                <w:bCs/>
                <w:color w:val="auto"/>
              </w:rPr>
            </w:pPr>
            <w:r>
              <w:rPr>
                <w:rFonts w:hint="eastAsia"/>
                <w:b/>
                <w:bCs/>
                <w:color w:val="auto"/>
              </w:rPr>
              <w:t>拟建项目依托情况</w:t>
            </w:r>
          </w:p>
        </w:tc>
        <w:tc>
          <w:tcPr>
            <w:tcW w:w="479" w:type="pct"/>
            <w:vAlign w:val="center"/>
          </w:tcPr>
          <w:p w14:paraId="1CDCA269">
            <w:pPr>
              <w:pStyle w:val="218"/>
              <w:rPr>
                <w:b/>
                <w:bCs/>
                <w:color w:val="auto"/>
              </w:rPr>
            </w:pPr>
            <w:r>
              <w:rPr>
                <w:rFonts w:hint="eastAsia"/>
                <w:b/>
                <w:bCs/>
                <w:color w:val="auto"/>
              </w:rPr>
              <w:t>是否可行</w:t>
            </w:r>
          </w:p>
        </w:tc>
      </w:tr>
      <w:tr w14:paraId="75037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vMerge w:val="restart"/>
            <w:vAlign w:val="center"/>
          </w:tcPr>
          <w:p w14:paraId="194F18D9">
            <w:pPr>
              <w:pStyle w:val="218"/>
              <w:rPr>
                <w:color w:val="auto"/>
              </w:rPr>
            </w:pPr>
            <w:r>
              <w:rPr>
                <w:rFonts w:hint="eastAsia"/>
                <w:color w:val="auto"/>
              </w:rPr>
              <w:t>废水处理</w:t>
            </w:r>
          </w:p>
        </w:tc>
        <w:tc>
          <w:tcPr>
            <w:tcW w:w="608" w:type="pct"/>
            <w:vAlign w:val="center"/>
          </w:tcPr>
          <w:p w14:paraId="0A78FED9">
            <w:pPr>
              <w:pStyle w:val="218"/>
              <w:rPr>
                <w:color w:val="auto"/>
              </w:rPr>
            </w:pPr>
            <w:r>
              <w:rPr>
                <w:rFonts w:hint="eastAsia"/>
                <w:color w:val="auto"/>
              </w:rPr>
              <w:t>3m</w:t>
            </w:r>
            <w:r>
              <w:rPr>
                <w:rFonts w:hint="eastAsia"/>
                <w:color w:val="auto"/>
                <w:vertAlign w:val="superscript"/>
              </w:rPr>
              <w:t>3</w:t>
            </w:r>
            <w:r>
              <w:rPr>
                <w:rFonts w:hint="eastAsia"/>
                <w:color w:val="auto"/>
              </w:rPr>
              <w:t>/d地埋式一体化生活污水处理站</w:t>
            </w:r>
          </w:p>
        </w:tc>
        <w:tc>
          <w:tcPr>
            <w:tcW w:w="1915" w:type="pct"/>
            <w:vAlign w:val="center"/>
          </w:tcPr>
          <w:p w14:paraId="5ED57F48">
            <w:pPr>
              <w:pStyle w:val="218"/>
              <w:rPr>
                <w:color w:val="auto"/>
              </w:rPr>
            </w:pPr>
            <w:r>
              <w:rPr>
                <w:rFonts w:hint="eastAsia" w:eastAsiaTheme="minorEastAsia"/>
                <w:color w:val="auto"/>
              </w:rPr>
              <w:t>热电项目生活污水量约2.3t/h（已考虑码头陆域和船舶生活污水，已在热电项目报告书中统一核算），新建1</w:t>
            </w:r>
            <w:r>
              <w:rPr>
                <w:rFonts w:eastAsiaTheme="minorEastAsia"/>
                <w:color w:val="auto"/>
              </w:rPr>
              <w:t>套处理能力为</w:t>
            </w:r>
            <w:r>
              <w:rPr>
                <w:rFonts w:hint="eastAsia" w:eastAsiaTheme="minorEastAsia"/>
                <w:color w:val="auto"/>
              </w:rPr>
              <w:t>3</w:t>
            </w:r>
            <w:r>
              <w:rPr>
                <w:rFonts w:eastAsiaTheme="minorEastAsia"/>
                <w:color w:val="auto"/>
              </w:rPr>
              <w:t>m</w:t>
            </w:r>
            <w:r>
              <w:rPr>
                <w:rFonts w:eastAsiaTheme="minorEastAsia"/>
                <w:color w:val="auto"/>
                <w:vertAlign w:val="superscript"/>
              </w:rPr>
              <w:t>3</w:t>
            </w:r>
            <w:r>
              <w:rPr>
                <w:rFonts w:eastAsiaTheme="minorEastAsia"/>
                <w:color w:val="auto"/>
              </w:rPr>
              <w:t>/h的地埋式一体化</w:t>
            </w:r>
            <w:r>
              <w:rPr>
                <w:rFonts w:hint="eastAsia" w:eastAsiaTheme="minorEastAsia"/>
                <w:color w:val="auto"/>
              </w:rPr>
              <w:t>生活</w:t>
            </w:r>
            <w:r>
              <w:rPr>
                <w:rFonts w:eastAsiaTheme="minorEastAsia"/>
                <w:color w:val="auto"/>
              </w:rPr>
              <w:t>污水处理装置，</w:t>
            </w:r>
            <w:r>
              <w:rPr>
                <w:rFonts w:hint="eastAsia" w:eastAsiaTheme="minorEastAsia"/>
                <w:color w:val="auto"/>
              </w:rPr>
              <w:t>设于厂区东北侧。</w:t>
            </w:r>
            <w:r>
              <w:rPr>
                <w:rFonts w:eastAsiaTheme="minorEastAsia"/>
                <w:color w:val="auto"/>
              </w:rPr>
              <w:t>主要处理工艺为二级生物接触氧化，经处理后的生活污水</w:t>
            </w:r>
            <w:r>
              <w:rPr>
                <w:rFonts w:hint="eastAsia" w:eastAsiaTheme="minorEastAsia"/>
                <w:color w:val="auto"/>
              </w:rPr>
              <w:t>回用于厂区绿化</w:t>
            </w:r>
            <w:r>
              <w:rPr>
                <w:rFonts w:eastAsiaTheme="minorEastAsia"/>
                <w:color w:val="auto"/>
              </w:rPr>
              <w:t>。</w:t>
            </w:r>
          </w:p>
        </w:tc>
        <w:tc>
          <w:tcPr>
            <w:tcW w:w="1522" w:type="pct"/>
            <w:vAlign w:val="center"/>
          </w:tcPr>
          <w:p w14:paraId="3F80CCB1">
            <w:pPr>
              <w:pStyle w:val="218"/>
              <w:rPr>
                <w:color w:val="auto"/>
              </w:rPr>
            </w:pPr>
            <w:r>
              <w:rPr>
                <w:rFonts w:hint="eastAsia"/>
                <w:color w:val="auto"/>
              </w:rPr>
              <w:t>船舶生活污水经岸上接收装置接收后接管至国能涟水一期热电联产项目厂区污水处理设施处理，陆域生活污水依托国能涟水一期热电联产项目厂区污水处理设施处理。</w:t>
            </w:r>
          </w:p>
        </w:tc>
        <w:tc>
          <w:tcPr>
            <w:tcW w:w="479" w:type="pct"/>
            <w:vAlign w:val="center"/>
          </w:tcPr>
          <w:p w14:paraId="4B396C7B">
            <w:pPr>
              <w:pStyle w:val="218"/>
              <w:rPr>
                <w:color w:val="auto"/>
              </w:rPr>
            </w:pPr>
            <w:r>
              <w:rPr>
                <w:rFonts w:hint="eastAsia"/>
                <w:color w:val="auto"/>
              </w:rPr>
              <w:t>可行</w:t>
            </w:r>
          </w:p>
        </w:tc>
      </w:tr>
      <w:tr w14:paraId="21A4E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vMerge w:val="continue"/>
            <w:vAlign w:val="center"/>
          </w:tcPr>
          <w:p w14:paraId="0F6B90F8">
            <w:pPr>
              <w:pStyle w:val="218"/>
              <w:rPr>
                <w:color w:val="auto"/>
              </w:rPr>
            </w:pPr>
          </w:p>
        </w:tc>
        <w:tc>
          <w:tcPr>
            <w:tcW w:w="608" w:type="pct"/>
            <w:vAlign w:val="center"/>
          </w:tcPr>
          <w:p w14:paraId="2CA53EBB">
            <w:pPr>
              <w:pStyle w:val="218"/>
              <w:rPr>
                <w:color w:val="auto"/>
              </w:rPr>
            </w:pPr>
            <w:r>
              <w:rPr>
                <w:rFonts w:hint="eastAsia"/>
                <w:color w:val="auto"/>
              </w:rPr>
              <w:t>初期雨水处理设施</w:t>
            </w:r>
          </w:p>
        </w:tc>
        <w:tc>
          <w:tcPr>
            <w:tcW w:w="1915" w:type="pct"/>
            <w:vAlign w:val="center"/>
          </w:tcPr>
          <w:p w14:paraId="5A644E18">
            <w:pPr>
              <w:pStyle w:val="218"/>
              <w:rPr>
                <w:rFonts w:eastAsiaTheme="minorEastAsia"/>
                <w:color w:val="auto"/>
              </w:rPr>
            </w:pPr>
            <w:r>
              <w:rPr>
                <w:rFonts w:hint="eastAsia" w:eastAsiaTheme="minorEastAsia"/>
                <w:color w:val="auto"/>
              </w:rPr>
              <w:t>设初期雨水收集池，</w:t>
            </w:r>
            <w:r>
              <w:rPr>
                <w:rFonts w:eastAsiaTheme="minorEastAsia"/>
                <w:color w:val="auto"/>
              </w:rPr>
              <w:t>容积约1500m</w:t>
            </w:r>
            <w:r>
              <w:rPr>
                <w:rFonts w:eastAsiaTheme="minorEastAsia"/>
                <w:color w:val="auto"/>
                <w:vertAlign w:val="superscript"/>
              </w:rPr>
              <w:t>3</w:t>
            </w:r>
            <w:r>
              <w:rPr>
                <w:rFonts w:hint="eastAsia" w:eastAsiaTheme="minorEastAsia"/>
                <w:color w:val="auto"/>
              </w:rPr>
              <w:t>，</w:t>
            </w:r>
            <w:r>
              <w:rPr>
                <w:rFonts w:eastAsiaTheme="minorEastAsia"/>
                <w:color w:val="auto"/>
              </w:rPr>
              <w:t>满足初期雨水量收集要求。</w:t>
            </w:r>
            <w:r>
              <w:rPr>
                <w:rFonts w:hint="eastAsia" w:eastAsiaTheme="minorEastAsia"/>
                <w:color w:val="auto"/>
              </w:rPr>
              <w:t>初期雨水设过滤装置，处理能力50t/h。</w:t>
            </w:r>
          </w:p>
        </w:tc>
        <w:tc>
          <w:tcPr>
            <w:tcW w:w="1522" w:type="pct"/>
            <w:vAlign w:val="center"/>
          </w:tcPr>
          <w:p w14:paraId="5514D778">
            <w:pPr>
              <w:pStyle w:val="218"/>
              <w:rPr>
                <w:color w:val="auto"/>
              </w:rPr>
            </w:pPr>
            <w:r>
              <w:rPr>
                <w:rFonts w:hint="eastAsia"/>
                <w:color w:val="auto"/>
              </w:rPr>
              <w:t>项目周围已铺设雨水导排系统，设置转换阀</w:t>
            </w:r>
          </w:p>
        </w:tc>
        <w:tc>
          <w:tcPr>
            <w:tcW w:w="479" w:type="pct"/>
            <w:vAlign w:val="center"/>
          </w:tcPr>
          <w:p w14:paraId="1B9AEDE3">
            <w:pPr>
              <w:pStyle w:val="218"/>
              <w:rPr>
                <w:color w:val="auto"/>
              </w:rPr>
            </w:pPr>
            <w:r>
              <w:rPr>
                <w:rFonts w:hint="eastAsia"/>
                <w:color w:val="auto"/>
              </w:rPr>
              <w:t>可行</w:t>
            </w:r>
          </w:p>
        </w:tc>
      </w:tr>
      <w:tr w14:paraId="6D5FB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vMerge w:val="continue"/>
            <w:vAlign w:val="center"/>
          </w:tcPr>
          <w:p w14:paraId="07B6FF0F">
            <w:pPr>
              <w:pStyle w:val="218"/>
              <w:rPr>
                <w:color w:val="auto"/>
              </w:rPr>
            </w:pPr>
          </w:p>
        </w:tc>
        <w:tc>
          <w:tcPr>
            <w:tcW w:w="608" w:type="pct"/>
            <w:vAlign w:val="center"/>
          </w:tcPr>
          <w:p w14:paraId="1263A25E">
            <w:pPr>
              <w:pStyle w:val="218"/>
              <w:rPr>
                <w:color w:val="auto"/>
              </w:rPr>
            </w:pPr>
            <w:r>
              <w:rPr>
                <w:rFonts w:hint="eastAsia"/>
                <w:color w:val="auto"/>
              </w:rPr>
              <w:t>含煤废水处理设施</w:t>
            </w:r>
          </w:p>
        </w:tc>
        <w:tc>
          <w:tcPr>
            <w:tcW w:w="1915" w:type="pct"/>
            <w:vAlign w:val="center"/>
          </w:tcPr>
          <w:p w14:paraId="1358A14E">
            <w:pPr>
              <w:pStyle w:val="218"/>
              <w:rPr>
                <w:rFonts w:eastAsiaTheme="minorEastAsia"/>
                <w:color w:val="auto"/>
              </w:rPr>
            </w:pPr>
            <w:r>
              <w:rPr>
                <w:rFonts w:hint="eastAsia"/>
                <w:color w:val="auto"/>
              </w:rPr>
              <w:t>热电项目含煤废水为10t/h，新建出力为20t/h的含煤废水处理装置。处理工艺为絮凝-沉淀-澄清-过滤。</w:t>
            </w:r>
          </w:p>
        </w:tc>
        <w:tc>
          <w:tcPr>
            <w:tcW w:w="1522" w:type="pct"/>
            <w:vAlign w:val="center"/>
          </w:tcPr>
          <w:p w14:paraId="4A30E6CE">
            <w:pPr>
              <w:pStyle w:val="218"/>
              <w:rPr>
                <w:color w:val="auto"/>
              </w:rPr>
            </w:pPr>
            <w:r>
              <w:rPr>
                <w:rFonts w:hint="eastAsia"/>
                <w:color w:val="auto"/>
              </w:rPr>
              <w:t>项目新增含煤废水量2.5t/h，富余处理量满足需求；经处理后全部回用于煤炭喷洒、栈桥冲洗</w:t>
            </w:r>
          </w:p>
        </w:tc>
        <w:tc>
          <w:tcPr>
            <w:tcW w:w="479" w:type="pct"/>
            <w:vAlign w:val="center"/>
          </w:tcPr>
          <w:p w14:paraId="511352E3">
            <w:pPr>
              <w:pStyle w:val="218"/>
              <w:rPr>
                <w:color w:val="auto"/>
              </w:rPr>
            </w:pPr>
            <w:r>
              <w:rPr>
                <w:rFonts w:hint="eastAsia"/>
                <w:color w:val="auto"/>
              </w:rPr>
              <w:t>可行</w:t>
            </w:r>
          </w:p>
        </w:tc>
      </w:tr>
      <w:tr w14:paraId="512A4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vMerge w:val="continue"/>
            <w:vAlign w:val="center"/>
          </w:tcPr>
          <w:p w14:paraId="21FD25FE">
            <w:pPr>
              <w:pStyle w:val="218"/>
              <w:rPr>
                <w:color w:val="auto"/>
              </w:rPr>
            </w:pPr>
          </w:p>
        </w:tc>
        <w:tc>
          <w:tcPr>
            <w:tcW w:w="608" w:type="pct"/>
            <w:vAlign w:val="center"/>
          </w:tcPr>
          <w:p w14:paraId="07A74DEE">
            <w:pPr>
              <w:pStyle w:val="218"/>
              <w:rPr>
                <w:color w:val="auto"/>
              </w:rPr>
            </w:pPr>
            <w:r>
              <w:rPr>
                <w:rFonts w:hint="eastAsia"/>
                <w:color w:val="auto"/>
              </w:rPr>
              <w:t>含油废水处理设施</w:t>
            </w:r>
          </w:p>
        </w:tc>
        <w:tc>
          <w:tcPr>
            <w:tcW w:w="1915" w:type="pct"/>
            <w:vAlign w:val="center"/>
          </w:tcPr>
          <w:p w14:paraId="38654FF8">
            <w:pPr>
              <w:pStyle w:val="218"/>
              <w:rPr>
                <w:color w:val="auto"/>
              </w:rPr>
            </w:pPr>
            <w:r>
              <w:rPr>
                <w:rFonts w:hint="eastAsia"/>
                <w:color w:val="auto"/>
              </w:rPr>
              <w:t>热电项目</w:t>
            </w:r>
            <w:r>
              <w:rPr>
                <w:color w:val="auto"/>
              </w:rPr>
              <w:t>设1座</w:t>
            </w:r>
            <w:r>
              <w:rPr>
                <w:rFonts w:hint="eastAsia"/>
                <w:color w:val="auto"/>
              </w:rPr>
              <w:t>280m</w:t>
            </w:r>
            <w:r>
              <w:rPr>
                <w:rFonts w:hint="eastAsia"/>
                <w:color w:val="auto"/>
                <w:vertAlign w:val="superscript"/>
              </w:rPr>
              <w:t>3</w:t>
            </w:r>
            <w:r>
              <w:rPr>
                <w:color w:val="auto"/>
              </w:rPr>
              <w:t>的事故油池，用以接纳柴油罐区初期雨水以及变压器事故状态下排油</w:t>
            </w:r>
            <w:r>
              <w:rPr>
                <w:rFonts w:hint="eastAsia"/>
                <w:color w:val="auto"/>
              </w:rPr>
              <w:t>，配套油水分离装置。</w:t>
            </w:r>
            <w:r>
              <w:rPr>
                <w:color w:val="auto"/>
              </w:rPr>
              <w:t>油与水在事故油池内分离后，水排入</w:t>
            </w:r>
            <w:r>
              <w:rPr>
                <w:rFonts w:hint="eastAsia"/>
                <w:color w:val="auto"/>
              </w:rPr>
              <w:t>回用水池。含油废水约29 m</w:t>
            </w:r>
            <w:r>
              <w:rPr>
                <w:color w:val="auto"/>
                <w:vertAlign w:val="superscript"/>
              </w:rPr>
              <w:t>3</w:t>
            </w:r>
            <w:r>
              <w:rPr>
                <w:color w:val="auto"/>
              </w:rPr>
              <w:t>/次</w:t>
            </w:r>
            <w:r>
              <w:rPr>
                <w:rFonts w:hint="eastAsia"/>
                <w:color w:val="auto"/>
              </w:rPr>
              <w:t>（事故排油）</w:t>
            </w:r>
          </w:p>
        </w:tc>
        <w:tc>
          <w:tcPr>
            <w:tcW w:w="1522" w:type="pct"/>
            <w:vAlign w:val="center"/>
          </w:tcPr>
          <w:p w14:paraId="51381044">
            <w:pPr>
              <w:pStyle w:val="218"/>
              <w:rPr>
                <w:color w:val="auto"/>
              </w:rPr>
            </w:pPr>
            <w:r>
              <w:rPr>
                <w:rFonts w:hint="eastAsia"/>
                <w:color w:val="auto"/>
              </w:rPr>
              <w:t>根据生态环境部《关于事故应急池建设方式及容积计算问题的回复》（</w:t>
            </w:r>
            <w:r>
              <w:rPr>
                <w:color w:val="auto"/>
              </w:rPr>
              <w:t>2021</w:t>
            </w:r>
            <w:r>
              <w:rPr>
                <w:rFonts w:hint="eastAsia"/>
                <w:color w:val="auto"/>
              </w:rPr>
              <w:t>年</w:t>
            </w:r>
            <w:r>
              <w:rPr>
                <w:color w:val="auto"/>
              </w:rPr>
              <w:t>5</w:t>
            </w:r>
            <w:r>
              <w:rPr>
                <w:rFonts w:hint="eastAsia"/>
                <w:color w:val="auto"/>
              </w:rPr>
              <w:t>月</w:t>
            </w:r>
            <w:r>
              <w:rPr>
                <w:color w:val="auto"/>
              </w:rPr>
              <w:t>24</w:t>
            </w:r>
            <w:r>
              <w:rPr>
                <w:rFonts w:hint="eastAsia"/>
                <w:color w:val="auto"/>
              </w:rPr>
              <w:t>日）“关于事故应急池是否可以兼用，目前尚无明确规定”。热电项目设置了</w:t>
            </w:r>
            <w:r>
              <w:rPr>
                <w:color w:val="auto"/>
              </w:rPr>
              <w:t>1座</w:t>
            </w:r>
            <w:r>
              <w:rPr>
                <w:rFonts w:hint="eastAsia"/>
                <w:color w:val="auto"/>
              </w:rPr>
              <w:t>280m</w:t>
            </w:r>
            <w:r>
              <w:rPr>
                <w:rFonts w:hint="eastAsia"/>
                <w:color w:val="auto"/>
                <w:vertAlign w:val="superscript"/>
              </w:rPr>
              <w:t>3</w:t>
            </w:r>
            <w:r>
              <w:rPr>
                <w:color w:val="auto"/>
              </w:rPr>
              <w:t>的事故油池</w:t>
            </w:r>
            <w:r>
              <w:rPr>
                <w:rFonts w:hint="eastAsia"/>
                <w:color w:val="auto"/>
              </w:rPr>
              <w:t>，兼做柴油罐区初期雨水池，主要是考虑变压器事故排油和柴油罐区均会产生含油废水，是为便于含油废水的统一处理。在满足变压器一次最大事故排油及含油废水和柴油罐区初期雨水最大产</w:t>
            </w:r>
            <w:r>
              <w:rPr>
                <w:rFonts w:hint="eastAsia"/>
                <w:color w:val="auto"/>
                <w:lang w:eastAsia="zh-CN"/>
              </w:rPr>
              <w:t>生</w:t>
            </w:r>
            <w:r>
              <w:rPr>
                <w:rFonts w:hint="eastAsia"/>
                <w:color w:val="auto"/>
              </w:rPr>
              <w:t>量暂存的情况，可以兼用。根据《火力发电厂与变电所设计防火规范》（GB 50229-2019）“</w:t>
            </w:r>
            <w:r>
              <w:rPr>
                <w:color w:val="auto"/>
              </w:rPr>
              <w:t xml:space="preserve">6.7.8 </w:t>
            </w:r>
            <w:r>
              <w:rPr>
                <w:rFonts w:hint="eastAsia"/>
                <w:color w:val="auto"/>
              </w:rPr>
              <w:t>总事故贮油池的容量应按其接入的油量最大的一台设备确定，并设置油水分离装置。”热电项目变压器为110kv变电站变压器，最大额定容量50000kVA的，单台用油量为7.73吨，考虑事故情况下的消防废水，含油废水约29 m</w:t>
            </w:r>
            <w:r>
              <w:rPr>
                <w:color w:val="auto"/>
                <w:vertAlign w:val="superscript"/>
              </w:rPr>
              <w:t>3</w:t>
            </w:r>
            <w:r>
              <w:rPr>
                <w:color w:val="auto"/>
              </w:rPr>
              <w:t>/次</w:t>
            </w:r>
            <w:r>
              <w:rPr>
                <w:rFonts w:hint="eastAsia"/>
                <w:color w:val="auto"/>
              </w:rPr>
              <w:t>（事故排油），事故油池</w:t>
            </w:r>
            <w:r>
              <w:rPr>
                <w:rFonts w:hint="eastAsia"/>
                <w:color w:val="auto"/>
                <w:lang w:eastAsia="zh-CN"/>
              </w:rPr>
              <w:t>富余</w:t>
            </w:r>
            <w:r>
              <w:rPr>
                <w:rFonts w:hint="eastAsia"/>
                <w:color w:val="auto"/>
              </w:rPr>
              <w:t>251立方容量。柴油罐区围堰面积900m</w:t>
            </w:r>
            <w:r>
              <w:rPr>
                <w:rFonts w:hint="eastAsia"/>
                <w:color w:val="auto"/>
                <w:vertAlign w:val="superscript"/>
              </w:rPr>
              <w:t>2</w:t>
            </w:r>
            <w:r>
              <w:rPr>
                <w:rFonts w:hint="eastAsia"/>
                <w:color w:val="auto"/>
              </w:rPr>
              <w:t>，按照一次降雨的30mm厚度雨量，计算得柴油罐区初期雨水量为27 m</w:t>
            </w:r>
            <w:r>
              <w:rPr>
                <w:color w:val="auto"/>
                <w:vertAlign w:val="superscript"/>
              </w:rPr>
              <w:t>3</w:t>
            </w:r>
            <w:r>
              <w:rPr>
                <w:color w:val="auto"/>
              </w:rPr>
              <w:t>/次</w:t>
            </w:r>
            <w:r>
              <w:rPr>
                <w:rFonts w:hint="eastAsia"/>
                <w:color w:val="auto"/>
              </w:rPr>
              <w:t>，事故油池</w:t>
            </w:r>
            <w:r>
              <w:rPr>
                <w:rFonts w:hint="eastAsia"/>
                <w:color w:val="auto"/>
                <w:lang w:eastAsia="zh-CN"/>
              </w:rPr>
              <w:t>富余</w:t>
            </w:r>
            <w:r>
              <w:rPr>
                <w:rFonts w:hint="eastAsia"/>
                <w:color w:val="auto"/>
              </w:rPr>
              <w:t>容量能够满足柴油罐区初期雨水容纳需求。</w:t>
            </w:r>
          </w:p>
          <w:p w14:paraId="21B9B2E4">
            <w:pPr>
              <w:pStyle w:val="218"/>
              <w:rPr>
                <w:color w:val="auto"/>
              </w:rPr>
            </w:pPr>
            <w:r>
              <w:rPr>
                <w:rFonts w:hint="eastAsia"/>
                <w:color w:val="auto"/>
              </w:rPr>
              <w:t>本项目新增含油废水0.</w:t>
            </w:r>
            <w:r>
              <w:rPr>
                <w:color w:val="auto"/>
              </w:rPr>
              <w:t>6m</w:t>
            </w:r>
            <w:r>
              <w:rPr>
                <w:color w:val="auto"/>
                <w:vertAlign w:val="superscript"/>
              </w:rPr>
              <w:t>3</w:t>
            </w:r>
            <w:r>
              <w:rPr>
                <w:color w:val="auto"/>
              </w:rPr>
              <w:t>/d</w:t>
            </w:r>
            <w:r>
              <w:rPr>
                <w:rFonts w:hint="eastAsia"/>
                <w:color w:val="auto"/>
              </w:rPr>
              <w:t>，富余处理量满足需求，经处理后至回用水池回用</w:t>
            </w:r>
          </w:p>
        </w:tc>
        <w:tc>
          <w:tcPr>
            <w:tcW w:w="479" w:type="pct"/>
            <w:vAlign w:val="center"/>
          </w:tcPr>
          <w:p w14:paraId="6C10877A">
            <w:pPr>
              <w:pStyle w:val="218"/>
              <w:rPr>
                <w:color w:val="auto"/>
              </w:rPr>
            </w:pPr>
            <w:r>
              <w:rPr>
                <w:rFonts w:hint="eastAsia"/>
                <w:color w:val="auto"/>
              </w:rPr>
              <w:t>可行</w:t>
            </w:r>
          </w:p>
        </w:tc>
      </w:tr>
      <w:tr w14:paraId="05154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tcBorders>
              <w:top w:val="single" w:color="auto" w:sz="4" w:space="0"/>
              <w:bottom w:val="single" w:color="auto" w:sz="4" w:space="0"/>
            </w:tcBorders>
            <w:vAlign w:val="center"/>
          </w:tcPr>
          <w:p w14:paraId="5E9C9B64">
            <w:pPr>
              <w:pStyle w:val="218"/>
              <w:rPr>
                <w:color w:val="auto"/>
              </w:rPr>
            </w:pPr>
            <w:r>
              <w:rPr>
                <w:rFonts w:hint="eastAsia"/>
                <w:color w:val="auto"/>
              </w:rPr>
              <w:t>固体废物暂存及处置</w:t>
            </w:r>
          </w:p>
        </w:tc>
        <w:tc>
          <w:tcPr>
            <w:tcW w:w="608" w:type="pct"/>
            <w:vAlign w:val="center"/>
          </w:tcPr>
          <w:p w14:paraId="390242C4">
            <w:pPr>
              <w:pStyle w:val="218"/>
              <w:rPr>
                <w:color w:val="auto"/>
              </w:rPr>
            </w:pPr>
            <w:r>
              <w:rPr>
                <w:rFonts w:hint="eastAsia"/>
                <w:color w:val="auto"/>
                <w:kern w:val="0"/>
              </w:rPr>
              <w:t>危废仓库</w:t>
            </w:r>
          </w:p>
        </w:tc>
        <w:tc>
          <w:tcPr>
            <w:tcW w:w="1915" w:type="pct"/>
            <w:vAlign w:val="center"/>
          </w:tcPr>
          <w:p w14:paraId="26C82136">
            <w:pPr>
              <w:pStyle w:val="218"/>
              <w:rPr>
                <w:color w:val="auto"/>
              </w:rPr>
            </w:pPr>
            <w:r>
              <w:rPr>
                <w:rFonts w:hint="eastAsia"/>
                <w:color w:val="auto"/>
              </w:rPr>
              <w:t>热电项目建设危废库占地约50m</w:t>
            </w:r>
            <w:r>
              <w:rPr>
                <w:rFonts w:hint="eastAsia"/>
                <w:color w:val="auto"/>
                <w:vertAlign w:val="superscript"/>
              </w:rPr>
              <w:t>2</w:t>
            </w:r>
            <w:r>
              <w:rPr>
                <w:rFonts w:hint="eastAsia"/>
                <w:color w:val="auto"/>
              </w:rPr>
              <w:t>，按照相关规范进行建设</w:t>
            </w:r>
          </w:p>
        </w:tc>
        <w:tc>
          <w:tcPr>
            <w:tcW w:w="1522" w:type="pct"/>
            <w:vAlign w:val="center"/>
          </w:tcPr>
          <w:p w14:paraId="66AEDD72">
            <w:pPr>
              <w:pStyle w:val="218"/>
              <w:rPr>
                <w:color w:val="auto"/>
              </w:rPr>
            </w:pPr>
            <w:r>
              <w:rPr>
                <w:rFonts w:hint="eastAsia"/>
                <w:color w:val="auto"/>
              </w:rPr>
              <w:t>根据危废属性分区存放，空间满足转移频次要求</w:t>
            </w:r>
          </w:p>
        </w:tc>
        <w:tc>
          <w:tcPr>
            <w:tcW w:w="479" w:type="pct"/>
            <w:vAlign w:val="center"/>
          </w:tcPr>
          <w:p w14:paraId="5D724D88">
            <w:pPr>
              <w:pStyle w:val="218"/>
              <w:rPr>
                <w:color w:val="auto"/>
              </w:rPr>
            </w:pPr>
            <w:r>
              <w:rPr>
                <w:rFonts w:hint="eastAsia"/>
                <w:color w:val="auto"/>
              </w:rPr>
              <w:t>可行</w:t>
            </w:r>
          </w:p>
        </w:tc>
      </w:tr>
      <w:tr w14:paraId="00D7F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tcBorders>
              <w:top w:val="single" w:color="auto" w:sz="4" w:space="0"/>
              <w:bottom w:val="single" w:color="auto" w:sz="4" w:space="0"/>
            </w:tcBorders>
            <w:vAlign w:val="center"/>
          </w:tcPr>
          <w:p w14:paraId="1BA72DDC">
            <w:pPr>
              <w:pStyle w:val="218"/>
              <w:rPr>
                <w:color w:val="auto"/>
              </w:rPr>
            </w:pPr>
            <w:r>
              <w:rPr>
                <w:rFonts w:hint="eastAsia"/>
                <w:color w:val="auto"/>
              </w:rPr>
              <w:t>环境风险</w:t>
            </w:r>
          </w:p>
        </w:tc>
        <w:tc>
          <w:tcPr>
            <w:tcW w:w="608" w:type="pct"/>
            <w:vAlign w:val="center"/>
          </w:tcPr>
          <w:p w14:paraId="77971674">
            <w:pPr>
              <w:pStyle w:val="218"/>
              <w:rPr>
                <w:color w:val="auto"/>
              </w:rPr>
            </w:pPr>
            <w:r>
              <w:rPr>
                <w:rFonts w:hint="eastAsia"/>
                <w:color w:val="auto"/>
              </w:rPr>
              <w:t>事故水池</w:t>
            </w:r>
          </w:p>
        </w:tc>
        <w:tc>
          <w:tcPr>
            <w:tcW w:w="1915" w:type="pct"/>
            <w:vAlign w:val="center"/>
          </w:tcPr>
          <w:p w14:paraId="7A454F8E">
            <w:pPr>
              <w:pStyle w:val="218"/>
              <w:rPr>
                <w:color w:val="auto"/>
              </w:rPr>
            </w:pPr>
            <w:r>
              <w:rPr>
                <w:rFonts w:hint="eastAsia" w:eastAsiaTheme="minorEastAsia"/>
                <w:color w:val="auto"/>
              </w:rPr>
              <w:t>厂区设事故应急水池1座，设计有效容积1500m</w:t>
            </w:r>
            <w:r>
              <w:rPr>
                <w:rFonts w:hint="eastAsia" w:eastAsiaTheme="minorEastAsia"/>
                <w:color w:val="auto"/>
                <w:vertAlign w:val="superscript"/>
              </w:rPr>
              <w:t>3</w:t>
            </w:r>
            <w:r>
              <w:rPr>
                <w:rFonts w:hint="eastAsia" w:eastAsiaTheme="minorEastAsia"/>
                <w:color w:val="auto"/>
              </w:rPr>
              <w:t>，满足事故应急需要</w:t>
            </w:r>
          </w:p>
        </w:tc>
        <w:tc>
          <w:tcPr>
            <w:tcW w:w="1522" w:type="pct"/>
            <w:vAlign w:val="center"/>
          </w:tcPr>
          <w:p w14:paraId="5009FEAF">
            <w:pPr>
              <w:pStyle w:val="218"/>
              <w:rPr>
                <w:color w:val="auto"/>
              </w:rPr>
            </w:pPr>
            <w:r>
              <w:rPr>
                <w:rFonts w:hint="eastAsia"/>
                <w:color w:val="auto"/>
              </w:rPr>
              <w:t>项目周围已铺设事故水导排系统</w:t>
            </w:r>
          </w:p>
        </w:tc>
        <w:tc>
          <w:tcPr>
            <w:tcW w:w="479" w:type="pct"/>
            <w:vAlign w:val="center"/>
          </w:tcPr>
          <w:p w14:paraId="2A7C6268">
            <w:pPr>
              <w:pStyle w:val="218"/>
              <w:rPr>
                <w:color w:val="auto"/>
              </w:rPr>
            </w:pPr>
            <w:r>
              <w:rPr>
                <w:rFonts w:hint="eastAsia"/>
                <w:color w:val="auto"/>
              </w:rPr>
              <w:t>可行</w:t>
            </w:r>
          </w:p>
        </w:tc>
      </w:tr>
      <w:tr w14:paraId="0FFC8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84" w:hRule="atLeast"/>
          <w:jc w:val="center"/>
        </w:trPr>
        <w:tc>
          <w:tcPr>
            <w:tcW w:w="476" w:type="pct"/>
            <w:tcBorders>
              <w:top w:val="single" w:color="auto" w:sz="4" w:space="0"/>
              <w:bottom w:val="single" w:color="auto" w:sz="4" w:space="0"/>
            </w:tcBorders>
            <w:vAlign w:val="center"/>
          </w:tcPr>
          <w:p w14:paraId="7891A5FA">
            <w:pPr>
              <w:pStyle w:val="218"/>
              <w:rPr>
                <w:color w:val="auto"/>
              </w:rPr>
            </w:pPr>
            <w:r>
              <w:rPr>
                <w:rFonts w:hint="eastAsia"/>
                <w:color w:val="auto"/>
              </w:rPr>
              <w:t>辅助工程</w:t>
            </w:r>
          </w:p>
        </w:tc>
        <w:tc>
          <w:tcPr>
            <w:tcW w:w="608" w:type="pct"/>
            <w:vAlign w:val="center"/>
          </w:tcPr>
          <w:p w14:paraId="06996302">
            <w:pPr>
              <w:pStyle w:val="218"/>
              <w:rPr>
                <w:color w:val="auto"/>
              </w:rPr>
            </w:pPr>
            <w:r>
              <w:rPr>
                <w:rFonts w:hint="eastAsia"/>
                <w:color w:val="auto"/>
              </w:rPr>
              <w:t>供水系统</w:t>
            </w:r>
          </w:p>
        </w:tc>
        <w:tc>
          <w:tcPr>
            <w:tcW w:w="1915" w:type="pct"/>
            <w:vAlign w:val="center"/>
          </w:tcPr>
          <w:p w14:paraId="4577F40E">
            <w:pPr>
              <w:pStyle w:val="218"/>
              <w:rPr>
                <w:color w:val="auto"/>
              </w:rPr>
            </w:pPr>
            <w:r>
              <w:rPr>
                <w:rFonts w:hint="eastAsia"/>
                <w:color w:val="auto"/>
              </w:rPr>
              <w:t>机组冷却水水源：盐河河水。生活水采用市政自来水；工业水、消防水采用经净水站处理后的盐河河水。电厂本期平均需水量约为305.61m</w:t>
            </w:r>
            <w:r>
              <w:rPr>
                <w:rFonts w:hint="eastAsia"/>
                <w:color w:val="auto"/>
                <w:vertAlign w:val="superscript"/>
              </w:rPr>
              <w:t>3</w:t>
            </w:r>
            <w:r>
              <w:rPr>
                <w:rFonts w:hint="eastAsia"/>
                <w:color w:val="auto"/>
              </w:rPr>
              <w:t>/h，其中含7.3m</w:t>
            </w:r>
            <w:r>
              <w:rPr>
                <w:rFonts w:hint="eastAsia"/>
                <w:color w:val="auto"/>
                <w:vertAlign w:val="superscript"/>
              </w:rPr>
              <w:t>3</w:t>
            </w:r>
            <w:r>
              <w:rPr>
                <w:rFonts w:hint="eastAsia"/>
                <w:color w:val="auto"/>
              </w:rPr>
              <w:t>/h生活用水。</w:t>
            </w:r>
          </w:p>
        </w:tc>
        <w:tc>
          <w:tcPr>
            <w:tcW w:w="1522" w:type="pct"/>
            <w:vAlign w:val="center"/>
          </w:tcPr>
          <w:p w14:paraId="25DA9CFF">
            <w:pPr>
              <w:pStyle w:val="218"/>
              <w:rPr>
                <w:color w:val="auto"/>
              </w:rPr>
            </w:pPr>
            <w:r>
              <w:rPr>
                <w:rFonts w:hint="eastAsia"/>
                <w:bCs/>
                <w:color w:val="auto"/>
              </w:rPr>
              <w:t>项目用水需求量为</w:t>
            </w:r>
            <w:r>
              <w:rPr>
                <w:rFonts w:hint="eastAsia"/>
                <w:color w:val="auto"/>
              </w:rPr>
              <w:t>12</w:t>
            </w:r>
            <w:r>
              <w:rPr>
                <w:rFonts w:hint="eastAsia"/>
                <w:bCs/>
                <w:color w:val="auto"/>
              </w:rPr>
              <w:t>m</w:t>
            </w:r>
            <w:r>
              <w:rPr>
                <w:rFonts w:hint="eastAsia"/>
                <w:bCs/>
                <w:color w:val="auto"/>
                <w:vertAlign w:val="superscript"/>
              </w:rPr>
              <w:t>3</w:t>
            </w:r>
            <w:r>
              <w:rPr>
                <w:rFonts w:hint="eastAsia"/>
                <w:bCs/>
                <w:color w:val="auto"/>
              </w:rPr>
              <w:t>/h，余量可满足使用需求</w:t>
            </w:r>
          </w:p>
        </w:tc>
        <w:tc>
          <w:tcPr>
            <w:tcW w:w="479" w:type="pct"/>
            <w:vAlign w:val="center"/>
          </w:tcPr>
          <w:p w14:paraId="4EC5A94B">
            <w:pPr>
              <w:pStyle w:val="218"/>
              <w:rPr>
                <w:color w:val="auto"/>
              </w:rPr>
            </w:pPr>
            <w:r>
              <w:rPr>
                <w:rFonts w:hint="eastAsia"/>
                <w:color w:val="auto"/>
              </w:rPr>
              <w:t>可行</w:t>
            </w:r>
          </w:p>
        </w:tc>
      </w:tr>
      <w:bookmarkEnd w:id="138"/>
    </w:tbl>
    <w:p w14:paraId="4F5D33C6">
      <w:pPr>
        <w:pStyle w:val="82"/>
      </w:pPr>
      <w:r>
        <w:rPr>
          <w:rFonts w:hint="eastAsia"/>
        </w:rPr>
        <w:t>主要经济技术指标</w:t>
      </w:r>
    </w:p>
    <w:p w14:paraId="45980EA4">
      <w:pPr>
        <w:pStyle w:val="86"/>
      </w:pPr>
      <w:r>
        <w:rPr>
          <w:rFonts w:hint="eastAsia"/>
        </w:rPr>
        <w:t>本项目主要技术经济指标情况表</w:t>
      </w:r>
    </w:p>
    <w:tbl>
      <w:tblPr>
        <w:tblStyle w:val="38"/>
        <w:tblW w:w="5000" w:type="pct"/>
        <w:tblInd w:w="0" w:type="dxa"/>
        <w:tblLayout w:type="autofit"/>
        <w:tblCellMar>
          <w:top w:w="0" w:type="dxa"/>
          <w:left w:w="108" w:type="dxa"/>
          <w:bottom w:w="0" w:type="dxa"/>
          <w:right w:w="108" w:type="dxa"/>
        </w:tblCellMar>
      </w:tblPr>
      <w:tblGrid>
        <w:gridCol w:w="1293"/>
        <w:gridCol w:w="2347"/>
        <w:gridCol w:w="1294"/>
        <w:gridCol w:w="1294"/>
        <w:gridCol w:w="2293"/>
      </w:tblGrid>
      <w:tr w14:paraId="2C04BBC1">
        <w:tblPrEx>
          <w:tblCellMar>
            <w:top w:w="0" w:type="dxa"/>
            <w:left w:w="108" w:type="dxa"/>
            <w:bottom w:w="0" w:type="dxa"/>
            <w:right w:w="108" w:type="dxa"/>
          </w:tblCellMar>
        </w:tblPrEx>
        <w:trPr>
          <w:trHeight w:val="20" w:hRule="atLeast"/>
          <w:tblHeader/>
        </w:trPr>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14:paraId="75769001">
            <w:pPr>
              <w:pStyle w:val="196"/>
              <w:rPr>
                <w:b/>
                <w:bCs/>
              </w:rPr>
            </w:pPr>
            <w:r>
              <w:rPr>
                <w:rFonts w:hint="eastAsia"/>
                <w:b/>
                <w:bCs/>
              </w:rPr>
              <w:t>序号</w:t>
            </w:r>
          </w:p>
        </w:tc>
        <w:tc>
          <w:tcPr>
            <w:tcW w:w="1377" w:type="pct"/>
            <w:tcBorders>
              <w:top w:val="single" w:color="auto" w:sz="4" w:space="0"/>
              <w:left w:val="nil"/>
              <w:bottom w:val="single" w:color="auto" w:sz="4" w:space="0"/>
              <w:right w:val="single" w:color="auto" w:sz="4" w:space="0"/>
            </w:tcBorders>
            <w:shd w:val="clear" w:color="auto" w:fill="auto"/>
            <w:vAlign w:val="center"/>
          </w:tcPr>
          <w:p w14:paraId="607F5BD1">
            <w:pPr>
              <w:pStyle w:val="196"/>
              <w:rPr>
                <w:b/>
                <w:bCs/>
              </w:rPr>
            </w:pPr>
            <w:r>
              <w:rPr>
                <w:rFonts w:hint="eastAsia"/>
                <w:b/>
                <w:bCs/>
              </w:rPr>
              <w:t>项</w:t>
            </w:r>
            <w:r>
              <w:rPr>
                <w:rFonts w:cs="Times New Roman"/>
                <w:b/>
                <w:bCs/>
              </w:rPr>
              <w:t xml:space="preserve">   </w:t>
            </w:r>
            <w:r>
              <w:rPr>
                <w:rFonts w:hint="eastAsia"/>
                <w:b/>
                <w:bCs/>
              </w:rPr>
              <w:t>目</w:t>
            </w:r>
          </w:p>
        </w:tc>
        <w:tc>
          <w:tcPr>
            <w:tcW w:w="759" w:type="pct"/>
            <w:tcBorders>
              <w:top w:val="single" w:color="auto" w:sz="4" w:space="0"/>
              <w:left w:val="nil"/>
              <w:bottom w:val="single" w:color="auto" w:sz="4" w:space="0"/>
              <w:right w:val="single" w:color="auto" w:sz="4" w:space="0"/>
            </w:tcBorders>
            <w:shd w:val="clear" w:color="auto" w:fill="auto"/>
            <w:vAlign w:val="center"/>
          </w:tcPr>
          <w:p w14:paraId="10F238AC">
            <w:pPr>
              <w:pStyle w:val="196"/>
              <w:rPr>
                <w:b/>
                <w:bCs/>
              </w:rPr>
            </w:pPr>
            <w:r>
              <w:rPr>
                <w:rFonts w:hint="eastAsia"/>
                <w:b/>
                <w:bCs/>
              </w:rPr>
              <w:t>单位</w:t>
            </w:r>
          </w:p>
        </w:tc>
        <w:tc>
          <w:tcPr>
            <w:tcW w:w="759" w:type="pct"/>
            <w:tcBorders>
              <w:top w:val="single" w:color="auto" w:sz="4" w:space="0"/>
              <w:left w:val="nil"/>
              <w:bottom w:val="single" w:color="auto" w:sz="4" w:space="0"/>
              <w:right w:val="single" w:color="auto" w:sz="4" w:space="0"/>
            </w:tcBorders>
            <w:shd w:val="clear" w:color="auto" w:fill="auto"/>
            <w:vAlign w:val="center"/>
          </w:tcPr>
          <w:p w14:paraId="3774C67F">
            <w:pPr>
              <w:pStyle w:val="196"/>
              <w:rPr>
                <w:b/>
                <w:bCs/>
              </w:rPr>
            </w:pPr>
            <w:r>
              <w:rPr>
                <w:rFonts w:hint="eastAsia"/>
                <w:b/>
                <w:bCs/>
              </w:rPr>
              <w:t>指标</w:t>
            </w:r>
          </w:p>
        </w:tc>
        <w:tc>
          <w:tcPr>
            <w:tcW w:w="1345" w:type="pct"/>
            <w:tcBorders>
              <w:top w:val="single" w:color="auto" w:sz="4" w:space="0"/>
              <w:left w:val="nil"/>
              <w:bottom w:val="single" w:color="auto" w:sz="4" w:space="0"/>
              <w:right w:val="single" w:color="auto" w:sz="4" w:space="0"/>
            </w:tcBorders>
            <w:shd w:val="clear" w:color="auto" w:fill="auto"/>
            <w:vAlign w:val="center"/>
          </w:tcPr>
          <w:p w14:paraId="15EFCFD4">
            <w:pPr>
              <w:pStyle w:val="196"/>
              <w:rPr>
                <w:b/>
                <w:bCs/>
              </w:rPr>
            </w:pPr>
            <w:r>
              <w:rPr>
                <w:rFonts w:hint="eastAsia"/>
                <w:b/>
                <w:bCs/>
              </w:rPr>
              <w:t>备注</w:t>
            </w:r>
          </w:p>
        </w:tc>
      </w:tr>
      <w:tr w14:paraId="18AB0912">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4CA39662">
            <w:pPr>
              <w:pStyle w:val="196"/>
              <w:rPr>
                <w:rFonts w:eastAsia="等线" w:cs="Times New Roman"/>
              </w:rPr>
            </w:pPr>
            <w:r>
              <w:rPr>
                <w:rFonts w:eastAsia="等线" w:cs="Times New Roman"/>
              </w:rPr>
              <w:t>1</w:t>
            </w:r>
          </w:p>
        </w:tc>
        <w:tc>
          <w:tcPr>
            <w:tcW w:w="1377" w:type="pct"/>
            <w:tcBorders>
              <w:top w:val="nil"/>
              <w:left w:val="nil"/>
              <w:bottom w:val="single" w:color="auto" w:sz="4" w:space="0"/>
              <w:right w:val="single" w:color="auto" w:sz="4" w:space="0"/>
            </w:tcBorders>
            <w:shd w:val="clear" w:color="auto" w:fill="auto"/>
            <w:vAlign w:val="center"/>
          </w:tcPr>
          <w:p w14:paraId="3ACCFB14">
            <w:pPr>
              <w:pStyle w:val="196"/>
            </w:pPr>
            <w:r>
              <w:rPr>
                <w:rFonts w:hint="eastAsia"/>
              </w:rPr>
              <w:t>设计通过能力</w:t>
            </w:r>
          </w:p>
        </w:tc>
        <w:tc>
          <w:tcPr>
            <w:tcW w:w="759" w:type="pct"/>
            <w:tcBorders>
              <w:top w:val="nil"/>
              <w:left w:val="nil"/>
              <w:bottom w:val="single" w:color="auto" w:sz="4" w:space="0"/>
              <w:right w:val="single" w:color="auto" w:sz="4" w:space="0"/>
            </w:tcBorders>
            <w:shd w:val="clear" w:color="auto" w:fill="auto"/>
            <w:vAlign w:val="center"/>
          </w:tcPr>
          <w:p w14:paraId="64C9010F">
            <w:pPr>
              <w:pStyle w:val="196"/>
            </w:pPr>
            <w:r>
              <w:rPr>
                <w:rFonts w:hint="eastAsia"/>
              </w:rPr>
              <w:t>万吨</w:t>
            </w:r>
          </w:p>
        </w:tc>
        <w:tc>
          <w:tcPr>
            <w:tcW w:w="759" w:type="pct"/>
            <w:tcBorders>
              <w:top w:val="nil"/>
              <w:left w:val="nil"/>
              <w:bottom w:val="single" w:color="auto" w:sz="4" w:space="0"/>
              <w:right w:val="single" w:color="auto" w:sz="4" w:space="0"/>
            </w:tcBorders>
            <w:shd w:val="clear" w:color="auto" w:fill="auto"/>
            <w:vAlign w:val="center"/>
          </w:tcPr>
          <w:p w14:paraId="0E3A91A4">
            <w:pPr>
              <w:pStyle w:val="196"/>
              <w:rPr>
                <w:rFonts w:eastAsia="等线" w:cs="Times New Roman"/>
              </w:rPr>
            </w:pPr>
            <w:r>
              <w:rPr>
                <w:rFonts w:eastAsia="等线" w:cs="Times New Roman"/>
              </w:rPr>
              <w:t>118</w:t>
            </w:r>
          </w:p>
        </w:tc>
        <w:tc>
          <w:tcPr>
            <w:tcW w:w="1345" w:type="pct"/>
            <w:tcBorders>
              <w:top w:val="nil"/>
              <w:left w:val="nil"/>
              <w:bottom w:val="single" w:color="auto" w:sz="4" w:space="0"/>
              <w:right w:val="single" w:color="auto" w:sz="4" w:space="0"/>
            </w:tcBorders>
            <w:shd w:val="clear" w:color="auto" w:fill="auto"/>
            <w:vAlign w:val="center"/>
          </w:tcPr>
          <w:p w14:paraId="77F1F759">
            <w:pPr>
              <w:pStyle w:val="196"/>
              <w:rPr>
                <w:rFonts w:eastAsia="等线" w:cs="Times New Roman"/>
              </w:rPr>
            </w:pPr>
            <w:r>
              <w:rPr>
                <w:rFonts w:eastAsia="等线" w:cs="Times New Roman"/>
              </w:rPr>
              <w:t>-</w:t>
            </w:r>
          </w:p>
        </w:tc>
      </w:tr>
      <w:tr w14:paraId="1E306377">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7487B534">
            <w:pPr>
              <w:pStyle w:val="196"/>
              <w:rPr>
                <w:rFonts w:eastAsia="等线" w:cs="Times New Roman"/>
              </w:rPr>
            </w:pPr>
            <w:r>
              <w:rPr>
                <w:rFonts w:eastAsia="等线" w:cs="Times New Roman"/>
              </w:rPr>
              <w:t>2</w:t>
            </w:r>
          </w:p>
        </w:tc>
        <w:tc>
          <w:tcPr>
            <w:tcW w:w="1377" w:type="pct"/>
            <w:tcBorders>
              <w:top w:val="nil"/>
              <w:left w:val="nil"/>
              <w:bottom w:val="single" w:color="auto" w:sz="4" w:space="0"/>
              <w:right w:val="single" w:color="auto" w:sz="4" w:space="0"/>
            </w:tcBorders>
            <w:shd w:val="clear" w:color="auto" w:fill="auto"/>
            <w:vAlign w:val="center"/>
          </w:tcPr>
          <w:p w14:paraId="153F788A">
            <w:pPr>
              <w:pStyle w:val="196"/>
            </w:pPr>
            <w:r>
              <w:rPr>
                <w:rFonts w:hint="eastAsia"/>
              </w:rPr>
              <w:t>吞吐量</w:t>
            </w:r>
          </w:p>
        </w:tc>
        <w:tc>
          <w:tcPr>
            <w:tcW w:w="759" w:type="pct"/>
            <w:tcBorders>
              <w:top w:val="nil"/>
              <w:left w:val="nil"/>
              <w:bottom w:val="single" w:color="auto" w:sz="4" w:space="0"/>
              <w:right w:val="single" w:color="auto" w:sz="4" w:space="0"/>
            </w:tcBorders>
            <w:shd w:val="clear" w:color="auto" w:fill="auto"/>
            <w:vAlign w:val="center"/>
          </w:tcPr>
          <w:p w14:paraId="3F00084B">
            <w:pPr>
              <w:pStyle w:val="196"/>
            </w:pPr>
            <w:r>
              <w:rPr>
                <w:rFonts w:hint="eastAsia"/>
              </w:rPr>
              <w:t>万吨</w:t>
            </w:r>
          </w:p>
        </w:tc>
        <w:tc>
          <w:tcPr>
            <w:tcW w:w="759" w:type="pct"/>
            <w:tcBorders>
              <w:top w:val="nil"/>
              <w:left w:val="nil"/>
              <w:bottom w:val="single" w:color="auto" w:sz="4" w:space="0"/>
              <w:right w:val="single" w:color="auto" w:sz="4" w:space="0"/>
            </w:tcBorders>
            <w:shd w:val="clear" w:color="auto" w:fill="auto"/>
            <w:vAlign w:val="center"/>
          </w:tcPr>
          <w:p w14:paraId="7F4B0DFE">
            <w:pPr>
              <w:pStyle w:val="196"/>
              <w:rPr>
                <w:rFonts w:eastAsia="等线" w:cs="Times New Roman"/>
              </w:rPr>
            </w:pPr>
            <w:r>
              <w:rPr>
                <w:rFonts w:eastAsia="等线" w:cs="Times New Roman"/>
              </w:rPr>
              <w:t>112</w:t>
            </w:r>
          </w:p>
        </w:tc>
        <w:tc>
          <w:tcPr>
            <w:tcW w:w="1345" w:type="pct"/>
            <w:tcBorders>
              <w:top w:val="nil"/>
              <w:left w:val="nil"/>
              <w:bottom w:val="single" w:color="auto" w:sz="4" w:space="0"/>
              <w:right w:val="single" w:color="auto" w:sz="4" w:space="0"/>
            </w:tcBorders>
            <w:shd w:val="clear" w:color="auto" w:fill="auto"/>
            <w:vAlign w:val="center"/>
          </w:tcPr>
          <w:p w14:paraId="7D64C6ED">
            <w:pPr>
              <w:pStyle w:val="196"/>
              <w:rPr>
                <w:rFonts w:eastAsia="等线" w:cs="Times New Roman"/>
              </w:rPr>
            </w:pPr>
            <w:r>
              <w:rPr>
                <w:rFonts w:eastAsia="等线" w:cs="Times New Roman"/>
              </w:rPr>
              <w:t>2030</w:t>
            </w:r>
            <w:r>
              <w:rPr>
                <w:rFonts w:hint="eastAsia" w:cs="Times New Roman"/>
              </w:rPr>
              <w:t>年</w:t>
            </w:r>
          </w:p>
        </w:tc>
      </w:tr>
      <w:tr w14:paraId="4FCD25D4">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41649F54">
            <w:pPr>
              <w:pStyle w:val="196"/>
              <w:rPr>
                <w:rFonts w:eastAsia="等线" w:cs="Times New Roman"/>
              </w:rPr>
            </w:pPr>
            <w:r>
              <w:rPr>
                <w:rFonts w:eastAsia="等线" w:cs="Times New Roman"/>
              </w:rPr>
              <w:t>3</w:t>
            </w:r>
          </w:p>
        </w:tc>
        <w:tc>
          <w:tcPr>
            <w:tcW w:w="1377" w:type="pct"/>
            <w:tcBorders>
              <w:top w:val="nil"/>
              <w:left w:val="nil"/>
              <w:bottom w:val="single" w:color="auto" w:sz="4" w:space="0"/>
              <w:right w:val="single" w:color="auto" w:sz="4" w:space="0"/>
            </w:tcBorders>
            <w:shd w:val="clear" w:color="auto" w:fill="auto"/>
            <w:vAlign w:val="center"/>
          </w:tcPr>
          <w:p w14:paraId="4C411DDA">
            <w:pPr>
              <w:pStyle w:val="196"/>
            </w:pPr>
            <w:r>
              <w:rPr>
                <w:rFonts w:hint="eastAsia"/>
              </w:rPr>
              <w:t>泊位数量</w:t>
            </w:r>
          </w:p>
        </w:tc>
        <w:tc>
          <w:tcPr>
            <w:tcW w:w="759" w:type="pct"/>
            <w:tcBorders>
              <w:top w:val="nil"/>
              <w:left w:val="nil"/>
              <w:bottom w:val="single" w:color="auto" w:sz="4" w:space="0"/>
              <w:right w:val="single" w:color="auto" w:sz="4" w:space="0"/>
            </w:tcBorders>
            <w:shd w:val="clear" w:color="auto" w:fill="auto"/>
            <w:vAlign w:val="center"/>
          </w:tcPr>
          <w:p w14:paraId="792300D8">
            <w:pPr>
              <w:pStyle w:val="196"/>
            </w:pPr>
            <w:r>
              <w:rPr>
                <w:rFonts w:hint="eastAsia"/>
              </w:rPr>
              <w:t>个</w:t>
            </w:r>
          </w:p>
        </w:tc>
        <w:tc>
          <w:tcPr>
            <w:tcW w:w="759" w:type="pct"/>
            <w:tcBorders>
              <w:top w:val="nil"/>
              <w:left w:val="nil"/>
              <w:bottom w:val="single" w:color="auto" w:sz="4" w:space="0"/>
              <w:right w:val="single" w:color="auto" w:sz="4" w:space="0"/>
            </w:tcBorders>
            <w:shd w:val="clear" w:color="auto" w:fill="auto"/>
            <w:vAlign w:val="center"/>
          </w:tcPr>
          <w:p w14:paraId="4EE457B4">
            <w:pPr>
              <w:pStyle w:val="196"/>
              <w:rPr>
                <w:rFonts w:eastAsia="等线" w:cs="Times New Roman"/>
              </w:rPr>
            </w:pPr>
            <w:r>
              <w:rPr>
                <w:rFonts w:eastAsia="等线" w:cs="Times New Roman"/>
              </w:rPr>
              <w:t>2</w:t>
            </w:r>
          </w:p>
        </w:tc>
        <w:tc>
          <w:tcPr>
            <w:tcW w:w="1345" w:type="pct"/>
            <w:tcBorders>
              <w:top w:val="nil"/>
              <w:left w:val="nil"/>
              <w:bottom w:val="single" w:color="auto" w:sz="4" w:space="0"/>
              <w:right w:val="single" w:color="auto" w:sz="4" w:space="0"/>
            </w:tcBorders>
            <w:shd w:val="clear" w:color="auto" w:fill="auto"/>
            <w:vAlign w:val="center"/>
          </w:tcPr>
          <w:p w14:paraId="29056A56">
            <w:pPr>
              <w:pStyle w:val="196"/>
            </w:pPr>
            <w:r>
              <w:rPr>
                <w:rFonts w:hint="eastAsia"/>
              </w:rPr>
              <w:t>1</w:t>
            </w:r>
            <w:r>
              <w:t>000</w:t>
            </w:r>
            <w:r>
              <w:rPr>
                <w:rFonts w:hint="eastAsia"/>
              </w:rPr>
              <w:t>吨级，煤炭卸船泊位</w:t>
            </w:r>
          </w:p>
        </w:tc>
      </w:tr>
      <w:tr w14:paraId="35B74D3F">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0C3125E3">
            <w:pPr>
              <w:pStyle w:val="196"/>
              <w:rPr>
                <w:rFonts w:eastAsia="等线" w:cs="Times New Roman"/>
              </w:rPr>
            </w:pPr>
            <w:r>
              <w:rPr>
                <w:rFonts w:eastAsia="等线" w:cs="Times New Roman"/>
              </w:rPr>
              <w:t>4</w:t>
            </w:r>
          </w:p>
        </w:tc>
        <w:tc>
          <w:tcPr>
            <w:tcW w:w="1377" w:type="pct"/>
            <w:tcBorders>
              <w:top w:val="nil"/>
              <w:left w:val="nil"/>
              <w:bottom w:val="single" w:color="auto" w:sz="4" w:space="0"/>
              <w:right w:val="single" w:color="auto" w:sz="4" w:space="0"/>
            </w:tcBorders>
            <w:shd w:val="clear" w:color="auto" w:fill="auto"/>
            <w:vAlign w:val="center"/>
          </w:tcPr>
          <w:p w14:paraId="54873035">
            <w:pPr>
              <w:pStyle w:val="196"/>
            </w:pPr>
            <w:r>
              <w:rPr>
                <w:rFonts w:hint="eastAsia"/>
              </w:rPr>
              <w:t>待泊泊位</w:t>
            </w:r>
          </w:p>
        </w:tc>
        <w:tc>
          <w:tcPr>
            <w:tcW w:w="759" w:type="pct"/>
            <w:tcBorders>
              <w:top w:val="nil"/>
              <w:left w:val="nil"/>
              <w:bottom w:val="single" w:color="auto" w:sz="4" w:space="0"/>
              <w:right w:val="single" w:color="auto" w:sz="4" w:space="0"/>
            </w:tcBorders>
            <w:shd w:val="clear" w:color="auto" w:fill="auto"/>
            <w:vAlign w:val="center"/>
          </w:tcPr>
          <w:p w14:paraId="61514AAD">
            <w:pPr>
              <w:pStyle w:val="196"/>
            </w:pPr>
            <w:r>
              <w:rPr>
                <w:rFonts w:hint="eastAsia"/>
              </w:rPr>
              <w:t>个</w:t>
            </w:r>
          </w:p>
        </w:tc>
        <w:tc>
          <w:tcPr>
            <w:tcW w:w="759" w:type="pct"/>
            <w:tcBorders>
              <w:top w:val="nil"/>
              <w:left w:val="nil"/>
              <w:bottom w:val="single" w:color="auto" w:sz="4" w:space="0"/>
              <w:right w:val="single" w:color="auto" w:sz="4" w:space="0"/>
            </w:tcBorders>
            <w:shd w:val="clear" w:color="auto" w:fill="auto"/>
            <w:vAlign w:val="center"/>
          </w:tcPr>
          <w:p w14:paraId="06AABE7F">
            <w:pPr>
              <w:pStyle w:val="196"/>
              <w:rPr>
                <w:rFonts w:eastAsia="等线" w:cs="Times New Roman"/>
              </w:rPr>
            </w:pPr>
            <w:r>
              <w:rPr>
                <w:rFonts w:eastAsia="等线" w:cs="Times New Roman"/>
              </w:rPr>
              <w:t>1</w:t>
            </w:r>
          </w:p>
        </w:tc>
        <w:tc>
          <w:tcPr>
            <w:tcW w:w="1345" w:type="pct"/>
            <w:tcBorders>
              <w:top w:val="nil"/>
              <w:left w:val="nil"/>
              <w:bottom w:val="single" w:color="auto" w:sz="4" w:space="0"/>
              <w:right w:val="single" w:color="auto" w:sz="4" w:space="0"/>
            </w:tcBorders>
            <w:shd w:val="clear" w:color="auto" w:fill="auto"/>
            <w:vAlign w:val="center"/>
          </w:tcPr>
          <w:p w14:paraId="5F5AB3F9">
            <w:pPr>
              <w:pStyle w:val="196"/>
            </w:pPr>
            <w:r>
              <w:rPr>
                <w:rFonts w:hint="eastAsia"/>
              </w:rPr>
              <w:t>1</w:t>
            </w:r>
            <w:r>
              <w:t>000</w:t>
            </w:r>
            <w:r>
              <w:rPr>
                <w:rFonts w:hint="eastAsia"/>
              </w:rPr>
              <w:t>吨级</w:t>
            </w:r>
          </w:p>
        </w:tc>
      </w:tr>
      <w:tr w14:paraId="447C9DBE">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541B320B">
            <w:pPr>
              <w:pStyle w:val="196"/>
              <w:rPr>
                <w:rFonts w:eastAsia="等线" w:cs="Times New Roman"/>
              </w:rPr>
            </w:pPr>
            <w:r>
              <w:rPr>
                <w:rFonts w:eastAsia="等线" w:cs="Times New Roman"/>
              </w:rPr>
              <w:t>5</w:t>
            </w:r>
          </w:p>
        </w:tc>
        <w:tc>
          <w:tcPr>
            <w:tcW w:w="1377" w:type="pct"/>
            <w:tcBorders>
              <w:top w:val="nil"/>
              <w:left w:val="nil"/>
              <w:bottom w:val="single" w:color="auto" w:sz="4" w:space="0"/>
              <w:right w:val="single" w:color="auto" w:sz="4" w:space="0"/>
            </w:tcBorders>
            <w:shd w:val="clear" w:color="auto" w:fill="auto"/>
            <w:vAlign w:val="center"/>
          </w:tcPr>
          <w:p w14:paraId="325BA6C4">
            <w:pPr>
              <w:pStyle w:val="196"/>
            </w:pPr>
            <w:r>
              <w:rPr>
                <w:rFonts w:hint="eastAsia"/>
              </w:rPr>
              <w:t>泊位长度</w:t>
            </w:r>
          </w:p>
        </w:tc>
        <w:tc>
          <w:tcPr>
            <w:tcW w:w="759" w:type="pct"/>
            <w:tcBorders>
              <w:top w:val="nil"/>
              <w:left w:val="nil"/>
              <w:bottom w:val="single" w:color="auto" w:sz="4" w:space="0"/>
              <w:right w:val="single" w:color="auto" w:sz="4" w:space="0"/>
            </w:tcBorders>
            <w:shd w:val="clear" w:color="auto" w:fill="auto"/>
            <w:vAlign w:val="center"/>
          </w:tcPr>
          <w:p w14:paraId="01196DB8">
            <w:pPr>
              <w:pStyle w:val="196"/>
              <w:rPr>
                <w:rFonts w:eastAsia="等线" w:cs="Times New Roman"/>
              </w:rPr>
            </w:pPr>
            <w:r>
              <w:rPr>
                <w:rFonts w:eastAsia="等线" w:cs="Times New Roman"/>
              </w:rPr>
              <w:t>m</w:t>
            </w:r>
          </w:p>
        </w:tc>
        <w:tc>
          <w:tcPr>
            <w:tcW w:w="759" w:type="pct"/>
            <w:tcBorders>
              <w:top w:val="nil"/>
              <w:left w:val="nil"/>
              <w:bottom w:val="single" w:color="auto" w:sz="4" w:space="0"/>
              <w:right w:val="single" w:color="auto" w:sz="4" w:space="0"/>
            </w:tcBorders>
            <w:shd w:val="clear" w:color="auto" w:fill="auto"/>
            <w:vAlign w:val="center"/>
          </w:tcPr>
          <w:p w14:paraId="4792EE61">
            <w:pPr>
              <w:pStyle w:val="196"/>
              <w:rPr>
                <w:rFonts w:eastAsia="等线" w:cs="Times New Roman"/>
              </w:rPr>
            </w:pPr>
            <w:r>
              <w:rPr>
                <w:rFonts w:eastAsia="等线" w:cs="Times New Roman"/>
              </w:rPr>
              <w:t>220</w:t>
            </w:r>
          </w:p>
        </w:tc>
        <w:tc>
          <w:tcPr>
            <w:tcW w:w="1345" w:type="pct"/>
            <w:tcBorders>
              <w:top w:val="nil"/>
              <w:left w:val="nil"/>
              <w:bottom w:val="single" w:color="auto" w:sz="4" w:space="0"/>
              <w:right w:val="single" w:color="auto" w:sz="4" w:space="0"/>
            </w:tcBorders>
            <w:shd w:val="clear" w:color="auto" w:fill="auto"/>
            <w:vAlign w:val="center"/>
          </w:tcPr>
          <w:p w14:paraId="6ACFE477">
            <w:pPr>
              <w:pStyle w:val="196"/>
              <w:rPr>
                <w:rFonts w:eastAsia="等线" w:cs="Times New Roman"/>
              </w:rPr>
            </w:pPr>
            <w:r>
              <w:rPr>
                <w:rFonts w:eastAsia="等线" w:cs="Times New Roman"/>
              </w:rPr>
              <w:t>-</w:t>
            </w:r>
          </w:p>
        </w:tc>
      </w:tr>
      <w:tr w14:paraId="6EAE8F60">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7BBC6D3E">
            <w:pPr>
              <w:pStyle w:val="196"/>
              <w:rPr>
                <w:rFonts w:eastAsia="等线" w:cs="Times New Roman"/>
              </w:rPr>
            </w:pPr>
            <w:r>
              <w:rPr>
                <w:rFonts w:eastAsia="等线" w:cs="Times New Roman"/>
              </w:rPr>
              <w:t>6</w:t>
            </w:r>
          </w:p>
        </w:tc>
        <w:tc>
          <w:tcPr>
            <w:tcW w:w="1377" w:type="pct"/>
            <w:tcBorders>
              <w:top w:val="nil"/>
              <w:left w:val="nil"/>
              <w:bottom w:val="single" w:color="auto" w:sz="4" w:space="0"/>
              <w:right w:val="single" w:color="auto" w:sz="4" w:space="0"/>
            </w:tcBorders>
            <w:shd w:val="clear" w:color="auto" w:fill="auto"/>
            <w:vAlign w:val="center"/>
          </w:tcPr>
          <w:p w14:paraId="06B7E0F5">
            <w:pPr>
              <w:pStyle w:val="196"/>
            </w:pPr>
            <w:r>
              <w:rPr>
                <w:rFonts w:hint="eastAsia"/>
              </w:rPr>
              <w:t>总占地面积</w:t>
            </w:r>
          </w:p>
        </w:tc>
        <w:tc>
          <w:tcPr>
            <w:tcW w:w="759" w:type="pct"/>
            <w:tcBorders>
              <w:top w:val="nil"/>
              <w:left w:val="nil"/>
              <w:bottom w:val="single" w:color="auto" w:sz="4" w:space="0"/>
              <w:right w:val="single" w:color="auto" w:sz="4" w:space="0"/>
            </w:tcBorders>
            <w:shd w:val="clear" w:color="auto" w:fill="auto"/>
            <w:vAlign w:val="center"/>
          </w:tcPr>
          <w:p w14:paraId="573DCD2D">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78F51DB2">
            <w:pPr>
              <w:pStyle w:val="196"/>
              <w:rPr>
                <w:rFonts w:eastAsia="等线" w:cs="Times New Roman"/>
              </w:rPr>
            </w:pPr>
            <w:r>
              <w:rPr>
                <w:rFonts w:eastAsia="等线" w:cs="Times New Roman"/>
              </w:rPr>
              <w:t>21661</w:t>
            </w:r>
          </w:p>
        </w:tc>
        <w:tc>
          <w:tcPr>
            <w:tcW w:w="1345" w:type="pct"/>
            <w:tcBorders>
              <w:top w:val="nil"/>
              <w:left w:val="nil"/>
              <w:bottom w:val="single" w:color="auto" w:sz="4" w:space="0"/>
              <w:right w:val="single" w:color="auto" w:sz="4" w:space="0"/>
            </w:tcBorders>
            <w:shd w:val="clear" w:color="auto" w:fill="auto"/>
            <w:vAlign w:val="center"/>
          </w:tcPr>
          <w:p w14:paraId="6E813A82">
            <w:pPr>
              <w:pStyle w:val="196"/>
              <w:rPr>
                <w:rFonts w:eastAsia="等线" w:cs="Times New Roman"/>
              </w:rPr>
            </w:pPr>
            <w:r>
              <w:rPr>
                <w:rFonts w:eastAsia="等线" w:cs="Times New Roman"/>
              </w:rPr>
              <w:t>-</w:t>
            </w:r>
          </w:p>
        </w:tc>
      </w:tr>
      <w:tr w14:paraId="3F10D648">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39BF4359">
            <w:pPr>
              <w:pStyle w:val="196"/>
              <w:rPr>
                <w:rFonts w:eastAsia="等线" w:cs="Times New Roman"/>
              </w:rPr>
            </w:pPr>
            <w:r>
              <w:rPr>
                <w:rFonts w:eastAsia="等线" w:cs="Times New Roman"/>
              </w:rPr>
              <w:t>7</w:t>
            </w:r>
          </w:p>
        </w:tc>
        <w:tc>
          <w:tcPr>
            <w:tcW w:w="1377" w:type="pct"/>
            <w:tcBorders>
              <w:top w:val="nil"/>
              <w:left w:val="nil"/>
              <w:bottom w:val="single" w:color="auto" w:sz="4" w:space="0"/>
              <w:right w:val="single" w:color="auto" w:sz="4" w:space="0"/>
            </w:tcBorders>
            <w:shd w:val="clear" w:color="auto" w:fill="auto"/>
            <w:vAlign w:val="center"/>
          </w:tcPr>
          <w:p w14:paraId="79876F57">
            <w:pPr>
              <w:pStyle w:val="196"/>
            </w:pPr>
            <w:r>
              <w:rPr>
                <w:rFonts w:hint="eastAsia"/>
              </w:rPr>
              <w:t>陆域面积</w:t>
            </w:r>
          </w:p>
        </w:tc>
        <w:tc>
          <w:tcPr>
            <w:tcW w:w="759" w:type="pct"/>
            <w:tcBorders>
              <w:top w:val="nil"/>
              <w:left w:val="nil"/>
              <w:bottom w:val="single" w:color="auto" w:sz="4" w:space="0"/>
              <w:right w:val="single" w:color="auto" w:sz="4" w:space="0"/>
            </w:tcBorders>
            <w:shd w:val="clear" w:color="auto" w:fill="auto"/>
            <w:vAlign w:val="center"/>
          </w:tcPr>
          <w:p w14:paraId="5BC75DC8">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0A65A132">
            <w:pPr>
              <w:pStyle w:val="196"/>
              <w:rPr>
                <w:rFonts w:eastAsia="等线" w:cs="Times New Roman"/>
              </w:rPr>
            </w:pPr>
            <w:r>
              <w:rPr>
                <w:rFonts w:eastAsia="等线" w:cs="Times New Roman"/>
              </w:rPr>
              <w:t>9584</w:t>
            </w:r>
          </w:p>
        </w:tc>
        <w:tc>
          <w:tcPr>
            <w:tcW w:w="1345" w:type="pct"/>
            <w:tcBorders>
              <w:top w:val="nil"/>
              <w:left w:val="nil"/>
              <w:bottom w:val="single" w:color="auto" w:sz="4" w:space="0"/>
              <w:right w:val="single" w:color="auto" w:sz="4" w:space="0"/>
            </w:tcBorders>
            <w:shd w:val="clear" w:color="auto" w:fill="auto"/>
            <w:vAlign w:val="center"/>
          </w:tcPr>
          <w:p w14:paraId="77E59EFA">
            <w:pPr>
              <w:pStyle w:val="196"/>
              <w:rPr>
                <w:rFonts w:eastAsia="等线" w:cs="Times New Roman"/>
              </w:rPr>
            </w:pPr>
            <w:r>
              <w:rPr>
                <w:rFonts w:eastAsia="等线" w:cs="Times New Roman"/>
              </w:rPr>
              <w:t>-</w:t>
            </w:r>
          </w:p>
        </w:tc>
      </w:tr>
      <w:tr w14:paraId="274BF294">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03F94C92">
            <w:pPr>
              <w:pStyle w:val="196"/>
              <w:rPr>
                <w:rFonts w:eastAsia="等线" w:cs="Times New Roman"/>
              </w:rPr>
            </w:pPr>
            <w:r>
              <w:rPr>
                <w:rFonts w:eastAsia="等线" w:cs="Times New Roman"/>
              </w:rPr>
              <w:t>8</w:t>
            </w:r>
          </w:p>
        </w:tc>
        <w:tc>
          <w:tcPr>
            <w:tcW w:w="1377" w:type="pct"/>
            <w:tcBorders>
              <w:top w:val="nil"/>
              <w:left w:val="nil"/>
              <w:bottom w:val="single" w:color="auto" w:sz="4" w:space="0"/>
              <w:right w:val="single" w:color="auto" w:sz="4" w:space="0"/>
            </w:tcBorders>
            <w:shd w:val="clear" w:color="auto" w:fill="auto"/>
            <w:vAlign w:val="center"/>
          </w:tcPr>
          <w:p w14:paraId="0DFB2A4D">
            <w:pPr>
              <w:pStyle w:val="196"/>
            </w:pPr>
            <w:r>
              <w:rPr>
                <w:rFonts w:hint="eastAsia"/>
              </w:rPr>
              <w:t>水域面积</w:t>
            </w:r>
          </w:p>
        </w:tc>
        <w:tc>
          <w:tcPr>
            <w:tcW w:w="759" w:type="pct"/>
            <w:tcBorders>
              <w:top w:val="nil"/>
              <w:left w:val="nil"/>
              <w:bottom w:val="single" w:color="auto" w:sz="4" w:space="0"/>
              <w:right w:val="single" w:color="auto" w:sz="4" w:space="0"/>
            </w:tcBorders>
            <w:shd w:val="clear" w:color="auto" w:fill="auto"/>
            <w:vAlign w:val="center"/>
          </w:tcPr>
          <w:p w14:paraId="7792745B">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4886C397">
            <w:pPr>
              <w:pStyle w:val="196"/>
              <w:rPr>
                <w:rFonts w:eastAsia="等线" w:cs="Times New Roman"/>
              </w:rPr>
            </w:pPr>
            <w:r>
              <w:rPr>
                <w:rFonts w:eastAsia="等线" w:cs="Times New Roman"/>
              </w:rPr>
              <w:t>12077</w:t>
            </w:r>
          </w:p>
        </w:tc>
        <w:tc>
          <w:tcPr>
            <w:tcW w:w="1345" w:type="pct"/>
            <w:tcBorders>
              <w:top w:val="nil"/>
              <w:left w:val="nil"/>
              <w:bottom w:val="single" w:color="auto" w:sz="4" w:space="0"/>
              <w:right w:val="single" w:color="auto" w:sz="4" w:space="0"/>
            </w:tcBorders>
            <w:shd w:val="clear" w:color="auto" w:fill="auto"/>
            <w:vAlign w:val="center"/>
          </w:tcPr>
          <w:p w14:paraId="750A4D7F">
            <w:pPr>
              <w:pStyle w:val="196"/>
              <w:rPr>
                <w:rFonts w:eastAsia="等线" w:cs="Times New Roman"/>
              </w:rPr>
            </w:pPr>
            <w:r>
              <w:rPr>
                <w:rFonts w:eastAsia="等线" w:cs="Times New Roman"/>
              </w:rPr>
              <w:t>-</w:t>
            </w:r>
          </w:p>
        </w:tc>
      </w:tr>
      <w:tr w14:paraId="235D8121">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27A5F1E8">
            <w:pPr>
              <w:pStyle w:val="196"/>
              <w:rPr>
                <w:rFonts w:eastAsia="等线" w:cs="Times New Roman"/>
              </w:rPr>
            </w:pPr>
            <w:r>
              <w:rPr>
                <w:rFonts w:eastAsia="等线" w:cs="Times New Roman"/>
              </w:rPr>
              <w:t>9</w:t>
            </w:r>
          </w:p>
        </w:tc>
        <w:tc>
          <w:tcPr>
            <w:tcW w:w="1377" w:type="pct"/>
            <w:tcBorders>
              <w:top w:val="nil"/>
              <w:left w:val="nil"/>
              <w:bottom w:val="single" w:color="auto" w:sz="4" w:space="0"/>
              <w:right w:val="single" w:color="auto" w:sz="4" w:space="0"/>
            </w:tcBorders>
            <w:shd w:val="clear" w:color="auto" w:fill="auto"/>
            <w:vAlign w:val="center"/>
          </w:tcPr>
          <w:p w14:paraId="243E1877">
            <w:pPr>
              <w:pStyle w:val="196"/>
            </w:pPr>
            <w:r>
              <w:rPr>
                <w:rFonts w:hint="eastAsia"/>
              </w:rPr>
              <w:t>前沿作业带</w:t>
            </w:r>
          </w:p>
        </w:tc>
        <w:tc>
          <w:tcPr>
            <w:tcW w:w="759" w:type="pct"/>
            <w:tcBorders>
              <w:top w:val="nil"/>
              <w:left w:val="nil"/>
              <w:bottom w:val="single" w:color="auto" w:sz="4" w:space="0"/>
              <w:right w:val="single" w:color="auto" w:sz="4" w:space="0"/>
            </w:tcBorders>
            <w:shd w:val="clear" w:color="auto" w:fill="auto"/>
            <w:vAlign w:val="center"/>
          </w:tcPr>
          <w:p w14:paraId="7D3D5622">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351E4C71">
            <w:pPr>
              <w:pStyle w:val="196"/>
              <w:rPr>
                <w:rFonts w:eastAsia="等线" w:cs="Times New Roman"/>
              </w:rPr>
            </w:pPr>
            <w:r>
              <w:rPr>
                <w:rFonts w:eastAsia="等线" w:cs="Times New Roman"/>
              </w:rPr>
              <w:t>3478</w:t>
            </w:r>
          </w:p>
        </w:tc>
        <w:tc>
          <w:tcPr>
            <w:tcW w:w="1345" w:type="pct"/>
            <w:tcBorders>
              <w:top w:val="nil"/>
              <w:left w:val="nil"/>
              <w:bottom w:val="single" w:color="auto" w:sz="4" w:space="0"/>
              <w:right w:val="single" w:color="auto" w:sz="4" w:space="0"/>
            </w:tcBorders>
            <w:shd w:val="clear" w:color="auto" w:fill="auto"/>
            <w:vAlign w:val="center"/>
          </w:tcPr>
          <w:p w14:paraId="666748B7">
            <w:pPr>
              <w:pStyle w:val="196"/>
              <w:rPr>
                <w:rFonts w:eastAsia="等线" w:cs="Times New Roman"/>
              </w:rPr>
            </w:pPr>
            <w:r>
              <w:rPr>
                <w:rFonts w:eastAsia="等线" w:cs="Times New Roman"/>
              </w:rPr>
              <w:t>-</w:t>
            </w:r>
          </w:p>
        </w:tc>
      </w:tr>
      <w:tr w14:paraId="5F87D505">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552F9100">
            <w:pPr>
              <w:pStyle w:val="196"/>
              <w:rPr>
                <w:rFonts w:eastAsia="等线" w:cs="Times New Roman"/>
              </w:rPr>
            </w:pPr>
            <w:r>
              <w:rPr>
                <w:rFonts w:eastAsia="等线" w:cs="Times New Roman"/>
              </w:rPr>
              <w:t>10</w:t>
            </w:r>
          </w:p>
        </w:tc>
        <w:tc>
          <w:tcPr>
            <w:tcW w:w="1377" w:type="pct"/>
            <w:tcBorders>
              <w:top w:val="nil"/>
              <w:left w:val="nil"/>
              <w:bottom w:val="single" w:color="auto" w:sz="4" w:space="0"/>
              <w:right w:val="single" w:color="auto" w:sz="4" w:space="0"/>
            </w:tcBorders>
            <w:shd w:val="clear" w:color="auto" w:fill="auto"/>
            <w:vAlign w:val="center"/>
          </w:tcPr>
          <w:p w14:paraId="1CDA87D1">
            <w:pPr>
              <w:pStyle w:val="196"/>
            </w:pPr>
            <w:r>
              <w:rPr>
                <w:rFonts w:hint="eastAsia"/>
              </w:rPr>
              <w:t>疏港道路</w:t>
            </w:r>
          </w:p>
        </w:tc>
        <w:tc>
          <w:tcPr>
            <w:tcW w:w="759" w:type="pct"/>
            <w:tcBorders>
              <w:top w:val="nil"/>
              <w:left w:val="nil"/>
              <w:bottom w:val="single" w:color="auto" w:sz="4" w:space="0"/>
              <w:right w:val="single" w:color="auto" w:sz="4" w:space="0"/>
            </w:tcBorders>
            <w:shd w:val="clear" w:color="auto" w:fill="auto"/>
            <w:vAlign w:val="center"/>
          </w:tcPr>
          <w:p w14:paraId="0699161A">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39F18743">
            <w:pPr>
              <w:pStyle w:val="196"/>
              <w:rPr>
                <w:rFonts w:eastAsia="等线" w:cs="Times New Roman"/>
              </w:rPr>
            </w:pPr>
            <w:r>
              <w:rPr>
                <w:rFonts w:eastAsia="等线" w:cs="Times New Roman"/>
              </w:rPr>
              <w:t>2341</w:t>
            </w:r>
          </w:p>
        </w:tc>
        <w:tc>
          <w:tcPr>
            <w:tcW w:w="1345" w:type="pct"/>
            <w:tcBorders>
              <w:top w:val="nil"/>
              <w:left w:val="nil"/>
              <w:bottom w:val="single" w:color="auto" w:sz="4" w:space="0"/>
              <w:right w:val="single" w:color="auto" w:sz="4" w:space="0"/>
            </w:tcBorders>
            <w:shd w:val="clear" w:color="auto" w:fill="auto"/>
            <w:vAlign w:val="center"/>
          </w:tcPr>
          <w:p w14:paraId="01DEE870">
            <w:pPr>
              <w:pStyle w:val="196"/>
              <w:rPr>
                <w:rFonts w:eastAsia="等线" w:cs="Times New Roman"/>
              </w:rPr>
            </w:pPr>
            <w:r>
              <w:rPr>
                <w:rFonts w:eastAsia="等线" w:cs="Times New Roman"/>
              </w:rPr>
              <w:t>-</w:t>
            </w:r>
          </w:p>
        </w:tc>
      </w:tr>
      <w:tr w14:paraId="54B4C995">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790413D5">
            <w:pPr>
              <w:pStyle w:val="196"/>
              <w:rPr>
                <w:rFonts w:eastAsia="等线" w:cs="Times New Roman"/>
              </w:rPr>
            </w:pPr>
            <w:r>
              <w:rPr>
                <w:rFonts w:eastAsia="等线" w:cs="Times New Roman"/>
              </w:rPr>
              <w:t>11</w:t>
            </w:r>
          </w:p>
        </w:tc>
        <w:tc>
          <w:tcPr>
            <w:tcW w:w="1377" w:type="pct"/>
            <w:tcBorders>
              <w:top w:val="nil"/>
              <w:left w:val="nil"/>
              <w:bottom w:val="single" w:color="auto" w:sz="4" w:space="0"/>
              <w:right w:val="single" w:color="auto" w:sz="4" w:space="0"/>
            </w:tcBorders>
            <w:shd w:val="clear" w:color="auto" w:fill="auto"/>
            <w:vAlign w:val="center"/>
          </w:tcPr>
          <w:p w14:paraId="2C79BC41">
            <w:pPr>
              <w:pStyle w:val="196"/>
            </w:pPr>
            <w:r>
              <w:rPr>
                <w:rFonts w:hint="eastAsia"/>
              </w:rPr>
              <w:t>生产辅助建筑物</w:t>
            </w:r>
          </w:p>
        </w:tc>
        <w:tc>
          <w:tcPr>
            <w:tcW w:w="759" w:type="pct"/>
            <w:tcBorders>
              <w:top w:val="nil"/>
              <w:left w:val="nil"/>
              <w:bottom w:val="single" w:color="auto" w:sz="4" w:space="0"/>
              <w:right w:val="single" w:color="auto" w:sz="4" w:space="0"/>
            </w:tcBorders>
            <w:shd w:val="clear" w:color="auto" w:fill="auto"/>
            <w:vAlign w:val="center"/>
          </w:tcPr>
          <w:p w14:paraId="5537D66A">
            <w:pPr>
              <w:pStyle w:val="196"/>
              <w:rPr>
                <w:rFonts w:eastAsia="等线" w:cs="Times New Roman"/>
              </w:rPr>
            </w:pPr>
            <w:r>
              <w:rPr>
                <w:rFonts w:eastAsia="等线" w:cs="Times New Roman"/>
              </w:rPr>
              <w:t>m</w:t>
            </w:r>
            <w:r>
              <w:rPr>
                <w:rFonts w:eastAsia="等线" w:cs="Times New Roman"/>
                <w:vertAlign w:val="superscript"/>
              </w:rPr>
              <w:t>2</w:t>
            </w:r>
          </w:p>
        </w:tc>
        <w:tc>
          <w:tcPr>
            <w:tcW w:w="759" w:type="pct"/>
            <w:tcBorders>
              <w:top w:val="nil"/>
              <w:left w:val="nil"/>
              <w:bottom w:val="single" w:color="auto" w:sz="4" w:space="0"/>
              <w:right w:val="single" w:color="auto" w:sz="4" w:space="0"/>
            </w:tcBorders>
            <w:shd w:val="clear" w:color="auto" w:fill="auto"/>
            <w:vAlign w:val="center"/>
          </w:tcPr>
          <w:p w14:paraId="5A298150">
            <w:pPr>
              <w:pStyle w:val="196"/>
              <w:rPr>
                <w:rFonts w:eastAsia="等线" w:cs="Times New Roman"/>
              </w:rPr>
            </w:pPr>
            <w:r>
              <w:rPr>
                <w:rFonts w:eastAsia="等线" w:cs="Times New Roman"/>
              </w:rPr>
              <w:t>270</w:t>
            </w:r>
          </w:p>
        </w:tc>
        <w:tc>
          <w:tcPr>
            <w:tcW w:w="1345" w:type="pct"/>
            <w:tcBorders>
              <w:top w:val="nil"/>
              <w:left w:val="nil"/>
              <w:bottom w:val="single" w:color="auto" w:sz="4" w:space="0"/>
              <w:right w:val="single" w:color="auto" w:sz="4" w:space="0"/>
            </w:tcBorders>
            <w:shd w:val="clear" w:color="auto" w:fill="auto"/>
            <w:vAlign w:val="center"/>
          </w:tcPr>
          <w:p w14:paraId="0552CDFB">
            <w:pPr>
              <w:pStyle w:val="196"/>
            </w:pPr>
            <w:r>
              <w:rPr>
                <w:rFonts w:hint="eastAsia"/>
              </w:rPr>
              <w:t>转运站，集污池</w:t>
            </w:r>
          </w:p>
        </w:tc>
      </w:tr>
      <w:tr w14:paraId="4B0C4998">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36A64A32">
            <w:pPr>
              <w:pStyle w:val="196"/>
              <w:rPr>
                <w:rFonts w:eastAsia="等线" w:cs="Times New Roman"/>
              </w:rPr>
            </w:pPr>
            <w:r>
              <w:rPr>
                <w:rFonts w:eastAsia="等线" w:cs="Times New Roman"/>
              </w:rPr>
              <w:t>12</w:t>
            </w:r>
          </w:p>
        </w:tc>
        <w:tc>
          <w:tcPr>
            <w:tcW w:w="1377" w:type="pct"/>
            <w:tcBorders>
              <w:top w:val="nil"/>
              <w:left w:val="nil"/>
              <w:bottom w:val="single" w:color="auto" w:sz="4" w:space="0"/>
              <w:right w:val="single" w:color="auto" w:sz="4" w:space="0"/>
            </w:tcBorders>
            <w:shd w:val="clear" w:color="auto" w:fill="auto"/>
            <w:vAlign w:val="center"/>
          </w:tcPr>
          <w:p w14:paraId="24793DAD">
            <w:pPr>
              <w:pStyle w:val="196"/>
            </w:pPr>
            <w:r>
              <w:rPr>
                <w:rFonts w:hint="eastAsia"/>
              </w:rPr>
              <w:t>翼墙长度</w:t>
            </w:r>
          </w:p>
        </w:tc>
        <w:tc>
          <w:tcPr>
            <w:tcW w:w="759" w:type="pct"/>
            <w:tcBorders>
              <w:top w:val="nil"/>
              <w:left w:val="nil"/>
              <w:bottom w:val="single" w:color="auto" w:sz="4" w:space="0"/>
              <w:right w:val="single" w:color="auto" w:sz="4" w:space="0"/>
            </w:tcBorders>
            <w:shd w:val="clear" w:color="auto" w:fill="auto"/>
            <w:vAlign w:val="center"/>
          </w:tcPr>
          <w:p w14:paraId="5A3FE3B2">
            <w:pPr>
              <w:pStyle w:val="196"/>
              <w:rPr>
                <w:rFonts w:eastAsia="等线" w:cs="Times New Roman"/>
              </w:rPr>
            </w:pPr>
            <w:r>
              <w:rPr>
                <w:rFonts w:eastAsia="等线" w:cs="Times New Roman"/>
              </w:rPr>
              <w:t>m</w:t>
            </w:r>
          </w:p>
        </w:tc>
        <w:tc>
          <w:tcPr>
            <w:tcW w:w="759" w:type="pct"/>
            <w:tcBorders>
              <w:top w:val="nil"/>
              <w:left w:val="nil"/>
              <w:bottom w:val="single" w:color="auto" w:sz="4" w:space="0"/>
              <w:right w:val="single" w:color="auto" w:sz="4" w:space="0"/>
            </w:tcBorders>
            <w:shd w:val="clear" w:color="auto" w:fill="auto"/>
            <w:vAlign w:val="center"/>
          </w:tcPr>
          <w:p w14:paraId="600F194D">
            <w:pPr>
              <w:pStyle w:val="196"/>
              <w:rPr>
                <w:rFonts w:eastAsia="等线" w:cs="Times New Roman"/>
              </w:rPr>
            </w:pPr>
            <w:r>
              <w:rPr>
                <w:rFonts w:eastAsia="等线" w:cs="Times New Roman"/>
              </w:rPr>
              <w:t>26</w:t>
            </w:r>
          </w:p>
        </w:tc>
        <w:tc>
          <w:tcPr>
            <w:tcW w:w="1345" w:type="pct"/>
            <w:tcBorders>
              <w:top w:val="nil"/>
              <w:left w:val="nil"/>
              <w:bottom w:val="single" w:color="auto" w:sz="4" w:space="0"/>
              <w:right w:val="single" w:color="auto" w:sz="4" w:space="0"/>
            </w:tcBorders>
            <w:shd w:val="clear" w:color="auto" w:fill="auto"/>
            <w:vAlign w:val="center"/>
          </w:tcPr>
          <w:p w14:paraId="3E4A7F8E">
            <w:pPr>
              <w:pStyle w:val="196"/>
              <w:rPr>
                <w:rFonts w:eastAsia="等线" w:cs="Times New Roman"/>
              </w:rPr>
            </w:pPr>
            <w:r>
              <w:rPr>
                <w:rFonts w:eastAsia="等线" w:cs="Times New Roman"/>
              </w:rPr>
              <w:t>-</w:t>
            </w:r>
          </w:p>
        </w:tc>
      </w:tr>
      <w:tr w14:paraId="0CD7118D">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31703259">
            <w:pPr>
              <w:pStyle w:val="196"/>
              <w:rPr>
                <w:rFonts w:eastAsia="等线" w:cs="Times New Roman"/>
              </w:rPr>
            </w:pPr>
            <w:r>
              <w:rPr>
                <w:rFonts w:eastAsia="等线" w:cs="Times New Roman"/>
              </w:rPr>
              <w:t>13</w:t>
            </w:r>
          </w:p>
        </w:tc>
        <w:tc>
          <w:tcPr>
            <w:tcW w:w="1377" w:type="pct"/>
            <w:tcBorders>
              <w:top w:val="nil"/>
              <w:left w:val="nil"/>
              <w:bottom w:val="single" w:color="auto" w:sz="4" w:space="0"/>
              <w:right w:val="single" w:color="auto" w:sz="4" w:space="0"/>
            </w:tcBorders>
            <w:shd w:val="clear" w:color="auto" w:fill="auto"/>
            <w:vAlign w:val="center"/>
          </w:tcPr>
          <w:p w14:paraId="384849EA">
            <w:pPr>
              <w:pStyle w:val="196"/>
            </w:pPr>
            <w:r>
              <w:rPr>
                <w:rFonts w:hint="eastAsia"/>
              </w:rPr>
              <w:t>开挖土方量</w:t>
            </w:r>
          </w:p>
        </w:tc>
        <w:tc>
          <w:tcPr>
            <w:tcW w:w="759" w:type="pct"/>
            <w:tcBorders>
              <w:top w:val="nil"/>
              <w:left w:val="nil"/>
              <w:bottom w:val="single" w:color="auto" w:sz="4" w:space="0"/>
              <w:right w:val="single" w:color="auto" w:sz="4" w:space="0"/>
            </w:tcBorders>
            <w:shd w:val="clear" w:color="auto" w:fill="auto"/>
            <w:vAlign w:val="center"/>
          </w:tcPr>
          <w:p w14:paraId="484857B8">
            <w:pPr>
              <w:pStyle w:val="196"/>
            </w:pPr>
            <w:r>
              <w:rPr>
                <w:rFonts w:hint="eastAsia"/>
              </w:rPr>
              <w:t>万</w:t>
            </w:r>
            <w:r>
              <w:rPr>
                <w:rFonts w:cs="Times New Roman"/>
              </w:rPr>
              <w:t>m</w:t>
            </w:r>
            <w:r>
              <w:rPr>
                <w:rFonts w:cs="Times New Roman"/>
                <w:vertAlign w:val="superscript"/>
              </w:rPr>
              <w:t>3</w:t>
            </w:r>
          </w:p>
        </w:tc>
        <w:tc>
          <w:tcPr>
            <w:tcW w:w="759" w:type="pct"/>
            <w:tcBorders>
              <w:top w:val="nil"/>
              <w:left w:val="nil"/>
              <w:bottom w:val="single" w:color="auto" w:sz="4" w:space="0"/>
              <w:right w:val="single" w:color="auto" w:sz="4" w:space="0"/>
            </w:tcBorders>
            <w:shd w:val="clear" w:color="auto" w:fill="auto"/>
            <w:vAlign w:val="center"/>
          </w:tcPr>
          <w:p w14:paraId="1A5A1326">
            <w:pPr>
              <w:pStyle w:val="196"/>
              <w:rPr>
                <w:rFonts w:eastAsia="等线" w:cs="Times New Roman"/>
              </w:rPr>
            </w:pPr>
            <w:r>
              <w:rPr>
                <w:rFonts w:eastAsia="等线" w:cs="Times New Roman"/>
              </w:rPr>
              <w:t>18.8</w:t>
            </w:r>
          </w:p>
        </w:tc>
        <w:tc>
          <w:tcPr>
            <w:tcW w:w="1345" w:type="pct"/>
            <w:tcBorders>
              <w:top w:val="nil"/>
              <w:left w:val="nil"/>
              <w:bottom w:val="single" w:color="auto" w:sz="4" w:space="0"/>
              <w:right w:val="single" w:color="auto" w:sz="4" w:space="0"/>
            </w:tcBorders>
            <w:shd w:val="clear" w:color="auto" w:fill="auto"/>
            <w:vAlign w:val="center"/>
          </w:tcPr>
          <w:p w14:paraId="0C9D6276">
            <w:pPr>
              <w:pStyle w:val="196"/>
              <w:rPr>
                <w:rFonts w:eastAsia="等线" w:cs="Times New Roman"/>
              </w:rPr>
            </w:pPr>
            <w:r>
              <w:rPr>
                <w:rFonts w:eastAsia="等线" w:cs="Times New Roman"/>
              </w:rPr>
              <w:t>-</w:t>
            </w:r>
          </w:p>
        </w:tc>
      </w:tr>
      <w:tr w14:paraId="6381988C">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31C9090B">
            <w:pPr>
              <w:pStyle w:val="196"/>
              <w:rPr>
                <w:rFonts w:eastAsia="等线" w:cs="Times New Roman"/>
              </w:rPr>
            </w:pPr>
            <w:r>
              <w:rPr>
                <w:rFonts w:eastAsia="等线" w:cs="Times New Roman"/>
              </w:rPr>
              <w:t>14</w:t>
            </w:r>
          </w:p>
        </w:tc>
        <w:tc>
          <w:tcPr>
            <w:tcW w:w="1377" w:type="pct"/>
            <w:tcBorders>
              <w:top w:val="nil"/>
              <w:left w:val="nil"/>
              <w:bottom w:val="single" w:color="auto" w:sz="4" w:space="0"/>
              <w:right w:val="single" w:color="auto" w:sz="4" w:space="0"/>
            </w:tcBorders>
            <w:shd w:val="clear" w:color="auto" w:fill="auto"/>
            <w:vAlign w:val="center"/>
          </w:tcPr>
          <w:p w14:paraId="086CB507">
            <w:pPr>
              <w:pStyle w:val="196"/>
            </w:pPr>
            <w:r>
              <w:rPr>
                <w:rFonts w:hint="eastAsia"/>
              </w:rPr>
              <w:t>回填方量</w:t>
            </w:r>
          </w:p>
        </w:tc>
        <w:tc>
          <w:tcPr>
            <w:tcW w:w="759" w:type="pct"/>
            <w:tcBorders>
              <w:top w:val="nil"/>
              <w:left w:val="nil"/>
              <w:bottom w:val="single" w:color="auto" w:sz="4" w:space="0"/>
              <w:right w:val="single" w:color="auto" w:sz="4" w:space="0"/>
            </w:tcBorders>
            <w:shd w:val="clear" w:color="auto" w:fill="auto"/>
            <w:vAlign w:val="center"/>
          </w:tcPr>
          <w:p w14:paraId="4D6992B4">
            <w:pPr>
              <w:pStyle w:val="196"/>
            </w:pPr>
            <w:r>
              <w:rPr>
                <w:rFonts w:hint="eastAsia"/>
              </w:rPr>
              <w:t>万</w:t>
            </w:r>
            <w:r>
              <w:rPr>
                <w:rFonts w:cs="Times New Roman"/>
              </w:rPr>
              <w:t>m</w:t>
            </w:r>
            <w:r>
              <w:rPr>
                <w:rFonts w:cs="Times New Roman"/>
                <w:vertAlign w:val="superscript"/>
              </w:rPr>
              <w:t>3</w:t>
            </w:r>
          </w:p>
        </w:tc>
        <w:tc>
          <w:tcPr>
            <w:tcW w:w="759" w:type="pct"/>
            <w:tcBorders>
              <w:top w:val="nil"/>
              <w:left w:val="nil"/>
              <w:bottom w:val="single" w:color="auto" w:sz="4" w:space="0"/>
              <w:right w:val="single" w:color="auto" w:sz="4" w:space="0"/>
            </w:tcBorders>
            <w:shd w:val="clear" w:color="auto" w:fill="auto"/>
            <w:vAlign w:val="center"/>
          </w:tcPr>
          <w:p w14:paraId="662DCFF7">
            <w:pPr>
              <w:pStyle w:val="196"/>
              <w:rPr>
                <w:rFonts w:eastAsia="等线" w:cs="Times New Roman"/>
              </w:rPr>
            </w:pPr>
            <w:r>
              <w:rPr>
                <w:rFonts w:hint="eastAsia" w:eastAsia="等线" w:cs="Times New Roman"/>
              </w:rPr>
              <w:t>9</w:t>
            </w:r>
            <w:r>
              <w:rPr>
                <w:rFonts w:eastAsia="等线" w:cs="Times New Roman"/>
              </w:rPr>
              <w:t>.7</w:t>
            </w:r>
          </w:p>
        </w:tc>
        <w:tc>
          <w:tcPr>
            <w:tcW w:w="1345" w:type="pct"/>
            <w:tcBorders>
              <w:top w:val="nil"/>
              <w:left w:val="nil"/>
              <w:bottom w:val="single" w:color="auto" w:sz="4" w:space="0"/>
              <w:right w:val="single" w:color="auto" w:sz="4" w:space="0"/>
            </w:tcBorders>
            <w:shd w:val="clear" w:color="auto" w:fill="auto"/>
            <w:vAlign w:val="center"/>
          </w:tcPr>
          <w:p w14:paraId="06902900">
            <w:pPr>
              <w:pStyle w:val="196"/>
              <w:rPr>
                <w:rFonts w:eastAsia="等线" w:cs="Times New Roman"/>
              </w:rPr>
            </w:pPr>
            <w:r>
              <w:rPr>
                <w:rFonts w:eastAsia="等线" w:cs="Times New Roman"/>
              </w:rPr>
              <w:t>-</w:t>
            </w:r>
          </w:p>
        </w:tc>
      </w:tr>
      <w:tr w14:paraId="20732C77">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7DC631DC">
            <w:pPr>
              <w:pStyle w:val="196"/>
              <w:rPr>
                <w:rFonts w:eastAsia="等线" w:cs="Times New Roman"/>
              </w:rPr>
            </w:pPr>
            <w:r>
              <w:rPr>
                <w:rFonts w:eastAsia="等线" w:cs="Times New Roman"/>
              </w:rPr>
              <w:t>15</w:t>
            </w:r>
          </w:p>
        </w:tc>
        <w:tc>
          <w:tcPr>
            <w:tcW w:w="1377" w:type="pct"/>
            <w:tcBorders>
              <w:top w:val="nil"/>
              <w:left w:val="nil"/>
              <w:bottom w:val="single" w:color="auto" w:sz="4" w:space="0"/>
              <w:right w:val="single" w:color="auto" w:sz="4" w:space="0"/>
            </w:tcBorders>
            <w:shd w:val="clear" w:color="auto" w:fill="auto"/>
            <w:vAlign w:val="center"/>
          </w:tcPr>
          <w:p w14:paraId="3773C08E">
            <w:pPr>
              <w:pStyle w:val="196"/>
            </w:pPr>
            <w:r>
              <w:rPr>
                <w:rFonts w:hint="eastAsia"/>
              </w:rPr>
              <w:t>疏浚方量</w:t>
            </w:r>
          </w:p>
        </w:tc>
        <w:tc>
          <w:tcPr>
            <w:tcW w:w="759" w:type="pct"/>
            <w:tcBorders>
              <w:top w:val="nil"/>
              <w:left w:val="nil"/>
              <w:bottom w:val="single" w:color="auto" w:sz="4" w:space="0"/>
              <w:right w:val="single" w:color="auto" w:sz="4" w:space="0"/>
            </w:tcBorders>
            <w:shd w:val="clear" w:color="auto" w:fill="auto"/>
            <w:vAlign w:val="center"/>
          </w:tcPr>
          <w:p w14:paraId="6EAED655">
            <w:pPr>
              <w:pStyle w:val="196"/>
            </w:pPr>
            <w:r>
              <w:rPr>
                <w:rFonts w:hint="eastAsia"/>
              </w:rPr>
              <w:t>万</w:t>
            </w:r>
            <w:r>
              <w:rPr>
                <w:rFonts w:cs="Times New Roman"/>
              </w:rPr>
              <w:t>m</w:t>
            </w:r>
            <w:r>
              <w:rPr>
                <w:rFonts w:cs="Times New Roman"/>
                <w:vertAlign w:val="superscript"/>
              </w:rPr>
              <w:t>3</w:t>
            </w:r>
          </w:p>
        </w:tc>
        <w:tc>
          <w:tcPr>
            <w:tcW w:w="759" w:type="pct"/>
            <w:tcBorders>
              <w:top w:val="nil"/>
              <w:left w:val="nil"/>
              <w:bottom w:val="single" w:color="auto" w:sz="4" w:space="0"/>
              <w:right w:val="single" w:color="auto" w:sz="4" w:space="0"/>
            </w:tcBorders>
            <w:shd w:val="clear" w:color="auto" w:fill="auto"/>
            <w:vAlign w:val="center"/>
          </w:tcPr>
          <w:p w14:paraId="44617769">
            <w:pPr>
              <w:pStyle w:val="196"/>
              <w:rPr>
                <w:rFonts w:eastAsia="等线" w:cs="Times New Roman"/>
              </w:rPr>
            </w:pPr>
            <w:r>
              <w:rPr>
                <w:rFonts w:eastAsia="等线" w:cs="Times New Roman"/>
              </w:rPr>
              <w:t>2.4</w:t>
            </w:r>
          </w:p>
        </w:tc>
        <w:tc>
          <w:tcPr>
            <w:tcW w:w="1345" w:type="pct"/>
            <w:tcBorders>
              <w:top w:val="nil"/>
              <w:left w:val="nil"/>
              <w:bottom w:val="single" w:color="auto" w:sz="4" w:space="0"/>
              <w:right w:val="single" w:color="auto" w:sz="4" w:space="0"/>
            </w:tcBorders>
            <w:shd w:val="clear" w:color="auto" w:fill="auto"/>
            <w:vAlign w:val="center"/>
          </w:tcPr>
          <w:p w14:paraId="6A2ECCC9">
            <w:pPr>
              <w:pStyle w:val="196"/>
              <w:rPr>
                <w:rFonts w:eastAsia="等线" w:cs="Times New Roman"/>
              </w:rPr>
            </w:pPr>
            <w:r>
              <w:rPr>
                <w:rFonts w:eastAsia="等线" w:cs="Times New Roman"/>
              </w:rPr>
              <w:t>-</w:t>
            </w:r>
          </w:p>
        </w:tc>
      </w:tr>
      <w:tr w14:paraId="70DD021F">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7D7D84DA">
            <w:pPr>
              <w:pStyle w:val="196"/>
              <w:rPr>
                <w:rFonts w:eastAsia="等线" w:cs="Times New Roman"/>
              </w:rPr>
            </w:pPr>
            <w:r>
              <w:rPr>
                <w:rFonts w:eastAsia="等线" w:cs="Times New Roman"/>
              </w:rPr>
              <w:t>16</w:t>
            </w:r>
          </w:p>
        </w:tc>
        <w:tc>
          <w:tcPr>
            <w:tcW w:w="1377" w:type="pct"/>
            <w:tcBorders>
              <w:top w:val="nil"/>
              <w:left w:val="nil"/>
              <w:bottom w:val="single" w:color="auto" w:sz="4" w:space="0"/>
              <w:right w:val="single" w:color="auto" w:sz="4" w:space="0"/>
            </w:tcBorders>
            <w:shd w:val="clear" w:color="auto" w:fill="auto"/>
            <w:vAlign w:val="center"/>
          </w:tcPr>
          <w:p w14:paraId="535EA52B">
            <w:pPr>
              <w:pStyle w:val="196"/>
            </w:pPr>
            <w:r>
              <w:rPr>
                <w:rFonts w:hint="eastAsia"/>
              </w:rPr>
              <w:t>项目总投资</w:t>
            </w:r>
          </w:p>
        </w:tc>
        <w:tc>
          <w:tcPr>
            <w:tcW w:w="759" w:type="pct"/>
            <w:tcBorders>
              <w:top w:val="nil"/>
              <w:left w:val="nil"/>
              <w:bottom w:val="single" w:color="auto" w:sz="4" w:space="0"/>
              <w:right w:val="single" w:color="auto" w:sz="4" w:space="0"/>
            </w:tcBorders>
            <w:shd w:val="clear" w:color="auto" w:fill="auto"/>
            <w:vAlign w:val="center"/>
          </w:tcPr>
          <w:p w14:paraId="70F333C4">
            <w:pPr>
              <w:pStyle w:val="196"/>
            </w:pPr>
            <w:r>
              <w:rPr>
                <w:rFonts w:hint="eastAsia"/>
              </w:rPr>
              <w:t>万元</w:t>
            </w:r>
          </w:p>
        </w:tc>
        <w:tc>
          <w:tcPr>
            <w:tcW w:w="759" w:type="pct"/>
            <w:tcBorders>
              <w:top w:val="nil"/>
              <w:left w:val="nil"/>
              <w:bottom w:val="single" w:color="auto" w:sz="4" w:space="0"/>
              <w:right w:val="single" w:color="auto" w:sz="4" w:space="0"/>
            </w:tcBorders>
            <w:shd w:val="clear" w:color="auto" w:fill="auto"/>
            <w:vAlign w:val="center"/>
          </w:tcPr>
          <w:p w14:paraId="3D15DB8B">
            <w:pPr>
              <w:pStyle w:val="196"/>
              <w:rPr>
                <w:rFonts w:eastAsia="等线" w:cs="Times New Roman"/>
              </w:rPr>
            </w:pPr>
            <w:r>
              <w:rPr>
                <w:rFonts w:eastAsia="等线" w:cs="Times New Roman"/>
              </w:rPr>
              <w:t>5942.36</w:t>
            </w:r>
          </w:p>
        </w:tc>
        <w:tc>
          <w:tcPr>
            <w:tcW w:w="1345" w:type="pct"/>
            <w:tcBorders>
              <w:top w:val="nil"/>
              <w:left w:val="nil"/>
              <w:bottom w:val="single" w:color="auto" w:sz="4" w:space="0"/>
              <w:right w:val="single" w:color="auto" w:sz="4" w:space="0"/>
            </w:tcBorders>
            <w:shd w:val="clear" w:color="auto" w:fill="auto"/>
            <w:vAlign w:val="center"/>
          </w:tcPr>
          <w:p w14:paraId="0A94285C">
            <w:pPr>
              <w:pStyle w:val="196"/>
              <w:rPr>
                <w:rFonts w:eastAsia="等线" w:cs="Times New Roman"/>
              </w:rPr>
            </w:pPr>
            <w:r>
              <w:rPr>
                <w:rFonts w:eastAsia="等线" w:cs="Times New Roman"/>
              </w:rPr>
              <w:t>-</w:t>
            </w:r>
          </w:p>
        </w:tc>
      </w:tr>
      <w:tr w14:paraId="5582745C">
        <w:tblPrEx>
          <w:tblCellMar>
            <w:top w:w="0" w:type="dxa"/>
            <w:left w:w="108" w:type="dxa"/>
            <w:bottom w:w="0" w:type="dxa"/>
            <w:right w:w="108" w:type="dxa"/>
          </w:tblCellMar>
        </w:tblPrEx>
        <w:trPr>
          <w:trHeight w:val="20" w:hRule="atLeast"/>
        </w:trPr>
        <w:tc>
          <w:tcPr>
            <w:tcW w:w="759" w:type="pct"/>
            <w:tcBorders>
              <w:top w:val="nil"/>
              <w:left w:val="single" w:color="auto" w:sz="4" w:space="0"/>
              <w:bottom w:val="single" w:color="auto" w:sz="4" w:space="0"/>
              <w:right w:val="single" w:color="auto" w:sz="4" w:space="0"/>
            </w:tcBorders>
            <w:shd w:val="clear" w:color="auto" w:fill="auto"/>
            <w:vAlign w:val="center"/>
          </w:tcPr>
          <w:p w14:paraId="69A76202">
            <w:pPr>
              <w:pStyle w:val="196"/>
              <w:rPr>
                <w:rFonts w:eastAsia="等线" w:cs="Times New Roman"/>
              </w:rPr>
            </w:pPr>
            <w:r>
              <w:rPr>
                <w:rFonts w:eastAsia="等线" w:cs="Times New Roman"/>
              </w:rPr>
              <w:t>17</w:t>
            </w:r>
          </w:p>
        </w:tc>
        <w:tc>
          <w:tcPr>
            <w:tcW w:w="1377" w:type="pct"/>
            <w:tcBorders>
              <w:top w:val="nil"/>
              <w:left w:val="nil"/>
              <w:bottom w:val="single" w:color="auto" w:sz="4" w:space="0"/>
              <w:right w:val="single" w:color="auto" w:sz="4" w:space="0"/>
            </w:tcBorders>
            <w:shd w:val="clear" w:color="auto" w:fill="auto"/>
            <w:vAlign w:val="center"/>
          </w:tcPr>
          <w:p w14:paraId="5567E594">
            <w:pPr>
              <w:pStyle w:val="196"/>
            </w:pPr>
            <w:r>
              <w:rPr>
                <w:rFonts w:hint="eastAsia"/>
              </w:rPr>
              <w:t>工程费用</w:t>
            </w:r>
          </w:p>
        </w:tc>
        <w:tc>
          <w:tcPr>
            <w:tcW w:w="759" w:type="pct"/>
            <w:tcBorders>
              <w:top w:val="nil"/>
              <w:left w:val="nil"/>
              <w:bottom w:val="single" w:color="auto" w:sz="4" w:space="0"/>
              <w:right w:val="single" w:color="auto" w:sz="4" w:space="0"/>
            </w:tcBorders>
            <w:shd w:val="clear" w:color="auto" w:fill="auto"/>
            <w:vAlign w:val="center"/>
          </w:tcPr>
          <w:p w14:paraId="0DDF4C77">
            <w:pPr>
              <w:pStyle w:val="196"/>
            </w:pPr>
            <w:r>
              <w:rPr>
                <w:rFonts w:hint="eastAsia"/>
              </w:rPr>
              <w:t>万元</w:t>
            </w:r>
          </w:p>
        </w:tc>
        <w:tc>
          <w:tcPr>
            <w:tcW w:w="759" w:type="pct"/>
            <w:tcBorders>
              <w:top w:val="nil"/>
              <w:left w:val="nil"/>
              <w:bottom w:val="single" w:color="auto" w:sz="4" w:space="0"/>
              <w:right w:val="single" w:color="auto" w:sz="4" w:space="0"/>
            </w:tcBorders>
            <w:shd w:val="clear" w:color="auto" w:fill="auto"/>
            <w:vAlign w:val="center"/>
          </w:tcPr>
          <w:p w14:paraId="4A8521B5">
            <w:pPr>
              <w:pStyle w:val="196"/>
              <w:rPr>
                <w:rFonts w:eastAsia="等线" w:cs="Times New Roman"/>
              </w:rPr>
            </w:pPr>
            <w:r>
              <w:rPr>
                <w:rFonts w:eastAsia="等线" w:cs="Times New Roman"/>
              </w:rPr>
              <w:t>5335.91</w:t>
            </w:r>
          </w:p>
        </w:tc>
        <w:tc>
          <w:tcPr>
            <w:tcW w:w="1345" w:type="pct"/>
            <w:tcBorders>
              <w:top w:val="nil"/>
              <w:left w:val="nil"/>
              <w:bottom w:val="single" w:color="auto" w:sz="4" w:space="0"/>
              <w:right w:val="single" w:color="auto" w:sz="4" w:space="0"/>
            </w:tcBorders>
            <w:shd w:val="clear" w:color="auto" w:fill="auto"/>
            <w:vAlign w:val="center"/>
          </w:tcPr>
          <w:p w14:paraId="706B0A99">
            <w:pPr>
              <w:pStyle w:val="196"/>
              <w:rPr>
                <w:rFonts w:eastAsia="等线" w:cs="Times New Roman"/>
              </w:rPr>
            </w:pPr>
            <w:r>
              <w:rPr>
                <w:rFonts w:eastAsia="等线" w:cs="Times New Roman"/>
              </w:rPr>
              <w:t>-</w:t>
            </w:r>
          </w:p>
        </w:tc>
      </w:tr>
    </w:tbl>
    <w:p w14:paraId="08B6D31A">
      <w:pPr>
        <w:pStyle w:val="196"/>
      </w:pPr>
    </w:p>
    <w:p w14:paraId="68CD5293">
      <w:pPr>
        <w:pStyle w:val="82"/>
      </w:pPr>
      <w:r>
        <w:rPr>
          <w:rFonts w:hint="eastAsia"/>
        </w:rPr>
        <w:t>主要设计参数</w:t>
      </w:r>
    </w:p>
    <w:p w14:paraId="27E5D235">
      <w:pPr>
        <w:pStyle w:val="93"/>
      </w:pPr>
      <w:r>
        <w:rPr>
          <w:rFonts w:hint="eastAsia"/>
        </w:rPr>
        <w:t>（1）项目作业货种及吞吐量</w:t>
      </w:r>
    </w:p>
    <w:p w14:paraId="36BDF7F2">
      <w:pPr>
        <w:pStyle w:val="93"/>
      </w:pPr>
      <w:r>
        <w:rPr>
          <w:rFonts w:hint="eastAsia"/>
        </w:rPr>
        <w:t>本项目主要为国能涟水热电联产项目提供煤炭运输服务。主要货种为煤炭。预计2030年码头设计年吞吐总量112万吨。详见下表。</w:t>
      </w:r>
    </w:p>
    <w:p w14:paraId="30DDDDB3">
      <w:pPr>
        <w:pStyle w:val="86"/>
      </w:pPr>
      <w:r>
        <w:rPr>
          <w:rFonts w:hint="eastAsia"/>
        </w:rPr>
        <w:t>运输货种及吞吐量 单位：（万吨）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129"/>
        <w:gridCol w:w="2131"/>
        <w:gridCol w:w="2131"/>
      </w:tblGrid>
      <w:tr w14:paraId="0476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tcPr>
          <w:p w14:paraId="4A8EED40">
            <w:pPr>
              <w:pStyle w:val="196"/>
            </w:pPr>
            <w:r>
              <w:rPr>
                <w:rFonts w:hint="eastAsia"/>
              </w:rPr>
              <w:t>货种</w:t>
            </w:r>
          </w:p>
        </w:tc>
        <w:tc>
          <w:tcPr>
            <w:tcW w:w="1249" w:type="pct"/>
          </w:tcPr>
          <w:p w14:paraId="68308631">
            <w:pPr>
              <w:pStyle w:val="196"/>
            </w:pPr>
            <w:r>
              <w:rPr>
                <w:rFonts w:hint="eastAsia"/>
              </w:rPr>
              <w:t>进港</w:t>
            </w:r>
          </w:p>
        </w:tc>
        <w:tc>
          <w:tcPr>
            <w:tcW w:w="1250" w:type="pct"/>
          </w:tcPr>
          <w:p w14:paraId="2898ECC1">
            <w:pPr>
              <w:pStyle w:val="196"/>
            </w:pPr>
            <w:r>
              <w:rPr>
                <w:rFonts w:hint="eastAsia"/>
              </w:rPr>
              <w:t>出港</w:t>
            </w:r>
          </w:p>
        </w:tc>
        <w:tc>
          <w:tcPr>
            <w:tcW w:w="1250" w:type="pct"/>
          </w:tcPr>
          <w:p w14:paraId="0DBF719F">
            <w:pPr>
              <w:pStyle w:val="196"/>
            </w:pPr>
            <w:r>
              <w:rPr>
                <w:rFonts w:hint="eastAsia"/>
              </w:rPr>
              <w:t>小计</w:t>
            </w:r>
          </w:p>
        </w:tc>
      </w:tr>
      <w:tr w14:paraId="4138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vAlign w:val="center"/>
          </w:tcPr>
          <w:p w14:paraId="55388D49">
            <w:pPr>
              <w:pStyle w:val="196"/>
              <w:rPr>
                <w:bCs/>
              </w:rPr>
            </w:pPr>
            <w:r>
              <w:rPr>
                <w:rFonts w:hint="eastAsia"/>
                <w:bCs/>
              </w:rPr>
              <w:t>煤炭</w:t>
            </w:r>
          </w:p>
        </w:tc>
        <w:tc>
          <w:tcPr>
            <w:tcW w:w="1249" w:type="pct"/>
          </w:tcPr>
          <w:p w14:paraId="75911929">
            <w:pPr>
              <w:pStyle w:val="196"/>
              <w:rPr>
                <w:bCs/>
              </w:rPr>
            </w:pPr>
            <w:r>
              <w:rPr>
                <w:rFonts w:hint="eastAsia"/>
                <w:bCs/>
              </w:rPr>
              <w:t>112</w:t>
            </w:r>
          </w:p>
        </w:tc>
        <w:tc>
          <w:tcPr>
            <w:tcW w:w="1250" w:type="pct"/>
          </w:tcPr>
          <w:p w14:paraId="5A7F2C75">
            <w:pPr>
              <w:pStyle w:val="196"/>
              <w:rPr>
                <w:bCs/>
              </w:rPr>
            </w:pPr>
            <w:r>
              <w:rPr>
                <w:rFonts w:hint="eastAsia"/>
                <w:bCs/>
              </w:rPr>
              <w:t>0</w:t>
            </w:r>
          </w:p>
        </w:tc>
        <w:tc>
          <w:tcPr>
            <w:tcW w:w="1250" w:type="pct"/>
          </w:tcPr>
          <w:p w14:paraId="5BD97A5D">
            <w:pPr>
              <w:pStyle w:val="196"/>
              <w:rPr>
                <w:bCs/>
              </w:rPr>
            </w:pPr>
            <w:r>
              <w:rPr>
                <w:rFonts w:hint="eastAsia"/>
                <w:bCs/>
              </w:rPr>
              <w:t>112</w:t>
            </w:r>
          </w:p>
        </w:tc>
      </w:tr>
      <w:tr w14:paraId="34BD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8" w:type="pct"/>
            <w:vAlign w:val="center"/>
          </w:tcPr>
          <w:p w14:paraId="24AD4B14">
            <w:pPr>
              <w:pStyle w:val="196"/>
              <w:rPr>
                <w:bCs/>
              </w:rPr>
            </w:pPr>
            <w:r>
              <w:rPr>
                <w:rFonts w:hint="eastAsia"/>
                <w:bCs/>
              </w:rPr>
              <w:t>合计</w:t>
            </w:r>
          </w:p>
        </w:tc>
        <w:tc>
          <w:tcPr>
            <w:tcW w:w="1249" w:type="pct"/>
          </w:tcPr>
          <w:p w14:paraId="2725FF28">
            <w:pPr>
              <w:pStyle w:val="196"/>
              <w:rPr>
                <w:bCs/>
              </w:rPr>
            </w:pPr>
            <w:r>
              <w:rPr>
                <w:rFonts w:hint="eastAsia"/>
                <w:bCs/>
              </w:rPr>
              <w:t>112</w:t>
            </w:r>
          </w:p>
        </w:tc>
        <w:tc>
          <w:tcPr>
            <w:tcW w:w="1250" w:type="pct"/>
          </w:tcPr>
          <w:p w14:paraId="77BA608B">
            <w:pPr>
              <w:pStyle w:val="196"/>
              <w:rPr>
                <w:bCs/>
              </w:rPr>
            </w:pPr>
            <w:r>
              <w:rPr>
                <w:rFonts w:hint="eastAsia"/>
                <w:bCs/>
              </w:rPr>
              <w:t>0</w:t>
            </w:r>
          </w:p>
        </w:tc>
        <w:tc>
          <w:tcPr>
            <w:tcW w:w="1250" w:type="pct"/>
          </w:tcPr>
          <w:p w14:paraId="4416AB7B">
            <w:pPr>
              <w:pStyle w:val="196"/>
              <w:rPr>
                <w:bCs/>
              </w:rPr>
            </w:pPr>
            <w:r>
              <w:rPr>
                <w:rFonts w:hint="eastAsia"/>
                <w:bCs/>
              </w:rPr>
              <w:t>112</w:t>
            </w:r>
          </w:p>
        </w:tc>
      </w:tr>
    </w:tbl>
    <w:p w14:paraId="63C8B3DD">
      <w:pPr>
        <w:pStyle w:val="93"/>
      </w:pPr>
      <w:r>
        <w:rPr>
          <w:rFonts w:hint="eastAsia"/>
        </w:rPr>
        <w:t>（2）船舶选择</w:t>
      </w:r>
    </w:p>
    <w:p w14:paraId="25A91228">
      <w:pPr>
        <w:ind w:firstLine="480"/>
      </w:pPr>
      <w:r>
        <w:rPr>
          <w:rFonts w:hint="eastAsia"/>
        </w:rPr>
        <w:t>本项目设计船型见表3.2-6。</w:t>
      </w:r>
    </w:p>
    <w:p w14:paraId="622A5F72">
      <w:pPr>
        <w:pStyle w:val="86"/>
      </w:pPr>
      <w:r>
        <w:rPr>
          <w:rFonts w:hint="eastAsia"/>
        </w:rPr>
        <w:t>设计船型采用表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3137"/>
        <w:gridCol w:w="2595"/>
        <w:gridCol w:w="2027"/>
      </w:tblGrid>
      <w:tr w14:paraId="52D49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vAlign w:val="center"/>
          </w:tcPr>
          <w:p w14:paraId="0E9C8D3B">
            <w:pPr>
              <w:pStyle w:val="196"/>
            </w:pPr>
            <w:r>
              <w:rPr>
                <w:rFonts w:hint="eastAsia"/>
              </w:rPr>
              <w:t>序号</w:t>
            </w:r>
          </w:p>
        </w:tc>
        <w:tc>
          <w:tcPr>
            <w:tcW w:w="1840" w:type="pct"/>
            <w:vAlign w:val="center"/>
          </w:tcPr>
          <w:p w14:paraId="26E2CABB">
            <w:pPr>
              <w:pStyle w:val="196"/>
            </w:pPr>
            <w:r>
              <w:rPr>
                <w:rFonts w:hint="eastAsia"/>
              </w:rPr>
              <w:t>船舶吨级（t）</w:t>
            </w:r>
          </w:p>
        </w:tc>
        <w:tc>
          <w:tcPr>
            <w:tcW w:w="1522" w:type="pct"/>
            <w:vAlign w:val="center"/>
          </w:tcPr>
          <w:p w14:paraId="6588278C">
            <w:pPr>
              <w:pStyle w:val="196"/>
            </w:pPr>
            <w:r>
              <w:rPr>
                <w:rFonts w:hint="eastAsia"/>
              </w:rPr>
              <w:t>单船  长×宽×吃水（m）</w:t>
            </w:r>
          </w:p>
        </w:tc>
        <w:tc>
          <w:tcPr>
            <w:tcW w:w="1189" w:type="pct"/>
            <w:vAlign w:val="center"/>
          </w:tcPr>
          <w:p w14:paraId="336207DE">
            <w:pPr>
              <w:pStyle w:val="196"/>
            </w:pPr>
            <w:r>
              <w:rPr>
                <w:rFonts w:hint="eastAsia"/>
              </w:rPr>
              <w:t>备  注</w:t>
            </w:r>
          </w:p>
        </w:tc>
      </w:tr>
      <w:tr w14:paraId="33FB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vAlign w:val="center"/>
          </w:tcPr>
          <w:p w14:paraId="41158D80">
            <w:pPr>
              <w:pStyle w:val="196"/>
              <w:rPr>
                <w:bCs/>
              </w:rPr>
            </w:pPr>
            <w:r>
              <w:rPr>
                <w:rFonts w:hint="eastAsia"/>
                <w:bCs/>
              </w:rPr>
              <w:t>1</w:t>
            </w:r>
          </w:p>
        </w:tc>
        <w:tc>
          <w:tcPr>
            <w:tcW w:w="1840" w:type="pct"/>
            <w:vAlign w:val="center"/>
          </w:tcPr>
          <w:p w14:paraId="72E23832">
            <w:pPr>
              <w:pStyle w:val="196"/>
              <w:rPr>
                <w:bCs/>
              </w:rPr>
            </w:pPr>
            <w:r>
              <w:rPr>
                <w:rFonts w:hint="eastAsia"/>
                <w:bCs/>
              </w:rPr>
              <w:t>1000吨级货船</w:t>
            </w:r>
          </w:p>
        </w:tc>
        <w:tc>
          <w:tcPr>
            <w:tcW w:w="1522" w:type="pct"/>
            <w:vAlign w:val="center"/>
          </w:tcPr>
          <w:p w14:paraId="6B92C80D">
            <w:pPr>
              <w:pStyle w:val="196"/>
              <w:rPr>
                <w:bCs/>
              </w:rPr>
            </w:pPr>
            <w:r>
              <w:rPr>
                <w:rFonts w:hint="eastAsia"/>
                <w:bCs/>
              </w:rPr>
              <w:t>60×10.8×2.7</w:t>
            </w:r>
          </w:p>
        </w:tc>
        <w:tc>
          <w:tcPr>
            <w:tcW w:w="1189" w:type="pct"/>
            <w:vAlign w:val="center"/>
          </w:tcPr>
          <w:p w14:paraId="79119E85">
            <w:pPr>
              <w:pStyle w:val="196"/>
              <w:rPr>
                <w:bCs/>
              </w:rPr>
            </w:pPr>
            <w:r>
              <w:rPr>
                <w:rFonts w:hint="eastAsia"/>
                <w:bCs/>
              </w:rPr>
              <w:t>设计代表船型</w:t>
            </w:r>
          </w:p>
        </w:tc>
      </w:tr>
      <w:tr w14:paraId="0877D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7" w:type="pct"/>
            <w:vAlign w:val="center"/>
          </w:tcPr>
          <w:p w14:paraId="4911E4A7">
            <w:pPr>
              <w:pStyle w:val="196"/>
              <w:rPr>
                <w:bCs/>
              </w:rPr>
            </w:pPr>
            <w:r>
              <w:rPr>
                <w:rFonts w:hint="eastAsia"/>
                <w:bCs/>
              </w:rPr>
              <w:t>2</w:t>
            </w:r>
          </w:p>
        </w:tc>
        <w:tc>
          <w:tcPr>
            <w:tcW w:w="1840" w:type="pct"/>
            <w:vAlign w:val="center"/>
          </w:tcPr>
          <w:p w14:paraId="4E7DBDB9">
            <w:pPr>
              <w:pStyle w:val="196"/>
              <w:rPr>
                <w:bCs/>
              </w:rPr>
            </w:pPr>
            <w:r>
              <w:rPr>
                <w:rFonts w:hint="eastAsia"/>
                <w:bCs/>
              </w:rPr>
              <w:t>500t吨级货船</w:t>
            </w:r>
          </w:p>
        </w:tc>
        <w:tc>
          <w:tcPr>
            <w:tcW w:w="1522" w:type="pct"/>
            <w:vAlign w:val="center"/>
          </w:tcPr>
          <w:p w14:paraId="48E440FE">
            <w:pPr>
              <w:pStyle w:val="196"/>
              <w:rPr>
                <w:bCs/>
              </w:rPr>
            </w:pPr>
            <w:r>
              <w:rPr>
                <w:rFonts w:hint="eastAsia"/>
                <w:bCs/>
              </w:rPr>
              <w:t>44×8.8×2.5</w:t>
            </w:r>
          </w:p>
        </w:tc>
        <w:tc>
          <w:tcPr>
            <w:tcW w:w="1189" w:type="pct"/>
            <w:vAlign w:val="center"/>
          </w:tcPr>
          <w:p w14:paraId="779E217E">
            <w:pPr>
              <w:pStyle w:val="196"/>
              <w:rPr>
                <w:bCs/>
              </w:rPr>
            </w:pPr>
            <w:r>
              <w:rPr>
                <w:rFonts w:hint="eastAsia"/>
                <w:bCs/>
              </w:rPr>
              <w:t>兼顾船型</w:t>
            </w:r>
          </w:p>
        </w:tc>
      </w:tr>
    </w:tbl>
    <w:p w14:paraId="791C754A">
      <w:pPr>
        <w:pStyle w:val="93"/>
      </w:pPr>
      <w:r>
        <w:rPr>
          <w:rFonts w:hint="eastAsia"/>
        </w:rPr>
        <w:t>（3）码头泊位通过能力计算</w:t>
      </w:r>
    </w:p>
    <w:p w14:paraId="53CC8EB8">
      <w:pPr>
        <w:pStyle w:val="93"/>
      </w:pPr>
      <w:r>
        <w:rPr>
          <w:rFonts w:hint="eastAsia"/>
        </w:rPr>
        <w:t>根据《河港总体设计规范》（JTS166-2020）的有关规定，本工程码头年设计通过能力按下列公式进行计算：</w:t>
      </w:r>
    </w:p>
    <w:p w14:paraId="698C05FA">
      <w:pPr>
        <w:pStyle w:val="93"/>
      </w:pPr>
      <w:r>
        <w:rPr>
          <w:rFonts w:hint="eastAsia"/>
        </w:rPr>
        <w:drawing>
          <wp:inline distT="0" distB="0" distL="0" distR="0">
            <wp:extent cx="973455" cy="617855"/>
            <wp:effectExtent l="0" t="0" r="0" b="0"/>
            <wp:docPr id="1083457702" name="图片 252"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7702" name="图片 252" descr="形状&#10;&#10;中度可信度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73455" cy="617855"/>
                    </a:xfrm>
                    <a:prstGeom prst="rect">
                      <a:avLst/>
                    </a:prstGeom>
                    <a:noFill/>
                    <a:ln>
                      <a:noFill/>
                    </a:ln>
                  </pic:spPr>
                </pic:pic>
              </a:graphicData>
            </a:graphic>
          </wp:inline>
        </w:drawing>
      </w:r>
    </w:p>
    <w:p w14:paraId="3BCE3F8E">
      <w:pPr>
        <w:pStyle w:val="93"/>
      </w:pPr>
      <w:r>
        <w:rPr>
          <w:rFonts w:hint="eastAsia"/>
        </w:rPr>
        <w:drawing>
          <wp:inline distT="0" distB="0" distL="0" distR="0">
            <wp:extent cx="685800" cy="584200"/>
            <wp:effectExtent l="0" t="0" r="0" b="6350"/>
            <wp:docPr id="1590668312" name="图片 251"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68312" name="图片 251" descr="形状&#10;&#10;低可信度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85800" cy="584200"/>
                    </a:xfrm>
                    <a:prstGeom prst="rect">
                      <a:avLst/>
                    </a:prstGeom>
                    <a:noFill/>
                    <a:ln>
                      <a:noFill/>
                    </a:ln>
                  </pic:spPr>
                </pic:pic>
              </a:graphicData>
            </a:graphic>
          </wp:inline>
        </w:drawing>
      </w:r>
    </w:p>
    <w:p w14:paraId="72690E76">
      <w:pPr>
        <w:ind w:firstLine="480"/>
      </w:pPr>
      <w:r>
        <w:rPr>
          <w:rFonts w:hint="eastAsia"/>
        </w:rPr>
        <w:drawing>
          <wp:inline distT="0" distB="0" distL="0" distR="0">
            <wp:extent cx="423545" cy="372745"/>
            <wp:effectExtent l="0" t="0" r="0" b="8255"/>
            <wp:docPr id="614838014"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38014" name="图片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23545" cy="372745"/>
                    </a:xfrm>
                    <a:prstGeom prst="rect">
                      <a:avLst/>
                    </a:prstGeom>
                    <a:noFill/>
                    <a:ln>
                      <a:noFill/>
                    </a:ln>
                  </pic:spPr>
                </pic:pic>
              </a:graphicData>
            </a:graphic>
          </wp:inline>
        </w:drawing>
      </w:r>
    </w:p>
    <w:p w14:paraId="435CC9F1">
      <w:pPr>
        <w:pStyle w:val="93"/>
      </w:pPr>
      <w:r>
        <w:rPr>
          <w:rFonts w:hint="eastAsia"/>
          <w:i/>
          <w:iCs/>
        </w:rPr>
        <w:t>P</w:t>
      </w:r>
      <w:r>
        <w:rPr>
          <w:rFonts w:hint="eastAsia"/>
          <w:i/>
          <w:iCs/>
          <w:vertAlign w:val="subscript"/>
        </w:rPr>
        <w:t>s</w:t>
      </w:r>
      <w:r>
        <w:rPr>
          <w:rFonts w:hint="eastAsia"/>
        </w:rPr>
        <w:t>－一个泊位年设计通过能力（t）；</w:t>
      </w:r>
    </w:p>
    <w:p w14:paraId="59BBECCE">
      <w:pPr>
        <w:pStyle w:val="93"/>
      </w:pPr>
      <w:r>
        <w:rPr>
          <w:rFonts w:hint="eastAsia"/>
          <w:i/>
          <w:iCs/>
        </w:rPr>
        <w:t>P</w:t>
      </w:r>
      <w:r>
        <w:rPr>
          <w:rFonts w:hint="eastAsia"/>
          <w:i/>
          <w:iCs/>
          <w:vertAlign w:val="subscript"/>
        </w:rPr>
        <w:t>t</w:t>
      </w:r>
      <w:r>
        <w:rPr>
          <w:rFonts w:hint="eastAsia"/>
        </w:rPr>
        <w:t>－各类船舶年装卸不同货物的数量一个泊位年设计通过能力（t）；</w:t>
      </w:r>
    </w:p>
    <w:p w14:paraId="197874E7">
      <w:pPr>
        <w:pStyle w:val="93"/>
      </w:pPr>
      <w:r>
        <w:rPr>
          <w:rFonts w:hint="eastAsia"/>
        </w:rPr>
        <w:drawing>
          <wp:inline distT="0" distB="0" distL="0" distR="0">
            <wp:extent cx="177800" cy="228600"/>
            <wp:effectExtent l="0" t="0" r="0" b="0"/>
            <wp:docPr id="205577727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77279" name="图片 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7800" cy="228600"/>
                    </a:xfrm>
                    <a:prstGeom prst="rect">
                      <a:avLst/>
                    </a:prstGeom>
                    <a:noFill/>
                    <a:ln>
                      <a:noFill/>
                    </a:ln>
                  </pic:spPr>
                </pic:pic>
              </a:graphicData>
            </a:graphic>
          </wp:inline>
        </w:drawing>
      </w:r>
      <w:r>
        <w:rPr>
          <w:rFonts w:hint="eastAsia"/>
        </w:rPr>
        <w:t>——为各类船舶年装卸不同货物的数量占泊位年装卸总量的百分比（%）；</w:t>
      </w:r>
    </w:p>
    <w:p w14:paraId="3D298222">
      <w:pPr>
        <w:pStyle w:val="93"/>
      </w:pPr>
      <w:r>
        <w:rPr>
          <w:rFonts w:hint="eastAsia"/>
        </w:rPr>
        <w:drawing>
          <wp:inline distT="0" distB="0" distL="0" distR="0">
            <wp:extent cx="186055" cy="236855"/>
            <wp:effectExtent l="0" t="0" r="4445" b="0"/>
            <wp:docPr id="139754965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49653" name="图片 2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6055" cy="236855"/>
                    </a:xfrm>
                    <a:prstGeom prst="rect">
                      <a:avLst/>
                    </a:prstGeom>
                    <a:noFill/>
                    <a:ln>
                      <a:noFill/>
                    </a:ln>
                  </pic:spPr>
                </pic:pic>
              </a:graphicData>
            </a:graphic>
          </wp:inline>
        </w:drawing>
      </w:r>
      <w:r>
        <w:rPr>
          <w:rFonts w:hint="eastAsia"/>
        </w:rPr>
        <w:t>——年营运天数，取330d；</w:t>
      </w:r>
    </w:p>
    <w:p w14:paraId="7C721F60">
      <w:pPr>
        <w:pStyle w:val="93"/>
      </w:pPr>
      <w:r>
        <w:rPr>
          <w:rFonts w:hint="eastAsia"/>
        </w:rPr>
        <w:drawing>
          <wp:inline distT="0" distB="0" distL="0" distR="0">
            <wp:extent cx="152400" cy="220345"/>
            <wp:effectExtent l="0" t="0" r="0" b="8255"/>
            <wp:docPr id="2107021641"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21641" name="图片 2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52400" cy="220345"/>
                    </a:xfrm>
                    <a:prstGeom prst="rect">
                      <a:avLst/>
                    </a:prstGeom>
                    <a:noFill/>
                    <a:ln>
                      <a:noFill/>
                    </a:ln>
                  </pic:spPr>
                </pic:pic>
              </a:graphicData>
            </a:graphic>
          </wp:inline>
        </w:drawing>
      </w:r>
      <w:r>
        <w:rPr>
          <w:rFonts w:hint="eastAsia"/>
        </w:rPr>
        <w:t>——装卸一艘设计代表船型所需时间（h）；</w:t>
      </w:r>
    </w:p>
    <w:p w14:paraId="412A9B96">
      <w:pPr>
        <w:ind w:firstLine="480"/>
      </w:pPr>
      <w:r>
        <w:rPr>
          <w:rFonts w:hint="eastAsia"/>
        </w:rPr>
        <w:drawing>
          <wp:inline distT="0" distB="0" distL="0" distR="0">
            <wp:extent cx="152400" cy="220345"/>
            <wp:effectExtent l="0" t="0" r="0" b="8255"/>
            <wp:docPr id="121805011"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5011" name="图片 2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2400" cy="220345"/>
                    </a:xfrm>
                    <a:prstGeom prst="rect">
                      <a:avLst/>
                    </a:prstGeom>
                    <a:noFill/>
                    <a:ln>
                      <a:noFill/>
                    </a:ln>
                  </pic:spPr>
                </pic:pic>
              </a:graphicData>
            </a:graphic>
          </wp:inline>
        </w:drawing>
      </w:r>
      <w:r>
        <w:rPr>
          <w:rFonts w:hint="eastAsia"/>
        </w:rPr>
        <w:t>——昼夜小时数，取24h；</w:t>
      </w:r>
    </w:p>
    <w:p w14:paraId="1A9FB11F">
      <w:pPr>
        <w:ind w:firstLine="480"/>
      </w:pPr>
      <w:r>
        <w:rPr>
          <w:rFonts w:hint="eastAsia"/>
        </w:rPr>
        <w:drawing>
          <wp:inline distT="0" distB="0" distL="0" distR="0">
            <wp:extent cx="152400" cy="228600"/>
            <wp:effectExtent l="0" t="0" r="0" b="0"/>
            <wp:docPr id="125928212"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212" name="图片 2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2400" cy="228600"/>
                    </a:xfrm>
                    <a:prstGeom prst="rect">
                      <a:avLst/>
                    </a:prstGeom>
                    <a:noFill/>
                    <a:ln>
                      <a:noFill/>
                    </a:ln>
                  </pic:spPr>
                </pic:pic>
              </a:graphicData>
            </a:graphic>
          </wp:inline>
        </w:drawing>
      </w:r>
      <w:r>
        <w:rPr>
          <w:rFonts w:hint="eastAsia"/>
        </w:rPr>
        <w:t>——船舶的装卸辅助作业、技术作业时间以及船舶靠离泊时间之和；</w:t>
      </w:r>
    </w:p>
    <w:p w14:paraId="7B5AADC0">
      <w:pPr>
        <w:ind w:firstLine="480"/>
      </w:pPr>
      <w:r>
        <w:rPr>
          <w:rFonts w:hint="eastAsia"/>
        </w:rPr>
        <w:drawing>
          <wp:inline distT="0" distB="0" distL="0" distR="0">
            <wp:extent cx="118745" cy="220345"/>
            <wp:effectExtent l="0" t="0" r="0" b="8255"/>
            <wp:docPr id="237195983"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95983" name="图片 2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18745" cy="220345"/>
                    </a:xfrm>
                    <a:prstGeom prst="rect">
                      <a:avLst/>
                    </a:prstGeom>
                    <a:noFill/>
                    <a:ln>
                      <a:noFill/>
                    </a:ln>
                  </pic:spPr>
                </pic:pic>
              </a:graphicData>
            </a:graphic>
          </wp:inline>
        </w:drawing>
      </w:r>
      <w:r>
        <w:rPr>
          <w:rFonts w:hint="eastAsia"/>
        </w:rPr>
        <w:t>——昼夜非生产时间之和，取4h；</w:t>
      </w:r>
    </w:p>
    <w:p w14:paraId="60C8A77E">
      <w:pPr>
        <w:ind w:firstLine="480"/>
      </w:pPr>
      <w:r>
        <w:rPr>
          <w:rFonts w:hint="eastAsia"/>
        </w:rPr>
        <w:t>G——设计代表船型实际装卸量（t），取设计船型载重量；</w:t>
      </w:r>
    </w:p>
    <w:p w14:paraId="0CCE79A6">
      <w:pPr>
        <w:ind w:firstLine="480"/>
      </w:pPr>
      <w:r>
        <w:rPr>
          <w:rFonts w:hint="eastAsia"/>
          <w:i/>
          <w:iCs/>
        </w:rPr>
        <w:t>p</w:t>
      </w:r>
      <w:r>
        <w:rPr>
          <w:rFonts w:hint="eastAsia"/>
        </w:rPr>
        <w:t>——设计船时效率（t/h），根据两方案单个泊位装卸船设备配置情况，按装卸船设备额定效率的60%～70%计；</w:t>
      </w:r>
    </w:p>
    <w:p w14:paraId="681D85DB">
      <w:pPr>
        <w:pStyle w:val="93"/>
      </w:pPr>
      <w:r>
        <w:rPr>
          <w:rFonts w:hint="eastAsia"/>
          <w:i/>
          <w:iCs/>
        </w:rPr>
        <w:t>A</w:t>
      </w:r>
      <w:r>
        <w:rPr>
          <w:rFonts w:hint="eastAsia"/>
          <w:i/>
          <w:iCs/>
          <w:vertAlign w:val="subscript"/>
        </w:rPr>
        <w:t>P</w:t>
      </w:r>
      <w:r>
        <w:rPr>
          <w:rFonts w:hint="eastAsia"/>
        </w:rPr>
        <w:t>——泊位利用率，件杂货取ρ=0.65。</w:t>
      </w:r>
    </w:p>
    <w:p w14:paraId="0B7E782C">
      <w:pPr>
        <w:pStyle w:val="86"/>
      </w:pPr>
      <w:r>
        <w:rPr>
          <w:rFonts w:hint="eastAsia"/>
        </w:rPr>
        <w:t>各种货种泊位通过能力计算  （万吨）</w:t>
      </w:r>
    </w:p>
    <w:tbl>
      <w:tblPr>
        <w:tblStyle w:val="38"/>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715"/>
        <w:gridCol w:w="609"/>
        <w:gridCol w:w="609"/>
        <w:gridCol w:w="609"/>
        <w:gridCol w:w="609"/>
        <w:gridCol w:w="609"/>
        <w:gridCol w:w="609"/>
        <w:gridCol w:w="609"/>
        <w:gridCol w:w="609"/>
        <w:gridCol w:w="609"/>
        <w:gridCol w:w="613"/>
      </w:tblGrid>
      <w:tr w14:paraId="2AA7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dxa"/>
            <w:vAlign w:val="center"/>
          </w:tcPr>
          <w:p w14:paraId="0DD4EF9A">
            <w:pPr>
              <w:pStyle w:val="196"/>
            </w:pPr>
            <w:r>
              <w:rPr>
                <w:rFonts w:hint="eastAsia"/>
              </w:rPr>
              <w:t>名称</w:t>
            </w:r>
          </w:p>
        </w:tc>
        <w:tc>
          <w:tcPr>
            <w:tcW w:w="715" w:type="dxa"/>
            <w:vAlign w:val="center"/>
          </w:tcPr>
          <w:p w14:paraId="3CF8A297">
            <w:pPr>
              <w:pStyle w:val="196"/>
              <w:rPr>
                <w:i/>
                <w:iCs/>
              </w:rPr>
            </w:pPr>
            <w:r>
              <w:rPr>
                <w:rFonts w:hint="eastAsia"/>
                <w:i/>
                <w:iCs/>
              </w:rPr>
              <w:t>G</w:t>
            </w:r>
          </w:p>
        </w:tc>
        <w:tc>
          <w:tcPr>
            <w:tcW w:w="608" w:type="dxa"/>
            <w:vAlign w:val="center"/>
          </w:tcPr>
          <w:p w14:paraId="298244D0">
            <w:pPr>
              <w:pStyle w:val="196"/>
              <w:rPr>
                <w:i/>
                <w:iCs/>
              </w:rPr>
            </w:pPr>
            <w:r>
              <w:rPr>
                <w:rFonts w:hint="eastAsia"/>
                <w:i/>
                <w:iCs/>
              </w:rPr>
              <w:t>P</w:t>
            </w:r>
          </w:p>
        </w:tc>
        <w:tc>
          <w:tcPr>
            <w:tcW w:w="608" w:type="dxa"/>
            <w:vAlign w:val="center"/>
          </w:tcPr>
          <w:p w14:paraId="05969DC2">
            <w:pPr>
              <w:pStyle w:val="196"/>
              <w:rPr>
                <w:i/>
                <w:iCs/>
              </w:rPr>
            </w:pPr>
            <w:r>
              <w:rPr>
                <w:rFonts w:hint="eastAsia"/>
                <w:i/>
                <w:iCs/>
              </w:rPr>
              <w:t>t</w:t>
            </w:r>
            <w:r>
              <w:rPr>
                <w:rFonts w:hint="eastAsia"/>
                <w:i/>
                <w:iCs/>
                <w:vertAlign w:val="subscript"/>
              </w:rPr>
              <w:t>z</w:t>
            </w:r>
          </w:p>
        </w:tc>
        <w:tc>
          <w:tcPr>
            <w:tcW w:w="608" w:type="dxa"/>
            <w:vAlign w:val="center"/>
          </w:tcPr>
          <w:p w14:paraId="7E2EC5CF">
            <w:pPr>
              <w:pStyle w:val="196"/>
              <w:rPr>
                <w:i/>
                <w:iCs/>
              </w:rPr>
            </w:pPr>
            <w:r>
              <w:rPr>
                <w:rFonts w:hint="eastAsia"/>
                <w:i/>
                <w:iCs/>
              </w:rPr>
              <w:t>t</w:t>
            </w:r>
            <w:r>
              <w:rPr>
                <w:rFonts w:hint="eastAsia"/>
                <w:i/>
                <w:iCs/>
                <w:vertAlign w:val="subscript"/>
              </w:rPr>
              <w:t>f</w:t>
            </w:r>
          </w:p>
        </w:tc>
        <w:tc>
          <w:tcPr>
            <w:tcW w:w="608" w:type="dxa"/>
            <w:vAlign w:val="center"/>
          </w:tcPr>
          <w:p w14:paraId="63678817">
            <w:pPr>
              <w:pStyle w:val="196"/>
              <w:rPr>
                <w:i/>
                <w:iCs/>
              </w:rPr>
            </w:pPr>
            <w:r>
              <w:rPr>
                <w:rFonts w:hint="eastAsia"/>
                <w:i/>
                <w:iCs/>
              </w:rPr>
              <w:t>t</w:t>
            </w:r>
            <w:r>
              <w:rPr>
                <w:rFonts w:hint="eastAsia"/>
                <w:i/>
                <w:iCs/>
                <w:vertAlign w:val="subscript"/>
              </w:rPr>
              <w:t>s</w:t>
            </w:r>
          </w:p>
        </w:tc>
        <w:tc>
          <w:tcPr>
            <w:tcW w:w="608" w:type="dxa"/>
            <w:vAlign w:val="center"/>
          </w:tcPr>
          <w:p w14:paraId="15DCB7CB">
            <w:pPr>
              <w:pStyle w:val="196"/>
              <w:rPr>
                <w:i/>
                <w:iCs/>
              </w:rPr>
            </w:pPr>
            <w:r>
              <w:rPr>
                <w:rFonts w:hint="eastAsia"/>
                <w:i/>
                <w:iCs/>
              </w:rPr>
              <w:t>t</w:t>
            </w:r>
            <w:r>
              <w:rPr>
                <w:rFonts w:hint="eastAsia"/>
                <w:i/>
                <w:iCs/>
                <w:vertAlign w:val="subscript"/>
              </w:rPr>
              <w:t>d</w:t>
            </w:r>
          </w:p>
        </w:tc>
        <w:tc>
          <w:tcPr>
            <w:tcW w:w="608" w:type="dxa"/>
            <w:vAlign w:val="center"/>
          </w:tcPr>
          <w:p w14:paraId="4F83ADA1">
            <w:pPr>
              <w:pStyle w:val="196"/>
              <w:rPr>
                <w:i/>
                <w:iCs/>
              </w:rPr>
            </w:pPr>
            <w:r>
              <w:rPr>
                <w:rFonts w:hint="eastAsia"/>
                <w:i/>
                <w:iCs/>
              </w:rPr>
              <w:t>T</w:t>
            </w:r>
            <w:r>
              <w:rPr>
                <w:rFonts w:hint="eastAsia"/>
                <w:i/>
                <w:iCs/>
                <w:vertAlign w:val="subscript"/>
              </w:rPr>
              <w:t>y</w:t>
            </w:r>
          </w:p>
        </w:tc>
        <w:tc>
          <w:tcPr>
            <w:tcW w:w="608" w:type="dxa"/>
            <w:vAlign w:val="center"/>
          </w:tcPr>
          <w:p w14:paraId="09A8CCE3">
            <w:pPr>
              <w:pStyle w:val="196"/>
              <w:rPr>
                <w:i/>
                <w:iCs/>
              </w:rPr>
            </w:pPr>
            <w:r>
              <w:rPr>
                <w:rFonts w:hint="eastAsia"/>
                <w:i/>
                <w:iCs/>
              </w:rPr>
              <w:t>A</w:t>
            </w:r>
            <w:r>
              <w:rPr>
                <w:rFonts w:hint="eastAsia"/>
                <w:i/>
                <w:iCs/>
                <w:vertAlign w:val="subscript"/>
              </w:rPr>
              <w:t>P</w:t>
            </w:r>
          </w:p>
        </w:tc>
        <w:tc>
          <w:tcPr>
            <w:tcW w:w="608" w:type="dxa"/>
            <w:vAlign w:val="center"/>
          </w:tcPr>
          <w:p w14:paraId="2BC8DA50">
            <w:pPr>
              <w:pStyle w:val="196"/>
              <w:rPr>
                <w:i/>
                <w:iCs/>
              </w:rPr>
            </w:pPr>
            <w:r>
              <w:rPr>
                <w:rFonts w:hint="eastAsia"/>
                <w:i/>
                <w:iCs/>
              </w:rPr>
              <w:t>Ps</w:t>
            </w:r>
          </w:p>
        </w:tc>
        <w:tc>
          <w:tcPr>
            <w:tcW w:w="608" w:type="dxa"/>
            <w:vAlign w:val="center"/>
          </w:tcPr>
          <w:p w14:paraId="536BEB3B">
            <w:pPr>
              <w:pStyle w:val="196"/>
              <w:rPr>
                <w:i/>
                <w:iCs/>
              </w:rPr>
            </w:pPr>
            <w:r>
              <w:rPr>
                <w:rFonts w:hint="eastAsia"/>
                <w:i/>
                <w:iCs/>
              </w:rPr>
              <w:drawing>
                <wp:inline distT="0" distB="0" distL="0" distR="0">
                  <wp:extent cx="152400" cy="186055"/>
                  <wp:effectExtent l="0" t="0" r="0" b="4445"/>
                  <wp:docPr id="435251264"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1264" name="图片 2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52400" cy="186055"/>
                          </a:xfrm>
                          <a:prstGeom prst="rect">
                            <a:avLst/>
                          </a:prstGeom>
                          <a:noFill/>
                          <a:ln>
                            <a:noFill/>
                          </a:ln>
                        </pic:spPr>
                      </pic:pic>
                    </a:graphicData>
                  </a:graphic>
                </wp:inline>
              </w:drawing>
            </w:r>
          </w:p>
        </w:tc>
        <w:tc>
          <w:tcPr>
            <w:tcW w:w="612" w:type="dxa"/>
            <w:vAlign w:val="center"/>
          </w:tcPr>
          <w:p w14:paraId="6E2C0ACD">
            <w:pPr>
              <w:pStyle w:val="196"/>
            </w:pPr>
            <w:r>
              <w:rPr>
                <w:rFonts w:hint="eastAsia"/>
                <w:i/>
                <w:iCs/>
              </w:rPr>
              <w:t>P</w:t>
            </w:r>
            <w:r>
              <w:rPr>
                <w:rFonts w:hint="eastAsia"/>
                <w:i/>
                <w:iCs/>
                <w:vertAlign w:val="subscript"/>
              </w:rPr>
              <w:t>t</w:t>
            </w:r>
          </w:p>
        </w:tc>
      </w:tr>
      <w:tr w14:paraId="0FB6A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dxa"/>
            <w:vAlign w:val="center"/>
          </w:tcPr>
          <w:p w14:paraId="6E96CFE4">
            <w:pPr>
              <w:pStyle w:val="196"/>
            </w:pPr>
            <w:r>
              <w:rPr>
                <w:rFonts w:hint="eastAsia"/>
              </w:rPr>
              <w:t>煤炭卸船泊位</w:t>
            </w:r>
          </w:p>
          <w:p w14:paraId="2AB23E0A">
            <w:pPr>
              <w:pStyle w:val="196"/>
            </w:pPr>
            <w:r>
              <w:rPr>
                <w:rFonts w:hint="eastAsia"/>
                <w:lang w:eastAsia="zh-CN"/>
              </w:rPr>
              <w:t>(</w:t>
            </w:r>
            <w:r>
              <w:rPr>
                <w:rFonts w:hint="eastAsia"/>
              </w:rPr>
              <w:t>1000t</w:t>
            </w:r>
            <w:r>
              <w:rPr>
                <w:rFonts w:hint="eastAsia"/>
                <w:lang w:eastAsia="zh-CN"/>
              </w:rPr>
              <w:t>)</w:t>
            </w:r>
          </w:p>
        </w:tc>
        <w:tc>
          <w:tcPr>
            <w:tcW w:w="715" w:type="dxa"/>
            <w:vAlign w:val="center"/>
          </w:tcPr>
          <w:p w14:paraId="1302C1CE">
            <w:pPr>
              <w:pStyle w:val="196"/>
            </w:pPr>
            <w:r>
              <w:rPr>
                <w:rFonts w:hint="eastAsia"/>
              </w:rPr>
              <w:t>800</w:t>
            </w:r>
          </w:p>
        </w:tc>
        <w:tc>
          <w:tcPr>
            <w:tcW w:w="608" w:type="dxa"/>
            <w:vAlign w:val="center"/>
          </w:tcPr>
          <w:p w14:paraId="6BD1A9D7">
            <w:pPr>
              <w:pStyle w:val="196"/>
            </w:pPr>
            <w:r>
              <w:rPr>
                <w:rFonts w:hint="eastAsia"/>
              </w:rPr>
              <w:t>250</w:t>
            </w:r>
          </w:p>
        </w:tc>
        <w:tc>
          <w:tcPr>
            <w:tcW w:w="608" w:type="dxa"/>
            <w:vAlign w:val="center"/>
          </w:tcPr>
          <w:p w14:paraId="656D8B2C">
            <w:pPr>
              <w:pStyle w:val="196"/>
            </w:pPr>
            <w:r>
              <w:rPr>
                <w:rFonts w:hint="eastAsia"/>
              </w:rPr>
              <w:t>3.2</w:t>
            </w:r>
          </w:p>
        </w:tc>
        <w:tc>
          <w:tcPr>
            <w:tcW w:w="608" w:type="dxa"/>
            <w:vAlign w:val="center"/>
          </w:tcPr>
          <w:p w14:paraId="368110BE">
            <w:pPr>
              <w:pStyle w:val="196"/>
            </w:pPr>
            <w:r>
              <w:rPr>
                <w:rFonts w:hint="eastAsia"/>
              </w:rPr>
              <w:t>2</w:t>
            </w:r>
          </w:p>
        </w:tc>
        <w:tc>
          <w:tcPr>
            <w:tcW w:w="608" w:type="dxa"/>
            <w:vAlign w:val="center"/>
          </w:tcPr>
          <w:p w14:paraId="106C293C">
            <w:pPr>
              <w:pStyle w:val="196"/>
            </w:pPr>
            <w:r>
              <w:rPr>
                <w:rFonts w:hint="eastAsia"/>
              </w:rPr>
              <w:t>3</w:t>
            </w:r>
          </w:p>
        </w:tc>
        <w:tc>
          <w:tcPr>
            <w:tcW w:w="608" w:type="dxa"/>
            <w:vAlign w:val="center"/>
          </w:tcPr>
          <w:p w14:paraId="20769EF7">
            <w:pPr>
              <w:pStyle w:val="196"/>
            </w:pPr>
            <w:r>
              <w:rPr>
                <w:rFonts w:hint="eastAsia"/>
              </w:rPr>
              <w:t>24</w:t>
            </w:r>
          </w:p>
        </w:tc>
        <w:tc>
          <w:tcPr>
            <w:tcW w:w="608" w:type="dxa"/>
            <w:vAlign w:val="center"/>
          </w:tcPr>
          <w:p w14:paraId="01BD3E1B">
            <w:pPr>
              <w:pStyle w:val="196"/>
            </w:pPr>
            <w:r>
              <w:rPr>
                <w:rFonts w:hint="eastAsia"/>
              </w:rPr>
              <w:t>330</w:t>
            </w:r>
          </w:p>
        </w:tc>
        <w:tc>
          <w:tcPr>
            <w:tcW w:w="608" w:type="dxa"/>
            <w:vAlign w:val="center"/>
          </w:tcPr>
          <w:p w14:paraId="54043327">
            <w:pPr>
              <w:pStyle w:val="196"/>
            </w:pPr>
            <w:r>
              <w:rPr>
                <w:rFonts w:hint="eastAsia"/>
              </w:rPr>
              <w:t>0.6</w:t>
            </w:r>
          </w:p>
        </w:tc>
        <w:tc>
          <w:tcPr>
            <w:tcW w:w="608" w:type="dxa"/>
            <w:vAlign w:val="center"/>
          </w:tcPr>
          <w:p w14:paraId="402B327E">
            <w:pPr>
              <w:pStyle w:val="196"/>
            </w:pPr>
            <w:r>
              <w:rPr>
                <w:rFonts w:hint="eastAsia"/>
              </w:rPr>
              <w:t>64</w:t>
            </w:r>
          </w:p>
        </w:tc>
        <w:tc>
          <w:tcPr>
            <w:tcW w:w="608" w:type="dxa"/>
            <w:vAlign w:val="center"/>
          </w:tcPr>
          <w:p w14:paraId="543CD5A7">
            <w:pPr>
              <w:pStyle w:val="196"/>
            </w:pPr>
            <w:r>
              <w:rPr>
                <w:rFonts w:hint="eastAsia"/>
              </w:rPr>
              <w:t>80%</w:t>
            </w:r>
          </w:p>
        </w:tc>
        <w:tc>
          <w:tcPr>
            <w:tcW w:w="612" w:type="dxa"/>
            <w:vMerge w:val="restart"/>
            <w:vAlign w:val="center"/>
          </w:tcPr>
          <w:p w14:paraId="3CDD4541">
            <w:pPr>
              <w:pStyle w:val="196"/>
            </w:pPr>
            <w:r>
              <w:rPr>
                <w:rFonts w:hint="eastAsia"/>
              </w:rPr>
              <w:t>59</w:t>
            </w:r>
          </w:p>
        </w:tc>
      </w:tr>
      <w:tr w14:paraId="2E105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3" w:type="dxa"/>
            <w:vAlign w:val="center"/>
          </w:tcPr>
          <w:p w14:paraId="6CA8A47A">
            <w:pPr>
              <w:pStyle w:val="196"/>
            </w:pPr>
            <w:r>
              <w:rPr>
                <w:rFonts w:hint="eastAsia"/>
              </w:rPr>
              <w:t>煤炭卸船泊位</w:t>
            </w:r>
          </w:p>
          <w:p w14:paraId="1CBABD48">
            <w:pPr>
              <w:pStyle w:val="196"/>
            </w:pPr>
            <w:r>
              <w:rPr>
                <w:rFonts w:hint="eastAsia"/>
                <w:lang w:eastAsia="zh-CN"/>
              </w:rPr>
              <w:t>(</w:t>
            </w:r>
            <w:r>
              <w:rPr>
                <w:rFonts w:hint="eastAsia"/>
              </w:rPr>
              <w:t>500t</w:t>
            </w:r>
            <w:r>
              <w:rPr>
                <w:rFonts w:hint="eastAsia"/>
                <w:lang w:eastAsia="zh-CN"/>
              </w:rPr>
              <w:t>)</w:t>
            </w:r>
          </w:p>
        </w:tc>
        <w:tc>
          <w:tcPr>
            <w:tcW w:w="715" w:type="dxa"/>
            <w:vAlign w:val="center"/>
          </w:tcPr>
          <w:p w14:paraId="42FC286E">
            <w:pPr>
              <w:pStyle w:val="196"/>
            </w:pPr>
            <w:r>
              <w:rPr>
                <w:rFonts w:hint="eastAsia"/>
              </w:rPr>
              <w:t>400</w:t>
            </w:r>
          </w:p>
        </w:tc>
        <w:tc>
          <w:tcPr>
            <w:tcW w:w="608" w:type="dxa"/>
            <w:vAlign w:val="center"/>
          </w:tcPr>
          <w:p w14:paraId="5EA7E36B">
            <w:pPr>
              <w:pStyle w:val="196"/>
            </w:pPr>
            <w:r>
              <w:rPr>
                <w:rFonts w:hint="eastAsia"/>
              </w:rPr>
              <w:t>250</w:t>
            </w:r>
          </w:p>
        </w:tc>
        <w:tc>
          <w:tcPr>
            <w:tcW w:w="608" w:type="dxa"/>
            <w:vAlign w:val="center"/>
          </w:tcPr>
          <w:p w14:paraId="69CC6971">
            <w:pPr>
              <w:pStyle w:val="196"/>
            </w:pPr>
            <w:r>
              <w:rPr>
                <w:rFonts w:hint="eastAsia"/>
              </w:rPr>
              <w:t>1.6</w:t>
            </w:r>
          </w:p>
        </w:tc>
        <w:tc>
          <w:tcPr>
            <w:tcW w:w="608" w:type="dxa"/>
            <w:vAlign w:val="center"/>
          </w:tcPr>
          <w:p w14:paraId="61F611A1">
            <w:pPr>
              <w:pStyle w:val="196"/>
            </w:pPr>
            <w:r>
              <w:rPr>
                <w:rFonts w:hint="eastAsia"/>
              </w:rPr>
              <w:t>2</w:t>
            </w:r>
          </w:p>
        </w:tc>
        <w:tc>
          <w:tcPr>
            <w:tcW w:w="608" w:type="dxa"/>
            <w:vAlign w:val="center"/>
          </w:tcPr>
          <w:p w14:paraId="380F37D0">
            <w:pPr>
              <w:pStyle w:val="196"/>
            </w:pPr>
            <w:r>
              <w:rPr>
                <w:rFonts w:hint="eastAsia"/>
              </w:rPr>
              <w:t>3</w:t>
            </w:r>
          </w:p>
        </w:tc>
        <w:tc>
          <w:tcPr>
            <w:tcW w:w="608" w:type="dxa"/>
            <w:vAlign w:val="center"/>
          </w:tcPr>
          <w:p w14:paraId="3ADCF6BD">
            <w:pPr>
              <w:pStyle w:val="196"/>
            </w:pPr>
            <w:r>
              <w:rPr>
                <w:rFonts w:hint="eastAsia"/>
              </w:rPr>
              <w:t>24</w:t>
            </w:r>
          </w:p>
        </w:tc>
        <w:tc>
          <w:tcPr>
            <w:tcW w:w="608" w:type="dxa"/>
            <w:vAlign w:val="center"/>
          </w:tcPr>
          <w:p w14:paraId="49F271C6">
            <w:pPr>
              <w:pStyle w:val="196"/>
            </w:pPr>
            <w:r>
              <w:rPr>
                <w:rFonts w:hint="eastAsia"/>
              </w:rPr>
              <w:t>330</w:t>
            </w:r>
          </w:p>
        </w:tc>
        <w:tc>
          <w:tcPr>
            <w:tcW w:w="608" w:type="dxa"/>
            <w:vAlign w:val="center"/>
          </w:tcPr>
          <w:p w14:paraId="75038CD9">
            <w:pPr>
              <w:pStyle w:val="196"/>
            </w:pPr>
            <w:r>
              <w:rPr>
                <w:rFonts w:hint="eastAsia"/>
              </w:rPr>
              <w:t>0.6</w:t>
            </w:r>
          </w:p>
        </w:tc>
        <w:tc>
          <w:tcPr>
            <w:tcW w:w="608" w:type="dxa"/>
            <w:vAlign w:val="center"/>
          </w:tcPr>
          <w:p w14:paraId="243F4B75">
            <w:pPr>
              <w:pStyle w:val="196"/>
            </w:pPr>
            <w:r>
              <w:rPr>
                <w:rFonts w:hint="eastAsia"/>
              </w:rPr>
              <w:t>46.2</w:t>
            </w:r>
          </w:p>
        </w:tc>
        <w:tc>
          <w:tcPr>
            <w:tcW w:w="608" w:type="dxa"/>
            <w:vAlign w:val="center"/>
          </w:tcPr>
          <w:p w14:paraId="2B3E8D44">
            <w:pPr>
              <w:pStyle w:val="196"/>
            </w:pPr>
            <w:r>
              <w:rPr>
                <w:rFonts w:hint="eastAsia"/>
              </w:rPr>
              <w:t>20%</w:t>
            </w:r>
          </w:p>
        </w:tc>
        <w:tc>
          <w:tcPr>
            <w:tcW w:w="612" w:type="dxa"/>
            <w:vMerge w:val="continue"/>
            <w:vAlign w:val="center"/>
          </w:tcPr>
          <w:p w14:paraId="19BE214D">
            <w:pPr>
              <w:pStyle w:val="196"/>
            </w:pPr>
          </w:p>
        </w:tc>
      </w:tr>
    </w:tbl>
    <w:p w14:paraId="058FB8D4">
      <w:pPr>
        <w:pStyle w:val="183"/>
        <w:rPr>
          <w:rFonts w:hint="eastAsia"/>
        </w:rPr>
      </w:pPr>
    </w:p>
    <w:p w14:paraId="3514919B">
      <w:pPr>
        <w:pStyle w:val="183"/>
        <w:rPr>
          <w:rFonts w:hint="eastAsia"/>
        </w:rPr>
      </w:pPr>
    </w:p>
    <w:p w14:paraId="44172BFA">
      <w:pPr>
        <w:pStyle w:val="86"/>
      </w:pPr>
      <w:r>
        <w:rPr>
          <w:rFonts w:hint="eastAsia"/>
        </w:rPr>
        <w:t>本项目综合通过能力</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1098"/>
        <w:gridCol w:w="1372"/>
        <w:gridCol w:w="1408"/>
        <w:gridCol w:w="1371"/>
        <w:gridCol w:w="2041"/>
      </w:tblGrid>
      <w:tr w14:paraId="36F8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6" w:type="pct"/>
            <w:gridSpan w:val="2"/>
            <w:vAlign w:val="center"/>
          </w:tcPr>
          <w:p w14:paraId="47FEF8A7">
            <w:pPr>
              <w:pStyle w:val="196"/>
            </w:pPr>
            <w:r>
              <w:rPr>
                <w:rFonts w:hint="eastAsia"/>
              </w:rPr>
              <w:t>名称</w:t>
            </w:r>
          </w:p>
        </w:tc>
        <w:tc>
          <w:tcPr>
            <w:tcW w:w="805" w:type="pct"/>
            <w:vAlign w:val="center"/>
          </w:tcPr>
          <w:p w14:paraId="1B95E88D">
            <w:pPr>
              <w:pStyle w:val="196"/>
            </w:pPr>
            <w:r>
              <w:rPr>
                <w:rFonts w:hint="eastAsia"/>
              </w:rPr>
              <w:t>泊位数（个）</w:t>
            </w:r>
          </w:p>
        </w:tc>
        <w:tc>
          <w:tcPr>
            <w:tcW w:w="826" w:type="pct"/>
            <w:vAlign w:val="center"/>
          </w:tcPr>
          <w:p w14:paraId="61072071">
            <w:pPr>
              <w:pStyle w:val="196"/>
            </w:pPr>
            <w:r>
              <w:rPr>
                <w:rFonts w:hint="eastAsia"/>
              </w:rPr>
              <w:t>设计吞吐量</w:t>
            </w:r>
          </w:p>
          <w:p w14:paraId="69748A3B">
            <w:pPr>
              <w:pStyle w:val="196"/>
            </w:pPr>
            <w:r>
              <w:rPr>
                <w:rFonts w:hint="eastAsia"/>
              </w:rPr>
              <w:t>（万吨）</w:t>
            </w:r>
          </w:p>
        </w:tc>
        <w:tc>
          <w:tcPr>
            <w:tcW w:w="804" w:type="pct"/>
            <w:vAlign w:val="center"/>
          </w:tcPr>
          <w:p w14:paraId="36E7EAF3">
            <w:pPr>
              <w:pStyle w:val="196"/>
            </w:pPr>
            <w:r>
              <w:rPr>
                <w:rFonts w:hint="eastAsia"/>
              </w:rPr>
              <w:t>设计通过能力（万吨）</w:t>
            </w:r>
          </w:p>
        </w:tc>
        <w:tc>
          <w:tcPr>
            <w:tcW w:w="1197" w:type="pct"/>
            <w:vAlign w:val="center"/>
          </w:tcPr>
          <w:p w14:paraId="7A2D4D3B">
            <w:pPr>
              <w:pStyle w:val="196"/>
            </w:pPr>
            <w:r>
              <w:rPr>
                <w:rFonts w:hint="eastAsia"/>
              </w:rPr>
              <w:t>船型比例</w:t>
            </w:r>
          </w:p>
        </w:tc>
      </w:tr>
      <w:tr w14:paraId="32E69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2" w:type="pct"/>
            <w:vAlign w:val="center"/>
          </w:tcPr>
          <w:p w14:paraId="02A80C1F">
            <w:pPr>
              <w:pStyle w:val="196"/>
            </w:pPr>
            <w:r>
              <w:rPr>
                <w:rFonts w:hint="eastAsia"/>
              </w:rPr>
              <w:t>装卸泊位</w:t>
            </w:r>
          </w:p>
        </w:tc>
        <w:tc>
          <w:tcPr>
            <w:tcW w:w="644" w:type="pct"/>
            <w:vAlign w:val="center"/>
          </w:tcPr>
          <w:p w14:paraId="03E5AD53">
            <w:pPr>
              <w:pStyle w:val="196"/>
            </w:pPr>
            <w:r>
              <w:rPr>
                <w:rFonts w:hint="eastAsia"/>
              </w:rPr>
              <w:t>煤炭卸船</w:t>
            </w:r>
          </w:p>
        </w:tc>
        <w:tc>
          <w:tcPr>
            <w:tcW w:w="805" w:type="pct"/>
            <w:vAlign w:val="center"/>
          </w:tcPr>
          <w:p w14:paraId="1D36F524">
            <w:pPr>
              <w:pStyle w:val="196"/>
            </w:pPr>
            <w:r>
              <w:rPr>
                <w:rFonts w:hint="eastAsia"/>
              </w:rPr>
              <w:t>2</w:t>
            </w:r>
          </w:p>
        </w:tc>
        <w:tc>
          <w:tcPr>
            <w:tcW w:w="826" w:type="pct"/>
            <w:vAlign w:val="center"/>
          </w:tcPr>
          <w:p w14:paraId="60672216">
            <w:pPr>
              <w:pStyle w:val="196"/>
            </w:pPr>
            <w:r>
              <w:rPr>
                <w:rFonts w:hint="eastAsia"/>
              </w:rPr>
              <w:t>112</w:t>
            </w:r>
          </w:p>
        </w:tc>
        <w:tc>
          <w:tcPr>
            <w:tcW w:w="804" w:type="pct"/>
            <w:vAlign w:val="center"/>
          </w:tcPr>
          <w:p w14:paraId="6F93838A">
            <w:pPr>
              <w:pStyle w:val="196"/>
            </w:pPr>
            <w:r>
              <w:rPr>
                <w:rFonts w:hint="eastAsia"/>
              </w:rPr>
              <w:t>118</w:t>
            </w:r>
          </w:p>
        </w:tc>
        <w:tc>
          <w:tcPr>
            <w:tcW w:w="1197" w:type="pct"/>
            <w:vMerge w:val="restart"/>
            <w:vAlign w:val="center"/>
          </w:tcPr>
          <w:p w14:paraId="092A29B1">
            <w:pPr>
              <w:pStyle w:val="196"/>
            </w:pPr>
            <w:r>
              <w:rPr>
                <w:rFonts w:hint="eastAsia"/>
              </w:rPr>
              <w:t>1000t船80%</w:t>
            </w:r>
          </w:p>
          <w:p w14:paraId="318E15C9">
            <w:pPr>
              <w:pStyle w:val="196"/>
            </w:pPr>
            <w:r>
              <w:rPr>
                <w:rFonts w:hint="eastAsia"/>
              </w:rPr>
              <w:t>500t船20%</w:t>
            </w:r>
          </w:p>
        </w:tc>
      </w:tr>
      <w:tr w14:paraId="4785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66" w:type="pct"/>
            <w:gridSpan w:val="2"/>
            <w:vAlign w:val="center"/>
          </w:tcPr>
          <w:p w14:paraId="539AFF3D">
            <w:pPr>
              <w:pStyle w:val="196"/>
            </w:pPr>
            <w:r>
              <w:rPr>
                <w:rFonts w:hint="eastAsia"/>
              </w:rPr>
              <w:t>合计</w:t>
            </w:r>
          </w:p>
        </w:tc>
        <w:tc>
          <w:tcPr>
            <w:tcW w:w="805" w:type="pct"/>
            <w:vAlign w:val="center"/>
          </w:tcPr>
          <w:p w14:paraId="7C3EB527">
            <w:pPr>
              <w:pStyle w:val="196"/>
            </w:pPr>
            <w:r>
              <w:rPr>
                <w:rFonts w:hint="eastAsia"/>
              </w:rPr>
              <w:t>2</w:t>
            </w:r>
          </w:p>
        </w:tc>
        <w:tc>
          <w:tcPr>
            <w:tcW w:w="826" w:type="pct"/>
            <w:vAlign w:val="center"/>
          </w:tcPr>
          <w:p w14:paraId="0CB88BE3">
            <w:pPr>
              <w:pStyle w:val="196"/>
            </w:pPr>
            <w:r>
              <w:rPr>
                <w:rFonts w:hint="eastAsia"/>
              </w:rPr>
              <w:t>112</w:t>
            </w:r>
          </w:p>
        </w:tc>
        <w:tc>
          <w:tcPr>
            <w:tcW w:w="804" w:type="pct"/>
            <w:vAlign w:val="center"/>
          </w:tcPr>
          <w:p w14:paraId="1EDB3A8A">
            <w:pPr>
              <w:pStyle w:val="196"/>
            </w:pPr>
            <w:r>
              <w:rPr>
                <w:rFonts w:hint="eastAsia"/>
              </w:rPr>
              <w:t>118</w:t>
            </w:r>
          </w:p>
        </w:tc>
        <w:tc>
          <w:tcPr>
            <w:tcW w:w="0" w:type="auto"/>
            <w:vMerge w:val="continue"/>
            <w:vAlign w:val="center"/>
          </w:tcPr>
          <w:p w14:paraId="5B618703">
            <w:pPr>
              <w:pStyle w:val="196"/>
            </w:pPr>
          </w:p>
        </w:tc>
      </w:tr>
    </w:tbl>
    <w:p w14:paraId="6653A00A">
      <w:pPr>
        <w:pStyle w:val="82"/>
      </w:pPr>
      <w:r>
        <w:rPr>
          <w:rFonts w:hint="eastAsia"/>
        </w:rPr>
        <w:t>总平面布置</w:t>
      </w:r>
    </w:p>
    <w:p w14:paraId="312F822A">
      <w:pPr>
        <w:pStyle w:val="93"/>
      </w:pPr>
      <w:bookmarkStart w:id="139" w:name="_Toc2177"/>
      <w:bookmarkEnd w:id="139"/>
      <w:r>
        <w:rPr>
          <w:rFonts w:hint="eastAsia"/>
        </w:rPr>
        <w:t>1、岸线与泊位布置</w:t>
      </w:r>
    </w:p>
    <w:p w14:paraId="06A159A2">
      <w:pPr>
        <w:pStyle w:val="93"/>
      </w:pPr>
      <w:r>
        <w:rPr>
          <w:rFonts w:hint="eastAsia"/>
        </w:rPr>
        <w:t>（1）泊位布置</w:t>
      </w:r>
    </w:p>
    <w:p w14:paraId="76F83D31">
      <w:pPr>
        <w:pStyle w:val="93"/>
      </w:pPr>
      <w:r>
        <w:rPr>
          <w:rFonts w:hint="eastAsia"/>
        </w:rPr>
        <w:t>本项目采用顺岸凹入式布置，码头前沿线与航道中心线平行，距离航宽线为90m，距离航道中心线为120m。</w:t>
      </w:r>
      <w:r>
        <w:rPr>
          <w:rFonts w:hint="eastAsia"/>
          <w:bCs/>
        </w:rPr>
        <w:t>拟布置3个1000吨级散货泊位，平行于航道方向布置2个1000吨级煤炭卸船泊位；西南侧布置1个1000吨级待泊泊位。</w:t>
      </w:r>
      <w:r>
        <w:rPr>
          <w:rFonts w:hint="eastAsia"/>
        </w:rPr>
        <w:t>码头北侧考虑与淮安新港建设有限公司码头相接。本项目码头南侧采用翼墙与原护岸相接，夹角为120°。装卸泊位长度共220m，其中装卸泊位长度144m（1#~2#煤炭卸船泊位长度=8+60+8+60+8=144m），待泊泊位长度76m（待泊泊位长度=8+60+8=76m）。翼墙长度约26m，水域面积约12077m</w:t>
      </w:r>
      <w:r>
        <w:rPr>
          <w:rFonts w:hint="eastAsia"/>
          <w:vertAlign w:val="superscript"/>
        </w:rPr>
        <w:t>2</w:t>
      </w:r>
      <w:r>
        <w:rPr>
          <w:rFonts w:hint="eastAsia"/>
        </w:rPr>
        <w:t>。</w:t>
      </w:r>
    </w:p>
    <w:p w14:paraId="2C507A7C">
      <w:pPr>
        <w:ind w:firstLine="480"/>
      </w:pPr>
      <w:r>
        <w:rPr>
          <w:rFonts w:hint="eastAsia"/>
        </w:rPr>
        <w:t>（2）水域布置</w:t>
      </w:r>
    </w:p>
    <w:p w14:paraId="2677C04A">
      <w:pPr>
        <w:ind w:firstLine="480"/>
      </w:pPr>
      <w:r>
        <w:rPr>
          <w:rFonts w:hint="eastAsia"/>
        </w:rPr>
        <w:t>码头前沿停泊水域：港池码头前方作业带宽度为15m，码头前沿作业地带顶高程</w:t>
      </w:r>
      <w:r>
        <w:rPr>
          <w:rFonts w:hint="eastAsia" w:ascii="宋体" w:hAnsi="宋体" w:eastAsia="宋体" w:cs="宋体"/>
        </w:rPr>
        <w:t>▽</w:t>
      </w:r>
      <w:r>
        <w:rPr>
          <w:rFonts w:hint="eastAsia"/>
        </w:rPr>
        <w:t>7.2。考虑到码头靠泊1000吨级船型，根据《河港总体设计规范》（JTS166-2020），停泊水域宽度取2倍船宽（设计船型船宽10.8m）为21.6m。</w:t>
      </w:r>
    </w:p>
    <w:p w14:paraId="5B18972C">
      <w:pPr>
        <w:ind w:firstLine="480"/>
      </w:pPr>
      <w:r>
        <w:rPr>
          <w:rFonts w:hint="eastAsia"/>
        </w:rPr>
        <w:t>码头回旋水域：因盐河现状为三级航道，设计底宽为45m，航宽为60m，根据规定，码头前沿作业水域和调头水域不得影响航道通航，根据《内河通航标准》（GB 50139-2014），码头前沿应设置调头水域，因盐河河道顺直，本项目周边无调头水域，故在码头前沿设置船舶调头水域，因本项目为水流平缓的河网地区，回旋圆直径为船长的1.2倍，取72m。</w:t>
      </w:r>
    </w:p>
    <w:p w14:paraId="596C46FA">
      <w:pPr>
        <w:ind w:firstLine="480"/>
      </w:pPr>
      <w:r>
        <w:rPr>
          <w:rFonts w:hint="eastAsia"/>
        </w:rPr>
        <w:t>本项目总平面布置图见图3.2-</w:t>
      </w:r>
      <w:r>
        <w:t>6</w:t>
      </w:r>
      <w:r>
        <w:rPr>
          <w:rFonts w:hint="eastAsia"/>
        </w:rPr>
        <w:t>。</w:t>
      </w:r>
    </w:p>
    <w:p w14:paraId="29EBD66A">
      <w:pPr>
        <w:pStyle w:val="93"/>
      </w:pPr>
      <w:bookmarkStart w:id="140" w:name="_Toc28278"/>
      <w:bookmarkEnd w:id="140"/>
      <w:r>
        <w:rPr>
          <w:rFonts w:hint="eastAsia"/>
        </w:rPr>
        <w:t>2、陆域布置</w:t>
      </w:r>
    </w:p>
    <w:p w14:paraId="578D6212">
      <w:pPr>
        <w:pStyle w:val="93"/>
      </w:pPr>
      <w:r>
        <w:rPr>
          <w:rFonts w:hint="eastAsia"/>
        </w:rPr>
        <w:t>根据地形条件和</w:t>
      </w:r>
      <w:r>
        <w:rPr>
          <w:rFonts w:hint="eastAsia"/>
          <w:lang w:eastAsia="zh-CN"/>
        </w:rPr>
        <w:t>后方场区</w:t>
      </w:r>
      <w:r>
        <w:rPr>
          <w:rFonts w:hint="eastAsia"/>
        </w:rPr>
        <w:t>布置要求，码头前方陆域主要为码头前沿场地，面积约3478m</w:t>
      </w:r>
      <w:r>
        <w:rPr>
          <w:rFonts w:hint="eastAsia"/>
          <w:vertAlign w:val="superscript"/>
        </w:rPr>
        <w:t>2</w:t>
      </w:r>
      <w:r>
        <w:rPr>
          <w:rFonts w:hint="eastAsia"/>
        </w:rPr>
        <w:t>。码头前方陆域设计高程</w:t>
      </w:r>
      <w:r>
        <w:rPr>
          <w:rFonts w:hint="eastAsia" w:ascii="宋体" w:hAnsi="宋体" w:eastAsia="宋体" w:cs="宋体"/>
        </w:rPr>
        <w:t>▽</w:t>
      </w:r>
      <w:r>
        <w:rPr>
          <w:rFonts w:hint="eastAsia"/>
        </w:rPr>
        <w:t>7.20，港区陆域即为国能涟水热电联产项目厂区。</w:t>
      </w:r>
    </w:p>
    <w:p w14:paraId="65F823E7">
      <w:pPr>
        <w:pStyle w:val="93"/>
      </w:pPr>
      <w:bookmarkStart w:id="141" w:name="_Toc6376"/>
      <w:bookmarkEnd w:id="141"/>
      <w:r>
        <w:rPr>
          <w:rFonts w:hint="eastAsia"/>
        </w:rPr>
        <w:t>3、生产辅助建筑</w:t>
      </w:r>
    </w:p>
    <w:p w14:paraId="7B864D2D">
      <w:pPr>
        <w:pStyle w:val="93"/>
      </w:pPr>
      <w:r>
        <w:rPr>
          <w:rFonts w:hint="eastAsia"/>
        </w:rPr>
        <w:t>本项目生产辅助建筑主要为1#转运站和1个集污池及固定式煤炭转运皮带机。项目于码头岸线侧设置宽度1.2m、长度340m，运速2.5m/s的封闭式固定皮带机，煤炭自船舱用卸船机卸入皮带机后，运输至本次拟设1#转运站后接入国能涟水一期热电联产项目转运站的皮带机上，转运至热电联产厂区封闭煤场储存。</w:t>
      </w:r>
    </w:p>
    <w:p w14:paraId="6A4BA5A4">
      <w:pPr>
        <w:ind w:firstLine="480"/>
      </w:pPr>
      <w:bookmarkStart w:id="142" w:name="_Toc14870"/>
      <w:bookmarkEnd w:id="142"/>
      <w:r>
        <w:rPr>
          <w:rFonts w:hint="eastAsia"/>
        </w:rPr>
        <w:t>4、码头进场道路</w:t>
      </w:r>
    </w:p>
    <w:p w14:paraId="731E6CCD">
      <w:pPr>
        <w:pStyle w:val="93"/>
      </w:pPr>
      <w:r>
        <w:rPr>
          <w:rFonts w:hint="eastAsia"/>
        </w:rPr>
        <w:t>平行于码头前沿线方向布置一条港区道路，宽7m，与码头前沿相接，进而沟通进厂道路</w:t>
      </w:r>
    </w:p>
    <w:p w14:paraId="7140E7B6">
      <w:pPr>
        <w:ind w:firstLine="480"/>
      </w:pPr>
      <w:bookmarkStart w:id="143" w:name="_Toc5296"/>
      <w:bookmarkEnd w:id="143"/>
      <w:r>
        <w:rPr>
          <w:rFonts w:hint="eastAsia"/>
        </w:rPr>
        <w:t>5、主干管线系统</w:t>
      </w:r>
    </w:p>
    <w:p w14:paraId="6206190A">
      <w:pPr>
        <w:pStyle w:val="93"/>
      </w:pPr>
      <w:r>
        <w:rPr>
          <w:rFonts w:hint="eastAsia"/>
        </w:rPr>
        <w:t>本项目主要管线有：给水管、排水管、消防管、</w:t>
      </w:r>
      <w:r>
        <w:rPr>
          <w:rFonts w:hint="eastAsia"/>
          <w:lang w:eastAsia="zh-CN"/>
        </w:rPr>
        <w:t>通信管线</w:t>
      </w:r>
      <w:r>
        <w:rPr>
          <w:rFonts w:hint="eastAsia"/>
        </w:rPr>
        <w:t>、控制管线、供电管线等。管线的敷设采用明沟和暗管相结合，其走向原则上在绿化带内或主干道下敷设。</w:t>
      </w:r>
    </w:p>
    <w:p w14:paraId="1EFB9271">
      <w:pPr>
        <w:pStyle w:val="82"/>
      </w:pPr>
      <w:r>
        <w:rPr>
          <w:rFonts w:hint="eastAsia"/>
        </w:rPr>
        <w:t>厂界周边环境概况</w:t>
      </w:r>
    </w:p>
    <w:p w14:paraId="342DAB8E">
      <w:pPr>
        <w:pStyle w:val="93"/>
      </w:pPr>
      <w:r>
        <w:rPr>
          <w:rFonts w:hint="eastAsia"/>
        </w:rPr>
        <w:t>本项目位于淮安市涟水县朱码街道高台村国能涟水一期热电联产项目厂区内，项目东侧为盐河，其余周边500m范围内为耕地、工业用地。具体见图3.2-2。</w:t>
      </w:r>
    </w:p>
    <w:p w14:paraId="571B2A65">
      <w:pPr>
        <w:pStyle w:val="82"/>
      </w:pPr>
      <w:bookmarkStart w:id="144" w:name="_Hlk181743400"/>
      <w:bookmarkStart w:id="145" w:name="_Hlk181743437"/>
      <w:r>
        <w:rPr>
          <w:rFonts w:hint="eastAsia"/>
        </w:rPr>
        <w:t>工程用地情况</w:t>
      </w:r>
    </w:p>
    <w:bookmarkEnd w:id="144"/>
    <w:p w14:paraId="4E312D23">
      <w:pPr>
        <w:pStyle w:val="139"/>
        <w:ind w:firstLine="480"/>
        <w:rPr>
          <w:color w:val="auto"/>
        </w:rPr>
      </w:pPr>
      <w:r>
        <w:rPr>
          <w:rFonts w:hint="eastAsia"/>
          <w:color w:val="auto"/>
        </w:rPr>
        <w:t>（1）置换调整后的用地红线情况</w:t>
      </w:r>
    </w:p>
    <w:p w14:paraId="0F0F2599">
      <w:pPr>
        <w:pStyle w:val="139"/>
        <w:ind w:firstLine="480"/>
        <w:rPr>
          <w:color w:val="auto"/>
        </w:rPr>
      </w:pPr>
      <w:r>
        <w:rPr>
          <w:rFonts w:hint="eastAsia"/>
          <w:color w:val="auto"/>
        </w:rPr>
        <w:t>《国能涟水一期热电联产项目环境影响报告书》于2022年7月1日取得江苏省生态环境厅的批复意见（苏环审〔2022〕43号），该热电项目的可研、环评及设计均涵盖了码头的规划和布置方案。根据热电项目环评的内容，本项目原设计方案为：</w:t>
      </w:r>
      <w:r>
        <w:rPr>
          <w:rFonts w:hint="eastAsia"/>
          <w:color w:val="auto"/>
          <w:lang w:val="en-US"/>
        </w:rPr>
        <w:t>在盐河航道左岸规划的薛行作业区岸线范围内，项目采用挖入式港池型式，拟布置</w:t>
      </w:r>
      <w:r>
        <w:rPr>
          <w:color w:val="auto"/>
          <w:lang w:val="en-US"/>
        </w:rPr>
        <w:t>3</w:t>
      </w:r>
      <w:r>
        <w:rPr>
          <w:rFonts w:hint="eastAsia"/>
          <w:color w:val="auto"/>
          <w:lang w:val="en-US"/>
        </w:rPr>
        <w:t>个1</w:t>
      </w:r>
      <w:r>
        <w:rPr>
          <w:color w:val="auto"/>
          <w:lang w:val="en-US"/>
        </w:rPr>
        <w:t>000</w:t>
      </w:r>
      <w:r>
        <w:rPr>
          <w:rFonts w:hint="eastAsia"/>
          <w:color w:val="auto"/>
          <w:lang w:val="en-US"/>
        </w:rPr>
        <w:t>吨级散货泊位，三个码头泊位长度共计为</w:t>
      </w:r>
      <w:r>
        <w:rPr>
          <w:color w:val="auto"/>
          <w:lang w:val="en-US"/>
        </w:rPr>
        <w:t>2</w:t>
      </w:r>
      <w:r>
        <w:rPr>
          <w:rFonts w:hint="eastAsia"/>
          <w:color w:val="auto"/>
          <w:lang w:val="en-US"/>
        </w:rPr>
        <w:t>2</w:t>
      </w:r>
      <w:r>
        <w:rPr>
          <w:color w:val="auto"/>
          <w:lang w:val="en-US"/>
        </w:rPr>
        <w:t>0m</w:t>
      </w:r>
      <w:r>
        <w:rPr>
          <w:rFonts w:hint="eastAsia"/>
          <w:color w:val="auto"/>
          <w:lang w:val="en-US"/>
        </w:rPr>
        <w:t>，本项目所在的港口岸线为朱码船闸下游</w:t>
      </w:r>
      <w:r>
        <w:rPr>
          <w:color w:val="auto"/>
          <w:lang w:val="en-US"/>
        </w:rPr>
        <w:t>4300</w:t>
      </w:r>
      <w:r>
        <w:rPr>
          <w:rFonts w:hint="eastAsia"/>
          <w:color w:val="auto"/>
          <w:lang w:val="en-US"/>
        </w:rPr>
        <w:t>米至朱码船闸下游</w:t>
      </w:r>
      <w:r>
        <w:rPr>
          <w:color w:val="auto"/>
          <w:lang w:val="en-US"/>
        </w:rPr>
        <w:t>5300</w:t>
      </w:r>
      <w:r>
        <w:rPr>
          <w:rFonts w:hint="eastAsia"/>
          <w:color w:val="auto"/>
          <w:lang w:val="en-US"/>
        </w:rPr>
        <w:t>米，全长</w:t>
      </w:r>
      <w:r>
        <w:rPr>
          <w:color w:val="auto"/>
          <w:lang w:val="en-US"/>
        </w:rPr>
        <w:t>1000</w:t>
      </w:r>
      <w:r>
        <w:rPr>
          <w:rFonts w:hint="eastAsia"/>
          <w:color w:val="auto"/>
          <w:lang w:val="en-US"/>
        </w:rPr>
        <w:t>米，</w:t>
      </w:r>
      <w:r>
        <w:rPr>
          <w:color w:val="auto"/>
          <w:lang w:val="en-US"/>
        </w:rPr>
        <w:t>占用盐河自然岸线长度约246m。</w:t>
      </w:r>
      <w:r>
        <w:rPr>
          <w:rFonts w:hint="eastAsia"/>
          <w:color w:val="auto"/>
          <w:lang w:val="en-US"/>
        </w:rPr>
        <w:t>为了减少对盐河的生态环境影响，集约岸线资源利用，节约码头建设成本，建设单位决定对本码头向下游调整位置，与淮安新港建设有限公司签订码头合作框架协议，共同建设两家公司的码头，并对本项目布置进行了优化。本项目码头位置调整及布置方案优化，于2023年3月完成，调整后的码头位置及方案布置，即为本次报告评价的内容。</w:t>
      </w:r>
    </w:p>
    <w:bookmarkEnd w:id="145"/>
    <w:p w14:paraId="48364D4B">
      <w:pPr>
        <w:ind w:firstLine="480"/>
      </w:pPr>
      <w:r>
        <w:rPr>
          <w:rFonts w:hint="eastAsia"/>
        </w:rPr>
        <w:t>（2）永久用地</w:t>
      </w:r>
    </w:p>
    <w:p w14:paraId="663FFF99">
      <w:pPr>
        <w:pStyle w:val="93"/>
      </w:pPr>
      <w:r>
        <w:rPr>
          <w:rFonts w:hint="eastAsia"/>
        </w:rPr>
        <w:t>本项目永久用地面积总计为</w:t>
      </w:r>
      <w:r>
        <w:t>2.16</w:t>
      </w:r>
      <w:r>
        <w:rPr>
          <w:rFonts w:hint="eastAsia"/>
        </w:rPr>
        <w:t>hm</w:t>
      </w:r>
      <w:r>
        <w:rPr>
          <w:rFonts w:hint="eastAsia"/>
          <w:vertAlign w:val="superscript"/>
        </w:rPr>
        <w:t>2</w:t>
      </w:r>
      <w:r>
        <w:rPr>
          <w:rFonts w:hint="eastAsia"/>
        </w:rPr>
        <w:t>，其中陆域用地面积为</w:t>
      </w:r>
      <w:r>
        <w:t>0.958</w:t>
      </w:r>
      <w:r>
        <w:rPr>
          <w:rFonts w:hint="eastAsia"/>
        </w:rPr>
        <w:t>hm</w:t>
      </w:r>
      <w:r>
        <w:rPr>
          <w:rFonts w:hint="eastAsia"/>
          <w:vertAlign w:val="superscript"/>
        </w:rPr>
        <w:t>2</w:t>
      </w:r>
      <w:r>
        <w:rPr>
          <w:rFonts w:hint="eastAsia"/>
        </w:rPr>
        <w:t>，用地类型见表3.2</w:t>
      </w:r>
      <w:r>
        <w:t>-</w:t>
      </w:r>
      <w:r>
        <w:rPr>
          <w:rFonts w:hint="eastAsia"/>
        </w:rPr>
        <w:t>9，水域用地面积为</w:t>
      </w:r>
      <w:r>
        <w:t>1.208</w:t>
      </w:r>
      <w:r>
        <w:rPr>
          <w:rFonts w:hint="eastAsia"/>
        </w:rPr>
        <w:t>hm</w:t>
      </w:r>
      <w:r>
        <w:rPr>
          <w:rFonts w:hint="eastAsia"/>
          <w:vertAlign w:val="superscript"/>
        </w:rPr>
        <w:t>2</w:t>
      </w:r>
      <w:r>
        <w:rPr>
          <w:rFonts w:hint="eastAsia"/>
        </w:rPr>
        <w:t>。项目用地在</w:t>
      </w:r>
      <w:r>
        <w:rPr>
          <w:rFonts w:hint="eastAsia" w:ascii="宋体" w:hAnsi="宋体"/>
          <w:szCs w:val="24"/>
        </w:rPr>
        <w:t>国能涟水一期热电联产项目厂区</w:t>
      </w:r>
      <w:r>
        <w:rPr>
          <w:rFonts w:hint="eastAsia"/>
        </w:rPr>
        <w:t>内，不新增占地，用地类型均为建设用地。</w:t>
      </w:r>
    </w:p>
    <w:p w14:paraId="7DEDDB57">
      <w:pPr>
        <w:ind w:firstLine="480"/>
      </w:pPr>
      <w:r>
        <w:rPr>
          <w:rFonts w:hint="eastAsia"/>
        </w:rPr>
        <w:t>（3）临时用地</w:t>
      </w:r>
    </w:p>
    <w:p w14:paraId="29048C72">
      <w:pPr>
        <w:ind w:firstLine="480"/>
      </w:pPr>
      <w:r>
        <w:rPr>
          <w:rFonts w:hint="eastAsia"/>
        </w:rPr>
        <w:t>项目施工场地（包含材料堆场）在本项目永久用地范围内。不另行征地。施工便道利用项目周边现有道路，不另行征地。项目施工过程中设置排土场1处、排泥场1处，占地面积分别为</w:t>
      </w:r>
      <w:r>
        <w:t>1</w:t>
      </w:r>
      <w:r>
        <w:rPr>
          <w:rFonts w:hint="eastAsia"/>
        </w:rPr>
        <w:t>hm</w:t>
      </w:r>
      <w:r>
        <w:rPr>
          <w:rFonts w:hint="eastAsia"/>
          <w:vertAlign w:val="superscript"/>
        </w:rPr>
        <w:t>2</w:t>
      </w:r>
      <w:r>
        <w:rPr>
          <w:rFonts w:hint="eastAsia"/>
        </w:rPr>
        <w:t>和</w:t>
      </w:r>
      <w:r>
        <w:t>0.4</w:t>
      </w:r>
      <w:r>
        <w:rPr>
          <w:rFonts w:hint="eastAsia"/>
        </w:rPr>
        <w:t>hm</w:t>
      </w:r>
      <w:r>
        <w:rPr>
          <w:rFonts w:hint="eastAsia"/>
          <w:vertAlign w:val="superscript"/>
        </w:rPr>
        <w:t>2</w:t>
      </w:r>
      <w:r>
        <w:rPr>
          <w:rFonts w:hint="eastAsia"/>
        </w:rPr>
        <w:t>，排土场和排泥场均位于国能涟水一期热电联产项目厂区范围内，均为建设用地。</w:t>
      </w:r>
      <w:bookmarkStart w:id="146" w:name="OLE_LINK6"/>
      <w:r>
        <w:rPr>
          <w:rFonts w:hint="eastAsia"/>
        </w:rPr>
        <w:t>本项目为热电项目配套码头项目，规划为同时施工，统一安排施工建设时序。</w:t>
      </w:r>
    </w:p>
    <w:bookmarkEnd w:id="146"/>
    <w:p w14:paraId="596561C9">
      <w:pPr>
        <w:pStyle w:val="82"/>
      </w:pPr>
      <w:bookmarkStart w:id="147" w:name="_Toc11111"/>
      <w:bookmarkEnd w:id="147"/>
      <w:r>
        <w:rPr>
          <w:rFonts w:hint="eastAsia"/>
        </w:rPr>
        <w:t>公辅工程</w:t>
      </w:r>
    </w:p>
    <w:p w14:paraId="21653171">
      <w:pPr>
        <w:pStyle w:val="84"/>
      </w:pPr>
      <w:r>
        <w:rPr>
          <w:rFonts w:hint="eastAsia"/>
        </w:rPr>
        <w:t>给水</w:t>
      </w:r>
    </w:p>
    <w:p w14:paraId="42267239">
      <w:pPr>
        <w:pStyle w:val="93"/>
        <w:numPr>
          <w:ilvl w:val="0"/>
          <w:numId w:val="7"/>
        </w:numPr>
        <w:ind w:firstLineChars="0"/>
        <w:rPr>
          <w:lang w:val="en-US"/>
        </w:rPr>
      </w:pPr>
      <w:r>
        <w:rPr>
          <w:rFonts w:hint="eastAsia"/>
          <w:lang w:val="en-US"/>
        </w:rPr>
        <w:t>给水水源</w:t>
      </w:r>
    </w:p>
    <w:p w14:paraId="57F8DB0F">
      <w:pPr>
        <w:pStyle w:val="93"/>
        <w:rPr>
          <w:lang w:val="en-US"/>
        </w:rPr>
      </w:pPr>
      <w:r>
        <w:rPr>
          <w:rFonts w:hint="eastAsia"/>
          <w:lang w:val="en-US"/>
        </w:rPr>
        <w:t>项目员工用水来自市政自来水管网。码头设生产生活给水和消防给水两个给水系统，均由后方国能涟水一期热电联产项目厂区生活给水和消防给水系统引接，消防给水来自盐河，生活给水由市政自来水供给。</w:t>
      </w:r>
    </w:p>
    <w:p w14:paraId="00F8ACF0">
      <w:pPr>
        <w:pStyle w:val="93"/>
        <w:rPr>
          <w:lang w:val="en-US"/>
        </w:rPr>
      </w:pPr>
      <w:r>
        <w:rPr>
          <w:rFonts w:hint="eastAsia"/>
          <w:lang w:val="en-US"/>
        </w:rPr>
        <w:t>②用水量</w:t>
      </w:r>
    </w:p>
    <w:p w14:paraId="5F0F2889">
      <w:pPr>
        <w:pStyle w:val="93"/>
        <w:rPr>
          <w:lang w:val="en-US"/>
        </w:rPr>
      </w:pPr>
      <w:bookmarkStart w:id="148" w:name="_Hlk111028720"/>
      <w:bookmarkEnd w:id="148"/>
      <w:r>
        <w:rPr>
          <w:rFonts w:hint="eastAsia"/>
          <w:lang w:val="en-US"/>
        </w:rPr>
        <w:t>港区用水主要包括船舶用水、道路喷洒用水、卸船喷淋用水、生活用水、绿化用水、冲洗用水、码头机修废水等</w:t>
      </w:r>
      <w:r>
        <w:rPr>
          <w:lang w:val="en-US"/>
        </w:rPr>
        <w:t>。</w:t>
      </w:r>
    </w:p>
    <w:p w14:paraId="6392F632">
      <w:pPr>
        <w:pStyle w:val="93"/>
        <w:rPr>
          <w:lang w:val="en-US"/>
        </w:rPr>
      </w:pPr>
      <w:r>
        <w:rPr>
          <w:lang w:val="en-US"/>
        </w:rPr>
        <w:t>1）船舶用水：</w:t>
      </w:r>
      <w:r>
        <w:rPr>
          <w:rFonts w:hint="eastAsia"/>
          <w:lang w:val="en-US"/>
        </w:rPr>
        <w:t>本项目船舶年运输量为</w:t>
      </w:r>
      <w:r>
        <w:rPr>
          <w:lang w:val="en-US"/>
        </w:rPr>
        <w:t>112</w:t>
      </w:r>
      <w:r>
        <w:rPr>
          <w:rFonts w:hint="eastAsia"/>
          <w:lang w:val="en-US"/>
        </w:rPr>
        <w:t>万t，预估年停靠1000</w:t>
      </w:r>
      <w:r>
        <w:rPr>
          <w:lang w:val="en-US"/>
        </w:rPr>
        <w:t>DWT船1120</w:t>
      </w:r>
      <w:r>
        <w:rPr>
          <w:rFonts w:hint="eastAsia"/>
          <w:lang w:val="en-US"/>
        </w:rPr>
        <w:t>艘</w:t>
      </w:r>
      <w:r>
        <w:rPr>
          <w:lang w:val="en-US"/>
        </w:rPr>
        <w:t>，供水定额</w:t>
      </w:r>
      <w:r>
        <w:rPr>
          <w:rFonts w:hint="eastAsia"/>
          <w:lang w:val="en-US"/>
        </w:rPr>
        <w:t>2</w:t>
      </w:r>
      <w:r>
        <w:rPr>
          <w:lang w:val="en-US"/>
        </w:rPr>
        <w:t>0m</w:t>
      </w:r>
      <w:r>
        <w:rPr>
          <w:vertAlign w:val="superscript"/>
          <w:lang w:val="en-US"/>
        </w:rPr>
        <w:t>3</w:t>
      </w:r>
      <w:r>
        <w:rPr>
          <w:rFonts w:hint="eastAsia"/>
          <w:vertAlign w:val="superscript"/>
          <w:lang w:val="en-US" w:eastAsia="zh-CN"/>
        </w:rPr>
        <w:t>/</w:t>
      </w:r>
      <w:r>
        <w:rPr>
          <w:lang w:val="en-US"/>
        </w:rPr>
        <w:t>·艘，船舶用水量为224</w:t>
      </w:r>
      <w:r>
        <w:rPr>
          <w:rFonts w:hint="eastAsia"/>
          <w:lang w:val="en-US"/>
        </w:rPr>
        <w:t>00</w:t>
      </w:r>
      <w:r>
        <w:rPr>
          <w:lang w:val="en-US"/>
        </w:rPr>
        <w:t>m</w:t>
      </w:r>
      <w:r>
        <w:rPr>
          <w:vertAlign w:val="superscript"/>
          <w:lang w:val="en-US"/>
        </w:rPr>
        <w:t>3</w:t>
      </w:r>
      <w:r>
        <w:rPr>
          <w:lang w:val="en-US"/>
        </w:rPr>
        <w:t>/</w:t>
      </w:r>
      <w:r>
        <w:rPr>
          <w:rFonts w:hint="eastAsia"/>
          <w:lang w:val="en-US"/>
        </w:rPr>
        <w:t>a（</w:t>
      </w:r>
      <w:r>
        <w:rPr>
          <w:lang w:val="en-US"/>
        </w:rPr>
        <w:t>67.9m</w:t>
      </w:r>
      <w:r>
        <w:rPr>
          <w:vertAlign w:val="superscript"/>
          <w:lang w:val="en-US"/>
        </w:rPr>
        <w:t>3</w:t>
      </w:r>
      <w:r>
        <w:rPr>
          <w:lang w:val="en-US"/>
        </w:rPr>
        <w:t>/d</w:t>
      </w:r>
      <w:r>
        <w:rPr>
          <w:rFonts w:hint="eastAsia"/>
          <w:lang w:val="en-US"/>
        </w:rPr>
        <w:t>）</w:t>
      </w:r>
      <w:r>
        <w:rPr>
          <w:lang w:val="en-US"/>
        </w:rPr>
        <w:t>。</w:t>
      </w:r>
    </w:p>
    <w:p w14:paraId="17FBCD15">
      <w:pPr>
        <w:pStyle w:val="93"/>
        <w:rPr>
          <w:lang w:val="en-US"/>
        </w:rPr>
      </w:pPr>
      <w:r>
        <w:rPr>
          <w:lang w:val="en-US"/>
        </w:rPr>
        <w:t>2）生活用水：</w:t>
      </w:r>
      <w:r>
        <w:rPr>
          <w:rFonts w:hint="eastAsia"/>
          <w:lang w:val="en-US"/>
        </w:rPr>
        <w:t>根据《江苏省林牧渔业、工业、服务业和生活用水定额（2019年修订）》中其他居民服务业农村地区用水通用值计算，</w:t>
      </w:r>
      <w:r>
        <w:rPr>
          <w:lang w:val="en-US"/>
        </w:rPr>
        <w:t>港区劳动定员为45人，3班工作制，</w:t>
      </w:r>
      <w:bookmarkStart w:id="149" w:name="_Hlk181746831"/>
      <w:r>
        <w:rPr>
          <w:lang w:val="en-US"/>
        </w:rPr>
        <w:t>按照用水定额</w:t>
      </w:r>
      <w:r>
        <w:rPr>
          <w:rFonts w:hint="eastAsia"/>
          <w:lang w:val="en-US"/>
        </w:rPr>
        <w:t>50</w:t>
      </w:r>
      <w:r>
        <w:rPr>
          <w:lang w:val="en-US"/>
        </w:rPr>
        <w:t>L/人·班，</w:t>
      </w:r>
      <w:bookmarkEnd w:id="149"/>
      <w:r>
        <w:rPr>
          <w:lang w:val="en-US"/>
        </w:rPr>
        <w:t>生活用水量为</w:t>
      </w:r>
      <w:r>
        <w:rPr>
          <w:rFonts w:hint="eastAsia"/>
          <w:lang w:val="en-US"/>
        </w:rPr>
        <w:t>2.25</w:t>
      </w:r>
      <w:r>
        <w:rPr>
          <w:lang w:val="en-US"/>
        </w:rPr>
        <w:t>m</w:t>
      </w:r>
      <w:r>
        <w:rPr>
          <w:vertAlign w:val="superscript"/>
          <w:lang w:val="en-US"/>
        </w:rPr>
        <w:t>3</w:t>
      </w:r>
      <w:r>
        <w:rPr>
          <w:lang w:val="en-US"/>
        </w:rPr>
        <w:t>/d</w:t>
      </w:r>
      <w:r>
        <w:rPr>
          <w:rFonts w:hint="eastAsia"/>
          <w:lang w:val="en-US"/>
        </w:rPr>
        <w:t>，</w:t>
      </w:r>
      <w:r>
        <w:rPr>
          <w:rFonts w:hint="eastAsia"/>
        </w:rPr>
        <w:t>共计743m</w:t>
      </w:r>
      <w:r>
        <w:rPr>
          <w:rFonts w:hint="eastAsia"/>
          <w:vertAlign w:val="superscript"/>
        </w:rPr>
        <w:t>3</w:t>
      </w:r>
      <w:r>
        <w:rPr>
          <w:rFonts w:hint="eastAsia"/>
        </w:rPr>
        <w:t>/a</w:t>
      </w:r>
      <w:r>
        <w:rPr>
          <w:lang w:val="en-US"/>
        </w:rPr>
        <w:t>。</w:t>
      </w:r>
    </w:p>
    <w:p w14:paraId="31F76E34">
      <w:pPr>
        <w:pStyle w:val="93"/>
        <w:rPr>
          <w:lang w:val="en-US"/>
        </w:rPr>
      </w:pPr>
      <w:r>
        <w:rPr>
          <w:lang w:val="en-US"/>
        </w:rPr>
        <w:t>3）冲洗用水：</w:t>
      </w:r>
      <w:r>
        <w:rPr>
          <w:rFonts w:hint="eastAsia"/>
          <w:lang w:val="en-US"/>
        </w:rPr>
        <w:t>主要为</w:t>
      </w:r>
      <w:r>
        <w:rPr>
          <w:lang w:val="en-US"/>
        </w:rPr>
        <w:t>码头面冲洗</w:t>
      </w:r>
      <w:r>
        <w:rPr>
          <w:rFonts w:hint="eastAsia"/>
          <w:lang w:val="en-US"/>
        </w:rPr>
        <w:t>。</w:t>
      </w:r>
      <w:r>
        <w:rPr>
          <w:lang w:val="en-US"/>
        </w:rPr>
        <w:t>码头面冲洗用水：</w:t>
      </w:r>
      <w:r>
        <w:rPr>
          <w:rFonts w:hint="eastAsia"/>
          <w:lang w:val="en-US"/>
        </w:rPr>
        <w:t>根据《</w:t>
      </w:r>
      <w:r>
        <w:fldChar w:fldCharType="begin"/>
      </w:r>
      <w:r>
        <w:instrText xml:space="preserve"> HYPERLINK "https://www.so.com/link?m=ukuGiHKC9DO1QKF9yZ9AxeHiAfBNs74S3mxxycOZXm+B1OhbZgZ+5fJpCTq1dRPAWoqYghJhJldL/h+qTD600yG4j1Pxhwvq+0cxSGAp2Cd3UDDUz2N4n505xFAGW7rj6KFyiAGgdH3NTLZT116OFb7cgGxm3tmkARZYgN/tE7Fc=" </w:instrText>
      </w:r>
      <w:r>
        <w:fldChar w:fldCharType="separate"/>
      </w:r>
      <w:r>
        <w:rPr>
          <w:rFonts w:hint="eastAsia"/>
          <w:lang w:val="en-US"/>
        </w:rPr>
        <w:t>水运工程环境保护规范</w:t>
      </w:r>
      <w:r>
        <w:rPr>
          <w:rFonts w:hint="eastAsia"/>
          <w:lang w:val="en-US"/>
        </w:rPr>
        <w:fldChar w:fldCharType="end"/>
      </w:r>
      <w:r>
        <w:rPr>
          <w:rFonts w:hint="eastAsia"/>
          <w:lang w:val="en-US"/>
        </w:rPr>
        <w:t>》（JTS149-2018），码头面冲洗水量指标为</w:t>
      </w:r>
      <w:r>
        <w:rPr>
          <w:lang w:val="en-US"/>
        </w:rPr>
        <w:t>3.0L/m</w:t>
      </w:r>
      <w:r>
        <w:rPr>
          <w:vertAlign w:val="superscript"/>
          <w:lang w:val="en-US"/>
        </w:rPr>
        <w:t>2</w:t>
      </w:r>
      <w:r>
        <w:rPr>
          <w:lang w:val="en-US"/>
        </w:rPr>
        <w:t>·次</w:t>
      </w:r>
      <w:r>
        <w:rPr>
          <w:rFonts w:hint="eastAsia"/>
          <w:lang w:val="en-US"/>
        </w:rPr>
        <w:t>-5</w:t>
      </w:r>
      <w:r>
        <w:rPr>
          <w:lang w:val="en-US"/>
        </w:rPr>
        <w:t>L/m</w:t>
      </w:r>
      <w:r>
        <w:rPr>
          <w:vertAlign w:val="superscript"/>
          <w:lang w:val="en-US"/>
        </w:rPr>
        <w:t>2</w:t>
      </w:r>
      <w:r>
        <w:rPr>
          <w:lang w:val="en-US"/>
        </w:rPr>
        <w:t>·次</w:t>
      </w:r>
      <w:r>
        <w:rPr>
          <w:rFonts w:hint="eastAsia"/>
          <w:lang w:val="en-US"/>
        </w:rPr>
        <w:t>，本项目取</w:t>
      </w:r>
      <w:r>
        <w:rPr>
          <w:lang w:val="en-US"/>
        </w:rPr>
        <w:t>4.0L/m</w:t>
      </w:r>
      <w:r>
        <w:rPr>
          <w:vertAlign w:val="superscript"/>
          <w:lang w:val="en-US"/>
        </w:rPr>
        <w:t>2</w:t>
      </w:r>
      <w:r>
        <w:rPr>
          <w:lang w:val="en-US"/>
        </w:rPr>
        <w:t>·次，</w:t>
      </w:r>
      <w:r>
        <w:rPr>
          <w:rFonts w:hint="eastAsia"/>
        </w:rPr>
        <w:t>煤码头作业区面积按7243m</w:t>
      </w:r>
      <w:r>
        <w:rPr>
          <w:rFonts w:hint="eastAsia"/>
          <w:vertAlign w:val="superscript"/>
        </w:rPr>
        <w:t>2</w:t>
      </w:r>
      <w:r>
        <w:rPr>
          <w:rFonts w:hint="eastAsia"/>
        </w:rPr>
        <w:t>（陆域面积9584 m</w:t>
      </w:r>
      <w:r>
        <w:rPr>
          <w:rFonts w:hint="eastAsia"/>
          <w:vertAlign w:val="superscript"/>
        </w:rPr>
        <w:t>2</w:t>
      </w:r>
      <w:r>
        <w:rPr>
          <w:rFonts w:hint="eastAsia"/>
        </w:rPr>
        <w:t>-疏港道路面积2341 m</w:t>
      </w:r>
      <w:r>
        <w:rPr>
          <w:rFonts w:hint="eastAsia"/>
          <w:vertAlign w:val="superscript"/>
        </w:rPr>
        <w:t>2</w:t>
      </w:r>
      <w:r>
        <w:rPr>
          <w:rFonts w:hint="eastAsia"/>
        </w:rPr>
        <w:t>=7243</w:t>
      </w:r>
      <w:bookmarkStart w:id="150" w:name="OLE_LINK15"/>
      <w:r>
        <w:rPr>
          <w:rFonts w:hint="eastAsia"/>
        </w:rPr>
        <w:t>m</w:t>
      </w:r>
      <w:r>
        <w:rPr>
          <w:rFonts w:hint="eastAsia"/>
          <w:vertAlign w:val="superscript"/>
        </w:rPr>
        <w:t>2</w:t>
      </w:r>
      <w:bookmarkEnd w:id="150"/>
      <w:r>
        <w:rPr>
          <w:rFonts w:hint="eastAsia"/>
        </w:rPr>
        <w:t>）计</w:t>
      </w:r>
      <w:r>
        <w:rPr>
          <w:rFonts w:hint="eastAsia"/>
          <w:lang w:val="en-US"/>
        </w:rPr>
        <w:t>，</w:t>
      </w:r>
      <w:r>
        <w:rPr>
          <w:rFonts w:hint="eastAsia"/>
        </w:rPr>
        <w:t>全年按照每周冲洗1次，年营运天数330d，则码头面、转运站冲洗用水量为4.74</w:t>
      </w:r>
      <w:r>
        <w:t>m</w:t>
      </w:r>
      <w:r>
        <w:rPr>
          <w:rFonts w:hint="eastAsia"/>
          <w:vertAlign w:val="superscript"/>
        </w:rPr>
        <w:t>3</w:t>
      </w:r>
      <w:r>
        <w:rPr>
          <w:rFonts w:hint="eastAsia"/>
        </w:rPr>
        <w:t>/</w:t>
      </w:r>
      <w:r>
        <w:rPr>
          <w:rFonts w:hint="eastAsia"/>
          <w:lang w:val="en-US"/>
        </w:rPr>
        <w:t>d</w:t>
      </w:r>
      <w:r>
        <w:rPr>
          <w:rFonts w:hint="eastAsia"/>
        </w:rPr>
        <w:t>，共计</w:t>
      </w:r>
      <w:r>
        <w:t>1564</w:t>
      </w:r>
      <w:r>
        <w:rPr>
          <w:rFonts w:hint="eastAsia"/>
        </w:rPr>
        <w:t>m</w:t>
      </w:r>
      <w:r>
        <w:rPr>
          <w:rFonts w:hint="eastAsia"/>
          <w:vertAlign w:val="superscript"/>
        </w:rPr>
        <w:t>3</w:t>
      </w:r>
      <w:r>
        <w:rPr>
          <w:rFonts w:hint="eastAsia"/>
        </w:rPr>
        <w:t>/a</w:t>
      </w:r>
      <w:r>
        <w:rPr>
          <w:lang w:val="en-US"/>
        </w:rPr>
        <w:t>。</w:t>
      </w:r>
    </w:p>
    <w:p w14:paraId="7C4B96FB">
      <w:pPr>
        <w:pStyle w:val="93"/>
        <w:rPr>
          <w:lang w:val="en-US"/>
        </w:rPr>
      </w:pPr>
      <w:r>
        <w:rPr>
          <w:lang w:val="en-US"/>
        </w:rPr>
        <w:t>4）道路喷洒用水：</w:t>
      </w:r>
      <w:r>
        <w:rPr>
          <w:rFonts w:hint="eastAsia"/>
          <w:lang w:val="en-US"/>
        </w:rPr>
        <w:t>根据《江苏省林牧渔业、工业、服务业和生活用水定额（2019年修订）》中环境卫生管理</w:t>
      </w:r>
      <w:r>
        <w:rPr>
          <w:rFonts w:hint="eastAsia"/>
          <w:lang w:val="en-US" w:eastAsia="zh-CN"/>
        </w:rPr>
        <w:t>－</w:t>
      </w:r>
      <w:r>
        <w:rPr>
          <w:rFonts w:hint="eastAsia"/>
          <w:lang w:val="en-US"/>
        </w:rPr>
        <w:t>道路场地浇洒用水定额先进值1.5</w:t>
      </w:r>
      <w:r>
        <w:rPr>
          <w:lang w:val="en-US"/>
        </w:rPr>
        <w:t>L/</w:t>
      </w:r>
      <w:r>
        <w:rPr>
          <w:rFonts w:hint="eastAsia"/>
          <w:lang w:val="en-US"/>
        </w:rPr>
        <w:t>（</w:t>
      </w:r>
      <w:r>
        <w:rPr>
          <w:lang w:val="en-US"/>
        </w:rPr>
        <w:t>m</w:t>
      </w:r>
      <w:r>
        <w:rPr>
          <w:vertAlign w:val="superscript"/>
          <w:lang w:val="en-US"/>
        </w:rPr>
        <w:t>2</w:t>
      </w:r>
      <w:r>
        <w:rPr>
          <w:lang w:val="en-US"/>
        </w:rPr>
        <w:t>·</w:t>
      </w:r>
      <w:r>
        <w:rPr>
          <w:rFonts w:hint="eastAsia"/>
          <w:lang w:val="en-US"/>
        </w:rPr>
        <w:t>d）</w:t>
      </w:r>
      <w:r>
        <w:rPr>
          <w:lang w:val="en-US"/>
        </w:rPr>
        <w:t>，面积</w:t>
      </w:r>
      <w:r>
        <w:rPr>
          <w:rFonts w:hint="eastAsia"/>
          <w:lang w:val="en-US"/>
        </w:rPr>
        <w:t>0.</w:t>
      </w:r>
      <w:r>
        <w:rPr>
          <w:lang w:val="en-US"/>
        </w:rPr>
        <w:t>23</w:t>
      </w:r>
      <w:r>
        <w:rPr>
          <w:rFonts w:hint="eastAsia"/>
          <w:lang w:val="en-US"/>
        </w:rPr>
        <w:t>h</w:t>
      </w:r>
      <w:r>
        <w:rPr>
          <w:lang w:val="en-US"/>
        </w:rPr>
        <w:t>m</w:t>
      </w:r>
      <w:r>
        <w:rPr>
          <w:vertAlign w:val="superscript"/>
          <w:lang w:val="en-US"/>
        </w:rPr>
        <w:t>2</w:t>
      </w:r>
      <w:r>
        <w:rPr>
          <w:lang w:val="en-US"/>
        </w:rPr>
        <w:t>，这部分用水量为3.5m</w:t>
      </w:r>
      <w:r>
        <w:rPr>
          <w:vertAlign w:val="superscript"/>
          <w:lang w:val="en-US"/>
        </w:rPr>
        <w:t>3</w:t>
      </w:r>
      <w:r>
        <w:rPr>
          <w:lang w:val="en-US"/>
        </w:rPr>
        <w:t>/d</w:t>
      </w:r>
      <w:r>
        <w:rPr>
          <w:rFonts w:hint="eastAsia"/>
          <w:lang w:val="en-US"/>
        </w:rPr>
        <w:t>，该用水蒸发，无废水产生。</w:t>
      </w:r>
    </w:p>
    <w:p w14:paraId="7AEC1012">
      <w:pPr>
        <w:pStyle w:val="93"/>
        <w:rPr>
          <w:lang w:val="en-US"/>
        </w:rPr>
      </w:pPr>
      <w:r>
        <w:rPr>
          <w:rFonts w:hint="eastAsia"/>
          <w:lang w:val="en-US"/>
        </w:rPr>
        <w:t>5）卸船喷淋用水：燃煤在卸船过程中进行洒水抑尘。</w:t>
      </w:r>
      <w:r>
        <w:rPr>
          <w:lang w:val="en-US"/>
        </w:rPr>
        <w:t>本码头</w:t>
      </w:r>
      <w:r>
        <w:rPr>
          <w:rFonts w:hint="eastAsia"/>
          <w:lang w:val="en-US"/>
        </w:rPr>
        <w:t>燃煤卸船量为11</w:t>
      </w:r>
      <w:r>
        <w:rPr>
          <w:lang w:val="en-US"/>
        </w:rPr>
        <w:t>2</w:t>
      </w:r>
      <w:r>
        <w:rPr>
          <w:rFonts w:hint="eastAsia"/>
          <w:lang w:val="en-US"/>
        </w:rPr>
        <w:t>万吨</w:t>
      </w:r>
      <w:r>
        <w:rPr>
          <w:lang w:val="en-US"/>
        </w:rPr>
        <w:t>。</w:t>
      </w:r>
      <w:r>
        <w:rPr>
          <w:rFonts w:hint="eastAsia"/>
          <w:lang w:val="en-US"/>
        </w:rPr>
        <w:t>煤炭</w:t>
      </w:r>
      <w:r>
        <w:rPr>
          <w:lang w:val="en-US"/>
        </w:rPr>
        <w:t>的自然含水率按</w:t>
      </w:r>
      <w:r>
        <w:rPr>
          <w:rFonts w:hint="eastAsia"/>
          <w:lang w:val="en-US"/>
        </w:rPr>
        <w:t>10</w:t>
      </w:r>
      <w:r>
        <w:rPr>
          <w:lang w:val="en-US"/>
        </w:rPr>
        <w:t>%计，使</w:t>
      </w:r>
      <w:r>
        <w:rPr>
          <w:rFonts w:hint="eastAsia"/>
          <w:lang w:val="en-US"/>
        </w:rPr>
        <w:t>煤炭</w:t>
      </w:r>
      <w:r>
        <w:rPr>
          <w:lang w:val="en-US"/>
        </w:rPr>
        <w:t>含水率达到</w:t>
      </w:r>
      <w:r>
        <w:rPr>
          <w:rFonts w:hint="eastAsia"/>
          <w:lang w:val="en-US"/>
        </w:rPr>
        <w:t>12</w:t>
      </w:r>
      <w:r>
        <w:rPr>
          <w:lang w:val="en-US"/>
        </w:rPr>
        <w:t>%可有效减少粉尘，</w:t>
      </w:r>
      <w:r>
        <w:rPr>
          <w:rFonts w:hint="eastAsia"/>
          <w:lang w:val="en-US"/>
        </w:rPr>
        <w:t>考虑淮安市年降雨天数90天，按照2</w:t>
      </w:r>
      <w:r>
        <w:rPr>
          <w:lang w:val="en-US"/>
        </w:rPr>
        <w:t>40</w:t>
      </w:r>
      <w:r>
        <w:rPr>
          <w:rFonts w:hint="eastAsia"/>
          <w:lang w:val="en-US"/>
        </w:rPr>
        <w:t>天计算用水量，</w:t>
      </w:r>
      <w:r>
        <w:rPr>
          <w:lang w:val="en-US"/>
        </w:rPr>
        <w:t>则需要用水14662m</w:t>
      </w:r>
      <w:r>
        <w:rPr>
          <w:vertAlign w:val="superscript"/>
          <w:lang w:val="en-US"/>
        </w:rPr>
        <w:t>3</w:t>
      </w:r>
      <w:r>
        <w:rPr>
          <w:lang w:val="en-US"/>
        </w:rPr>
        <w:t>/a。该部分用水进入</w:t>
      </w:r>
      <w:r>
        <w:rPr>
          <w:rFonts w:hint="eastAsia"/>
          <w:lang w:val="en-US"/>
        </w:rPr>
        <w:t>煤炭</w:t>
      </w:r>
      <w:r>
        <w:rPr>
          <w:lang w:val="en-US"/>
        </w:rPr>
        <w:t>及蒸发，无废水产生。</w:t>
      </w:r>
    </w:p>
    <w:p w14:paraId="4D316A2A">
      <w:pPr>
        <w:ind w:firstLine="480"/>
      </w:pPr>
      <w:r>
        <w:rPr>
          <w:rFonts w:hint="eastAsia"/>
        </w:rPr>
        <w:t>6）机械设备冲洗用水：工艺流动机械按2台考虑，冲洗的数量按50%计，冲洗水量按600L/台·次考虑，每天一次，则机械冲洗用水量为0.</w:t>
      </w:r>
      <w:r>
        <w:t>6m</w:t>
      </w:r>
      <w:r>
        <w:rPr>
          <w:vertAlign w:val="superscript"/>
        </w:rPr>
        <w:t>3</w:t>
      </w:r>
      <w:r>
        <w:t>/d</w:t>
      </w:r>
      <w:r>
        <w:rPr>
          <w:rFonts w:hint="eastAsia"/>
        </w:rPr>
        <w:t>，共计</w:t>
      </w:r>
      <w:r>
        <w:t>198 m</w:t>
      </w:r>
      <w:r>
        <w:rPr>
          <w:vertAlign w:val="superscript"/>
        </w:rPr>
        <w:t>3</w:t>
      </w:r>
      <w:r>
        <w:t>/</w:t>
      </w:r>
      <w:r>
        <w:rPr>
          <w:rFonts w:hint="eastAsia"/>
        </w:rPr>
        <w:t>a。</w:t>
      </w:r>
    </w:p>
    <w:p w14:paraId="7BC2AF30">
      <w:pPr>
        <w:pStyle w:val="93"/>
        <w:rPr>
          <w:lang w:val="en-US"/>
        </w:rPr>
      </w:pPr>
      <w:r>
        <w:rPr>
          <w:lang w:val="en-US"/>
        </w:rPr>
        <w:t>7）绿化用水：</w:t>
      </w:r>
      <w:r>
        <w:rPr>
          <w:rFonts w:hint="eastAsia"/>
          <w:lang w:val="en-US"/>
        </w:rPr>
        <w:t>根据《江苏省林牧渔业、工业、服务业和生活用水定额</w:t>
      </w:r>
      <w:r>
        <w:rPr>
          <w:rFonts w:hint="eastAsia"/>
          <w:lang w:val="en-US" w:eastAsia="zh-CN"/>
        </w:rPr>
        <w:t>（</w:t>
      </w:r>
      <w:r>
        <w:rPr>
          <w:rFonts w:hint="eastAsia"/>
          <w:lang w:val="en-US"/>
        </w:rPr>
        <w:t>2019年修订</w:t>
      </w:r>
      <w:r>
        <w:rPr>
          <w:rFonts w:hint="eastAsia"/>
          <w:lang w:val="en-US" w:eastAsia="zh-CN"/>
        </w:rPr>
        <w:t>）</w:t>
      </w:r>
      <w:r>
        <w:rPr>
          <w:rFonts w:hint="eastAsia"/>
          <w:lang w:val="en-US"/>
        </w:rPr>
        <w:t>》中绿化管理绿化用水先进值计算，</w:t>
      </w:r>
      <w:r>
        <w:rPr>
          <w:lang w:val="en-US"/>
        </w:rPr>
        <w:t>按绿化</w:t>
      </w:r>
      <w:r>
        <w:rPr>
          <w:rFonts w:hint="eastAsia"/>
          <w:lang w:val="en-US"/>
        </w:rPr>
        <w:t>0.2m</w:t>
      </w:r>
      <w:r>
        <w:rPr>
          <w:rFonts w:hint="eastAsia"/>
          <w:vertAlign w:val="superscript"/>
          <w:lang w:val="en-US"/>
        </w:rPr>
        <w:t>3</w:t>
      </w:r>
      <w:r>
        <w:rPr>
          <w:lang w:val="en-US"/>
        </w:rPr>
        <w:t>/</w:t>
      </w:r>
      <w:r>
        <w:rPr>
          <w:rFonts w:hint="eastAsia"/>
          <w:lang w:val="en-US"/>
        </w:rPr>
        <w:t>（</w:t>
      </w:r>
      <w:r>
        <w:rPr>
          <w:lang w:val="en-US"/>
        </w:rPr>
        <w:t>m</w:t>
      </w:r>
      <w:r>
        <w:rPr>
          <w:vertAlign w:val="superscript"/>
          <w:lang w:val="en-US"/>
        </w:rPr>
        <w:t>2</w:t>
      </w:r>
      <w:r>
        <w:rPr>
          <w:lang w:val="en-US"/>
        </w:rPr>
        <w:t>·</w:t>
      </w:r>
      <w:r>
        <w:rPr>
          <w:rFonts w:hint="eastAsia"/>
          <w:lang w:val="en-US"/>
        </w:rPr>
        <w:t>a）</w:t>
      </w:r>
      <w:r>
        <w:rPr>
          <w:lang w:val="en-US"/>
        </w:rPr>
        <w:t>，每日喷洒1次，绿化面积2500</w:t>
      </w:r>
      <w:r>
        <w:rPr>
          <w:rFonts w:hint="eastAsia"/>
          <w:lang w:val="en-US"/>
        </w:rPr>
        <w:t>m</w:t>
      </w:r>
      <w:r>
        <w:rPr>
          <w:vertAlign w:val="superscript"/>
          <w:lang w:val="en-US"/>
        </w:rPr>
        <w:t>2</w:t>
      </w:r>
      <w:r>
        <w:rPr>
          <w:lang w:val="en-US"/>
        </w:rPr>
        <w:t>，这部分用水量为500m</w:t>
      </w:r>
      <w:r>
        <w:rPr>
          <w:vertAlign w:val="superscript"/>
          <w:lang w:val="en-US"/>
        </w:rPr>
        <w:t>3</w:t>
      </w:r>
      <w:r>
        <w:rPr>
          <w:lang w:val="en-US"/>
        </w:rPr>
        <w:t>/</w:t>
      </w:r>
      <w:r>
        <w:rPr>
          <w:rFonts w:hint="eastAsia"/>
          <w:lang w:val="en-US"/>
        </w:rPr>
        <w:t>a</w:t>
      </w:r>
      <w:r>
        <w:rPr>
          <w:lang w:val="en-US"/>
        </w:rPr>
        <w:t>。</w:t>
      </w:r>
    </w:p>
    <w:p w14:paraId="76C7ADC9">
      <w:pPr>
        <w:pStyle w:val="139"/>
        <w:ind w:firstLine="480"/>
        <w:rPr>
          <w:color w:val="auto"/>
        </w:rPr>
      </w:pPr>
      <w:r>
        <w:rPr>
          <w:rFonts w:hint="eastAsia"/>
          <w:color w:val="auto"/>
        </w:rPr>
        <w:t>本项目雨污水管网见图3.2-8。每年用水量为</w:t>
      </w:r>
      <w:r>
        <w:rPr>
          <w:color w:val="auto"/>
        </w:rPr>
        <w:t>47290</w:t>
      </w:r>
      <w:r>
        <w:rPr>
          <w:rFonts w:hint="eastAsia"/>
          <w:color w:val="auto"/>
        </w:rPr>
        <w:t>m</w:t>
      </w:r>
      <w:r>
        <w:rPr>
          <w:color w:val="auto"/>
          <w:vertAlign w:val="superscript"/>
        </w:rPr>
        <w:t>3</w:t>
      </w:r>
      <w:r>
        <w:rPr>
          <w:rFonts w:hint="eastAsia"/>
          <w:color w:val="auto"/>
        </w:rPr>
        <w:t>，具体见表3.2</w:t>
      </w:r>
      <w:r>
        <w:rPr>
          <w:color w:val="auto"/>
        </w:rPr>
        <w:t>-</w:t>
      </w:r>
      <w:r>
        <w:rPr>
          <w:rFonts w:hint="eastAsia"/>
          <w:color w:val="auto"/>
        </w:rPr>
        <w:t>9</w:t>
      </w:r>
      <w:r>
        <w:rPr>
          <w:color w:val="auto"/>
        </w:rPr>
        <w:t>。</w:t>
      </w:r>
      <w:r>
        <w:rPr>
          <w:rFonts w:hint="eastAsia"/>
          <w:color w:val="auto"/>
        </w:rPr>
        <w:t>本项目水平衡情况见表3.2-10和图3.2-9。本项目建成后全厂水量平衡图见图3.2-10。</w:t>
      </w:r>
    </w:p>
    <w:p w14:paraId="6B84589C">
      <w:pPr>
        <w:pStyle w:val="86"/>
      </w:pPr>
      <w:r>
        <w:rPr>
          <w:rFonts w:hint="eastAsia"/>
        </w:rPr>
        <w:t>本项目用水量表</w:t>
      </w:r>
    </w:p>
    <w:tbl>
      <w:tblPr>
        <w:tblStyle w:val="38"/>
        <w:tblW w:w="5209" w:type="pct"/>
        <w:jc w:val="center"/>
        <w:tblLayout w:type="autofit"/>
        <w:tblCellMar>
          <w:top w:w="0" w:type="dxa"/>
          <w:left w:w="108" w:type="dxa"/>
          <w:bottom w:w="0" w:type="dxa"/>
          <w:right w:w="108" w:type="dxa"/>
        </w:tblCellMar>
      </w:tblPr>
      <w:tblGrid>
        <w:gridCol w:w="847"/>
        <w:gridCol w:w="2047"/>
        <w:gridCol w:w="1182"/>
        <w:gridCol w:w="1182"/>
        <w:gridCol w:w="847"/>
        <w:gridCol w:w="2772"/>
      </w:tblGrid>
      <w:tr w14:paraId="06026BA5">
        <w:tblPrEx>
          <w:tblCellMar>
            <w:top w:w="0" w:type="dxa"/>
            <w:left w:w="108" w:type="dxa"/>
            <w:bottom w:w="0" w:type="dxa"/>
            <w:right w:w="108" w:type="dxa"/>
          </w:tblCellMar>
        </w:tblPrEx>
        <w:trPr>
          <w:trHeight w:val="20" w:hRule="atLeast"/>
          <w:tblHeader/>
          <w:jc w:val="center"/>
        </w:trPr>
        <w:tc>
          <w:tcPr>
            <w:tcW w:w="4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484757">
            <w:pPr>
              <w:pStyle w:val="196"/>
              <w:rPr>
                <w:b/>
                <w:bCs/>
              </w:rPr>
            </w:pPr>
            <w:r>
              <w:rPr>
                <w:rFonts w:hint="eastAsia"/>
                <w:b/>
                <w:bCs/>
              </w:rPr>
              <w:t>序号</w:t>
            </w:r>
          </w:p>
        </w:tc>
        <w:tc>
          <w:tcPr>
            <w:tcW w:w="115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E5B963">
            <w:pPr>
              <w:pStyle w:val="196"/>
              <w:rPr>
                <w:b/>
                <w:bCs/>
              </w:rPr>
            </w:pPr>
            <w:r>
              <w:rPr>
                <w:rFonts w:hint="eastAsia"/>
                <w:b/>
                <w:bCs/>
              </w:rPr>
              <w:t>用水项目</w:t>
            </w:r>
          </w:p>
        </w:tc>
        <w:tc>
          <w:tcPr>
            <w:tcW w:w="1332" w:type="pct"/>
            <w:gridSpan w:val="2"/>
            <w:tcBorders>
              <w:top w:val="single" w:color="auto" w:sz="4" w:space="0"/>
              <w:left w:val="nil"/>
              <w:bottom w:val="single" w:color="auto" w:sz="4" w:space="0"/>
              <w:right w:val="single" w:color="auto" w:sz="4" w:space="0"/>
            </w:tcBorders>
            <w:shd w:val="clear" w:color="auto" w:fill="auto"/>
            <w:vAlign w:val="center"/>
          </w:tcPr>
          <w:p w14:paraId="6205CA34">
            <w:pPr>
              <w:pStyle w:val="196"/>
              <w:rPr>
                <w:b/>
                <w:bCs/>
              </w:rPr>
            </w:pPr>
            <w:r>
              <w:rPr>
                <w:rFonts w:hint="eastAsia"/>
                <w:b/>
                <w:bCs/>
              </w:rPr>
              <w:t>用水量</w:t>
            </w:r>
          </w:p>
        </w:tc>
        <w:tc>
          <w:tcPr>
            <w:tcW w:w="4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2B126C">
            <w:pPr>
              <w:pStyle w:val="196"/>
              <w:rPr>
                <w:b/>
                <w:bCs/>
              </w:rPr>
            </w:pPr>
            <w:r>
              <w:rPr>
                <w:rFonts w:hint="eastAsia"/>
                <w:b/>
                <w:bCs/>
              </w:rPr>
              <w:t>用水水源</w:t>
            </w:r>
          </w:p>
        </w:tc>
        <w:tc>
          <w:tcPr>
            <w:tcW w:w="15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6E716D">
            <w:pPr>
              <w:pStyle w:val="196"/>
              <w:rPr>
                <w:b/>
                <w:bCs/>
                <w:szCs w:val="24"/>
              </w:rPr>
            </w:pPr>
            <w:r>
              <w:rPr>
                <w:rFonts w:hint="eastAsia"/>
                <w:b/>
                <w:bCs/>
                <w:szCs w:val="24"/>
              </w:rPr>
              <w:t>备注</w:t>
            </w:r>
          </w:p>
        </w:tc>
      </w:tr>
      <w:tr w14:paraId="646E004D">
        <w:tblPrEx>
          <w:tblCellMar>
            <w:top w:w="0" w:type="dxa"/>
            <w:left w:w="108" w:type="dxa"/>
            <w:bottom w:w="0" w:type="dxa"/>
            <w:right w:w="108" w:type="dxa"/>
          </w:tblCellMar>
        </w:tblPrEx>
        <w:trPr>
          <w:trHeight w:val="20" w:hRule="atLeast"/>
          <w:tblHeader/>
          <w:jc w:val="center"/>
        </w:trPr>
        <w:tc>
          <w:tcPr>
            <w:tcW w:w="477" w:type="pct"/>
            <w:vMerge w:val="continue"/>
            <w:tcBorders>
              <w:top w:val="single" w:color="auto" w:sz="4" w:space="0"/>
              <w:left w:val="single" w:color="auto" w:sz="4" w:space="0"/>
              <w:bottom w:val="single" w:color="auto" w:sz="4" w:space="0"/>
              <w:right w:val="single" w:color="auto" w:sz="4" w:space="0"/>
            </w:tcBorders>
            <w:vAlign w:val="center"/>
          </w:tcPr>
          <w:p w14:paraId="25E854F6">
            <w:pPr>
              <w:pStyle w:val="196"/>
              <w:rPr>
                <w:b/>
                <w:bCs/>
              </w:rPr>
            </w:pPr>
          </w:p>
        </w:tc>
        <w:tc>
          <w:tcPr>
            <w:tcW w:w="1153" w:type="pct"/>
            <w:vMerge w:val="continue"/>
            <w:tcBorders>
              <w:top w:val="single" w:color="auto" w:sz="4" w:space="0"/>
              <w:left w:val="single" w:color="auto" w:sz="4" w:space="0"/>
              <w:bottom w:val="single" w:color="auto" w:sz="4" w:space="0"/>
              <w:right w:val="single" w:color="auto" w:sz="4" w:space="0"/>
            </w:tcBorders>
            <w:vAlign w:val="center"/>
          </w:tcPr>
          <w:p w14:paraId="5D1027CC">
            <w:pPr>
              <w:pStyle w:val="196"/>
              <w:rPr>
                <w:b/>
                <w:bCs/>
              </w:rPr>
            </w:pPr>
          </w:p>
        </w:tc>
        <w:tc>
          <w:tcPr>
            <w:tcW w:w="666" w:type="pct"/>
            <w:tcBorders>
              <w:top w:val="nil"/>
              <w:left w:val="nil"/>
              <w:bottom w:val="single" w:color="auto" w:sz="4" w:space="0"/>
              <w:right w:val="single" w:color="auto" w:sz="4" w:space="0"/>
            </w:tcBorders>
            <w:shd w:val="clear" w:color="auto" w:fill="auto"/>
            <w:vAlign w:val="center"/>
          </w:tcPr>
          <w:p w14:paraId="4FD3B36C">
            <w:pPr>
              <w:pStyle w:val="196"/>
              <w:rPr>
                <w:rFonts w:eastAsia="等线" w:cs="Times New Roman"/>
                <w:b/>
                <w:bCs/>
              </w:rPr>
            </w:pPr>
            <w:r>
              <w:rPr>
                <w:rFonts w:eastAsia="等线" w:cs="Times New Roman"/>
                <w:b/>
                <w:bCs/>
              </w:rPr>
              <w:t>m</w:t>
            </w:r>
            <w:r>
              <w:rPr>
                <w:rFonts w:eastAsia="等线" w:cs="Times New Roman"/>
                <w:b/>
                <w:bCs/>
                <w:vertAlign w:val="superscript"/>
              </w:rPr>
              <w:t>3</w:t>
            </w:r>
            <w:r>
              <w:rPr>
                <w:rFonts w:eastAsia="等线" w:cs="Times New Roman"/>
                <w:b/>
                <w:bCs/>
              </w:rPr>
              <w:t>/d</w:t>
            </w:r>
          </w:p>
        </w:tc>
        <w:tc>
          <w:tcPr>
            <w:tcW w:w="666" w:type="pct"/>
            <w:tcBorders>
              <w:top w:val="nil"/>
              <w:left w:val="nil"/>
              <w:bottom w:val="single" w:color="auto" w:sz="4" w:space="0"/>
              <w:right w:val="single" w:color="auto" w:sz="4" w:space="0"/>
            </w:tcBorders>
            <w:shd w:val="clear" w:color="auto" w:fill="auto"/>
            <w:vAlign w:val="center"/>
          </w:tcPr>
          <w:p w14:paraId="079708CF">
            <w:pPr>
              <w:pStyle w:val="196"/>
              <w:rPr>
                <w:rFonts w:eastAsia="等线" w:cs="Times New Roman"/>
                <w:b/>
                <w:bCs/>
              </w:rPr>
            </w:pPr>
            <w:r>
              <w:rPr>
                <w:rFonts w:eastAsia="等线" w:cs="Times New Roman"/>
                <w:b/>
                <w:bCs/>
              </w:rPr>
              <w:t>m</w:t>
            </w:r>
            <w:r>
              <w:rPr>
                <w:rFonts w:eastAsia="等线" w:cs="Times New Roman"/>
                <w:b/>
                <w:bCs/>
                <w:vertAlign w:val="superscript"/>
              </w:rPr>
              <w:t>3</w:t>
            </w:r>
            <w:r>
              <w:rPr>
                <w:rFonts w:eastAsia="等线" w:cs="Times New Roman"/>
                <w:b/>
                <w:bCs/>
              </w:rPr>
              <w:t>/a</w:t>
            </w:r>
          </w:p>
        </w:tc>
        <w:tc>
          <w:tcPr>
            <w:tcW w:w="477" w:type="pct"/>
            <w:vMerge w:val="continue"/>
            <w:tcBorders>
              <w:top w:val="single" w:color="auto" w:sz="4" w:space="0"/>
              <w:left w:val="single" w:color="auto" w:sz="4" w:space="0"/>
              <w:bottom w:val="single" w:color="auto" w:sz="4" w:space="0"/>
              <w:right w:val="single" w:color="auto" w:sz="4" w:space="0"/>
            </w:tcBorders>
            <w:vAlign w:val="center"/>
          </w:tcPr>
          <w:p w14:paraId="4839A71E">
            <w:pPr>
              <w:pStyle w:val="196"/>
              <w:rPr>
                <w:b/>
                <w:bCs/>
              </w:rPr>
            </w:pPr>
          </w:p>
        </w:tc>
        <w:tc>
          <w:tcPr>
            <w:tcW w:w="1561" w:type="pct"/>
            <w:vMerge w:val="continue"/>
            <w:tcBorders>
              <w:top w:val="single" w:color="auto" w:sz="4" w:space="0"/>
              <w:left w:val="single" w:color="auto" w:sz="4" w:space="0"/>
              <w:bottom w:val="single" w:color="auto" w:sz="4" w:space="0"/>
              <w:right w:val="single" w:color="auto" w:sz="4" w:space="0"/>
            </w:tcBorders>
            <w:vAlign w:val="center"/>
          </w:tcPr>
          <w:p w14:paraId="66CD1365">
            <w:pPr>
              <w:pStyle w:val="196"/>
              <w:rPr>
                <w:b/>
                <w:bCs/>
                <w:szCs w:val="24"/>
              </w:rPr>
            </w:pPr>
          </w:p>
        </w:tc>
      </w:tr>
      <w:tr w14:paraId="2C06D59E">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6B0E786A">
            <w:pPr>
              <w:pStyle w:val="196"/>
              <w:rPr>
                <w:rFonts w:eastAsia="等线" w:cs="Times New Roman"/>
              </w:rPr>
            </w:pPr>
            <w:r>
              <w:rPr>
                <w:rFonts w:eastAsia="等线" w:cs="Times New Roman"/>
              </w:rPr>
              <w:t>1</w:t>
            </w:r>
          </w:p>
        </w:tc>
        <w:tc>
          <w:tcPr>
            <w:tcW w:w="1153" w:type="pct"/>
            <w:tcBorders>
              <w:top w:val="nil"/>
              <w:left w:val="nil"/>
              <w:bottom w:val="single" w:color="auto" w:sz="4" w:space="0"/>
              <w:right w:val="single" w:color="auto" w:sz="4" w:space="0"/>
            </w:tcBorders>
            <w:shd w:val="clear" w:color="auto" w:fill="auto"/>
            <w:vAlign w:val="center"/>
          </w:tcPr>
          <w:p w14:paraId="252E70AC">
            <w:pPr>
              <w:pStyle w:val="196"/>
            </w:pPr>
            <w:r>
              <w:rPr>
                <w:rFonts w:hint="eastAsia"/>
              </w:rPr>
              <w:t>船舶用水</w:t>
            </w:r>
          </w:p>
        </w:tc>
        <w:tc>
          <w:tcPr>
            <w:tcW w:w="666" w:type="pct"/>
            <w:tcBorders>
              <w:top w:val="nil"/>
              <w:left w:val="nil"/>
              <w:bottom w:val="single" w:color="auto" w:sz="4" w:space="0"/>
              <w:right w:val="single" w:color="auto" w:sz="4" w:space="0"/>
            </w:tcBorders>
            <w:shd w:val="clear" w:color="auto" w:fill="auto"/>
            <w:vAlign w:val="center"/>
          </w:tcPr>
          <w:p w14:paraId="01A53B33">
            <w:pPr>
              <w:pStyle w:val="196"/>
              <w:rPr>
                <w:rFonts w:eastAsia="等线" w:cs="Times New Roman"/>
              </w:rPr>
            </w:pPr>
            <w:r>
              <w:rPr>
                <w:rFonts w:eastAsia="等线" w:cs="Times New Roman"/>
              </w:rPr>
              <w:t>67.9</w:t>
            </w:r>
          </w:p>
        </w:tc>
        <w:tc>
          <w:tcPr>
            <w:tcW w:w="666" w:type="pct"/>
            <w:tcBorders>
              <w:top w:val="nil"/>
              <w:left w:val="nil"/>
              <w:bottom w:val="single" w:color="auto" w:sz="4" w:space="0"/>
              <w:right w:val="single" w:color="auto" w:sz="4" w:space="0"/>
            </w:tcBorders>
            <w:shd w:val="clear" w:color="auto" w:fill="auto"/>
            <w:vAlign w:val="center"/>
          </w:tcPr>
          <w:p w14:paraId="3ADCB64B">
            <w:pPr>
              <w:pStyle w:val="196"/>
              <w:rPr>
                <w:rFonts w:eastAsia="等线" w:cs="Times New Roman"/>
              </w:rPr>
            </w:pPr>
            <w:r>
              <w:rPr>
                <w:rFonts w:eastAsia="等线" w:cs="Times New Roman"/>
              </w:rPr>
              <w:t>22400</w:t>
            </w:r>
          </w:p>
        </w:tc>
        <w:tc>
          <w:tcPr>
            <w:tcW w:w="477" w:type="pct"/>
            <w:vMerge w:val="restart"/>
            <w:tcBorders>
              <w:top w:val="nil"/>
              <w:left w:val="single" w:color="auto" w:sz="4" w:space="0"/>
              <w:bottom w:val="single" w:color="auto" w:sz="4" w:space="0"/>
              <w:right w:val="single" w:color="auto" w:sz="4" w:space="0"/>
            </w:tcBorders>
            <w:shd w:val="clear" w:color="auto" w:fill="auto"/>
            <w:vAlign w:val="center"/>
          </w:tcPr>
          <w:p w14:paraId="404A3FE0">
            <w:pPr>
              <w:pStyle w:val="196"/>
            </w:pPr>
            <w:r>
              <w:rPr>
                <w:rFonts w:hint="eastAsia"/>
              </w:rPr>
              <w:t>市政自来水</w:t>
            </w:r>
          </w:p>
        </w:tc>
        <w:tc>
          <w:tcPr>
            <w:tcW w:w="1561" w:type="pct"/>
            <w:vMerge w:val="restart"/>
            <w:tcBorders>
              <w:top w:val="nil"/>
              <w:left w:val="single" w:color="auto" w:sz="4" w:space="0"/>
              <w:bottom w:val="single" w:color="auto" w:sz="4" w:space="0"/>
              <w:right w:val="single" w:color="auto" w:sz="4" w:space="0"/>
            </w:tcBorders>
            <w:shd w:val="clear" w:color="auto" w:fill="auto"/>
            <w:vAlign w:val="center"/>
          </w:tcPr>
          <w:p w14:paraId="7B815780">
            <w:pPr>
              <w:pStyle w:val="196"/>
            </w:pPr>
            <w:r>
              <w:rPr>
                <w:rFonts w:hint="eastAsia"/>
              </w:rPr>
              <w:t>每年用水时间按</w:t>
            </w:r>
            <w:r>
              <w:rPr>
                <w:rFonts w:cs="Times New Roman"/>
              </w:rPr>
              <w:t>330d</w:t>
            </w:r>
            <w:r>
              <w:rPr>
                <w:rFonts w:hint="eastAsia"/>
              </w:rPr>
              <w:t>计</w:t>
            </w:r>
          </w:p>
        </w:tc>
      </w:tr>
      <w:tr w14:paraId="51A32C67">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1D3DDBA7">
            <w:pPr>
              <w:pStyle w:val="196"/>
              <w:rPr>
                <w:rFonts w:eastAsia="等线" w:cs="Times New Roman"/>
              </w:rPr>
            </w:pPr>
            <w:r>
              <w:rPr>
                <w:rFonts w:eastAsia="等线" w:cs="Times New Roman"/>
              </w:rPr>
              <w:t>2</w:t>
            </w:r>
          </w:p>
        </w:tc>
        <w:tc>
          <w:tcPr>
            <w:tcW w:w="1153" w:type="pct"/>
            <w:tcBorders>
              <w:top w:val="nil"/>
              <w:left w:val="nil"/>
              <w:bottom w:val="single" w:color="auto" w:sz="4" w:space="0"/>
              <w:right w:val="single" w:color="auto" w:sz="4" w:space="0"/>
            </w:tcBorders>
            <w:shd w:val="clear" w:color="auto" w:fill="auto"/>
            <w:vAlign w:val="center"/>
          </w:tcPr>
          <w:p w14:paraId="6920538E">
            <w:pPr>
              <w:pStyle w:val="196"/>
            </w:pPr>
            <w:r>
              <w:rPr>
                <w:rFonts w:hint="eastAsia"/>
              </w:rPr>
              <w:t>码头陆域生活用水</w:t>
            </w:r>
          </w:p>
        </w:tc>
        <w:tc>
          <w:tcPr>
            <w:tcW w:w="666" w:type="pct"/>
            <w:tcBorders>
              <w:top w:val="nil"/>
              <w:left w:val="nil"/>
              <w:bottom w:val="single" w:color="auto" w:sz="4" w:space="0"/>
              <w:right w:val="single" w:color="auto" w:sz="4" w:space="0"/>
            </w:tcBorders>
            <w:shd w:val="clear" w:color="auto" w:fill="auto"/>
            <w:vAlign w:val="center"/>
          </w:tcPr>
          <w:p w14:paraId="18327024">
            <w:pPr>
              <w:pStyle w:val="196"/>
              <w:rPr>
                <w:rFonts w:eastAsia="等线" w:cs="Times New Roman"/>
              </w:rPr>
            </w:pPr>
            <w:r>
              <w:rPr>
                <w:rFonts w:eastAsia="等线" w:cs="Times New Roman"/>
              </w:rPr>
              <w:t>4.5</w:t>
            </w:r>
          </w:p>
        </w:tc>
        <w:tc>
          <w:tcPr>
            <w:tcW w:w="666" w:type="pct"/>
            <w:tcBorders>
              <w:top w:val="nil"/>
              <w:left w:val="nil"/>
              <w:bottom w:val="single" w:color="auto" w:sz="4" w:space="0"/>
              <w:right w:val="single" w:color="auto" w:sz="4" w:space="0"/>
            </w:tcBorders>
            <w:shd w:val="clear" w:color="auto" w:fill="auto"/>
            <w:vAlign w:val="center"/>
          </w:tcPr>
          <w:p w14:paraId="6204CABA">
            <w:pPr>
              <w:pStyle w:val="196"/>
              <w:rPr>
                <w:rFonts w:eastAsia="等线" w:cs="Times New Roman"/>
              </w:rPr>
            </w:pPr>
            <w:r>
              <w:rPr>
                <w:rFonts w:eastAsia="等线" w:cs="Times New Roman"/>
              </w:rPr>
              <w:t>1485</w:t>
            </w:r>
          </w:p>
        </w:tc>
        <w:tc>
          <w:tcPr>
            <w:tcW w:w="477" w:type="pct"/>
            <w:vMerge w:val="continue"/>
            <w:tcBorders>
              <w:top w:val="nil"/>
              <w:left w:val="single" w:color="auto" w:sz="4" w:space="0"/>
              <w:bottom w:val="single" w:color="auto" w:sz="4" w:space="0"/>
              <w:right w:val="single" w:color="auto" w:sz="4" w:space="0"/>
            </w:tcBorders>
            <w:vAlign w:val="center"/>
          </w:tcPr>
          <w:p w14:paraId="6CE21D81">
            <w:pPr>
              <w:pStyle w:val="196"/>
            </w:pPr>
          </w:p>
        </w:tc>
        <w:tc>
          <w:tcPr>
            <w:tcW w:w="1561" w:type="pct"/>
            <w:vMerge w:val="continue"/>
            <w:tcBorders>
              <w:top w:val="nil"/>
              <w:left w:val="single" w:color="auto" w:sz="4" w:space="0"/>
              <w:bottom w:val="single" w:color="auto" w:sz="4" w:space="0"/>
              <w:right w:val="single" w:color="auto" w:sz="4" w:space="0"/>
            </w:tcBorders>
            <w:vAlign w:val="center"/>
          </w:tcPr>
          <w:p w14:paraId="3992D932">
            <w:pPr>
              <w:pStyle w:val="196"/>
            </w:pPr>
          </w:p>
        </w:tc>
      </w:tr>
      <w:tr w14:paraId="3EDC7D58">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7BEB5211">
            <w:pPr>
              <w:pStyle w:val="196"/>
              <w:rPr>
                <w:rFonts w:eastAsia="等线" w:cs="Times New Roman"/>
              </w:rPr>
            </w:pPr>
            <w:r>
              <w:rPr>
                <w:rFonts w:eastAsia="等线" w:cs="Times New Roman"/>
              </w:rPr>
              <w:t>3</w:t>
            </w:r>
          </w:p>
        </w:tc>
        <w:tc>
          <w:tcPr>
            <w:tcW w:w="1153" w:type="pct"/>
            <w:tcBorders>
              <w:top w:val="nil"/>
              <w:left w:val="nil"/>
              <w:bottom w:val="single" w:color="auto" w:sz="4" w:space="0"/>
              <w:right w:val="single" w:color="auto" w:sz="4" w:space="0"/>
            </w:tcBorders>
            <w:shd w:val="clear" w:color="auto" w:fill="auto"/>
            <w:vAlign w:val="center"/>
          </w:tcPr>
          <w:p w14:paraId="0DB85089">
            <w:pPr>
              <w:pStyle w:val="196"/>
            </w:pPr>
            <w:r>
              <w:rPr>
                <w:rFonts w:hint="eastAsia"/>
              </w:rPr>
              <w:t>码头面冲洗用水</w:t>
            </w:r>
          </w:p>
        </w:tc>
        <w:tc>
          <w:tcPr>
            <w:tcW w:w="666" w:type="pct"/>
            <w:tcBorders>
              <w:top w:val="nil"/>
              <w:left w:val="nil"/>
              <w:bottom w:val="single" w:color="auto" w:sz="4" w:space="0"/>
              <w:right w:val="single" w:color="auto" w:sz="4" w:space="0"/>
            </w:tcBorders>
            <w:shd w:val="clear" w:color="auto" w:fill="auto"/>
            <w:vAlign w:val="center"/>
          </w:tcPr>
          <w:p w14:paraId="72F66312">
            <w:pPr>
              <w:pStyle w:val="196"/>
              <w:rPr>
                <w:rFonts w:eastAsia="等线" w:cs="Times New Roman"/>
              </w:rPr>
            </w:pPr>
            <w:r>
              <w:rPr>
                <w:rFonts w:eastAsia="等线" w:cs="Times New Roman"/>
              </w:rPr>
              <w:t>20.9</w:t>
            </w:r>
          </w:p>
        </w:tc>
        <w:tc>
          <w:tcPr>
            <w:tcW w:w="666" w:type="pct"/>
            <w:tcBorders>
              <w:top w:val="nil"/>
              <w:left w:val="nil"/>
              <w:bottom w:val="single" w:color="auto" w:sz="4" w:space="0"/>
              <w:right w:val="single" w:color="auto" w:sz="4" w:space="0"/>
            </w:tcBorders>
            <w:shd w:val="clear" w:color="auto" w:fill="auto"/>
            <w:vAlign w:val="center"/>
          </w:tcPr>
          <w:p w14:paraId="7143986E">
            <w:pPr>
              <w:pStyle w:val="196"/>
              <w:rPr>
                <w:rFonts w:eastAsia="等线" w:cs="Times New Roman"/>
              </w:rPr>
            </w:pPr>
            <w:r>
              <w:rPr>
                <w:rFonts w:eastAsia="等线" w:cs="Times New Roman"/>
              </w:rPr>
              <w:t>6886</w:t>
            </w:r>
          </w:p>
        </w:tc>
        <w:tc>
          <w:tcPr>
            <w:tcW w:w="477" w:type="pct"/>
            <w:vMerge w:val="continue"/>
            <w:tcBorders>
              <w:top w:val="nil"/>
              <w:left w:val="single" w:color="auto" w:sz="4" w:space="0"/>
              <w:bottom w:val="single" w:color="auto" w:sz="4" w:space="0"/>
              <w:right w:val="single" w:color="auto" w:sz="4" w:space="0"/>
            </w:tcBorders>
            <w:vAlign w:val="center"/>
          </w:tcPr>
          <w:p w14:paraId="493BAD92">
            <w:pPr>
              <w:pStyle w:val="196"/>
            </w:pPr>
          </w:p>
        </w:tc>
        <w:tc>
          <w:tcPr>
            <w:tcW w:w="1561" w:type="pct"/>
            <w:vMerge w:val="continue"/>
            <w:tcBorders>
              <w:top w:val="nil"/>
              <w:left w:val="single" w:color="auto" w:sz="4" w:space="0"/>
              <w:bottom w:val="single" w:color="auto" w:sz="4" w:space="0"/>
              <w:right w:val="single" w:color="auto" w:sz="4" w:space="0"/>
            </w:tcBorders>
            <w:vAlign w:val="center"/>
          </w:tcPr>
          <w:p w14:paraId="117E8C63">
            <w:pPr>
              <w:pStyle w:val="196"/>
            </w:pPr>
          </w:p>
        </w:tc>
      </w:tr>
      <w:tr w14:paraId="5F5AD925">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2BC16878">
            <w:pPr>
              <w:pStyle w:val="196"/>
              <w:rPr>
                <w:rFonts w:eastAsia="等线" w:cs="Times New Roman"/>
              </w:rPr>
            </w:pPr>
            <w:r>
              <w:rPr>
                <w:rFonts w:eastAsia="等线" w:cs="Times New Roman"/>
              </w:rPr>
              <w:t>4</w:t>
            </w:r>
          </w:p>
        </w:tc>
        <w:tc>
          <w:tcPr>
            <w:tcW w:w="1153" w:type="pct"/>
            <w:tcBorders>
              <w:top w:val="nil"/>
              <w:left w:val="nil"/>
              <w:bottom w:val="single" w:color="auto" w:sz="4" w:space="0"/>
              <w:right w:val="single" w:color="auto" w:sz="4" w:space="0"/>
            </w:tcBorders>
            <w:shd w:val="clear" w:color="auto" w:fill="auto"/>
            <w:vAlign w:val="center"/>
          </w:tcPr>
          <w:p w14:paraId="35D192B8">
            <w:pPr>
              <w:pStyle w:val="196"/>
            </w:pPr>
            <w:r>
              <w:rPr>
                <w:rFonts w:hint="eastAsia"/>
              </w:rPr>
              <w:t>卸船喷淋用水</w:t>
            </w:r>
          </w:p>
        </w:tc>
        <w:tc>
          <w:tcPr>
            <w:tcW w:w="666" w:type="pct"/>
            <w:tcBorders>
              <w:top w:val="nil"/>
              <w:left w:val="nil"/>
              <w:bottom w:val="single" w:color="auto" w:sz="4" w:space="0"/>
              <w:right w:val="single" w:color="auto" w:sz="4" w:space="0"/>
            </w:tcBorders>
            <w:shd w:val="clear" w:color="auto" w:fill="auto"/>
            <w:vAlign w:val="center"/>
          </w:tcPr>
          <w:p w14:paraId="43F66F7D">
            <w:pPr>
              <w:pStyle w:val="196"/>
              <w:rPr>
                <w:rFonts w:eastAsia="等线" w:cs="Times New Roman"/>
              </w:rPr>
            </w:pPr>
            <w:r>
              <w:rPr>
                <w:rFonts w:eastAsia="等线" w:cs="Times New Roman"/>
              </w:rPr>
              <w:t>61.1</w:t>
            </w:r>
          </w:p>
        </w:tc>
        <w:tc>
          <w:tcPr>
            <w:tcW w:w="666" w:type="pct"/>
            <w:tcBorders>
              <w:top w:val="nil"/>
              <w:left w:val="nil"/>
              <w:bottom w:val="single" w:color="auto" w:sz="4" w:space="0"/>
              <w:right w:val="single" w:color="auto" w:sz="4" w:space="0"/>
            </w:tcBorders>
            <w:shd w:val="clear" w:color="auto" w:fill="auto"/>
            <w:vAlign w:val="center"/>
          </w:tcPr>
          <w:p w14:paraId="601FF5A9">
            <w:pPr>
              <w:pStyle w:val="196"/>
              <w:rPr>
                <w:rFonts w:eastAsia="等线" w:cs="Times New Roman"/>
              </w:rPr>
            </w:pPr>
            <w:r>
              <w:rPr>
                <w:rFonts w:eastAsia="等线" w:cs="Times New Roman"/>
              </w:rPr>
              <w:t>14662</w:t>
            </w:r>
          </w:p>
        </w:tc>
        <w:tc>
          <w:tcPr>
            <w:tcW w:w="477" w:type="pct"/>
            <w:vMerge w:val="continue"/>
            <w:tcBorders>
              <w:top w:val="nil"/>
              <w:left w:val="single" w:color="auto" w:sz="4" w:space="0"/>
              <w:bottom w:val="single" w:color="auto" w:sz="4" w:space="0"/>
              <w:right w:val="single" w:color="auto" w:sz="4" w:space="0"/>
            </w:tcBorders>
            <w:vAlign w:val="center"/>
          </w:tcPr>
          <w:p w14:paraId="452039C6">
            <w:pPr>
              <w:pStyle w:val="196"/>
            </w:pPr>
          </w:p>
        </w:tc>
        <w:tc>
          <w:tcPr>
            <w:tcW w:w="1561" w:type="pct"/>
            <w:vMerge w:val="restart"/>
            <w:tcBorders>
              <w:top w:val="nil"/>
              <w:left w:val="single" w:color="auto" w:sz="4" w:space="0"/>
              <w:bottom w:val="single" w:color="auto" w:sz="4" w:space="0"/>
              <w:right w:val="single" w:color="auto" w:sz="4" w:space="0"/>
            </w:tcBorders>
            <w:shd w:val="clear" w:color="auto" w:fill="auto"/>
            <w:vAlign w:val="center"/>
          </w:tcPr>
          <w:p w14:paraId="0055318F">
            <w:pPr>
              <w:pStyle w:val="196"/>
            </w:pPr>
            <w:r>
              <w:rPr>
                <w:rFonts w:hint="eastAsia"/>
              </w:rPr>
              <w:t>考虑淮安市年降雨天数</w:t>
            </w:r>
            <w:r>
              <w:rPr>
                <w:rFonts w:cs="Times New Roman"/>
              </w:rPr>
              <w:t>90d</w:t>
            </w:r>
            <w:r>
              <w:rPr>
                <w:rFonts w:hint="eastAsia"/>
              </w:rPr>
              <w:t>，按照一年洒水天数</w:t>
            </w:r>
            <w:r>
              <w:rPr>
                <w:rFonts w:cs="Times New Roman"/>
              </w:rPr>
              <w:t>240d</w:t>
            </w:r>
            <w:r>
              <w:rPr>
                <w:rFonts w:hint="eastAsia"/>
              </w:rPr>
              <w:t>计</w:t>
            </w:r>
          </w:p>
        </w:tc>
      </w:tr>
      <w:tr w14:paraId="6EC7B738">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3B494200">
            <w:pPr>
              <w:pStyle w:val="196"/>
              <w:rPr>
                <w:rFonts w:eastAsia="等线" w:cs="Times New Roman"/>
              </w:rPr>
            </w:pPr>
            <w:r>
              <w:rPr>
                <w:rFonts w:eastAsia="等线" w:cs="Times New Roman"/>
              </w:rPr>
              <w:t>5</w:t>
            </w:r>
          </w:p>
        </w:tc>
        <w:tc>
          <w:tcPr>
            <w:tcW w:w="1153" w:type="pct"/>
            <w:tcBorders>
              <w:top w:val="nil"/>
              <w:left w:val="nil"/>
              <w:bottom w:val="single" w:color="auto" w:sz="4" w:space="0"/>
              <w:right w:val="single" w:color="auto" w:sz="4" w:space="0"/>
            </w:tcBorders>
            <w:shd w:val="clear" w:color="auto" w:fill="auto"/>
            <w:vAlign w:val="center"/>
          </w:tcPr>
          <w:p w14:paraId="0475CEE6">
            <w:pPr>
              <w:pStyle w:val="196"/>
            </w:pPr>
            <w:r>
              <w:rPr>
                <w:rFonts w:hint="eastAsia"/>
              </w:rPr>
              <w:t>道路洒水</w:t>
            </w:r>
          </w:p>
        </w:tc>
        <w:tc>
          <w:tcPr>
            <w:tcW w:w="666" w:type="pct"/>
            <w:tcBorders>
              <w:top w:val="nil"/>
              <w:left w:val="nil"/>
              <w:bottom w:val="single" w:color="auto" w:sz="4" w:space="0"/>
              <w:right w:val="single" w:color="auto" w:sz="4" w:space="0"/>
            </w:tcBorders>
            <w:shd w:val="clear" w:color="auto" w:fill="auto"/>
            <w:vAlign w:val="center"/>
          </w:tcPr>
          <w:p w14:paraId="368EF950">
            <w:pPr>
              <w:pStyle w:val="196"/>
              <w:rPr>
                <w:rFonts w:eastAsia="等线" w:cs="Times New Roman"/>
              </w:rPr>
            </w:pPr>
            <w:r>
              <w:rPr>
                <w:rFonts w:eastAsia="等线" w:cs="Times New Roman"/>
              </w:rPr>
              <w:t>3.5</w:t>
            </w:r>
          </w:p>
        </w:tc>
        <w:tc>
          <w:tcPr>
            <w:tcW w:w="666" w:type="pct"/>
            <w:tcBorders>
              <w:top w:val="nil"/>
              <w:left w:val="nil"/>
              <w:bottom w:val="single" w:color="auto" w:sz="4" w:space="0"/>
              <w:right w:val="single" w:color="auto" w:sz="4" w:space="0"/>
            </w:tcBorders>
            <w:shd w:val="clear" w:color="auto" w:fill="auto"/>
            <w:vAlign w:val="center"/>
          </w:tcPr>
          <w:p w14:paraId="25FF4EE7">
            <w:pPr>
              <w:pStyle w:val="196"/>
              <w:rPr>
                <w:rFonts w:eastAsia="等线" w:cs="Times New Roman"/>
              </w:rPr>
            </w:pPr>
            <w:r>
              <w:rPr>
                <w:rFonts w:eastAsia="等线" w:cs="Times New Roman"/>
              </w:rPr>
              <w:t>1159</w:t>
            </w:r>
          </w:p>
        </w:tc>
        <w:tc>
          <w:tcPr>
            <w:tcW w:w="477" w:type="pct"/>
            <w:vMerge w:val="continue"/>
            <w:tcBorders>
              <w:top w:val="nil"/>
              <w:left w:val="single" w:color="auto" w:sz="4" w:space="0"/>
              <w:bottom w:val="single" w:color="auto" w:sz="4" w:space="0"/>
              <w:right w:val="single" w:color="auto" w:sz="4" w:space="0"/>
            </w:tcBorders>
            <w:vAlign w:val="center"/>
          </w:tcPr>
          <w:p w14:paraId="4E82A96B">
            <w:pPr>
              <w:pStyle w:val="196"/>
            </w:pPr>
          </w:p>
        </w:tc>
        <w:tc>
          <w:tcPr>
            <w:tcW w:w="1561" w:type="pct"/>
            <w:vMerge w:val="continue"/>
            <w:tcBorders>
              <w:top w:val="nil"/>
              <w:left w:val="single" w:color="auto" w:sz="4" w:space="0"/>
              <w:bottom w:val="single" w:color="auto" w:sz="4" w:space="0"/>
              <w:right w:val="single" w:color="auto" w:sz="4" w:space="0"/>
            </w:tcBorders>
            <w:vAlign w:val="center"/>
          </w:tcPr>
          <w:p w14:paraId="05AA3BE0">
            <w:pPr>
              <w:pStyle w:val="196"/>
            </w:pPr>
          </w:p>
        </w:tc>
      </w:tr>
      <w:tr w14:paraId="689AB41A">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7ECCDE0B">
            <w:pPr>
              <w:pStyle w:val="196"/>
              <w:rPr>
                <w:rFonts w:eastAsia="等线" w:cs="Times New Roman"/>
              </w:rPr>
            </w:pPr>
            <w:r>
              <w:rPr>
                <w:rFonts w:eastAsia="等线" w:cs="Times New Roman"/>
              </w:rPr>
              <w:t>6</w:t>
            </w:r>
          </w:p>
        </w:tc>
        <w:tc>
          <w:tcPr>
            <w:tcW w:w="1153" w:type="pct"/>
            <w:tcBorders>
              <w:top w:val="nil"/>
              <w:left w:val="nil"/>
              <w:bottom w:val="single" w:color="auto" w:sz="4" w:space="0"/>
              <w:right w:val="single" w:color="auto" w:sz="4" w:space="0"/>
            </w:tcBorders>
            <w:shd w:val="clear" w:color="auto" w:fill="auto"/>
            <w:vAlign w:val="center"/>
          </w:tcPr>
          <w:p w14:paraId="146F5232">
            <w:pPr>
              <w:pStyle w:val="196"/>
            </w:pPr>
            <w:r>
              <w:rPr>
                <w:rFonts w:hint="eastAsia"/>
              </w:rPr>
              <w:t>绿化用水</w:t>
            </w:r>
          </w:p>
        </w:tc>
        <w:tc>
          <w:tcPr>
            <w:tcW w:w="666" w:type="pct"/>
            <w:tcBorders>
              <w:top w:val="nil"/>
              <w:left w:val="nil"/>
              <w:bottom w:val="single" w:color="auto" w:sz="4" w:space="0"/>
              <w:right w:val="single" w:color="auto" w:sz="4" w:space="0"/>
            </w:tcBorders>
            <w:shd w:val="clear" w:color="auto" w:fill="auto"/>
            <w:vAlign w:val="center"/>
          </w:tcPr>
          <w:p w14:paraId="0DB107EE">
            <w:pPr>
              <w:pStyle w:val="196"/>
              <w:rPr>
                <w:rFonts w:eastAsia="等线" w:cs="Times New Roman"/>
              </w:rPr>
            </w:pPr>
            <w:r>
              <w:rPr>
                <w:rFonts w:eastAsia="等线" w:cs="Times New Roman"/>
              </w:rPr>
              <w:t>1.5</w:t>
            </w:r>
          </w:p>
        </w:tc>
        <w:tc>
          <w:tcPr>
            <w:tcW w:w="666" w:type="pct"/>
            <w:tcBorders>
              <w:top w:val="nil"/>
              <w:left w:val="nil"/>
              <w:bottom w:val="single" w:color="auto" w:sz="4" w:space="0"/>
              <w:right w:val="single" w:color="auto" w:sz="4" w:space="0"/>
            </w:tcBorders>
            <w:shd w:val="clear" w:color="auto" w:fill="auto"/>
            <w:vAlign w:val="center"/>
          </w:tcPr>
          <w:p w14:paraId="5B89FF0A">
            <w:pPr>
              <w:pStyle w:val="196"/>
              <w:rPr>
                <w:rFonts w:eastAsia="等线" w:cs="Times New Roman"/>
              </w:rPr>
            </w:pPr>
            <w:r>
              <w:rPr>
                <w:rFonts w:eastAsia="等线" w:cs="Times New Roman"/>
              </w:rPr>
              <w:t>500</w:t>
            </w:r>
          </w:p>
        </w:tc>
        <w:tc>
          <w:tcPr>
            <w:tcW w:w="477" w:type="pct"/>
            <w:vMerge w:val="continue"/>
            <w:tcBorders>
              <w:top w:val="nil"/>
              <w:left w:val="single" w:color="auto" w:sz="4" w:space="0"/>
              <w:bottom w:val="single" w:color="auto" w:sz="4" w:space="0"/>
              <w:right w:val="single" w:color="auto" w:sz="4" w:space="0"/>
            </w:tcBorders>
            <w:vAlign w:val="center"/>
          </w:tcPr>
          <w:p w14:paraId="580A0AB5">
            <w:pPr>
              <w:pStyle w:val="196"/>
            </w:pPr>
          </w:p>
        </w:tc>
        <w:tc>
          <w:tcPr>
            <w:tcW w:w="1561" w:type="pct"/>
            <w:vMerge w:val="continue"/>
            <w:tcBorders>
              <w:top w:val="nil"/>
              <w:left w:val="single" w:color="auto" w:sz="4" w:space="0"/>
              <w:bottom w:val="single" w:color="auto" w:sz="4" w:space="0"/>
              <w:right w:val="single" w:color="auto" w:sz="4" w:space="0"/>
            </w:tcBorders>
            <w:vAlign w:val="center"/>
          </w:tcPr>
          <w:p w14:paraId="1449A70F">
            <w:pPr>
              <w:pStyle w:val="196"/>
            </w:pPr>
          </w:p>
        </w:tc>
      </w:tr>
      <w:tr w14:paraId="5AFB3629">
        <w:tblPrEx>
          <w:tblCellMar>
            <w:top w:w="0" w:type="dxa"/>
            <w:left w:w="108" w:type="dxa"/>
            <w:bottom w:w="0" w:type="dxa"/>
            <w:right w:w="108" w:type="dxa"/>
          </w:tblCellMar>
        </w:tblPrEx>
        <w:trPr>
          <w:trHeight w:val="20" w:hRule="atLeast"/>
          <w:jc w:val="center"/>
        </w:trPr>
        <w:tc>
          <w:tcPr>
            <w:tcW w:w="477" w:type="pct"/>
            <w:tcBorders>
              <w:top w:val="nil"/>
              <w:left w:val="single" w:color="auto" w:sz="4" w:space="0"/>
              <w:bottom w:val="single" w:color="auto" w:sz="4" w:space="0"/>
              <w:right w:val="single" w:color="auto" w:sz="4" w:space="0"/>
            </w:tcBorders>
            <w:shd w:val="clear" w:color="auto" w:fill="auto"/>
            <w:vAlign w:val="center"/>
          </w:tcPr>
          <w:p w14:paraId="11FC387E">
            <w:pPr>
              <w:pStyle w:val="196"/>
              <w:rPr>
                <w:rFonts w:eastAsia="等线" w:cs="Times New Roman"/>
              </w:rPr>
            </w:pPr>
            <w:r>
              <w:rPr>
                <w:rFonts w:eastAsia="等线" w:cs="Times New Roman"/>
              </w:rPr>
              <w:t>7</w:t>
            </w:r>
          </w:p>
        </w:tc>
        <w:tc>
          <w:tcPr>
            <w:tcW w:w="1153" w:type="pct"/>
            <w:tcBorders>
              <w:top w:val="nil"/>
              <w:left w:val="nil"/>
              <w:bottom w:val="single" w:color="auto" w:sz="4" w:space="0"/>
              <w:right w:val="single" w:color="auto" w:sz="4" w:space="0"/>
            </w:tcBorders>
            <w:shd w:val="clear" w:color="auto" w:fill="auto"/>
            <w:vAlign w:val="center"/>
          </w:tcPr>
          <w:p w14:paraId="140FF498">
            <w:pPr>
              <w:pStyle w:val="196"/>
            </w:pPr>
            <w:r>
              <w:rPr>
                <w:rFonts w:hint="eastAsia"/>
              </w:rPr>
              <w:t>设备冲洗用水</w:t>
            </w:r>
          </w:p>
        </w:tc>
        <w:tc>
          <w:tcPr>
            <w:tcW w:w="666" w:type="pct"/>
            <w:tcBorders>
              <w:top w:val="nil"/>
              <w:left w:val="nil"/>
              <w:bottom w:val="single" w:color="auto" w:sz="4" w:space="0"/>
              <w:right w:val="single" w:color="auto" w:sz="4" w:space="0"/>
            </w:tcBorders>
            <w:shd w:val="clear" w:color="auto" w:fill="auto"/>
            <w:vAlign w:val="center"/>
          </w:tcPr>
          <w:p w14:paraId="4327353F">
            <w:pPr>
              <w:pStyle w:val="196"/>
              <w:rPr>
                <w:rFonts w:eastAsia="等线" w:cs="Times New Roman"/>
              </w:rPr>
            </w:pPr>
            <w:r>
              <w:rPr>
                <w:rFonts w:eastAsia="等线" w:cs="Times New Roman"/>
              </w:rPr>
              <w:t>0.6</w:t>
            </w:r>
          </w:p>
        </w:tc>
        <w:tc>
          <w:tcPr>
            <w:tcW w:w="666" w:type="pct"/>
            <w:tcBorders>
              <w:top w:val="nil"/>
              <w:left w:val="nil"/>
              <w:bottom w:val="single" w:color="auto" w:sz="4" w:space="0"/>
              <w:right w:val="single" w:color="auto" w:sz="4" w:space="0"/>
            </w:tcBorders>
            <w:shd w:val="clear" w:color="auto" w:fill="auto"/>
            <w:vAlign w:val="center"/>
          </w:tcPr>
          <w:p w14:paraId="52329D68">
            <w:pPr>
              <w:pStyle w:val="196"/>
              <w:rPr>
                <w:rFonts w:eastAsia="等线" w:cs="Times New Roman"/>
              </w:rPr>
            </w:pPr>
            <w:r>
              <w:rPr>
                <w:rFonts w:eastAsia="等线" w:cs="Times New Roman"/>
              </w:rPr>
              <w:t>198</w:t>
            </w:r>
          </w:p>
        </w:tc>
        <w:tc>
          <w:tcPr>
            <w:tcW w:w="477" w:type="pct"/>
            <w:vMerge w:val="continue"/>
            <w:tcBorders>
              <w:top w:val="nil"/>
              <w:left w:val="single" w:color="auto" w:sz="4" w:space="0"/>
              <w:bottom w:val="single" w:color="auto" w:sz="4" w:space="0"/>
              <w:right w:val="single" w:color="auto" w:sz="4" w:space="0"/>
            </w:tcBorders>
            <w:vAlign w:val="center"/>
          </w:tcPr>
          <w:p w14:paraId="7ACD91B8">
            <w:pPr>
              <w:pStyle w:val="196"/>
            </w:pPr>
          </w:p>
        </w:tc>
        <w:tc>
          <w:tcPr>
            <w:tcW w:w="1561" w:type="pct"/>
            <w:tcBorders>
              <w:top w:val="nil"/>
              <w:left w:val="nil"/>
              <w:bottom w:val="single" w:color="auto" w:sz="4" w:space="0"/>
              <w:right w:val="single" w:color="auto" w:sz="4" w:space="0"/>
            </w:tcBorders>
            <w:shd w:val="clear" w:color="auto" w:fill="auto"/>
            <w:vAlign w:val="center"/>
          </w:tcPr>
          <w:p w14:paraId="3B5C321C">
            <w:pPr>
              <w:pStyle w:val="196"/>
            </w:pPr>
            <w:r>
              <w:rPr>
                <w:rFonts w:hint="eastAsia"/>
              </w:rPr>
              <w:t>每年用水时间按</w:t>
            </w:r>
            <w:r>
              <w:rPr>
                <w:rFonts w:cs="Times New Roman"/>
              </w:rPr>
              <w:t>330d</w:t>
            </w:r>
            <w:r>
              <w:rPr>
                <w:rFonts w:hint="eastAsia"/>
              </w:rPr>
              <w:t>计</w:t>
            </w:r>
          </w:p>
        </w:tc>
      </w:tr>
      <w:tr w14:paraId="0588F8F2">
        <w:tblPrEx>
          <w:tblCellMar>
            <w:top w:w="0" w:type="dxa"/>
            <w:left w:w="108" w:type="dxa"/>
            <w:bottom w:w="0" w:type="dxa"/>
            <w:right w:w="108" w:type="dxa"/>
          </w:tblCellMar>
        </w:tblPrEx>
        <w:trPr>
          <w:trHeight w:val="20" w:hRule="atLeast"/>
          <w:jc w:val="center"/>
        </w:trPr>
        <w:tc>
          <w:tcPr>
            <w:tcW w:w="163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59A280">
            <w:pPr>
              <w:pStyle w:val="196"/>
            </w:pPr>
            <w:r>
              <w:rPr>
                <w:rFonts w:hint="eastAsia"/>
              </w:rPr>
              <w:t>合计</w:t>
            </w:r>
          </w:p>
        </w:tc>
        <w:tc>
          <w:tcPr>
            <w:tcW w:w="666" w:type="pct"/>
            <w:tcBorders>
              <w:top w:val="nil"/>
              <w:left w:val="nil"/>
              <w:bottom w:val="single" w:color="auto" w:sz="4" w:space="0"/>
              <w:right w:val="single" w:color="auto" w:sz="4" w:space="0"/>
            </w:tcBorders>
            <w:shd w:val="clear" w:color="auto" w:fill="auto"/>
            <w:vAlign w:val="center"/>
          </w:tcPr>
          <w:p w14:paraId="73BC0002">
            <w:pPr>
              <w:pStyle w:val="196"/>
              <w:rPr>
                <w:rFonts w:eastAsia="等线" w:cs="Times New Roman"/>
              </w:rPr>
            </w:pPr>
            <w:r>
              <w:rPr>
                <w:rFonts w:eastAsia="等线" w:cs="Times New Roman"/>
              </w:rPr>
              <w:t>　</w:t>
            </w:r>
          </w:p>
        </w:tc>
        <w:tc>
          <w:tcPr>
            <w:tcW w:w="666" w:type="pct"/>
            <w:tcBorders>
              <w:top w:val="nil"/>
              <w:left w:val="nil"/>
              <w:bottom w:val="single" w:color="auto" w:sz="4" w:space="0"/>
              <w:right w:val="single" w:color="auto" w:sz="4" w:space="0"/>
            </w:tcBorders>
            <w:shd w:val="clear" w:color="auto" w:fill="auto"/>
            <w:vAlign w:val="center"/>
          </w:tcPr>
          <w:p w14:paraId="0E594224">
            <w:pPr>
              <w:pStyle w:val="196"/>
              <w:rPr>
                <w:rFonts w:eastAsia="等线" w:cs="Times New Roman"/>
              </w:rPr>
            </w:pPr>
            <w:r>
              <w:rPr>
                <w:rFonts w:eastAsia="等线" w:cs="Times New Roman"/>
              </w:rPr>
              <w:t>47290</w:t>
            </w:r>
          </w:p>
        </w:tc>
        <w:tc>
          <w:tcPr>
            <w:tcW w:w="477" w:type="pct"/>
            <w:tcBorders>
              <w:top w:val="nil"/>
              <w:left w:val="nil"/>
              <w:bottom w:val="single" w:color="auto" w:sz="4" w:space="0"/>
              <w:right w:val="single" w:color="auto" w:sz="4" w:space="0"/>
            </w:tcBorders>
            <w:shd w:val="clear" w:color="auto" w:fill="auto"/>
            <w:vAlign w:val="center"/>
          </w:tcPr>
          <w:p w14:paraId="114B2AD5">
            <w:pPr>
              <w:pStyle w:val="196"/>
              <w:rPr>
                <w:rFonts w:eastAsia="等线" w:cs="Times New Roman"/>
              </w:rPr>
            </w:pPr>
            <w:r>
              <w:rPr>
                <w:rFonts w:eastAsia="等线" w:cs="Times New Roman"/>
              </w:rPr>
              <w:t>/</w:t>
            </w:r>
          </w:p>
        </w:tc>
        <w:tc>
          <w:tcPr>
            <w:tcW w:w="1561" w:type="pct"/>
            <w:tcBorders>
              <w:top w:val="nil"/>
              <w:left w:val="nil"/>
              <w:bottom w:val="single" w:color="auto" w:sz="4" w:space="0"/>
              <w:right w:val="single" w:color="auto" w:sz="4" w:space="0"/>
            </w:tcBorders>
            <w:shd w:val="clear" w:color="auto" w:fill="auto"/>
            <w:vAlign w:val="center"/>
          </w:tcPr>
          <w:p w14:paraId="0BB6F95C">
            <w:pPr>
              <w:pStyle w:val="196"/>
              <w:rPr>
                <w:rFonts w:eastAsia="等线" w:cs="Times New Roman"/>
              </w:rPr>
            </w:pPr>
            <w:r>
              <w:rPr>
                <w:rFonts w:eastAsia="等线" w:cs="Times New Roman"/>
              </w:rPr>
              <w:t>/</w:t>
            </w:r>
          </w:p>
        </w:tc>
      </w:tr>
    </w:tbl>
    <w:p w14:paraId="645A0DDB">
      <w:pPr>
        <w:pStyle w:val="86"/>
      </w:pPr>
      <w:r>
        <w:rPr>
          <w:rFonts w:hint="eastAsia"/>
        </w:rPr>
        <w:t>本项目水量平衡表</w:t>
      </w:r>
    </w:p>
    <w:tbl>
      <w:tblPr>
        <w:tblStyle w:val="38"/>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000"/>
        <w:gridCol w:w="10"/>
        <w:gridCol w:w="1030"/>
        <w:gridCol w:w="10"/>
        <w:gridCol w:w="1030"/>
        <w:gridCol w:w="10"/>
        <w:gridCol w:w="1811"/>
        <w:gridCol w:w="10"/>
        <w:gridCol w:w="1209"/>
        <w:gridCol w:w="10"/>
        <w:gridCol w:w="1450"/>
        <w:gridCol w:w="10"/>
      </w:tblGrid>
      <w:tr w14:paraId="6F6D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tblHeader/>
          <w:jc w:val="center"/>
        </w:trPr>
        <w:tc>
          <w:tcPr>
            <w:tcW w:w="818" w:type="dxa"/>
            <w:vMerge w:val="restart"/>
            <w:shd w:val="clear" w:color="auto" w:fill="auto"/>
            <w:vAlign w:val="center"/>
          </w:tcPr>
          <w:p w14:paraId="0D71006F">
            <w:pPr>
              <w:spacing w:line="240" w:lineRule="auto"/>
              <w:ind w:firstLine="0" w:firstLineChars="0"/>
              <w:jc w:val="center"/>
              <w:rPr>
                <w:rFonts w:eastAsia="等线" w:cs="Times New Roman"/>
                <w:b/>
                <w:bCs/>
                <w:kern w:val="0"/>
                <w:sz w:val="21"/>
              </w:rPr>
            </w:pPr>
            <w:r>
              <w:rPr>
                <w:rFonts w:hint="eastAsia" w:ascii="宋体" w:hAnsi="宋体" w:eastAsia="宋体" w:cs="Times New Roman"/>
                <w:b/>
                <w:bCs/>
                <w:kern w:val="0"/>
                <w:sz w:val="21"/>
              </w:rPr>
              <w:t>序号</w:t>
            </w:r>
          </w:p>
        </w:tc>
        <w:tc>
          <w:tcPr>
            <w:tcW w:w="2000" w:type="dxa"/>
            <w:vMerge w:val="restart"/>
            <w:shd w:val="clear" w:color="auto" w:fill="auto"/>
            <w:vAlign w:val="center"/>
          </w:tcPr>
          <w:p w14:paraId="432A5BDF">
            <w:pPr>
              <w:spacing w:line="240" w:lineRule="auto"/>
              <w:ind w:firstLine="0" w:firstLineChars="0"/>
              <w:jc w:val="center"/>
              <w:rPr>
                <w:rFonts w:eastAsia="等线" w:cs="Times New Roman"/>
                <w:b/>
                <w:bCs/>
                <w:kern w:val="0"/>
                <w:sz w:val="21"/>
              </w:rPr>
            </w:pPr>
            <w:r>
              <w:rPr>
                <w:rFonts w:hint="eastAsia" w:ascii="宋体" w:hAnsi="宋体" w:eastAsia="宋体" w:cs="Times New Roman"/>
                <w:b/>
                <w:bCs/>
                <w:kern w:val="0"/>
                <w:sz w:val="21"/>
              </w:rPr>
              <w:t>用水项目</w:t>
            </w:r>
          </w:p>
        </w:tc>
        <w:tc>
          <w:tcPr>
            <w:tcW w:w="2080" w:type="dxa"/>
            <w:gridSpan w:val="4"/>
            <w:shd w:val="clear" w:color="auto" w:fill="auto"/>
            <w:vAlign w:val="center"/>
          </w:tcPr>
          <w:p w14:paraId="4B1340AB">
            <w:pPr>
              <w:spacing w:line="240" w:lineRule="auto"/>
              <w:ind w:firstLine="0" w:firstLineChars="0"/>
              <w:jc w:val="center"/>
              <w:rPr>
                <w:rFonts w:eastAsia="等线" w:cs="Times New Roman"/>
                <w:b/>
                <w:bCs/>
                <w:kern w:val="0"/>
                <w:sz w:val="21"/>
              </w:rPr>
            </w:pPr>
            <w:r>
              <w:rPr>
                <w:rFonts w:hint="eastAsia" w:ascii="宋体" w:hAnsi="宋体" w:eastAsia="宋体" w:cs="Times New Roman"/>
                <w:b/>
                <w:bCs/>
                <w:kern w:val="0"/>
                <w:sz w:val="21"/>
              </w:rPr>
              <w:t>用水量</w:t>
            </w:r>
          </w:p>
        </w:tc>
        <w:tc>
          <w:tcPr>
            <w:tcW w:w="1821" w:type="dxa"/>
            <w:gridSpan w:val="2"/>
            <w:vMerge w:val="restart"/>
            <w:shd w:val="clear" w:color="auto" w:fill="auto"/>
            <w:noWrap/>
            <w:vAlign w:val="center"/>
          </w:tcPr>
          <w:p w14:paraId="3CA4C4FA">
            <w:pPr>
              <w:spacing w:line="240" w:lineRule="auto"/>
              <w:ind w:firstLine="0" w:firstLineChars="0"/>
              <w:jc w:val="center"/>
              <w:rPr>
                <w:rFonts w:eastAsia="等线" w:cs="Times New Roman"/>
                <w:b/>
                <w:bCs/>
                <w:kern w:val="0"/>
                <w:sz w:val="22"/>
                <w:szCs w:val="22"/>
              </w:rPr>
            </w:pPr>
            <w:r>
              <w:rPr>
                <w:rFonts w:hint="eastAsia" w:ascii="宋体" w:hAnsi="宋体" w:eastAsia="宋体" w:cs="Times New Roman"/>
                <w:b/>
                <w:bCs/>
                <w:kern w:val="0"/>
                <w:sz w:val="22"/>
                <w:szCs w:val="22"/>
              </w:rPr>
              <w:t>排水项目</w:t>
            </w:r>
          </w:p>
        </w:tc>
        <w:tc>
          <w:tcPr>
            <w:tcW w:w="2679" w:type="dxa"/>
            <w:gridSpan w:val="4"/>
            <w:shd w:val="clear" w:color="auto" w:fill="auto"/>
            <w:vAlign w:val="center"/>
          </w:tcPr>
          <w:p w14:paraId="18257108">
            <w:pPr>
              <w:spacing w:line="240" w:lineRule="auto"/>
              <w:ind w:firstLine="0" w:firstLineChars="0"/>
              <w:jc w:val="center"/>
              <w:rPr>
                <w:rFonts w:eastAsia="等线" w:cs="Times New Roman"/>
                <w:b/>
                <w:bCs/>
                <w:kern w:val="0"/>
                <w:sz w:val="21"/>
              </w:rPr>
            </w:pPr>
            <w:r>
              <w:rPr>
                <w:rFonts w:hint="eastAsia" w:ascii="宋体" w:hAnsi="宋体" w:eastAsia="宋体" w:cs="Times New Roman"/>
                <w:b/>
                <w:bCs/>
                <w:kern w:val="0"/>
                <w:sz w:val="21"/>
              </w:rPr>
              <w:t>用水量</w:t>
            </w:r>
          </w:p>
        </w:tc>
      </w:tr>
      <w:tr w14:paraId="4EDD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320" w:hRule="atLeast"/>
          <w:tblHeader/>
          <w:jc w:val="center"/>
        </w:trPr>
        <w:tc>
          <w:tcPr>
            <w:tcW w:w="818" w:type="dxa"/>
            <w:vMerge w:val="continue"/>
            <w:vAlign w:val="center"/>
          </w:tcPr>
          <w:p w14:paraId="69411B36">
            <w:pPr>
              <w:spacing w:line="240" w:lineRule="auto"/>
              <w:ind w:firstLine="0" w:firstLineChars="0"/>
              <w:rPr>
                <w:rFonts w:eastAsia="等线" w:cs="Times New Roman"/>
                <w:b/>
                <w:bCs/>
                <w:kern w:val="0"/>
                <w:sz w:val="21"/>
              </w:rPr>
            </w:pPr>
          </w:p>
        </w:tc>
        <w:tc>
          <w:tcPr>
            <w:tcW w:w="2000" w:type="dxa"/>
            <w:vMerge w:val="continue"/>
            <w:vAlign w:val="center"/>
          </w:tcPr>
          <w:p w14:paraId="01BDC5DB">
            <w:pPr>
              <w:spacing w:line="240" w:lineRule="auto"/>
              <w:ind w:firstLine="0" w:firstLineChars="0"/>
              <w:rPr>
                <w:rFonts w:eastAsia="等线" w:cs="Times New Roman"/>
                <w:b/>
                <w:bCs/>
                <w:kern w:val="0"/>
                <w:sz w:val="21"/>
              </w:rPr>
            </w:pPr>
          </w:p>
        </w:tc>
        <w:tc>
          <w:tcPr>
            <w:tcW w:w="1040" w:type="dxa"/>
            <w:gridSpan w:val="2"/>
            <w:shd w:val="clear" w:color="auto" w:fill="auto"/>
            <w:vAlign w:val="center"/>
          </w:tcPr>
          <w:p w14:paraId="685C10DD">
            <w:pPr>
              <w:spacing w:line="240" w:lineRule="auto"/>
              <w:ind w:firstLine="0" w:firstLineChars="0"/>
              <w:jc w:val="center"/>
              <w:rPr>
                <w:rFonts w:eastAsia="等线" w:cs="Times New Roman"/>
                <w:b/>
                <w:bCs/>
                <w:kern w:val="0"/>
                <w:sz w:val="21"/>
              </w:rPr>
            </w:pPr>
            <w:r>
              <w:rPr>
                <w:rFonts w:eastAsia="等线" w:cs="Times New Roman"/>
                <w:b/>
                <w:bCs/>
                <w:kern w:val="0"/>
                <w:sz w:val="21"/>
              </w:rPr>
              <w:t>m</w:t>
            </w:r>
            <w:r>
              <w:rPr>
                <w:rFonts w:eastAsia="等线" w:cs="Times New Roman"/>
                <w:b/>
                <w:bCs/>
                <w:kern w:val="0"/>
                <w:sz w:val="21"/>
                <w:vertAlign w:val="superscript"/>
              </w:rPr>
              <w:t>3</w:t>
            </w:r>
            <w:r>
              <w:rPr>
                <w:rFonts w:eastAsia="等线" w:cs="Times New Roman"/>
                <w:b/>
                <w:bCs/>
                <w:kern w:val="0"/>
                <w:sz w:val="21"/>
              </w:rPr>
              <w:t>/d</w:t>
            </w:r>
          </w:p>
        </w:tc>
        <w:tc>
          <w:tcPr>
            <w:tcW w:w="1040" w:type="dxa"/>
            <w:gridSpan w:val="2"/>
            <w:shd w:val="clear" w:color="auto" w:fill="auto"/>
            <w:vAlign w:val="center"/>
          </w:tcPr>
          <w:p w14:paraId="2EFFD1DE">
            <w:pPr>
              <w:spacing w:line="240" w:lineRule="auto"/>
              <w:ind w:firstLine="0" w:firstLineChars="0"/>
              <w:jc w:val="center"/>
              <w:rPr>
                <w:rFonts w:eastAsia="等线" w:cs="Times New Roman"/>
                <w:b/>
                <w:bCs/>
                <w:kern w:val="0"/>
                <w:sz w:val="21"/>
              </w:rPr>
            </w:pPr>
            <w:r>
              <w:rPr>
                <w:rFonts w:eastAsia="等线" w:cs="Times New Roman"/>
                <w:b/>
                <w:bCs/>
                <w:kern w:val="0"/>
                <w:sz w:val="21"/>
              </w:rPr>
              <w:t>m</w:t>
            </w:r>
            <w:r>
              <w:rPr>
                <w:rFonts w:eastAsia="等线" w:cs="Times New Roman"/>
                <w:b/>
                <w:bCs/>
                <w:kern w:val="0"/>
                <w:sz w:val="21"/>
                <w:vertAlign w:val="superscript"/>
              </w:rPr>
              <w:t>3</w:t>
            </w:r>
            <w:r>
              <w:rPr>
                <w:rFonts w:eastAsia="等线" w:cs="Times New Roman"/>
                <w:b/>
                <w:bCs/>
                <w:kern w:val="0"/>
                <w:sz w:val="21"/>
              </w:rPr>
              <w:t>/a</w:t>
            </w:r>
          </w:p>
        </w:tc>
        <w:tc>
          <w:tcPr>
            <w:tcW w:w="1821" w:type="dxa"/>
            <w:gridSpan w:val="2"/>
            <w:vMerge w:val="continue"/>
            <w:vAlign w:val="center"/>
          </w:tcPr>
          <w:p w14:paraId="27230B7D">
            <w:pPr>
              <w:spacing w:line="240" w:lineRule="auto"/>
              <w:ind w:firstLine="0" w:firstLineChars="0"/>
              <w:rPr>
                <w:rFonts w:eastAsia="等线" w:cs="Times New Roman"/>
                <w:b/>
                <w:bCs/>
                <w:kern w:val="0"/>
                <w:sz w:val="22"/>
                <w:szCs w:val="22"/>
              </w:rPr>
            </w:pPr>
          </w:p>
        </w:tc>
        <w:tc>
          <w:tcPr>
            <w:tcW w:w="1219" w:type="dxa"/>
            <w:gridSpan w:val="2"/>
            <w:shd w:val="clear" w:color="auto" w:fill="auto"/>
            <w:vAlign w:val="center"/>
          </w:tcPr>
          <w:p w14:paraId="067C8C16">
            <w:pPr>
              <w:spacing w:line="240" w:lineRule="auto"/>
              <w:ind w:firstLine="0" w:firstLineChars="0"/>
              <w:jc w:val="center"/>
              <w:rPr>
                <w:rFonts w:eastAsia="等线" w:cs="Times New Roman"/>
                <w:b/>
                <w:bCs/>
                <w:kern w:val="0"/>
                <w:sz w:val="21"/>
              </w:rPr>
            </w:pPr>
            <w:r>
              <w:rPr>
                <w:rFonts w:eastAsia="等线" w:cs="Times New Roman"/>
                <w:b/>
                <w:bCs/>
                <w:kern w:val="0"/>
                <w:sz w:val="21"/>
              </w:rPr>
              <w:t>m</w:t>
            </w:r>
            <w:r>
              <w:rPr>
                <w:rFonts w:eastAsia="等线" w:cs="Times New Roman"/>
                <w:b/>
                <w:bCs/>
                <w:kern w:val="0"/>
                <w:sz w:val="21"/>
                <w:vertAlign w:val="superscript"/>
              </w:rPr>
              <w:t>3</w:t>
            </w:r>
            <w:r>
              <w:rPr>
                <w:rFonts w:eastAsia="等线" w:cs="Times New Roman"/>
                <w:b/>
                <w:bCs/>
                <w:kern w:val="0"/>
                <w:sz w:val="21"/>
              </w:rPr>
              <w:t>/d</w:t>
            </w:r>
          </w:p>
        </w:tc>
        <w:tc>
          <w:tcPr>
            <w:tcW w:w="1460" w:type="dxa"/>
            <w:gridSpan w:val="2"/>
            <w:shd w:val="clear" w:color="auto" w:fill="auto"/>
            <w:vAlign w:val="center"/>
          </w:tcPr>
          <w:p w14:paraId="7316DB04">
            <w:pPr>
              <w:spacing w:line="240" w:lineRule="auto"/>
              <w:ind w:firstLine="0" w:firstLineChars="0"/>
              <w:jc w:val="center"/>
              <w:rPr>
                <w:rFonts w:eastAsia="等线" w:cs="Times New Roman"/>
                <w:b/>
                <w:bCs/>
                <w:kern w:val="0"/>
                <w:sz w:val="21"/>
              </w:rPr>
            </w:pPr>
            <w:r>
              <w:rPr>
                <w:rFonts w:eastAsia="等线" w:cs="Times New Roman"/>
                <w:b/>
                <w:bCs/>
                <w:kern w:val="0"/>
                <w:sz w:val="21"/>
              </w:rPr>
              <w:t>m</w:t>
            </w:r>
            <w:r>
              <w:rPr>
                <w:rFonts w:eastAsia="等线" w:cs="Times New Roman"/>
                <w:b/>
                <w:bCs/>
                <w:kern w:val="0"/>
                <w:sz w:val="21"/>
                <w:vertAlign w:val="superscript"/>
              </w:rPr>
              <w:t>3</w:t>
            </w:r>
            <w:r>
              <w:rPr>
                <w:rFonts w:eastAsia="等线" w:cs="Times New Roman"/>
                <w:b/>
                <w:bCs/>
                <w:kern w:val="0"/>
                <w:sz w:val="21"/>
              </w:rPr>
              <w:t>/a</w:t>
            </w:r>
          </w:p>
        </w:tc>
      </w:tr>
      <w:tr w14:paraId="5B97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restart"/>
            <w:shd w:val="clear" w:color="auto" w:fill="auto"/>
            <w:vAlign w:val="center"/>
          </w:tcPr>
          <w:p w14:paraId="13AFFAC0">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2000" w:type="dxa"/>
            <w:vMerge w:val="restart"/>
            <w:shd w:val="clear" w:color="auto" w:fill="auto"/>
            <w:vAlign w:val="center"/>
          </w:tcPr>
          <w:p w14:paraId="613363BA">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船舶用水</w:t>
            </w:r>
          </w:p>
        </w:tc>
        <w:tc>
          <w:tcPr>
            <w:tcW w:w="1040" w:type="dxa"/>
            <w:gridSpan w:val="2"/>
            <w:vMerge w:val="restart"/>
            <w:shd w:val="clear" w:color="auto" w:fill="auto"/>
            <w:vAlign w:val="center"/>
          </w:tcPr>
          <w:p w14:paraId="0B85B775">
            <w:pPr>
              <w:spacing w:line="240" w:lineRule="auto"/>
              <w:ind w:firstLine="0" w:firstLineChars="0"/>
              <w:jc w:val="center"/>
              <w:rPr>
                <w:rFonts w:eastAsia="等线" w:cs="Times New Roman"/>
                <w:kern w:val="0"/>
                <w:sz w:val="21"/>
              </w:rPr>
            </w:pPr>
            <w:r>
              <w:rPr>
                <w:rFonts w:eastAsia="等线" w:cs="Times New Roman"/>
                <w:kern w:val="0"/>
                <w:sz w:val="21"/>
              </w:rPr>
              <w:t>67.9</w:t>
            </w:r>
          </w:p>
        </w:tc>
        <w:tc>
          <w:tcPr>
            <w:tcW w:w="1040" w:type="dxa"/>
            <w:gridSpan w:val="2"/>
            <w:vMerge w:val="restart"/>
            <w:shd w:val="clear" w:color="auto" w:fill="auto"/>
            <w:vAlign w:val="center"/>
          </w:tcPr>
          <w:p w14:paraId="23DBB1A9">
            <w:pPr>
              <w:spacing w:line="240" w:lineRule="auto"/>
              <w:ind w:firstLine="0" w:firstLineChars="0"/>
              <w:jc w:val="center"/>
              <w:rPr>
                <w:rFonts w:eastAsia="等线" w:cs="Times New Roman"/>
                <w:kern w:val="0"/>
                <w:sz w:val="21"/>
              </w:rPr>
            </w:pPr>
            <w:r>
              <w:rPr>
                <w:rFonts w:eastAsia="等线" w:cs="Times New Roman"/>
                <w:kern w:val="0"/>
                <w:sz w:val="21"/>
              </w:rPr>
              <w:t>22400</w:t>
            </w:r>
          </w:p>
        </w:tc>
        <w:tc>
          <w:tcPr>
            <w:tcW w:w="1821" w:type="dxa"/>
            <w:gridSpan w:val="2"/>
            <w:shd w:val="clear" w:color="auto" w:fill="auto"/>
            <w:noWrap/>
            <w:vAlign w:val="center"/>
          </w:tcPr>
          <w:p w14:paraId="3E3B760A">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船舶生活污水</w:t>
            </w:r>
          </w:p>
        </w:tc>
        <w:tc>
          <w:tcPr>
            <w:tcW w:w="1219" w:type="dxa"/>
            <w:gridSpan w:val="2"/>
            <w:shd w:val="clear" w:color="auto" w:fill="auto"/>
            <w:noWrap/>
            <w:vAlign w:val="center"/>
          </w:tcPr>
          <w:p w14:paraId="0A2C28B7">
            <w:pPr>
              <w:spacing w:line="240" w:lineRule="auto"/>
              <w:ind w:firstLine="0" w:firstLineChars="0"/>
              <w:jc w:val="center"/>
              <w:rPr>
                <w:rFonts w:eastAsia="等线" w:cs="Times New Roman"/>
                <w:kern w:val="0"/>
                <w:sz w:val="22"/>
                <w:szCs w:val="22"/>
              </w:rPr>
            </w:pPr>
            <w:r>
              <w:rPr>
                <w:rFonts w:eastAsia="等线" w:cs="Times New Roman"/>
                <w:kern w:val="0"/>
                <w:sz w:val="22"/>
                <w:szCs w:val="22"/>
              </w:rPr>
              <w:t>4.46</w:t>
            </w:r>
          </w:p>
        </w:tc>
        <w:tc>
          <w:tcPr>
            <w:tcW w:w="1460" w:type="dxa"/>
            <w:gridSpan w:val="2"/>
            <w:shd w:val="clear" w:color="auto" w:fill="auto"/>
            <w:noWrap/>
            <w:vAlign w:val="center"/>
          </w:tcPr>
          <w:p w14:paraId="5B22A81B">
            <w:pPr>
              <w:spacing w:line="240" w:lineRule="auto"/>
              <w:ind w:firstLine="0" w:firstLineChars="0"/>
              <w:jc w:val="center"/>
              <w:rPr>
                <w:rFonts w:eastAsia="等线" w:cs="Times New Roman"/>
                <w:kern w:val="0"/>
                <w:sz w:val="22"/>
                <w:szCs w:val="22"/>
              </w:rPr>
            </w:pPr>
            <w:r>
              <w:rPr>
                <w:rFonts w:eastAsia="等线" w:cs="Times New Roman"/>
                <w:kern w:val="0"/>
                <w:sz w:val="22"/>
                <w:szCs w:val="22"/>
              </w:rPr>
              <w:t>1470</w:t>
            </w:r>
          </w:p>
        </w:tc>
      </w:tr>
      <w:tr w14:paraId="5D278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continue"/>
            <w:vAlign w:val="center"/>
          </w:tcPr>
          <w:p w14:paraId="6F622104">
            <w:pPr>
              <w:spacing w:line="240" w:lineRule="auto"/>
              <w:ind w:firstLine="0" w:firstLineChars="0"/>
              <w:rPr>
                <w:rFonts w:eastAsia="等线" w:cs="Times New Roman"/>
                <w:kern w:val="0"/>
                <w:sz w:val="21"/>
              </w:rPr>
            </w:pPr>
          </w:p>
        </w:tc>
        <w:tc>
          <w:tcPr>
            <w:tcW w:w="2000" w:type="dxa"/>
            <w:vMerge w:val="continue"/>
            <w:vAlign w:val="center"/>
          </w:tcPr>
          <w:p w14:paraId="22998BCB">
            <w:pPr>
              <w:spacing w:line="240" w:lineRule="auto"/>
              <w:ind w:firstLine="0" w:firstLineChars="0"/>
              <w:rPr>
                <w:rFonts w:eastAsia="等线" w:cs="Times New Roman"/>
                <w:kern w:val="0"/>
                <w:sz w:val="21"/>
              </w:rPr>
            </w:pPr>
          </w:p>
        </w:tc>
        <w:tc>
          <w:tcPr>
            <w:tcW w:w="1040" w:type="dxa"/>
            <w:gridSpan w:val="2"/>
            <w:vMerge w:val="continue"/>
            <w:vAlign w:val="center"/>
          </w:tcPr>
          <w:p w14:paraId="7794AF9A">
            <w:pPr>
              <w:spacing w:line="240" w:lineRule="auto"/>
              <w:ind w:firstLine="0" w:firstLineChars="0"/>
              <w:rPr>
                <w:rFonts w:eastAsia="等线" w:cs="Times New Roman"/>
                <w:kern w:val="0"/>
                <w:sz w:val="21"/>
              </w:rPr>
            </w:pPr>
          </w:p>
        </w:tc>
        <w:tc>
          <w:tcPr>
            <w:tcW w:w="1040" w:type="dxa"/>
            <w:gridSpan w:val="2"/>
            <w:vMerge w:val="continue"/>
            <w:vAlign w:val="center"/>
          </w:tcPr>
          <w:p w14:paraId="1E21A461">
            <w:pPr>
              <w:spacing w:line="240" w:lineRule="auto"/>
              <w:ind w:firstLine="0" w:firstLineChars="0"/>
              <w:rPr>
                <w:rFonts w:eastAsia="等线" w:cs="Times New Roman"/>
                <w:kern w:val="0"/>
                <w:sz w:val="21"/>
              </w:rPr>
            </w:pPr>
          </w:p>
        </w:tc>
        <w:tc>
          <w:tcPr>
            <w:tcW w:w="1821" w:type="dxa"/>
            <w:gridSpan w:val="2"/>
            <w:shd w:val="clear" w:color="auto" w:fill="auto"/>
            <w:noWrap/>
            <w:vAlign w:val="center"/>
          </w:tcPr>
          <w:p w14:paraId="0BABD36A">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船舶舱底油污水</w:t>
            </w:r>
          </w:p>
        </w:tc>
        <w:tc>
          <w:tcPr>
            <w:tcW w:w="1219" w:type="dxa"/>
            <w:gridSpan w:val="2"/>
            <w:shd w:val="clear" w:color="auto" w:fill="auto"/>
            <w:noWrap/>
            <w:vAlign w:val="center"/>
          </w:tcPr>
          <w:p w14:paraId="59DA497F">
            <w:pPr>
              <w:spacing w:line="240" w:lineRule="auto"/>
              <w:ind w:firstLine="0" w:firstLineChars="0"/>
              <w:jc w:val="center"/>
              <w:rPr>
                <w:rFonts w:eastAsia="等线" w:cs="Times New Roman"/>
                <w:kern w:val="0"/>
                <w:sz w:val="22"/>
                <w:szCs w:val="22"/>
              </w:rPr>
            </w:pPr>
            <w:r>
              <w:rPr>
                <w:rFonts w:eastAsia="等线" w:cs="Times New Roman"/>
                <w:kern w:val="0"/>
                <w:sz w:val="22"/>
                <w:szCs w:val="22"/>
              </w:rPr>
              <w:t>0.46</w:t>
            </w:r>
          </w:p>
        </w:tc>
        <w:tc>
          <w:tcPr>
            <w:tcW w:w="1460" w:type="dxa"/>
            <w:gridSpan w:val="2"/>
            <w:shd w:val="clear" w:color="auto" w:fill="auto"/>
            <w:noWrap/>
            <w:vAlign w:val="center"/>
          </w:tcPr>
          <w:p w14:paraId="26426BA0">
            <w:pPr>
              <w:spacing w:line="240" w:lineRule="auto"/>
              <w:ind w:firstLine="0" w:firstLineChars="0"/>
              <w:jc w:val="center"/>
              <w:rPr>
                <w:rFonts w:eastAsia="等线" w:cs="Times New Roman"/>
                <w:kern w:val="0"/>
                <w:sz w:val="22"/>
                <w:szCs w:val="22"/>
              </w:rPr>
            </w:pPr>
            <w:r>
              <w:rPr>
                <w:rFonts w:eastAsia="等线" w:cs="Times New Roman"/>
                <w:kern w:val="0"/>
                <w:sz w:val="22"/>
                <w:szCs w:val="22"/>
              </w:rPr>
              <w:t>151</w:t>
            </w:r>
          </w:p>
        </w:tc>
      </w:tr>
      <w:tr w14:paraId="4B28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continue"/>
            <w:vAlign w:val="center"/>
          </w:tcPr>
          <w:p w14:paraId="51919E62">
            <w:pPr>
              <w:spacing w:line="240" w:lineRule="auto"/>
              <w:ind w:firstLine="0" w:firstLineChars="0"/>
              <w:rPr>
                <w:rFonts w:eastAsia="等线" w:cs="Times New Roman"/>
                <w:kern w:val="0"/>
                <w:sz w:val="21"/>
              </w:rPr>
            </w:pPr>
          </w:p>
        </w:tc>
        <w:tc>
          <w:tcPr>
            <w:tcW w:w="2000" w:type="dxa"/>
            <w:vMerge w:val="continue"/>
            <w:vAlign w:val="center"/>
          </w:tcPr>
          <w:p w14:paraId="5A75FB0E">
            <w:pPr>
              <w:spacing w:line="240" w:lineRule="auto"/>
              <w:ind w:firstLine="0" w:firstLineChars="0"/>
              <w:rPr>
                <w:rFonts w:eastAsia="等线" w:cs="Times New Roman"/>
                <w:kern w:val="0"/>
                <w:sz w:val="21"/>
              </w:rPr>
            </w:pPr>
          </w:p>
        </w:tc>
        <w:tc>
          <w:tcPr>
            <w:tcW w:w="1040" w:type="dxa"/>
            <w:gridSpan w:val="2"/>
            <w:vMerge w:val="continue"/>
            <w:vAlign w:val="center"/>
          </w:tcPr>
          <w:p w14:paraId="7B2D1FAC">
            <w:pPr>
              <w:spacing w:line="240" w:lineRule="auto"/>
              <w:ind w:firstLine="0" w:firstLineChars="0"/>
              <w:rPr>
                <w:rFonts w:eastAsia="等线" w:cs="Times New Roman"/>
                <w:kern w:val="0"/>
                <w:sz w:val="21"/>
              </w:rPr>
            </w:pPr>
          </w:p>
        </w:tc>
        <w:tc>
          <w:tcPr>
            <w:tcW w:w="1040" w:type="dxa"/>
            <w:gridSpan w:val="2"/>
            <w:vMerge w:val="continue"/>
            <w:vAlign w:val="center"/>
          </w:tcPr>
          <w:p w14:paraId="0D2516A7">
            <w:pPr>
              <w:spacing w:line="240" w:lineRule="auto"/>
              <w:ind w:firstLine="0" w:firstLineChars="0"/>
              <w:rPr>
                <w:rFonts w:eastAsia="等线" w:cs="Times New Roman"/>
                <w:kern w:val="0"/>
                <w:sz w:val="21"/>
              </w:rPr>
            </w:pPr>
          </w:p>
        </w:tc>
        <w:tc>
          <w:tcPr>
            <w:tcW w:w="1821" w:type="dxa"/>
            <w:gridSpan w:val="2"/>
            <w:shd w:val="clear" w:color="auto" w:fill="auto"/>
            <w:noWrap/>
            <w:vAlign w:val="center"/>
          </w:tcPr>
          <w:p w14:paraId="62E2C03C">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船舶消耗</w:t>
            </w:r>
          </w:p>
        </w:tc>
        <w:tc>
          <w:tcPr>
            <w:tcW w:w="1219" w:type="dxa"/>
            <w:gridSpan w:val="2"/>
            <w:shd w:val="clear" w:color="auto" w:fill="auto"/>
            <w:noWrap/>
            <w:vAlign w:val="center"/>
          </w:tcPr>
          <w:p w14:paraId="2FF5A726">
            <w:pPr>
              <w:spacing w:line="240" w:lineRule="auto"/>
              <w:ind w:firstLine="0" w:firstLineChars="0"/>
              <w:jc w:val="center"/>
              <w:rPr>
                <w:rFonts w:eastAsia="等线" w:cs="Times New Roman"/>
                <w:kern w:val="0"/>
                <w:sz w:val="22"/>
                <w:szCs w:val="22"/>
              </w:rPr>
            </w:pPr>
            <w:r>
              <w:rPr>
                <w:rFonts w:eastAsia="等线" w:cs="Times New Roman"/>
                <w:kern w:val="0"/>
                <w:sz w:val="22"/>
                <w:szCs w:val="22"/>
              </w:rPr>
              <w:t>62.97</w:t>
            </w:r>
          </w:p>
        </w:tc>
        <w:tc>
          <w:tcPr>
            <w:tcW w:w="1460" w:type="dxa"/>
            <w:gridSpan w:val="2"/>
            <w:shd w:val="clear" w:color="auto" w:fill="auto"/>
            <w:noWrap/>
            <w:vAlign w:val="center"/>
          </w:tcPr>
          <w:p w14:paraId="7E1A1F1D">
            <w:pPr>
              <w:spacing w:line="240" w:lineRule="auto"/>
              <w:ind w:firstLine="0" w:firstLineChars="0"/>
              <w:jc w:val="center"/>
              <w:rPr>
                <w:rFonts w:eastAsia="等线" w:cs="Times New Roman"/>
                <w:kern w:val="0"/>
                <w:sz w:val="22"/>
                <w:szCs w:val="22"/>
              </w:rPr>
            </w:pPr>
            <w:r>
              <w:rPr>
                <w:rFonts w:eastAsia="等线" w:cs="Times New Roman"/>
                <w:kern w:val="0"/>
                <w:sz w:val="22"/>
                <w:szCs w:val="22"/>
              </w:rPr>
              <w:t>20779</w:t>
            </w:r>
          </w:p>
        </w:tc>
      </w:tr>
      <w:tr w14:paraId="6CEBE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restart"/>
            <w:shd w:val="clear" w:color="auto" w:fill="auto"/>
            <w:vAlign w:val="center"/>
          </w:tcPr>
          <w:p w14:paraId="6E7E63C1">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2000" w:type="dxa"/>
            <w:vMerge w:val="restart"/>
            <w:shd w:val="clear" w:color="auto" w:fill="auto"/>
            <w:vAlign w:val="center"/>
          </w:tcPr>
          <w:p w14:paraId="01C5D529">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码头陆域生活用水</w:t>
            </w:r>
          </w:p>
        </w:tc>
        <w:tc>
          <w:tcPr>
            <w:tcW w:w="1040" w:type="dxa"/>
            <w:gridSpan w:val="2"/>
            <w:vMerge w:val="restart"/>
            <w:shd w:val="clear" w:color="auto" w:fill="auto"/>
            <w:vAlign w:val="center"/>
          </w:tcPr>
          <w:p w14:paraId="1D8F24B1">
            <w:pPr>
              <w:spacing w:line="240" w:lineRule="auto"/>
              <w:ind w:firstLine="0" w:firstLineChars="0"/>
              <w:jc w:val="center"/>
              <w:rPr>
                <w:rFonts w:eastAsia="等线" w:cs="Times New Roman"/>
                <w:kern w:val="0"/>
                <w:sz w:val="21"/>
              </w:rPr>
            </w:pPr>
            <w:r>
              <w:rPr>
                <w:rFonts w:eastAsia="等线" w:cs="Times New Roman"/>
                <w:kern w:val="0"/>
                <w:sz w:val="21"/>
              </w:rPr>
              <w:t>2.3</w:t>
            </w:r>
          </w:p>
        </w:tc>
        <w:tc>
          <w:tcPr>
            <w:tcW w:w="1040" w:type="dxa"/>
            <w:gridSpan w:val="2"/>
            <w:vMerge w:val="restart"/>
            <w:shd w:val="clear" w:color="auto" w:fill="auto"/>
            <w:vAlign w:val="center"/>
          </w:tcPr>
          <w:p w14:paraId="177F66E2">
            <w:pPr>
              <w:spacing w:line="240" w:lineRule="auto"/>
              <w:ind w:firstLine="0" w:firstLineChars="0"/>
              <w:jc w:val="center"/>
              <w:rPr>
                <w:rFonts w:eastAsia="等线" w:cs="Times New Roman"/>
                <w:kern w:val="0"/>
                <w:sz w:val="21"/>
              </w:rPr>
            </w:pPr>
            <w:r>
              <w:rPr>
                <w:rFonts w:eastAsia="等线" w:cs="Times New Roman"/>
                <w:kern w:val="0"/>
                <w:sz w:val="21"/>
              </w:rPr>
              <w:t>743</w:t>
            </w:r>
          </w:p>
        </w:tc>
        <w:tc>
          <w:tcPr>
            <w:tcW w:w="1821" w:type="dxa"/>
            <w:gridSpan w:val="2"/>
            <w:shd w:val="clear" w:color="auto" w:fill="auto"/>
            <w:noWrap/>
            <w:vAlign w:val="center"/>
          </w:tcPr>
          <w:p w14:paraId="0D9AA8A6">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陆域生活污水</w:t>
            </w:r>
          </w:p>
        </w:tc>
        <w:tc>
          <w:tcPr>
            <w:tcW w:w="1219" w:type="dxa"/>
            <w:gridSpan w:val="2"/>
            <w:shd w:val="clear" w:color="auto" w:fill="auto"/>
            <w:noWrap/>
            <w:vAlign w:val="center"/>
          </w:tcPr>
          <w:p w14:paraId="014492CB">
            <w:pPr>
              <w:spacing w:line="240" w:lineRule="auto"/>
              <w:ind w:firstLine="0" w:firstLineChars="0"/>
              <w:jc w:val="center"/>
              <w:rPr>
                <w:rFonts w:eastAsia="等线" w:cs="Times New Roman"/>
                <w:kern w:val="0"/>
                <w:sz w:val="22"/>
                <w:szCs w:val="22"/>
              </w:rPr>
            </w:pPr>
            <w:r>
              <w:rPr>
                <w:rFonts w:eastAsia="等线" w:cs="Times New Roman"/>
                <w:kern w:val="0"/>
                <w:sz w:val="22"/>
                <w:szCs w:val="22"/>
              </w:rPr>
              <w:t>2.03</w:t>
            </w:r>
          </w:p>
        </w:tc>
        <w:tc>
          <w:tcPr>
            <w:tcW w:w="1460" w:type="dxa"/>
            <w:gridSpan w:val="2"/>
            <w:shd w:val="clear" w:color="auto" w:fill="auto"/>
            <w:noWrap/>
            <w:vAlign w:val="center"/>
          </w:tcPr>
          <w:p w14:paraId="3EC028D9">
            <w:pPr>
              <w:spacing w:line="240" w:lineRule="auto"/>
              <w:ind w:firstLine="0" w:firstLineChars="0"/>
              <w:jc w:val="center"/>
              <w:rPr>
                <w:rFonts w:eastAsia="等线" w:cs="Times New Roman"/>
                <w:kern w:val="0"/>
                <w:sz w:val="22"/>
                <w:szCs w:val="22"/>
              </w:rPr>
            </w:pPr>
            <w:r>
              <w:rPr>
                <w:rFonts w:eastAsia="等线" w:cs="Times New Roman"/>
                <w:kern w:val="0"/>
                <w:sz w:val="22"/>
                <w:szCs w:val="22"/>
              </w:rPr>
              <w:t>668</w:t>
            </w:r>
          </w:p>
        </w:tc>
      </w:tr>
      <w:tr w14:paraId="6FC7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continue"/>
            <w:vAlign w:val="center"/>
          </w:tcPr>
          <w:p w14:paraId="304AF9A4">
            <w:pPr>
              <w:spacing w:line="240" w:lineRule="auto"/>
              <w:ind w:firstLine="0" w:firstLineChars="0"/>
              <w:rPr>
                <w:rFonts w:eastAsia="等线" w:cs="Times New Roman"/>
                <w:kern w:val="0"/>
                <w:sz w:val="21"/>
              </w:rPr>
            </w:pPr>
          </w:p>
        </w:tc>
        <w:tc>
          <w:tcPr>
            <w:tcW w:w="2000" w:type="dxa"/>
            <w:vMerge w:val="continue"/>
            <w:vAlign w:val="center"/>
          </w:tcPr>
          <w:p w14:paraId="4757CCFD">
            <w:pPr>
              <w:spacing w:line="240" w:lineRule="auto"/>
              <w:ind w:firstLine="0" w:firstLineChars="0"/>
              <w:rPr>
                <w:rFonts w:eastAsia="等线" w:cs="Times New Roman"/>
                <w:kern w:val="0"/>
                <w:sz w:val="21"/>
              </w:rPr>
            </w:pPr>
          </w:p>
        </w:tc>
        <w:tc>
          <w:tcPr>
            <w:tcW w:w="1040" w:type="dxa"/>
            <w:gridSpan w:val="2"/>
            <w:vMerge w:val="continue"/>
            <w:vAlign w:val="center"/>
          </w:tcPr>
          <w:p w14:paraId="0E5FD989">
            <w:pPr>
              <w:spacing w:line="240" w:lineRule="auto"/>
              <w:ind w:firstLine="0" w:firstLineChars="0"/>
              <w:rPr>
                <w:rFonts w:eastAsia="等线" w:cs="Times New Roman"/>
                <w:kern w:val="0"/>
                <w:sz w:val="21"/>
              </w:rPr>
            </w:pPr>
          </w:p>
        </w:tc>
        <w:tc>
          <w:tcPr>
            <w:tcW w:w="1040" w:type="dxa"/>
            <w:gridSpan w:val="2"/>
            <w:vMerge w:val="continue"/>
            <w:vAlign w:val="center"/>
          </w:tcPr>
          <w:p w14:paraId="0E290529">
            <w:pPr>
              <w:spacing w:line="240" w:lineRule="auto"/>
              <w:ind w:firstLine="0" w:firstLineChars="0"/>
              <w:rPr>
                <w:rFonts w:eastAsia="等线" w:cs="Times New Roman"/>
                <w:kern w:val="0"/>
                <w:sz w:val="21"/>
              </w:rPr>
            </w:pPr>
          </w:p>
        </w:tc>
        <w:tc>
          <w:tcPr>
            <w:tcW w:w="1821" w:type="dxa"/>
            <w:gridSpan w:val="2"/>
            <w:shd w:val="clear" w:color="auto" w:fill="auto"/>
            <w:noWrap/>
            <w:vAlign w:val="center"/>
          </w:tcPr>
          <w:p w14:paraId="56B7A5B3">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生活污水消耗</w:t>
            </w:r>
          </w:p>
        </w:tc>
        <w:tc>
          <w:tcPr>
            <w:tcW w:w="1219" w:type="dxa"/>
            <w:gridSpan w:val="2"/>
            <w:shd w:val="clear" w:color="auto" w:fill="auto"/>
            <w:noWrap/>
            <w:vAlign w:val="center"/>
          </w:tcPr>
          <w:p w14:paraId="5E5C9985">
            <w:pPr>
              <w:spacing w:line="240" w:lineRule="auto"/>
              <w:ind w:firstLine="0" w:firstLineChars="0"/>
              <w:jc w:val="center"/>
              <w:rPr>
                <w:rFonts w:eastAsia="等线" w:cs="Times New Roman"/>
                <w:kern w:val="0"/>
                <w:sz w:val="22"/>
                <w:szCs w:val="22"/>
              </w:rPr>
            </w:pPr>
            <w:r>
              <w:rPr>
                <w:rFonts w:eastAsia="等线" w:cs="Times New Roman"/>
                <w:kern w:val="0"/>
                <w:sz w:val="22"/>
                <w:szCs w:val="22"/>
              </w:rPr>
              <w:t>0.23</w:t>
            </w:r>
          </w:p>
        </w:tc>
        <w:tc>
          <w:tcPr>
            <w:tcW w:w="1460" w:type="dxa"/>
            <w:gridSpan w:val="2"/>
            <w:shd w:val="clear" w:color="auto" w:fill="auto"/>
            <w:noWrap/>
            <w:vAlign w:val="center"/>
          </w:tcPr>
          <w:p w14:paraId="217A66D3">
            <w:pPr>
              <w:spacing w:line="240" w:lineRule="auto"/>
              <w:ind w:firstLine="0" w:firstLineChars="0"/>
              <w:jc w:val="center"/>
              <w:rPr>
                <w:rFonts w:eastAsia="等线" w:cs="Times New Roman"/>
                <w:kern w:val="0"/>
                <w:sz w:val="22"/>
                <w:szCs w:val="22"/>
              </w:rPr>
            </w:pPr>
            <w:r>
              <w:rPr>
                <w:rFonts w:eastAsia="等线" w:cs="Times New Roman"/>
                <w:kern w:val="0"/>
                <w:sz w:val="22"/>
                <w:szCs w:val="22"/>
              </w:rPr>
              <w:t>74</w:t>
            </w:r>
          </w:p>
        </w:tc>
      </w:tr>
      <w:tr w14:paraId="1C099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restart"/>
            <w:shd w:val="clear" w:color="auto" w:fill="auto"/>
            <w:vAlign w:val="center"/>
          </w:tcPr>
          <w:p w14:paraId="5001952D">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2000" w:type="dxa"/>
            <w:vMerge w:val="restart"/>
            <w:shd w:val="clear" w:color="auto" w:fill="auto"/>
            <w:vAlign w:val="center"/>
          </w:tcPr>
          <w:p w14:paraId="67C4B7B0">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码头面冲洗用水</w:t>
            </w:r>
          </w:p>
        </w:tc>
        <w:tc>
          <w:tcPr>
            <w:tcW w:w="1040" w:type="dxa"/>
            <w:gridSpan w:val="2"/>
            <w:vMerge w:val="restart"/>
            <w:shd w:val="clear" w:color="auto" w:fill="auto"/>
            <w:vAlign w:val="center"/>
          </w:tcPr>
          <w:p w14:paraId="00C7BAB3">
            <w:pPr>
              <w:spacing w:line="240" w:lineRule="auto"/>
              <w:ind w:firstLine="0" w:firstLineChars="0"/>
              <w:jc w:val="center"/>
              <w:rPr>
                <w:rFonts w:eastAsia="等线" w:cs="Times New Roman"/>
                <w:kern w:val="0"/>
                <w:sz w:val="21"/>
              </w:rPr>
            </w:pPr>
            <w:r>
              <w:rPr>
                <w:rFonts w:eastAsia="等线" w:cs="Times New Roman"/>
                <w:kern w:val="0"/>
                <w:sz w:val="21"/>
              </w:rPr>
              <w:t>4.7</w:t>
            </w:r>
          </w:p>
        </w:tc>
        <w:tc>
          <w:tcPr>
            <w:tcW w:w="1040" w:type="dxa"/>
            <w:gridSpan w:val="2"/>
            <w:vMerge w:val="restart"/>
            <w:shd w:val="clear" w:color="auto" w:fill="auto"/>
            <w:vAlign w:val="center"/>
          </w:tcPr>
          <w:p w14:paraId="09521DC0">
            <w:pPr>
              <w:spacing w:line="240" w:lineRule="auto"/>
              <w:ind w:firstLine="0" w:firstLineChars="0"/>
              <w:jc w:val="center"/>
              <w:rPr>
                <w:rFonts w:eastAsia="等线" w:cs="Times New Roman"/>
                <w:kern w:val="0"/>
                <w:sz w:val="21"/>
              </w:rPr>
            </w:pPr>
            <w:r>
              <w:rPr>
                <w:rFonts w:eastAsia="等线" w:cs="Times New Roman"/>
                <w:kern w:val="0"/>
                <w:sz w:val="21"/>
              </w:rPr>
              <w:t>1564</w:t>
            </w:r>
          </w:p>
        </w:tc>
        <w:tc>
          <w:tcPr>
            <w:tcW w:w="1821" w:type="dxa"/>
            <w:gridSpan w:val="2"/>
            <w:shd w:val="clear" w:color="auto" w:fill="auto"/>
            <w:noWrap/>
            <w:vAlign w:val="center"/>
          </w:tcPr>
          <w:p w14:paraId="2E4C157C">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码头冲洗废水</w:t>
            </w:r>
          </w:p>
        </w:tc>
        <w:tc>
          <w:tcPr>
            <w:tcW w:w="1219" w:type="dxa"/>
            <w:gridSpan w:val="2"/>
            <w:shd w:val="clear" w:color="auto" w:fill="auto"/>
            <w:noWrap/>
            <w:vAlign w:val="center"/>
          </w:tcPr>
          <w:p w14:paraId="37E10702">
            <w:pPr>
              <w:spacing w:line="240" w:lineRule="auto"/>
              <w:ind w:firstLine="0" w:firstLineChars="0"/>
              <w:jc w:val="center"/>
              <w:rPr>
                <w:rFonts w:eastAsia="等线" w:cs="Times New Roman"/>
                <w:kern w:val="0"/>
                <w:sz w:val="22"/>
                <w:szCs w:val="22"/>
              </w:rPr>
            </w:pPr>
            <w:r>
              <w:rPr>
                <w:rFonts w:eastAsia="等线" w:cs="Times New Roman"/>
                <w:kern w:val="0"/>
                <w:sz w:val="22"/>
                <w:szCs w:val="22"/>
              </w:rPr>
              <w:t>4.27</w:t>
            </w:r>
          </w:p>
        </w:tc>
        <w:tc>
          <w:tcPr>
            <w:tcW w:w="1460" w:type="dxa"/>
            <w:gridSpan w:val="2"/>
            <w:shd w:val="clear" w:color="auto" w:fill="auto"/>
            <w:noWrap/>
            <w:vAlign w:val="center"/>
          </w:tcPr>
          <w:p w14:paraId="4ED6A876">
            <w:pPr>
              <w:spacing w:line="240" w:lineRule="auto"/>
              <w:ind w:firstLine="0" w:firstLineChars="0"/>
              <w:jc w:val="center"/>
              <w:rPr>
                <w:rFonts w:eastAsia="等线" w:cs="Times New Roman"/>
                <w:kern w:val="0"/>
                <w:sz w:val="22"/>
                <w:szCs w:val="22"/>
              </w:rPr>
            </w:pPr>
            <w:r>
              <w:rPr>
                <w:rFonts w:eastAsia="等线" w:cs="Times New Roman"/>
                <w:kern w:val="0"/>
                <w:sz w:val="22"/>
                <w:szCs w:val="22"/>
              </w:rPr>
              <w:t>1408</w:t>
            </w:r>
          </w:p>
        </w:tc>
      </w:tr>
      <w:tr w14:paraId="6C5C2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continue"/>
            <w:vAlign w:val="center"/>
          </w:tcPr>
          <w:p w14:paraId="37405312">
            <w:pPr>
              <w:spacing w:line="240" w:lineRule="auto"/>
              <w:ind w:firstLine="0" w:firstLineChars="0"/>
              <w:rPr>
                <w:rFonts w:eastAsia="等线" w:cs="Times New Roman"/>
                <w:kern w:val="0"/>
                <w:sz w:val="21"/>
              </w:rPr>
            </w:pPr>
          </w:p>
        </w:tc>
        <w:tc>
          <w:tcPr>
            <w:tcW w:w="2000" w:type="dxa"/>
            <w:vMerge w:val="continue"/>
            <w:vAlign w:val="center"/>
          </w:tcPr>
          <w:p w14:paraId="39BFB5DA">
            <w:pPr>
              <w:spacing w:line="240" w:lineRule="auto"/>
              <w:ind w:firstLine="0" w:firstLineChars="0"/>
              <w:rPr>
                <w:rFonts w:eastAsia="等线" w:cs="Times New Roman"/>
                <w:kern w:val="0"/>
                <w:sz w:val="21"/>
              </w:rPr>
            </w:pPr>
          </w:p>
        </w:tc>
        <w:tc>
          <w:tcPr>
            <w:tcW w:w="1040" w:type="dxa"/>
            <w:gridSpan w:val="2"/>
            <w:vMerge w:val="continue"/>
            <w:vAlign w:val="center"/>
          </w:tcPr>
          <w:p w14:paraId="0AB03DA5">
            <w:pPr>
              <w:spacing w:line="240" w:lineRule="auto"/>
              <w:ind w:firstLine="0" w:firstLineChars="0"/>
              <w:rPr>
                <w:rFonts w:eastAsia="等线" w:cs="Times New Roman"/>
                <w:kern w:val="0"/>
                <w:sz w:val="21"/>
              </w:rPr>
            </w:pPr>
          </w:p>
        </w:tc>
        <w:tc>
          <w:tcPr>
            <w:tcW w:w="1040" w:type="dxa"/>
            <w:gridSpan w:val="2"/>
            <w:vMerge w:val="continue"/>
            <w:vAlign w:val="center"/>
          </w:tcPr>
          <w:p w14:paraId="2639A76E">
            <w:pPr>
              <w:spacing w:line="240" w:lineRule="auto"/>
              <w:ind w:firstLine="0" w:firstLineChars="0"/>
              <w:rPr>
                <w:rFonts w:eastAsia="等线" w:cs="Times New Roman"/>
                <w:kern w:val="0"/>
                <w:sz w:val="21"/>
              </w:rPr>
            </w:pPr>
          </w:p>
        </w:tc>
        <w:tc>
          <w:tcPr>
            <w:tcW w:w="1821" w:type="dxa"/>
            <w:gridSpan w:val="2"/>
            <w:shd w:val="clear" w:color="auto" w:fill="auto"/>
            <w:noWrap/>
            <w:vAlign w:val="center"/>
          </w:tcPr>
          <w:p w14:paraId="0CD8DB30">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码头冲洗消耗</w:t>
            </w:r>
          </w:p>
        </w:tc>
        <w:tc>
          <w:tcPr>
            <w:tcW w:w="1219" w:type="dxa"/>
            <w:gridSpan w:val="2"/>
            <w:shd w:val="clear" w:color="auto" w:fill="auto"/>
            <w:noWrap/>
            <w:vAlign w:val="center"/>
          </w:tcPr>
          <w:p w14:paraId="765D8B10">
            <w:pPr>
              <w:spacing w:line="240" w:lineRule="auto"/>
              <w:ind w:firstLine="0" w:firstLineChars="0"/>
              <w:jc w:val="center"/>
              <w:rPr>
                <w:rFonts w:eastAsia="等线" w:cs="Times New Roman"/>
                <w:kern w:val="0"/>
                <w:sz w:val="22"/>
                <w:szCs w:val="22"/>
              </w:rPr>
            </w:pPr>
            <w:r>
              <w:rPr>
                <w:rFonts w:eastAsia="等线" w:cs="Times New Roman"/>
                <w:kern w:val="0"/>
                <w:sz w:val="22"/>
                <w:szCs w:val="22"/>
              </w:rPr>
              <w:t>0.47</w:t>
            </w:r>
          </w:p>
        </w:tc>
        <w:tc>
          <w:tcPr>
            <w:tcW w:w="1460" w:type="dxa"/>
            <w:gridSpan w:val="2"/>
            <w:shd w:val="clear" w:color="auto" w:fill="auto"/>
            <w:noWrap/>
            <w:vAlign w:val="center"/>
          </w:tcPr>
          <w:p w14:paraId="7DACE1B7">
            <w:pPr>
              <w:spacing w:line="240" w:lineRule="auto"/>
              <w:ind w:firstLine="0" w:firstLineChars="0"/>
              <w:jc w:val="center"/>
              <w:rPr>
                <w:rFonts w:eastAsia="等线" w:cs="Times New Roman"/>
                <w:kern w:val="0"/>
                <w:sz w:val="22"/>
                <w:szCs w:val="22"/>
              </w:rPr>
            </w:pPr>
            <w:r>
              <w:rPr>
                <w:rFonts w:eastAsia="等线" w:cs="Times New Roman"/>
                <w:kern w:val="0"/>
                <w:sz w:val="22"/>
                <w:szCs w:val="22"/>
              </w:rPr>
              <w:t>156</w:t>
            </w:r>
          </w:p>
        </w:tc>
      </w:tr>
      <w:tr w14:paraId="666A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shd w:val="clear" w:color="auto" w:fill="auto"/>
            <w:vAlign w:val="center"/>
          </w:tcPr>
          <w:p w14:paraId="258CFDC6">
            <w:pPr>
              <w:spacing w:line="240" w:lineRule="auto"/>
              <w:ind w:firstLine="0" w:firstLineChars="0"/>
              <w:jc w:val="center"/>
              <w:rPr>
                <w:rFonts w:eastAsia="等线" w:cs="Times New Roman"/>
                <w:kern w:val="0"/>
                <w:sz w:val="21"/>
              </w:rPr>
            </w:pPr>
            <w:r>
              <w:rPr>
                <w:rFonts w:eastAsia="等线" w:cs="Times New Roman"/>
                <w:kern w:val="0"/>
                <w:sz w:val="21"/>
              </w:rPr>
              <w:t>4</w:t>
            </w:r>
          </w:p>
        </w:tc>
        <w:tc>
          <w:tcPr>
            <w:tcW w:w="2000" w:type="dxa"/>
            <w:shd w:val="clear" w:color="auto" w:fill="auto"/>
            <w:vAlign w:val="center"/>
          </w:tcPr>
          <w:p w14:paraId="2CF05598">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卸船喷淋用水</w:t>
            </w:r>
          </w:p>
        </w:tc>
        <w:tc>
          <w:tcPr>
            <w:tcW w:w="1040" w:type="dxa"/>
            <w:gridSpan w:val="2"/>
            <w:shd w:val="clear" w:color="auto" w:fill="auto"/>
            <w:vAlign w:val="center"/>
          </w:tcPr>
          <w:p w14:paraId="1B1078B2">
            <w:pPr>
              <w:spacing w:line="240" w:lineRule="auto"/>
              <w:ind w:firstLine="0" w:firstLineChars="0"/>
              <w:jc w:val="center"/>
              <w:rPr>
                <w:rFonts w:eastAsia="等线" w:cs="Times New Roman"/>
                <w:kern w:val="0"/>
                <w:sz w:val="21"/>
              </w:rPr>
            </w:pPr>
            <w:r>
              <w:rPr>
                <w:rFonts w:eastAsia="等线" w:cs="Times New Roman"/>
                <w:kern w:val="0"/>
                <w:sz w:val="21"/>
              </w:rPr>
              <w:t>61.1</w:t>
            </w:r>
          </w:p>
        </w:tc>
        <w:tc>
          <w:tcPr>
            <w:tcW w:w="1040" w:type="dxa"/>
            <w:gridSpan w:val="2"/>
            <w:shd w:val="clear" w:color="auto" w:fill="auto"/>
            <w:vAlign w:val="center"/>
          </w:tcPr>
          <w:p w14:paraId="61F2FB49">
            <w:pPr>
              <w:spacing w:line="240" w:lineRule="auto"/>
              <w:ind w:firstLine="0" w:firstLineChars="0"/>
              <w:jc w:val="center"/>
              <w:rPr>
                <w:rFonts w:eastAsia="等线" w:cs="Times New Roman"/>
                <w:kern w:val="0"/>
                <w:sz w:val="21"/>
              </w:rPr>
            </w:pPr>
            <w:r>
              <w:rPr>
                <w:rFonts w:eastAsia="等线" w:cs="Times New Roman"/>
                <w:kern w:val="0"/>
                <w:sz w:val="21"/>
              </w:rPr>
              <w:t>14662</w:t>
            </w:r>
          </w:p>
        </w:tc>
        <w:tc>
          <w:tcPr>
            <w:tcW w:w="1821" w:type="dxa"/>
            <w:gridSpan w:val="2"/>
            <w:shd w:val="clear" w:color="auto" w:fill="auto"/>
            <w:noWrap/>
            <w:vAlign w:val="center"/>
          </w:tcPr>
          <w:p w14:paraId="419F0952">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卸船喷淋消耗</w:t>
            </w:r>
          </w:p>
        </w:tc>
        <w:tc>
          <w:tcPr>
            <w:tcW w:w="1219" w:type="dxa"/>
            <w:gridSpan w:val="2"/>
            <w:shd w:val="clear" w:color="auto" w:fill="auto"/>
            <w:noWrap/>
            <w:vAlign w:val="center"/>
          </w:tcPr>
          <w:p w14:paraId="0D35548D">
            <w:pPr>
              <w:spacing w:line="240" w:lineRule="auto"/>
              <w:ind w:firstLine="0" w:firstLineChars="0"/>
              <w:jc w:val="center"/>
              <w:rPr>
                <w:rFonts w:eastAsia="等线" w:cs="Times New Roman"/>
                <w:kern w:val="0"/>
                <w:sz w:val="22"/>
                <w:szCs w:val="22"/>
              </w:rPr>
            </w:pPr>
            <w:r>
              <w:rPr>
                <w:rFonts w:eastAsia="等线" w:cs="Times New Roman"/>
                <w:kern w:val="0"/>
                <w:sz w:val="22"/>
                <w:szCs w:val="22"/>
              </w:rPr>
              <w:t>61.09</w:t>
            </w:r>
          </w:p>
        </w:tc>
        <w:tc>
          <w:tcPr>
            <w:tcW w:w="1460" w:type="dxa"/>
            <w:gridSpan w:val="2"/>
            <w:shd w:val="clear" w:color="auto" w:fill="auto"/>
            <w:noWrap/>
            <w:vAlign w:val="center"/>
          </w:tcPr>
          <w:p w14:paraId="51F95CD2">
            <w:pPr>
              <w:spacing w:line="240" w:lineRule="auto"/>
              <w:ind w:firstLine="0" w:firstLineChars="0"/>
              <w:jc w:val="center"/>
              <w:rPr>
                <w:rFonts w:eastAsia="等线" w:cs="Times New Roman"/>
                <w:kern w:val="0"/>
                <w:sz w:val="22"/>
                <w:szCs w:val="22"/>
              </w:rPr>
            </w:pPr>
            <w:r>
              <w:rPr>
                <w:rFonts w:eastAsia="等线" w:cs="Times New Roman"/>
                <w:kern w:val="0"/>
                <w:sz w:val="22"/>
                <w:szCs w:val="22"/>
              </w:rPr>
              <w:t>14662</w:t>
            </w:r>
          </w:p>
        </w:tc>
      </w:tr>
      <w:tr w14:paraId="33F7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shd w:val="clear" w:color="auto" w:fill="auto"/>
            <w:vAlign w:val="center"/>
          </w:tcPr>
          <w:p w14:paraId="26C51868">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2000" w:type="dxa"/>
            <w:shd w:val="clear" w:color="auto" w:fill="auto"/>
            <w:vAlign w:val="center"/>
          </w:tcPr>
          <w:p w14:paraId="72460A3F">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道路洒水</w:t>
            </w:r>
          </w:p>
        </w:tc>
        <w:tc>
          <w:tcPr>
            <w:tcW w:w="1040" w:type="dxa"/>
            <w:gridSpan w:val="2"/>
            <w:shd w:val="clear" w:color="auto" w:fill="auto"/>
            <w:vAlign w:val="center"/>
          </w:tcPr>
          <w:p w14:paraId="04040322">
            <w:pPr>
              <w:spacing w:line="240" w:lineRule="auto"/>
              <w:ind w:firstLine="0" w:firstLineChars="0"/>
              <w:jc w:val="center"/>
              <w:rPr>
                <w:rFonts w:eastAsia="等线" w:cs="Times New Roman"/>
                <w:kern w:val="0"/>
                <w:sz w:val="21"/>
              </w:rPr>
            </w:pPr>
            <w:r>
              <w:rPr>
                <w:rFonts w:eastAsia="等线" w:cs="Times New Roman"/>
                <w:kern w:val="0"/>
                <w:sz w:val="21"/>
              </w:rPr>
              <w:t>3.5</w:t>
            </w:r>
          </w:p>
        </w:tc>
        <w:tc>
          <w:tcPr>
            <w:tcW w:w="1040" w:type="dxa"/>
            <w:gridSpan w:val="2"/>
            <w:shd w:val="clear" w:color="auto" w:fill="auto"/>
            <w:vAlign w:val="center"/>
          </w:tcPr>
          <w:p w14:paraId="28F8E6BA">
            <w:pPr>
              <w:spacing w:line="240" w:lineRule="auto"/>
              <w:ind w:firstLine="0" w:firstLineChars="0"/>
              <w:jc w:val="center"/>
              <w:rPr>
                <w:rFonts w:eastAsia="等线" w:cs="Times New Roman"/>
                <w:kern w:val="0"/>
                <w:sz w:val="21"/>
              </w:rPr>
            </w:pPr>
            <w:r>
              <w:rPr>
                <w:rFonts w:eastAsia="等线" w:cs="Times New Roman"/>
                <w:kern w:val="0"/>
                <w:sz w:val="21"/>
              </w:rPr>
              <w:t>1159</w:t>
            </w:r>
          </w:p>
        </w:tc>
        <w:tc>
          <w:tcPr>
            <w:tcW w:w="1821" w:type="dxa"/>
            <w:gridSpan w:val="2"/>
            <w:shd w:val="clear" w:color="auto" w:fill="auto"/>
            <w:noWrap/>
            <w:vAlign w:val="center"/>
          </w:tcPr>
          <w:p w14:paraId="6FB829F6">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道路洒水消耗</w:t>
            </w:r>
          </w:p>
        </w:tc>
        <w:tc>
          <w:tcPr>
            <w:tcW w:w="1219" w:type="dxa"/>
            <w:gridSpan w:val="2"/>
            <w:shd w:val="clear" w:color="auto" w:fill="auto"/>
            <w:noWrap/>
            <w:vAlign w:val="center"/>
          </w:tcPr>
          <w:p w14:paraId="072EABA5">
            <w:pPr>
              <w:spacing w:line="240" w:lineRule="auto"/>
              <w:ind w:firstLine="0" w:firstLineChars="0"/>
              <w:jc w:val="center"/>
              <w:rPr>
                <w:rFonts w:eastAsia="等线" w:cs="Times New Roman"/>
                <w:kern w:val="0"/>
                <w:sz w:val="22"/>
                <w:szCs w:val="22"/>
              </w:rPr>
            </w:pPr>
            <w:r>
              <w:rPr>
                <w:rFonts w:eastAsia="等线" w:cs="Times New Roman"/>
                <w:kern w:val="0"/>
                <w:sz w:val="22"/>
                <w:szCs w:val="22"/>
              </w:rPr>
              <w:t>3.51</w:t>
            </w:r>
          </w:p>
        </w:tc>
        <w:tc>
          <w:tcPr>
            <w:tcW w:w="1460" w:type="dxa"/>
            <w:gridSpan w:val="2"/>
            <w:shd w:val="clear" w:color="auto" w:fill="auto"/>
            <w:noWrap/>
            <w:vAlign w:val="center"/>
          </w:tcPr>
          <w:p w14:paraId="247B945D">
            <w:pPr>
              <w:spacing w:line="240" w:lineRule="auto"/>
              <w:ind w:firstLine="0" w:firstLineChars="0"/>
              <w:jc w:val="center"/>
              <w:rPr>
                <w:rFonts w:eastAsia="等线" w:cs="Times New Roman"/>
                <w:kern w:val="0"/>
                <w:sz w:val="22"/>
                <w:szCs w:val="22"/>
              </w:rPr>
            </w:pPr>
            <w:r>
              <w:rPr>
                <w:rFonts w:eastAsia="等线" w:cs="Times New Roman"/>
                <w:kern w:val="0"/>
                <w:sz w:val="22"/>
                <w:szCs w:val="22"/>
              </w:rPr>
              <w:t>1159</w:t>
            </w:r>
          </w:p>
        </w:tc>
      </w:tr>
      <w:tr w14:paraId="4CF38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shd w:val="clear" w:color="auto" w:fill="auto"/>
            <w:vAlign w:val="center"/>
          </w:tcPr>
          <w:p w14:paraId="357DA44C">
            <w:pPr>
              <w:spacing w:line="240" w:lineRule="auto"/>
              <w:ind w:firstLine="0" w:firstLineChars="0"/>
              <w:jc w:val="center"/>
              <w:rPr>
                <w:rFonts w:eastAsia="等线" w:cs="Times New Roman"/>
                <w:kern w:val="0"/>
                <w:sz w:val="21"/>
              </w:rPr>
            </w:pPr>
            <w:r>
              <w:rPr>
                <w:rFonts w:eastAsia="等线" w:cs="Times New Roman"/>
                <w:kern w:val="0"/>
                <w:sz w:val="21"/>
              </w:rPr>
              <w:t>6</w:t>
            </w:r>
          </w:p>
        </w:tc>
        <w:tc>
          <w:tcPr>
            <w:tcW w:w="2000" w:type="dxa"/>
            <w:shd w:val="clear" w:color="auto" w:fill="auto"/>
            <w:vAlign w:val="center"/>
          </w:tcPr>
          <w:p w14:paraId="3014C72F">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绿化用水</w:t>
            </w:r>
          </w:p>
        </w:tc>
        <w:tc>
          <w:tcPr>
            <w:tcW w:w="1040" w:type="dxa"/>
            <w:gridSpan w:val="2"/>
            <w:shd w:val="clear" w:color="auto" w:fill="auto"/>
            <w:vAlign w:val="center"/>
          </w:tcPr>
          <w:p w14:paraId="282A2C2B">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1040" w:type="dxa"/>
            <w:gridSpan w:val="2"/>
            <w:shd w:val="clear" w:color="auto" w:fill="auto"/>
            <w:vAlign w:val="center"/>
          </w:tcPr>
          <w:p w14:paraId="74ED3C25">
            <w:pPr>
              <w:spacing w:line="240" w:lineRule="auto"/>
              <w:ind w:firstLine="0" w:firstLineChars="0"/>
              <w:jc w:val="center"/>
              <w:rPr>
                <w:rFonts w:eastAsia="等线" w:cs="Times New Roman"/>
                <w:kern w:val="0"/>
                <w:sz w:val="21"/>
              </w:rPr>
            </w:pPr>
            <w:r>
              <w:rPr>
                <w:rFonts w:eastAsia="等线" w:cs="Times New Roman"/>
                <w:kern w:val="0"/>
                <w:sz w:val="21"/>
              </w:rPr>
              <w:t>500</w:t>
            </w:r>
          </w:p>
        </w:tc>
        <w:tc>
          <w:tcPr>
            <w:tcW w:w="1821" w:type="dxa"/>
            <w:gridSpan w:val="2"/>
            <w:shd w:val="clear" w:color="auto" w:fill="auto"/>
            <w:noWrap/>
            <w:vAlign w:val="center"/>
          </w:tcPr>
          <w:p w14:paraId="4C293F11">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绿化用水消耗</w:t>
            </w:r>
          </w:p>
        </w:tc>
        <w:tc>
          <w:tcPr>
            <w:tcW w:w="1219" w:type="dxa"/>
            <w:gridSpan w:val="2"/>
            <w:shd w:val="clear" w:color="auto" w:fill="auto"/>
            <w:noWrap/>
            <w:vAlign w:val="center"/>
          </w:tcPr>
          <w:p w14:paraId="6565511B">
            <w:pPr>
              <w:spacing w:line="240" w:lineRule="auto"/>
              <w:ind w:firstLine="0" w:firstLineChars="0"/>
              <w:jc w:val="center"/>
              <w:rPr>
                <w:rFonts w:eastAsia="等线" w:cs="Times New Roman"/>
                <w:kern w:val="0"/>
                <w:sz w:val="22"/>
                <w:szCs w:val="22"/>
              </w:rPr>
            </w:pPr>
            <w:r>
              <w:rPr>
                <w:rFonts w:eastAsia="等线" w:cs="Times New Roman"/>
                <w:kern w:val="0"/>
                <w:sz w:val="22"/>
                <w:szCs w:val="22"/>
              </w:rPr>
              <w:t>1.52</w:t>
            </w:r>
          </w:p>
        </w:tc>
        <w:tc>
          <w:tcPr>
            <w:tcW w:w="1460" w:type="dxa"/>
            <w:gridSpan w:val="2"/>
            <w:shd w:val="clear" w:color="auto" w:fill="auto"/>
            <w:noWrap/>
            <w:vAlign w:val="center"/>
          </w:tcPr>
          <w:p w14:paraId="7AE56228">
            <w:pPr>
              <w:spacing w:line="240" w:lineRule="auto"/>
              <w:ind w:firstLine="0" w:firstLineChars="0"/>
              <w:jc w:val="center"/>
              <w:rPr>
                <w:rFonts w:eastAsia="等线" w:cs="Times New Roman"/>
                <w:kern w:val="0"/>
                <w:sz w:val="22"/>
                <w:szCs w:val="22"/>
              </w:rPr>
            </w:pPr>
            <w:r>
              <w:rPr>
                <w:rFonts w:eastAsia="等线" w:cs="Times New Roman"/>
                <w:kern w:val="0"/>
                <w:sz w:val="22"/>
                <w:szCs w:val="22"/>
              </w:rPr>
              <w:t>500</w:t>
            </w:r>
          </w:p>
        </w:tc>
      </w:tr>
      <w:tr w14:paraId="05C3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restart"/>
            <w:shd w:val="clear" w:color="auto" w:fill="auto"/>
            <w:vAlign w:val="center"/>
          </w:tcPr>
          <w:p w14:paraId="34B09EA7">
            <w:pPr>
              <w:spacing w:line="240" w:lineRule="auto"/>
              <w:ind w:firstLine="0" w:firstLineChars="0"/>
              <w:jc w:val="center"/>
              <w:rPr>
                <w:rFonts w:eastAsia="等线" w:cs="Times New Roman"/>
                <w:kern w:val="0"/>
                <w:sz w:val="21"/>
              </w:rPr>
            </w:pPr>
            <w:r>
              <w:rPr>
                <w:rFonts w:eastAsia="等线" w:cs="Times New Roman"/>
                <w:kern w:val="0"/>
                <w:sz w:val="21"/>
              </w:rPr>
              <w:t>7</w:t>
            </w:r>
          </w:p>
        </w:tc>
        <w:tc>
          <w:tcPr>
            <w:tcW w:w="2000" w:type="dxa"/>
            <w:vMerge w:val="restart"/>
            <w:shd w:val="clear" w:color="auto" w:fill="auto"/>
            <w:vAlign w:val="center"/>
          </w:tcPr>
          <w:p w14:paraId="76C342AF">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设备冲洗用水</w:t>
            </w:r>
          </w:p>
        </w:tc>
        <w:tc>
          <w:tcPr>
            <w:tcW w:w="1040" w:type="dxa"/>
            <w:gridSpan w:val="2"/>
            <w:vMerge w:val="restart"/>
            <w:shd w:val="clear" w:color="auto" w:fill="auto"/>
            <w:vAlign w:val="center"/>
          </w:tcPr>
          <w:p w14:paraId="3BE2217F">
            <w:pPr>
              <w:spacing w:line="240" w:lineRule="auto"/>
              <w:ind w:firstLine="0" w:firstLineChars="0"/>
              <w:jc w:val="center"/>
              <w:rPr>
                <w:rFonts w:eastAsia="等线" w:cs="Times New Roman"/>
                <w:kern w:val="0"/>
                <w:sz w:val="21"/>
              </w:rPr>
            </w:pPr>
            <w:r>
              <w:rPr>
                <w:rFonts w:eastAsia="等线" w:cs="Times New Roman"/>
                <w:kern w:val="0"/>
                <w:sz w:val="21"/>
              </w:rPr>
              <w:t>0.6</w:t>
            </w:r>
          </w:p>
        </w:tc>
        <w:tc>
          <w:tcPr>
            <w:tcW w:w="1040" w:type="dxa"/>
            <w:gridSpan w:val="2"/>
            <w:vMerge w:val="restart"/>
            <w:shd w:val="clear" w:color="auto" w:fill="auto"/>
            <w:vAlign w:val="center"/>
          </w:tcPr>
          <w:p w14:paraId="6D2BCA98">
            <w:pPr>
              <w:spacing w:line="240" w:lineRule="auto"/>
              <w:ind w:firstLine="0" w:firstLineChars="0"/>
              <w:jc w:val="center"/>
              <w:rPr>
                <w:rFonts w:eastAsia="等线" w:cs="Times New Roman"/>
                <w:kern w:val="0"/>
                <w:sz w:val="21"/>
              </w:rPr>
            </w:pPr>
            <w:r>
              <w:rPr>
                <w:rFonts w:eastAsia="等线" w:cs="Times New Roman"/>
                <w:kern w:val="0"/>
                <w:sz w:val="21"/>
              </w:rPr>
              <w:t>198</w:t>
            </w:r>
          </w:p>
        </w:tc>
        <w:tc>
          <w:tcPr>
            <w:tcW w:w="1821" w:type="dxa"/>
            <w:gridSpan w:val="2"/>
            <w:shd w:val="clear" w:color="auto" w:fill="auto"/>
            <w:noWrap/>
            <w:vAlign w:val="center"/>
          </w:tcPr>
          <w:p w14:paraId="440811AB">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设备冲洗废水</w:t>
            </w:r>
          </w:p>
        </w:tc>
        <w:tc>
          <w:tcPr>
            <w:tcW w:w="1219" w:type="dxa"/>
            <w:gridSpan w:val="2"/>
            <w:shd w:val="clear" w:color="auto" w:fill="auto"/>
            <w:noWrap/>
            <w:vAlign w:val="center"/>
          </w:tcPr>
          <w:p w14:paraId="049AAF0E">
            <w:pPr>
              <w:spacing w:line="240" w:lineRule="auto"/>
              <w:ind w:firstLine="0" w:firstLineChars="0"/>
              <w:jc w:val="center"/>
              <w:rPr>
                <w:rFonts w:eastAsia="等线" w:cs="Times New Roman"/>
                <w:kern w:val="0"/>
                <w:sz w:val="22"/>
                <w:szCs w:val="22"/>
              </w:rPr>
            </w:pPr>
            <w:r>
              <w:rPr>
                <w:rFonts w:eastAsia="等线" w:cs="Times New Roman"/>
                <w:kern w:val="0"/>
                <w:sz w:val="22"/>
                <w:szCs w:val="22"/>
              </w:rPr>
              <w:t>0.48</w:t>
            </w:r>
          </w:p>
        </w:tc>
        <w:tc>
          <w:tcPr>
            <w:tcW w:w="1460" w:type="dxa"/>
            <w:gridSpan w:val="2"/>
            <w:shd w:val="clear" w:color="auto" w:fill="auto"/>
            <w:noWrap/>
            <w:vAlign w:val="center"/>
          </w:tcPr>
          <w:p w14:paraId="3D3A6F13">
            <w:pPr>
              <w:spacing w:line="240" w:lineRule="auto"/>
              <w:ind w:firstLine="0" w:firstLineChars="0"/>
              <w:jc w:val="center"/>
              <w:rPr>
                <w:rFonts w:eastAsia="等线" w:cs="Times New Roman"/>
                <w:kern w:val="0"/>
                <w:sz w:val="22"/>
                <w:szCs w:val="22"/>
              </w:rPr>
            </w:pPr>
            <w:r>
              <w:rPr>
                <w:rFonts w:eastAsia="等线" w:cs="Times New Roman"/>
                <w:kern w:val="0"/>
                <w:sz w:val="22"/>
                <w:szCs w:val="22"/>
              </w:rPr>
              <w:t>158</w:t>
            </w:r>
          </w:p>
        </w:tc>
      </w:tr>
      <w:tr w14:paraId="1249B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vMerge w:val="continue"/>
            <w:vAlign w:val="center"/>
          </w:tcPr>
          <w:p w14:paraId="4896844E">
            <w:pPr>
              <w:spacing w:line="240" w:lineRule="auto"/>
              <w:ind w:firstLine="0" w:firstLineChars="0"/>
              <w:rPr>
                <w:rFonts w:eastAsia="等线" w:cs="Times New Roman"/>
                <w:kern w:val="0"/>
                <w:sz w:val="21"/>
              </w:rPr>
            </w:pPr>
          </w:p>
        </w:tc>
        <w:tc>
          <w:tcPr>
            <w:tcW w:w="2000" w:type="dxa"/>
            <w:vMerge w:val="continue"/>
            <w:vAlign w:val="center"/>
          </w:tcPr>
          <w:p w14:paraId="515E7362">
            <w:pPr>
              <w:spacing w:line="240" w:lineRule="auto"/>
              <w:ind w:firstLine="0" w:firstLineChars="0"/>
              <w:rPr>
                <w:rFonts w:eastAsia="等线" w:cs="Times New Roman"/>
                <w:kern w:val="0"/>
                <w:sz w:val="21"/>
              </w:rPr>
            </w:pPr>
          </w:p>
        </w:tc>
        <w:tc>
          <w:tcPr>
            <w:tcW w:w="1040" w:type="dxa"/>
            <w:gridSpan w:val="2"/>
            <w:vMerge w:val="continue"/>
            <w:vAlign w:val="center"/>
          </w:tcPr>
          <w:p w14:paraId="2F7D68A5">
            <w:pPr>
              <w:spacing w:line="240" w:lineRule="auto"/>
              <w:ind w:firstLine="0" w:firstLineChars="0"/>
              <w:rPr>
                <w:rFonts w:eastAsia="等线" w:cs="Times New Roman"/>
                <w:kern w:val="0"/>
                <w:sz w:val="21"/>
              </w:rPr>
            </w:pPr>
          </w:p>
        </w:tc>
        <w:tc>
          <w:tcPr>
            <w:tcW w:w="1040" w:type="dxa"/>
            <w:gridSpan w:val="2"/>
            <w:vMerge w:val="continue"/>
            <w:vAlign w:val="center"/>
          </w:tcPr>
          <w:p w14:paraId="792446F2">
            <w:pPr>
              <w:spacing w:line="240" w:lineRule="auto"/>
              <w:ind w:firstLine="0" w:firstLineChars="0"/>
              <w:rPr>
                <w:rFonts w:eastAsia="等线" w:cs="Times New Roman"/>
                <w:kern w:val="0"/>
                <w:sz w:val="21"/>
              </w:rPr>
            </w:pPr>
          </w:p>
        </w:tc>
        <w:tc>
          <w:tcPr>
            <w:tcW w:w="1821" w:type="dxa"/>
            <w:gridSpan w:val="2"/>
            <w:shd w:val="clear" w:color="auto" w:fill="auto"/>
            <w:noWrap/>
            <w:vAlign w:val="center"/>
          </w:tcPr>
          <w:p w14:paraId="7FC2BD47">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设备冲洗消耗</w:t>
            </w:r>
          </w:p>
        </w:tc>
        <w:tc>
          <w:tcPr>
            <w:tcW w:w="1219" w:type="dxa"/>
            <w:gridSpan w:val="2"/>
            <w:shd w:val="clear" w:color="auto" w:fill="auto"/>
            <w:noWrap/>
            <w:vAlign w:val="center"/>
          </w:tcPr>
          <w:p w14:paraId="6CE4474C">
            <w:pPr>
              <w:spacing w:line="240" w:lineRule="auto"/>
              <w:ind w:firstLine="0" w:firstLineChars="0"/>
              <w:jc w:val="center"/>
              <w:rPr>
                <w:rFonts w:eastAsia="等线" w:cs="Times New Roman"/>
                <w:kern w:val="0"/>
                <w:sz w:val="22"/>
                <w:szCs w:val="22"/>
              </w:rPr>
            </w:pPr>
            <w:r>
              <w:rPr>
                <w:rFonts w:eastAsia="等线" w:cs="Times New Roman"/>
                <w:kern w:val="0"/>
                <w:sz w:val="22"/>
                <w:szCs w:val="22"/>
              </w:rPr>
              <w:t>0.12</w:t>
            </w:r>
          </w:p>
        </w:tc>
        <w:tc>
          <w:tcPr>
            <w:tcW w:w="1460" w:type="dxa"/>
            <w:gridSpan w:val="2"/>
            <w:shd w:val="clear" w:color="auto" w:fill="auto"/>
            <w:noWrap/>
            <w:vAlign w:val="center"/>
          </w:tcPr>
          <w:p w14:paraId="0C902E37">
            <w:pPr>
              <w:spacing w:line="240" w:lineRule="auto"/>
              <w:ind w:firstLine="0" w:firstLineChars="0"/>
              <w:jc w:val="center"/>
              <w:rPr>
                <w:rFonts w:eastAsia="等线" w:cs="Times New Roman"/>
                <w:kern w:val="0"/>
                <w:sz w:val="22"/>
                <w:szCs w:val="22"/>
              </w:rPr>
            </w:pPr>
            <w:r>
              <w:rPr>
                <w:rFonts w:eastAsia="等线" w:cs="Times New Roman"/>
                <w:kern w:val="0"/>
                <w:sz w:val="22"/>
                <w:szCs w:val="22"/>
              </w:rPr>
              <w:t>40</w:t>
            </w:r>
          </w:p>
        </w:tc>
      </w:tr>
      <w:tr w14:paraId="580B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trHeight w:val="280" w:hRule="atLeast"/>
          <w:jc w:val="center"/>
        </w:trPr>
        <w:tc>
          <w:tcPr>
            <w:tcW w:w="818" w:type="dxa"/>
            <w:shd w:val="clear" w:color="auto" w:fill="auto"/>
            <w:vAlign w:val="center"/>
          </w:tcPr>
          <w:p w14:paraId="30986EEF">
            <w:pPr>
              <w:spacing w:line="240" w:lineRule="auto"/>
              <w:ind w:firstLine="0" w:firstLineChars="0"/>
              <w:jc w:val="center"/>
              <w:rPr>
                <w:rFonts w:eastAsia="等线" w:cs="Times New Roman"/>
                <w:kern w:val="0"/>
                <w:sz w:val="21"/>
              </w:rPr>
            </w:pPr>
            <w:r>
              <w:rPr>
                <w:rFonts w:eastAsia="等线" w:cs="Times New Roman"/>
                <w:kern w:val="0"/>
                <w:sz w:val="21"/>
              </w:rPr>
              <w:t>8</w:t>
            </w:r>
          </w:p>
        </w:tc>
        <w:tc>
          <w:tcPr>
            <w:tcW w:w="2000" w:type="dxa"/>
            <w:shd w:val="clear" w:color="auto" w:fill="auto"/>
            <w:vAlign w:val="center"/>
          </w:tcPr>
          <w:p w14:paraId="62E48DEE">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初期雨水</w:t>
            </w:r>
          </w:p>
        </w:tc>
        <w:tc>
          <w:tcPr>
            <w:tcW w:w="1040" w:type="dxa"/>
            <w:gridSpan w:val="2"/>
            <w:shd w:val="clear" w:color="auto" w:fill="auto"/>
            <w:vAlign w:val="center"/>
          </w:tcPr>
          <w:p w14:paraId="7525CBC2">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1040" w:type="dxa"/>
            <w:gridSpan w:val="2"/>
            <w:shd w:val="clear" w:color="auto" w:fill="auto"/>
            <w:vAlign w:val="center"/>
          </w:tcPr>
          <w:p w14:paraId="4606CBAF">
            <w:pPr>
              <w:spacing w:line="240" w:lineRule="auto"/>
              <w:ind w:firstLine="0" w:firstLineChars="0"/>
              <w:jc w:val="center"/>
              <w:rPr>
                <w:rFonts w:eastAsia="等线" w:cs="Times New Roman"/>
                <w:kern w:val="0"/>
                <w:sz w:val="21"/>
              </w:rPr>
            </w:pPr>
            <w:r>
              <w:rPr>
                <w:rFonts w:eastAsia="等线" w:cs="Times New Roman"/>
                <w:kern w:val="0"/>
                <w:sz w:val="21"/>
              </w:rPr>
              <w:t>1725</w:t>
            </w:r>
          </w:p>
        </w:tc>
        <w:tc>
          <w:tcPr>
            <w:tcW w:w="1821" w:type="dxa"/>
            <w:gridSpan w:val="2"/>
            <w:shd w:val="clear" w:color="auto" w:fill="auto"/>
            <w:noWrap/>
            <w:vAlign w:val="center"/>
          </w:tcPr>
          <w:p w14:paraId="0DC0DC4F">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初期雨水回用</w:t>
            </w:r>
          </w:p>
        </w:tc>
        <w:tc>
          <w:tcPr>
            <w:tcW w:w="1219" w:type="dxa"/>
            <w:gridSpan w:val="2"/>
            <w:shd w:val="clear" w:color="auto" w:fill="auto"/>
            <w:noWrap/>
            <w:vAlign w:val="center"/>
          </w:tcPr>
          <w:p w14:paraId="3AD06D1C">
            <w:pPr>
              <w:spacing w:line="240" w:lineRule="auto"/>
              <w:ind w:firstLine="0" w:firstLineChars="0"/>
              <w:jc w:val="center"/>
              <w:rPr>
                <w:rFonts w:eastAsia="等线" w:cs="Times New Roman"/>
                <w:kern w:val="0"/>
                <w:sz w:val="22"/>
                <w:szCs w:val="22"/>
              </w:rPr>
            </w:pPr>
            <w:r>
              <w:rPr>
                <w:rFonts w:eastAsia="等线" w:cs="Times New Roman"/>
                <w:kern w:val="0"/>
                <w:sz w:val="22"/>
                <w:szCs w:val="22"/>
              </w:rPr>
              <w:t>5.23</w:t>
            </w:r>
          </w:p>
        </w:tc>
        <w:tc>
          <w:tcPr>
            <w:tcW w:w="1460" w:type="dxa"/>
            <w:gridSpan w:val="2"/>
            <w:shd w:val="clear" w:color="auto" w:fill="auto"/>
            <w:noWrap/>
            <w:vAlign w:val="center"/>
          </w:tcPr>
          <w:p w14:paraId="68F69DAA">
            <w:pPr>
              <w:spacing w:line="240" w:lineRule="auto"/>
              <w:ind w:firstLine="0" w:firstLineChars="0"/>
              <w:jc w:val="center"/>
              <w:rPr>
                <w:rFonts w:eastAsia="等线" w:cs="Times New Roman"/>
                <w:kern w:val="0"/>
                <w:sz w:val="22"/>
                <w:szCs w:val="22"/>
              </w:rPr>
            </w:pPr>
            <w:r>
              <w:rPr>
                <w:rFonts w:eastAsia="等线" w:cs="Times New Roman"/>
                <w:kern w:val="0"/>
                <w:sz w:val="22"/>
                <w:szCs w:val="22"/>
              </w:rPr>
              <w:t>1725</w:t>
            </w:r>
          </w:p>
        </w:tc>
      </w:tr>
      <w:tr w14:paraId="6570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828" w:type="dxa"/>
            <w:gridSpan w:val="3"/>
            <w:shd w:val="clear" w:color="auto" w:fill="auto"/>
            <w:vAlign w:val="center"/>
          </w:tcPr>
          <w:p w14:paraId="4C97C9F2">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合计</w:t>
            </w:r>
          </w:p>
        </w:tc>
        <w:tc>
          <w:tcPr>
            <w:tcW w:w="1040" w:type="dxa"/>
            <w:gridSpan w:val="2"/>
            <w:shd w:val="clear" w:color="auto" w:fill="auto"/>
            <w:vAlign w:val="center"/>
          </w:tcPr>
          <w:p w14:paraId="762B18C9">
            <w:pPr>
              <w:spacing w:line="240" w:lineRule="auto"/>
              <w:ind w:firstLine="0" w:firstLineChars="0"/>
              <w:jc w:val="center"/>
              <w:rPr>
                <w:rFonts w:eastAsia="等线" w:cs="Times New Roman"/>
                <w:kern w:val="0"/>
                <w:sz w:val="21"/>
              </w:rPr>
            </w:pPr>
            <w:r>
              <w:rPr>
                <w:rFonts w:eastAsia="等线" w:cs="Times New Roman"/>
                <w:kern w:val="0"/>
                <w:sz w:val="21"/>
              </w:rPr>
              <w:t>146.8</w:t>
            </w:r>
          </w:p>
        </w:tc>
        <w:tc>
          <w:tcPr>
            <w:tcW w:w="1040" w:type="dxa"/>
            <w:gridSpan w:val="2"/>
            <w:shd w:val="clear" w:color="auto" w:fill="auto"/>
            <w:vAlign w:val="center"/>
          </w:tcPr>
          <w:p w14:paraId="6E62C8FC">
            <w:pPr>
              <w:spacing w:line="240" w:lineRule="auto"/>
              <w:ind w:firstLine="0" w:firstLineChars="0"/>
              <w:jc w:val="center"/>
              <w:rPr>
                <w:rFonts w:eastAsia="等线" w:cs="Times New Roman"/>
                <w:kern w:val="0"/>
                <w:sz w:val="21"/>
              </w:rPr>
            </w:pPr>
            <w:r>
              <w:rPr>
                <w:rFonts w:eastAsia="等线" w:cs="Times New Roman"/>
                <w:kern w:val="0"/>
                <w:sz w:val="21"/>
              </w:rPr>
              <w:t>42951</w:t>
            </w:r>
          </w:p>
        </w:tc>
        <w:tc>
          <w:tcPr>
            <w:tcW w:w="1821" w:type="dxa"/>
            <w:gridSpan w:val="2"/>
            <w:shd w:val="clear" w:color="auto" w:fill="auto"/>
            <w:noWrap/>
            <w:vAlign w:val="center"/>
          </w:tcPr>
          <w:p w14:paraId="5EC55006">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合计</w:t>
            </w:r>
          </w:p>
        </w:tc>
        <w:tc>
          <w:tcPr>
            <w:tcW w:w="1219" w:type="dxa"/>
            <w:gridSpan w:val="2"/>
            <w:shd w:val="clear" w:color="auto" w:fill="auto"/>
            <w:noWrap/>
            <w:vAlign w:val="center"/>
          </w:tcPr>
          <w:p w14:paraId="529BE659">
            <w:pPr>
              <w:spacing w:line="240" w:lineRule="auto"/>
              <w:ind w:firstLine="0" w:firstLineChars="0"/>
              <w:jc w:val="center"/>
              <w:rPr>
                <w:rFonts w:eastAsia="等线" w:cs="Times New Roman"/>
                <w:kern w:val="0"/>
                <w:sz w:val="22"/>
                <w:szCs w:val="22"/>
              </w:rPr>
            </w:pPr>
            <w:r>
              <w:rPr>
                <w:rFonts w:eastAsia="等线" w:cs="Times New Roman"/>
                <w:kern w:val="0"/>
                <w:sz w:val="22"/>
                <w:szCs w:val="22"/>
              </w:rPr>
              <w:t>146.8</w:t>
            </w:r>
          </w:p>
        </w:tc>
        <w:tc>
          <w:tcPr>
            <w:tcW w:w="1460" w:type="dxa"/>
            <w:gridSpan w:val="2"/>
            <w:shd w:val="clear" w:color="auto" w:fill="auto"/>
            <w:noWrap/>
            <w:vAlign w:val="center"/>
          </w:tcPr>
          <w:p w14:paraId="41E0BAF3">
            <w:pPr>
              <w:spacing w:line="240" w:lineRule="auto"/>
              <w:ind w:firstLine="0" w:firstLineChars="0"/>
              <w:jc w:val="center"/>
              <w:rPr>
                <w:rFonts w:eastAsia="等线" w:cs="Times New Roman"/>
                <w:kern w:val="0"/>
                <w:sz w:val="22"/>
                <w:szCs w:val="22"/>
              </w:rPr>
            </w:pPr>
            <w:r>
              <w:rPr>
                <w:rFonts w:eastAsia="等线" w:cs="Times New Roman"/>
                <w:kern w:val="0"/>
                <w:sz w:val="22"/>
                <w:szCs w:val="22"/>
              </w:rPr>
              <w:t>42951</w:t>
            </w:r>
          </w:p>
        </w:tc>
      </w:tr>
    </w:tbl>
    <w:p w14:paraId="666ACF88">
      <w:pPr>
        <w:pStyle w:val="218"/>
        <w:rPr>
          <w:color w:val="auto"/>
        </w:rPr>
      </w:pPr>
    </w:p>
    <w:p w14:paraId="72C30A11">
      <w:pPr>
        <w:pStyle w:val="84"/>
      </w:pPr>
      <w:r>
        <w:rPr>
          <w:rFonts w:hint="eastAsia"/>
        </w:rPr>
        <w:t>排水</w:t>
      </w:r>
    </w:p>
    <w:p w14:paraId="3F662A2F">
      <w:pPr>
        <w:pStyle w:val="93"/>
      </w:pPr>
      <w:r>
        <w:rPr>
          <w:rFonts w:hint="eastAsia"/>
        </w:rPr>
        <w:t>本项目排水系统采用雨、污水分流制。雨水排放口位于码头西北侧。</w:t>
      </w:r>
    </w:p>
    <w:p w14:paraId="4D6D183A">
      <w:pPr>
        <w:ind w:firstLine="480" w:firstLineChars="0"/>
      </w:pPr>
      <w:r>
        <w:rPr>
          <w:rFonts w:hint="eastAsia" w:ascii="宋体" w:hAnsi="宋体" w:eastAsia="宋体" w:cs="宋体"/>
        </w:rPr>
        <w:t>①</w:t>
      </w:r>
      <w:r>
        <w:rPr>
          <w:rFonts w:hint="eastAsia"/>
        </w:rPr>
        <w:t>雨水系统</w:t>
      </w:r>
    </w:p>
    <w:p w14:paraId="6D474A06">
      <w:pPr>
        <w:pStyle w:val="93"/>
      </w:pPr>
      <w:r>
        <w:rPr>
          <w:rFonts w:hint="eastAsia"/>
        </w:rPr>
        <w:t>本项目码头初期雨水经排水沟收集后汇入码头面污水池，经潜污泵提升至国能涟水一期热电联产项目厂区初期雨水池，容积约1500m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w:t>
      </w:r>
      <w:r>
        <w:rPr>
          <w:rFonts w:hint="eastAsia"/>
          <w:lang w:eastAsia="zh-CN"/>
        </w:rPr>
        <w:t>码头</w:t>
      </w:r>
      <w:r>
        <w:rPr>
          <w:rFonts w:hint="eastAsia"/>
        </w:rPr>
        <w:t>后期洁净雨水依托后方电厂雨水排口，与</w:t>
      </w:r>
      <w:r>
        <w:rPr>
          <w:rFonts w:hint="eastAsia"/>
          <w:lang w:eastAsia="zh-CN"/>
        </w:rPr>
        <w:t>电厂</w:t>
      </w:r>
      <w:r>
        <w:rPr>
          <w:rFonts w:hint="eastAsia"/>
        </w:rPr>
        <w:t>洁净雨水通过雨水泵房经电厂现有雨水排口一并排至盐河。</w:t>
      </w:r>
    </w:p>
    <w:p w14:paraId="62EFCA07">
      <w:pPr>
        <w:pStyle w:val="93"/>
      </w:pPr>
      <w:r>
        <w:rPr>
          <w:rFonts w:hint="eastAsia" w:ascii="宋体" w:hAnsi="宋体" w:eastAsia="宋体" w:cs="宋体"/>
        </w:rPr>
        <w:t>②</w:t>
      </w:r>
      <w:r>
        <w:rPr>
          <w:rFonts w:hint="eastAsia"/>
        </w:rPr>
        <w:t>排水系统</w:t>
      </w:r>
    </w:p>
    <w:p w14:paraId="24266681">
      <w:pPr>
        <w:pStyle w:val="93"/>
      </w:pPr>
      <w:r>
        <w:rPr>
          <w:rFonts w:hint="eastAsia"/>
        </w:rPr>
        <w:t>本项目船舶舱底油污水由码头前沿接收装置收集，用不锈钢水箱作为船舶含油污水收集容器，配备自吸排污泵，标准法兰盘以及铜丝软管收集船舶含油污水。本项目在码头南侧设置不锈钢船舶舱底油污水接收装置，容积约1m</w:t>
      </w:r>
      <w:r>
        <w:rPr>
          <w:rFonts w:hint="eastAsia"/>
          <w:vertAlign w:val="superscript"/>
        </w:rPr>
        <w:t>2</w:t>
      </w:r>
      <w:r>
        <w:rPr>
          <w:rFonts w:hint="eastAsia"/>
        </w:rPr>
        <w:t>，水箱盛满后，委托由海事部门认可的具备资质的油污水处理单位接收处置，不外排。</w:t>
      </w:r>
    </w:p>
    <w:p w14:paraId="70373548">
      <w:pPr>
        <w:pStyle w:val="93"/>
      </w:pPr>
      <w:r>
        <w:rPr>
          <w:rFonts w:hint="eastAsia"/>
        </w:rPr>
        <w:t>船舶生活污水经岸上接收装置接收后接管至国能涟水一期热电联产项目厂区污水处理设施处理；陆域生活污水依托国能涟水一期热电联产项目厂区污水处理设施处理，不外排。</w:t>
      </w:r>
    </w:p>
    <w:p w14:paraId="110403DE">
      <w:pPr>
        <w:pStyle w:val="93"/>
      </w:pPr>
      <w:r>
        <w:rPr>
          <w:rFonts w:hint="eastAsia"/>
        </w:rPr>
        <w:t>码头冲洗废水经排水沟收集排入国能涟水一期热电联产项目含煤废水处理系统处理后用作厂区煤场喷淋和输煤栈桥冲洗，不外排。禁止船舶舱底油污水在码头附近水域排放。</w:t>
      </w:r>
    </w:p>
    <w:p w14:paraId="62152719">
      <w:pPr>
        <w:pStyle w:val="84"/>
      </w:pPr>
      <w:r>
        <w:rPr>
          <w:rFonts w:hint="eastAsia"/>
        </w:rPr>
        <w:t>消防</w:t>
      </w:r>
    </w:p>
    <w:p w14:paraId="6089E6E9">
      <w:pPr>
        <w:pStyle w:val="93"/>
      </w:pPr>
      <w:r>
        <w:rPr>
          <w:rFonts w:hint="eastAsia"/>
        </w:rPr>
        <w:t>本工程水域、陆域消防系统主要由国能涟水一期热电联产项目厂区消防系统引接，不另行设置消防站。</w:t>
      </w:r>
    </w:p>
    <w:p w14:paraId="256C6A03">
      <w:pPr>
        <w:pStyle w:val="93"/>
        <w:rPr>
          <w:lang w:val="en-US"/>
        </w:rPr>
      </w:pPr>
      <w:r>
        <w:rPr>
          <w:lang w:val="en-US"/>
        </w:rPr>
        <w:t>本工程按照码头区和生产辅建区的性质划定防火分区</w:t>
      </w:r>
      <w:r>
        <w:rPr>
          <w:rFonts w:hint="eastAsia"/>
          <w:lang w:val="en-US"/>
        </w:rPr>
        <w:t>，</w:t>
      </w:r>
      <w:r>
        <w:rPr>
          <w:lang w:val="en-US"/>
        </w:rPr>
        <w:t>建筑物与建筑物之间按照</w:t>
      </w:r>
      <w:r>
        <w:rPr>
          <w:rFonts w:hint="eastAsia"/>
          <w:lang w:val="en-US"/>
        </w:rPr>
        <w:t>《水运工程环境保护设计规范》（JTS149-2018）</w:t>
      </w:r>
      <w:r>
        <w:rPr>
          <w:lang w:val="en-US"/>
        </w:rPr>
        <w:t>的规定设置防火距离。</w:t>
      </w:r>
    </w:p>
    <w:p w14:paraId="4B2BC81C">
      <w:pPr>
        <w:pStyle w:val="93"/>
        <w:rPr>
          <w:lang w:val="en-US"/>
        </w:rPr>
      </w:pPr>
      <w:r>
        <w:rPr>
          <w:rFonts w:hint="eastAsia"/>
          <w:lang w:val="en-US"/>
        </w:rPr>
        <w:t>码头区布置了环行车道，可供消防车在场区发生火灾时使用，并可作为疏散通道及时将场区作业人员疏散到安全地带。</w:t>
      </w:r>
    </w:p>
    <w:p w14:paraId="69A8BDE6">
      <w:pPr>
        <w:pStyle w:val="93"/>
        <w:rPr>
          <w:lang w:val="en-US"/>
        </w:rPr>
      </w:pPr>
      <w:r>
        <w:rPr>
          <w:rFonts w:hint="eastAsia"/>
          <w:lang w:val="en-US"/>
        </w:rPr>
        <w:t>本工程消防采用水冷却的灭火方式。室外消火栓系统供水强度</w:t>
      </w:r>
      <w:r>
        <w:rPr>
          <w:lang w:val="en-US"/>
        </w:rPr>
        <w:t>1</w:t>
      </w:r>
      <w:r>
        <w:rPr>
          <w:rFonts w:hint="eastAsia"/>
          <w:lang w:val="en-US"/>
        </w:rPr>
        <w:t>5L/s，火灾延续时间为3h。码头消防给水采用临时高压供水系统，从后方厂区消防管网引入两路管道，沿码头后沿环状敷设。两消火栓之间的间距不大于120m，每个阀门关断消火栓的数量不超过5个。</w:t>
      </w:r>
    </w:p>
    <w:p w14:paraId="098A17B2">
      <w:pPr>
        <w:pStyle w:val="84"/>
      </w:pPr>
      <w:r>
        <w:rPr>
          <w:rFonts w:hint="eastAsia"/>
        </w:rPr>
        <w:t>供电系统</w:t>
      </w:r>
    </w:p>
    <w:p w14:paraId="11BBB3CD">
      <w:pPr>
        <w:pStyle w:val="93"/>
      </w:pPr>
      <w:r>
        <w:rPr>
          <w:rFonts w:hint="eastAsia"/>
        </w:rPr>
        <w:t>（1）供电电源</w:t>
      </w:r>
    </w:p>
    <w:p w14:paraId="68ED726C">
      <w:pPr>
        <w:pStyle w:val="93"/>
      </w:pPr>
      <w:r>
        <w:rPr>
          <w:rFonts w:hint="eastAsia"/>
        </w:rPr>
        <w:t>本项目所需供电电源引自国能涟水一期热电联产项目，</w:t>
      </w:r>
      <w:r>
        <w:rPr>
          <w:rFonts w:hint="eastAsia"/>
          <w:lang w:eastAsia="zh-CN"/>
        </w:rPr>
        <w:t>电厂用电</w:t>
      </w:r>
      <w:r>
        <w:rPr>
          <w:rFonts w:hint="eastAsia"/>
        </w:rPr>
        <w:t>系统提供码头桥式抓斗卸船机、皮带机、岸电等用电设备电源，电压等级为0.38/0.22kV，码头所有设备均采用放射式供电。</w:t>
      </w:r>
    </w:p>
    <w:p w14:paraId="784B86DA">
      <w:pPr>
        <w:pStyle w:val="93"/>
      </w:pPr>
      <w:r>
        <w:rPr>
          <w:rFonts w:hint="eastAsia"/>
        </w:rPr>
        <w:t>（</w:t>
      </w:r>
      <w:r>
        <w:t>2</w:t>
      </w:r>
      <w:r>
        <w:rPr>
          <w:rFonts w:hint="eastAsia"/>
        </w:rPr>
        <w:t>）岸电设施</w:t>
      </w:r>
    </w:p>
    <w:p w14:paraId="04814F70">
      <w:pPr>
        <w:pStyle w:val="93"/>
      </w:pPr>
      <w:r>
        <w:rPr>
          <w:rFonts w:hint="eastAsia"/>
        </w:rPr>
        <w:t>新建码头同步规划、设计、建设岸电设施。本项目在码头泊位建设时同步建设岸电设施，进港船舶应利用岸电作为能源，以减少船舶大气污染物排放。</w:t>
      </w:r>
    </w:p>
    <w:p w14:paraId="6FD12113">
      <w:pPr>
        <w:pStyle w:val="93"/>
      </w:pPr>
      <w:r>
        <w:rPr>
          <w:rFonts w:hint="eastAsia"/>
        </w:rPr>
        <w:t>本项目船舶停靠码头的时候，停止使用船舶上的自备辅助发电机，转而使用陆地电源向主要船载系统供电。其操作方式如下：靠泊船舶放下受电系统接头线缆，港口工作人员将船舶与船舶岸电系统连通，启动船舶岸电系统为靠泊船舶提供辅助动力，使用岸电系统。</w:t>
      </w:r>
      <w:r>
        <w:rPr>
          <w:rFonts w:hint="eastAsia"/>
          <w:lang w:eastAsia="zh-CN"/>
        </w:rPr>
        <w:t>泊岸</w:t>
      </w:r>
      <w:r>
        <w:rPr>
          <w:rFonts w:hint="eastAsia"/>
        </w:rPr>
        <w:t>电系统包括三个部分：岸上供电系统、船岸连接设备、船舶受电系统。</w:t>
      </w:r>
    </w:p>
    <w:p w14:paraId="44EEC83E">
      <w:pPr>
        <w:pStyle w:val="93"/>
      </w:pPr>
      <w:r>
        <w:rPr>
          <w:rFonts w:hint="eastAsia" w:ascii="宋体" w:hAnsi="宋体" w:eastAsia="宋体" w:cs="宋体"/>
        </w:rPr>
        <w:t>①</w:t>
      </w:r>
      <w:r>
        <w:rPr>
          <w:rFonts w:hint="eastAsia"/>
        </w:rPr>
        <w:t>岸上供电系统：由国能涟水一期热电联产项目厂用电系统供电。</w:t>
      </w:r>
    </w:p>
    <w:p w14:paraId="1784D38F">
      <w:pPr>
        <w:pStyle w:val="93"/>
      </w:pPr>
      <w:r>
        <w:rPr>
          <w:rFonts w:hint="eastAsia" w:ascii="宋体" w:hAnsi="宋体" w:eastAsia="宋体" w:cs="宋体"/>
        </w:rPr>
        <w:t>②</w:t>
      </w:r>
      <w:r>
        <w:rPr>
          <w:rFonts w:hint="eastAsia"/>
        </w:rPr>
        <w:t>船岸连接设备：连接岸上连接点及船上受电装置间的电缆和设备。电缆连接设备必须满足快速连接和存储的要求，不使用的时候存储在船上、岸上或者驳船上。</w:t>
      </w:r>
    </w:p>
    <w:p w14:paraId="5DB4D10A">
      <w:pPr>
        <w:pStyle w:val="93"/>
      </w:pPr>
      <w:r>
        <w:rPr>
          <w:rFonts w:hint="eastAsia" w:ascii="宋体" w:hAnsi="宋体" w:eastAsia="宋体" w:cs="宋体"/>
        </w:rPr>
        <w:t>③</w:t>
      </w:r>
      <w:r>
        <w:rPr>
          <w:rFonts w:hint="eastAsia"/>
        </w:rPr>
        <w:t>船舶受电系统：在船上固定安装受电系统，可能包括电缆绞车、船上变压器和相关电气管理系统。</w:t>
      </w:r>
    </w:p>
    <w:p w14:paraId="7CC46065">
      <w:pPr>
        <w:pStyle w:val="93"/>
      </w:pPr>
      <w:r>
        <w:rPr>
          <w:rFonts w:hint="eastAsia"/>
        </w:rPr>
        <w:t>船舶岸电的供电模式可以分为以下三类：高压岸电模式、低压岸电模式、低压小容量岸电模式。高压岸电模式的供电方式是将码头电网10kV、50Hz高压变频、变压转换为6.6kV/（6）kV、60Hz/50Hz高压电源，接入船上配备的船载变电设备变压后供船舶受电设备使用。</w:t>
      </w:r>
    </w:p>
    <w:p w14:paraId="14B2F4E3">
      <w:pPr>
        <w:pStyle w:val="93"/>
      </w:pPr>
      <w:r>
        <w:rPr>
          <w:rFonts w:hint="eastAsia"/>
        </w:rPr>
        <w:t>低压岸电模式的供电方式是将码头电网10kV、50Hz高压变频、变压转换为 450V/（400）V、60Hz/50Hz低压电源，直接接入船上供受电设备使用。</w:t>
      </w:r>
    </w:p>
    <w:p w14:paraId="3069550C">
      <w:pPr>
        <w:pStyle w:val="93"/>
      </w:pPr>
      <w:r>
        <w:rPr>
          <w:rFonts w:hint="eastAsia"/>
        </w:rPr>
        <w:t>低压小容量岸电模式的供电方式是将码头配变380V三相低压电源，经过低压一体化岸电桩输出380V或220V电源，接入船上供受电设备使用。</w:t>
      </w:r>
    </w:p>
    <w:p w14:paraId="53F08A1F">
      <w:pPr>
        <w:pStyle w:val="93"/>
      </w:pPr>
      <w:r>
        <w:rPr>
          <w:rFonts w:hint="eastAsia"/>
        </w:rPr>
        <w:t>根据《码头岸电设施建设技术规范》（JTS155-2019），本项目在散货泊位分别设置30kVA船用岸电箱1台，船用岸电电源参数为400V，50Hz，码头前沿船用岸电箱采用放射式接电，箱体材质采用304不锈钢，厚度不低于10mm，箱体防护等级不低于IP65，配IP67工业级插座。</w:t>
      </w:r>
    </w:p>
    <w:p w14:paraId="4DEF9C28">
      <w:pPr>
        <w:pStyle w:val="93"/>
      </w:pPr>
      <w:r>
        <w:rPr>
          <w:rFonts w:hint="eastAsia"/>
        </w:rPr>
        <w:t>（</w:t>
      </w:r>
      <w:r>
        <w:t>3</w:t>
      </w:r>
      <w:r>
        <w:rPr>
          <w:rFonts w:hint="eastAsia"/>
        </w:rPr>
        <w:t>）照明系统</w:t>
      </w:r>
    </w:p>
    <w:p w14:paraId="7C467CA6">
      <w:pPr>
        <w:pStyle w:val="93"/>
      </w:pPr>
      <w:r>
        <w:rPr>
          <w:rFonts w:hint="eastAsia"/>
        </w:rPr>
        <w:t>本项目码头平均照度要求不低于15lx，水平照度均匀度不低于0.25，眩光值小于50，一般显色指数大于20。码头前沿作业平台主要依靠码头后方附近设置的20m高升降式中杆灯作为堆场照明，每座中杆灯装设6套400WLED灯。</w:t>
      </w:r>
    </w:p>
    <w:p w14:paraId="3728EF81">
      <w:pPr>
        <w:pStyle w:val="84"/>
      </w:pPr>
      <w:r>
        <w:rPr>
          <w:rFonts w:hint="eastAsia"/>
        </w:rPr>
        <w:t>生产辅助设施</w:t>
      </w:r>
    </w:p>
    <w:p w14:paraId="387903CD">
      <w:pPr>
        <w:ind w:firstLine="480"/>
        <w:rPr>
          <w:lang w:val="zh-CN"/>
        </w:rPr>
      </w:pPr>
      <w:r>
        <w:rPr>
          <w:rFonts w:hint="eastAsia"/>
          <w:lang w:val="zh-CN"/>
        </w:rPr>
        <w:t>码头与后方热电厂区统一管理，码头前沿根据生产和生活需要，建设转运站和集污池。</w:t>
      </w:r>
    </w:p>
    <w:p w14:paraId="1593A472">
      <w:pPr>
        <w:pStyle w:val="84"/>
      </w:pPr>
      <w:r>
        <w:rPr>
          <w:rFonts w:hint="eastAsia"/>
        </w:rPr>
        <w:t>机修</w:t>
      </w:r>
    </w:p>
    <w:p w14:paraId="5C185C24">
      <w:pPr>
        <w:ind w:firstLine="480"/>
        <w:rPr>
          <w:lang w:val="zh-CN"/>
        </w:rPr>
      </w:pPr>
      <w:r>
        <w:rPr>
          <w:rFonts w:hint="eastAsia"/>
          <w:lang w:val="zh-CN"/>
        </w:rPr>
        <w:t>码头前沿不承担本工程装卸机械的保养与小修任务，由后方热电厂区机修承担。修理中所需的各类机械的易损件、零部件均由原制造厂或社会化采购提供。装卸机械的中修、大修任务仍由原制造厂承担，或通过专业生产厂家外协解决。</w:t>
      </w:r>
    </w:p>
    <w:p w14:paraId="2D93A9CB">
      <w:pPr>
        <w:pStyle w:val="84"/>
      </w:pPr>
      <w:r>
        <w:rPr>
          <w:rFonts w:hint="eastAsia"/>
        </w:rPr>
        <w:t>通信、监控及导航</w:t>
      </w:r>
    </w:p>
    <w:p w14:paraId="14E5ACFC">
      <w:pPr>
        <w:pStyle w:val="93"/>
      </w:pPr>
      <w:r>
        <w:rPr>
          <w:rFonts w:hint="eastAsia"/>
        </w:rPr>
        <w:t>港区内生产调度人员之间以及调度人员与移动机械操作人员之间的通信联系采用VHF无线对讲机。</w:t>
      </w:r>
    </w:p>
    <w:p w14:paraId="4A2A0A06">
      <w:pPr>
        <w:pStyle w:val="93"/>
      </w:pPr>
      <w:r>
        <w:rPr>
          <w:rFonts w:hint="eastAsia"/>
        </w:rPr>
        <w:t>本工程在码头作业平台及周边设置工业电视监控装置。</w:t>
      </w:r>
    </w:p>
    <w:p w14:paraId="49CF7726">
      <w:pPr>
        <w:pStyle w:val="93"/>
      </w:pPr>
      <w:r>
        <w:rPr>
          <w:rFonts w:hint="eastAsia"/>
        </w:rPr>
        <w:t>码头区内不设短波单边带（SSB）电台和甚高频（VHF）船、岸通信电台，进出码头区船舶与码头区之间的远、近通信联系依托钦州港现有的船、岸通信设施。</w:t>
      </w:r>
    </w:p>
    <w:p w14:paraId="371AC705">
      <w:pPr>
        <w:pStyle w:val="93"/>
      </w:pPr>
      <w:r>
        <w:rPr>
          <w:rFonts w:hint="eastAsia"/>
        </w:rPr>
        <w:t>消防通信依靠自动电话、无线调度通信、VHF电话完成。</w:t>
      </w:r>
    </w:p>
    <w:p w14:paraId="1951D8F8">
      <w:pPr>
        <w:pStyle w:val="84"/>
      </w:pPr>
      <w:r>
        <w:rPr>
          <w:rFonts w:hint="eastAsia"/>
        </w:rPr>
        <w:t>办公辅助区</w:t>
      </w:r>
    </w:p>
    <w:p w14:paraId="73FD66E0">
      <w:pPr>
        <w:ind w:firstLine="480"/>
        <w:rPr>
          <w:lang w:val="zh-CN"/>
        </w:rPr>
      </w:pPr>
      <w:r>
        <w:rPr>
          <w:rFonts w:hint="eastAsia"/>
          <w:lang w:val="zh-CN"/>
        </w:rPr>
        <w:t>本工程不设综合办公楼及生活辅助区，管理人员办公等依托附近后方热电厂区的相关配套设施。</w:t>
      </w:r>
    </w:p>
    <w:p w14:paraId="5B6095D6">
      <w:pPr>
        <w:pStyle w:val="84"/>
      </w:pPr>
      <w:r>
        <w:rPr>
          <w:rFonts w:hint="eastAsia"/>
        </w:rPr>
        <w:t>锚地</w:t>
      </w:r>
    </w:p>
    <w:p w14:paraId="23611354">
      <w:pPr>
        <w:ind w:firstLine="480"/>
        <w:rPr>
          <w:lang w:val="zh-CN"/>
        </w:rPr>
      </w:pPr>
      <w:r>
        <w:rPr>
          <w:rFonts w:hint="eastAsia"/>
          <w:lang w:val="zh-CN"/>
        </w:rPr>
        <w:t>本项目在码头西南侧设置待泊泊位，总长76m，可停靠一艘1000吨级船舶。本码头为货主码头，企业可通过准确控制到港船舶的频率和艘次，有效船舶调度，避免发生船舶拥堵及等待的情况。对于突发状况，可利用距本工程约4公里的朱码船闸水上服务区进行短暂待泊，朱码船闸水上服务区建设长400m的待泊泊位，可以满足本码头短暂待泊的需求。</w:t>
      </w:r>
    </w:p>
    <w:p w14:paraId="5E2F3629">
      <w:pPr>
        <w:pStyle w:val="82"/>
      </w:pPr>
      <w:bookmarkStart w:id="151" w:name="_Toc19465"/>
      <w:bookmarkEnd w:id="151"/>
      <w:bookmarkStart w:id="152" w:name="_Hlk181744627"/>
      <w:bookmarkStart w:id="153" w:name="_Hlk181744641"/>
      <w:r>
        <w:rPr>
          <w:rFonts w:hint="eastAsia"/>
        </w:rPr>
        <w:t>临时工程</w:t>
      </w:r>
    </w:p>
    <w:bookmarkEnd w:id="152"/>
    <w:p w14:paraId="543DA905">
      <w:pPr>
        <w:pStyle w:val="93"/>
      </w:pPr>
      <w:r>
        <w:rPr>
          <w:rFonts w:hint="eastAsia"/>
        </w:rPr>
        <w:t>（1）疏浚水下土方堆场</w:t>
      </w:r>
    </w:p>
    <w:p w14:paraId="0B9D97A5">
      <w:pPr>
        <w:pStyle w:val="139"/>
        <w:ind w:firstLine="480"/>
        <w:rPr>
          <w:color w:val="auto"/>
        </w:rPr>
      </w:pPr>
      <w:r>
        <w:rPr>
          <w:rFonts w:hint="eastAsia"/>
          <w:color w:val="auto"/>
        </w:rPr>
        <w:t>根据水下方疏浚施工工程量，堆场共需容纳水下</w:t>
      </w:r>
      <w:r>
        <w:rPr>
          <w:rFonts w:hint="eastAsia"/>
          <w:color w:val="auto"/>
          <w:lang w:eastAsia="zh-CN"/>
        </w:rPr>
        <w:t>放弃</w:t>
      </w:r>
      <w:r>
        <w:rPr>
          <w:rFonts w:hint="eastAsia"/>
          <w:color w:val="auto"/>
        </w:rPr>
        <w:t>土约2.4万方，根据《疏浚与吹填工程设计规范》（JTS181—5—2012）公式9.4.4：</w:t>
      </w:r>
    </w:p>
    <w:p w14:paraId="29146F1C">
      <w:pPr>
        <w:pStyle w:val="139"/>
        <w:ind w:firstLine="0" w:firstLineChars="0"/>
        <w:rPr>
          <w:color w:val="auto"/>
        </w:rPr>
      </w:pPr>
      <w:r>
        <w:rPr>
          <w:color w:val="auto"/>
        </w:rPr>
        <w:drawing>
          <wp:inline distT="0" distB="0" distL="0" distR="0">
            <wp:extent cx="5222875" cy="1423670"/>
            <wp:effectExtent l="0" t="0" r="0" b="5080"/>
            <wp:docPr id="868621324"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21324" name="图片 1" descr="文本, 信件&#10;&#10;描述已自动生成"/>
                    <pic:cNvPicPr>
                      <a:picLocks noChangeAspect="1"/>
                    </pic:cNvPicPr>
                  </pic:nvPicPr>
                  <pic:blipFill>
                    <a:blip r:embed="rId28"/>
                    <a:srcRect t="12786" r="1408"/>
                    <a:stretch>
                      <a:fillRect/>
                    </a:stretch>
                  </pic:blipFill>
                  <pic:spPr>
                    <a:xfrm>
                      <a:off x="0" y="0"/>
                      <a:ext cx="5243254" cy="1429718"/>
                    </a:xfrm>
                    <a:prstGeom prst="rect">
                      <a:avLst/>
                    </a:prstGeom>
                    <a:ln>
                      <a:noFill/>
                    </a:ln>
                  </pic:spPr>
                </pic:pic>
              </a:graphicData>
            </a:graphic>
          </wp:inline>
        </w:drawing>
      </w:r>
    </w:p>
    <w:p w14:paraId="5B8F1F20">
      <w:pPr>
        <w:pStyle w:val="139"/>
        <w:ind w:firstLine="480"/>
        <w:rPr>
          <w:color w:val="auto"/>
        </w:rPr>
      </w:pPr>
      <w:r>
        <w:rPr>
          <w:rFonts w:hint="eastAsia"/>
          <w:color w:val="auto"/>
        </w:rPr>
        <w:t>其中，B</w:t>
      </w:r>
      <w:r>
        <w:rPr>
          <w:rFonts w:hint="eastAsia"/>
          <w:color w:val="auto"/>
          <w:lang w:eastAsia="zh-CN"/>
        </w:rPr>
        <w:t>按照表</w:t>
      </w:r>
      <w:r>
        <w:rPr>
          <w:rFonts w:hint="eastAsia"/>
          <w:color w:val="auto"/>
        </w:rPr>
        <w:t>6.2.7，粘土（软）一般为1.1-1.15。</w:t>
      </w:r>
      <w:r>
        <w:rPr>
          <w:color w:val="auto"/>
          <w:lang w:val="en-US"/>
        </w:rPr>
        <w:t>本项目与一般港池和河道疏浚不同，本项目港池属于陆域开挖，疏浚</w:t>
      </w:r>
      <w:r>
        <w:rPr>
          <w:rFonts w:hint="eastAsia"/>
          <w:color w:val="auto"/>
          <w:lang w:val="en-US"/>
        </w:rPr>
        <w:t>的是</w:t>
      </w:r>
      <w:r>
        <w:rPr>
          <w:color w:val="auto"/>
          <w:lang w:val="en-US"/>
        </w:rPr>
        <w:t>陆域的水下土方，不对现有河道进行疏浚，采用反铲式疏浚，因此，</w:t>
      </w:r>
      <w:r>
        <w:rPr>
          <w:rFonts w:hint="eastAsia"/>
          <w:color w:val="auto"/>
          <w:lang w:val="en-US"/>
        </w:rPr>
        <w:t>本项目的</w:t>
      </w:r>
      <w:r>
        <w:rPr>
          <w:color w:val="auto"/>
          <w:lang w:val="en-US"/>
        </w:rPr>
        <w:t>水下土方相较于一般的航道疏浚，含水率低，搅松系数可以按照较小值选取。</w:t>
      </w:r>
      <w:r>
        <w:rPr>
          <w:rFonts w:hint="eastAsia"/>
          <w:color w:val="auto"/>
        </w:rPr>
        <w:t>本次取1.1。</w:t>
      </w:r>
    </w:p>
    <w:p w14:paraId="349E5D20">
      <w:pPr>
        <w:pStyle w:val="139"/>
        <w:ind w:firstLine="480"/>
        <w:rPr>
          <w:color w:val="auto"/>
        </w:rPr>
      </w:pPr>
      <w:r>
        <w:rPr>
          <w:rFonts w:hint="eastAsia"/>
          <w:color w:val="auto"/>
        </w:rPr>
        <w:t>则本项目水下土方堆放场容量为3.04万立方。</w:t>
      </w:r>
    </w:p>
    <w:p w14:paraId="28035BCB">
      <w:pPr>
        <w:pStyle w:val="139"/>
        <w:ind w:firstLine="480"/>
        <w:rPr>
          <w:color w:val="auto"/>
        </w:rPr>
      </w:pPr>
      <w:r>
        <w:rPr>
          <w:rFonts w:hint="eastAsia"/>
          <w:color w:val="auto"/>
        </w:rPr>
        <w:t>故设计水下土方干化场围堰高度为4米，占地</w:t>
      </w:r>
      <w:r>
        <w:rPr>
          <w:color w:val="auto"/>
        </w:rPr>
        <w:t>0.4</w:t>
      </w:r>
      <w:r>
        <w:rPr>
          <w:rFonts w:hint="eastAsia"/>
          <w:color w:val="auto"/>
        </w:rPr>
        <w:t>hm</w:t>
      </w:r>
      <w:r>
        <w:rPr>
          <w:color w:val="auto"/>
          <w:vertAlign w:val="superscript"/>
        </w:rPr>
        <w:t>2</w:t>
      </w:r>
      <w:r>
        <w:rPr>
          <w:rFonts w:hint="eastAsia"/>
          <w:color w:val="auto"/>
        </w:rPr>
        <w:t>，总容量约为3.5万方，能够满足要求，堆场利用国能涟水一期热电联产项目厂区低洼空地，不新增临时占地。水下土方干化场围堰采用充填袋堤心结构，围堰内边坡取1</w:t>
      </w:r>
      <w:r>
        <w:rPr>
          <w:rFonts w:hint="eastAsia"/>
          <w:color w:val="auto"/>
          <w:lang w:eastAsia="zh-CN"/>
        </w:rPr>
        <w:t>:</w:t>
      </w:r>
      <w:r>
        <w:rPr>
          <w:rFonts w:hint="eastAsia"/>
          <w:color w:val="auto"/>
        </w:rPr>
        <w:t>1.5，外边坡取1</w:t>
      </w:r>
      <w:r>
        <w:rPr>
          <w:rFonts w:hint="eastAsia"/>
          <w:color w:val="auto"/>
          <w:lang w:eastAsia="zh-CN"/>
        </w:rPr>
        <w:t>:</w:t>
      </w:r>
      <w:r>
        <w:rPr>
          <w:rFonts w:hint="eastAsia"/>
          <w:color w:val="auto"/>
        </w:rPr>
        <w:t>3。围堰吹泥侧斜坡采用袋装土填隙，其上铺设防渗土工膜，土工膜下铺至现状泥面以下4m，坡面防渗土工膜沿围堤轴线方向每 20m 长用 0.3m 厚袋装土压护。外坡侧采用袋装土填隙与护面，护面厚0.2m。</w:t>
      </w:r>
    </w:p>
    <w:p w14:paraId="5C8A14C2">
      <w:pPr>
        <w:pStyle w:val="139"/>
        <w:ind w:firstLine="480"/>
        <w:rPr>
          <w:color w:val="auto"/>
        </w:rPr>
      </w:pPr>
      <w:r>
        <w:rPr>
          <w:rFonts w:hint="eastAsia"/>
          <w:color w:val="auto"/>
        </w:rPr>
        <w:t>水下土方干化场设置1个排水口，排水口位置按照有利于泥沙沉淀、土质均匀分布及余水含泥沙量低的原则，设置在远离排泥口处。水门结构采用水门箱与泄水管连接而成，水门箱采用</w:t>
      </w:r>
      <w:r>
        <w:rPr>
          <w:rFonts w:hint="eastAsia"/>
          <w:color w:val="auto"/>
          <w:lang w:eastAsia="zh-CN"/>
        </w:rPr>
        <w:t>钢质</w:t>
      </w:r>
      <w:r>
        <w:rPr>
          <w:rFonts w:hint="eastAsia"/>
          <w:color w:val="auto"/>
        </w:rPr>
        <w:t>结构，泄水管采用钢管，水门置于现状泥面标高以上1.0m处。堆场尾水经沉淀后满足《污水综合排放标准》（GB8978-1996）表4一级标准就近排入盐河。工程产生的水下方干化后弃方全部用于临时用地恢复。</w:t>
      </w:r>
    </w:p>
    <w:bookmarkEnd w:id="153"/>
    <w:p w14:paraId="384B3E8E">
      <w:pPr>
        <w:ind w:firstLine="480"/>
      </w:pPr>
      <w:r>
        <w:rPr>
          <w:rFonts w:hint="eastAsia"/>
        </w:rPr>
        <w:t>（2）临时堆土场</w:t>
      </w:r>
    </w:p>
    <w:p w14:paraId="39AB8C87">
      <w:pPr>
        <w:ind w:firstLine="480"/>
      </w:pPr>
      <w:r>
        <w:rPr>
          <w:rFonts w:hint="eastAsia"/>
        </w:rPr>
        <w:t>本次码头项目陆域开挖形成的少量土方运至国能涟水一期热电联产项目施工设置的临时堆土区暂存，国能涟水一期热电联产项目临时堆土区布设与厂区道路硬化及管线区，占地</w:t>
      </w:r>
      <w:r>
        <w:t>1</w:t>
      </w:r>
      <w:r>
        <w:rPr>
          <w:rFonts w:hint="eastAsia"/>
        </w:rPr>
        <w:t>hm</w:t>
      </w:r>
      <w:r>
        <w:rPr>
          <w:rFonts w:hint="eastAsia"/>
          <w:vertAlign w:val="superscript"/>
        </w:rPr>
        <w:t>2</w:t>
      </w:r>
      <w:r>
        <w:rPr>
          <w:rFonts w:hint="eastAsia"/>
        </w:rPr>
        <w:t>，堆土区周围设置临时拦挡，临时排水沟和沉砂池，堆土四周表面利用防尘网苫盖。</w:t>
      </w:r>
    </w:p>
    <w:p w14:paraId="053AE0B4">
      <w:pPr>
        <w:pStyle w:val="196"/>
      </w:pPr>
      <w:r>
        <w:rPr>
          <w:rFonts w:hint="eastAsia"/>
        </w:rPr>
        <w:drawing>
          <wp:inline distT="0" distB="0" distL="0" distR="0">
            <wp:extent cx="4346575" cy="3174365"/>
            <wp:effectExtent l="0" t="0" r="0" b="6985"/>
            <wp:docPr id="1021564308" name="图片 24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64308" name="图片 241" descr="图示, 工程绘图&#10;&#10;描述已自动生成"/>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353760" cy="3179618"/>
                    </a:xfrm>
                    <a:prstGeom prst="rect">
                      <a:avLst/>
                    </a:prstGeom>
                    <a:noFill/>
                    <a:ln>
                      <a:noFill/>
                    </a:ln>
                  </pic:spPr>
                </pic:pic>
              </a:graphicData>
            </a:graphic>
          </wp:inline>
        </w:drawing>
      </w:r>
      <w:r>
        <w:rPr>
          <w:rFonts w:hint="eastAsia"/>
        </w:rPr>
        <w:t xml:space="preserve"> </w:t>
      </w:r>
    </w:p>
    <w:p w14:paraId="3ECAFBB5">
      <w:pPr>
        <w:pStyle w:val="90"/>
      </w:pPr>
      <w:r>
        <w:rPr>
          <w:rFonts w:hint="eastAsia"/>
        </w:rPr>
        <w:t>图3.2</w:t>
      </w:r>
      <w:r>
        <w:t>-</w:t>
      </w:r>
      <w:r>
        <w:rPr>
          <w:rFonts w:hint="eastAsia"/>
        </w:rPr>
        <w:t>11  临时堆土场临时防护措施典型设计</w:t>
      </w:r>
    </w:p>
    <w:p w14:paraId="0C272FF0">
      <w:pPr>
        <w:pStyle w:val="139"/>
        <w:ind w:firstLine="480"/>
        <w:rPr>
          <w:color w:val="auto"/>
        </w:rPr>
      </w:pPr>
      <w:r>
        <w:rPr>
          <w:rFonts w:hint="eastAsia"/>
          <w:color w:val="auto"/>
        </w:rPr>
        <w:t>（3）临时表土堆场</w:t>
      </w:r>
    </w:p>
    <w:p w14:paraId="5666D437">
      <w:pPr>
        <w:pStyle w:val="139"/>
        <w:ind w:firstLine="480"/>
        <w:rPr>
          <w:color w:val="auto"/>
        </w:rPr>
      </w:pPr>
      <w:r>
        <w:rPr>
          <w:rFonts w:hint="eastAsia"/>
          <w:color w:val="auto"/>
        </w:rPr>
        <w:t>在排泥场西侧设置圆形表土临时堆场，面积为1385m</w:t>
      </w:r>
      <w:r>
        <w:rPr>
          <w:rFonts w:hint="eastAsia"/>
          <w:color w:val="auto"/>
          <w:vertAlign w:val="superscript"/>
        </w:rPr>
        <w:t>2</w:t>
      </w:r>
      <w:r>
        <w:rPr>
          <w:rFonts w:hint="eastAsia"/>
          <w:color w:val="auto"/>
        </w:rPr>
        <w:t>，施工结束后，将对表土临时堆场进行平整，平整后进行绿化。具体情况见图3.2-12。</w:t>
      </w:r>
    </w:p>
    <w:p w14:paraId="41E82D81">
      <w:pPr>
        <w:pStyle w:val="139"/>
        <w:ind w:firstLine="480"/>
        <w:rPr>
          <w:color w:val="auto"/>
        </w:rPr>
      </w:pPr>
      <w:r>
        <w:rPr>
          <w:rFonts w:hint="eastAsia"/>
          <w:color w:val="auto"/>
        </w:rPr>
        <w:t>（4）施工便道</w:t>
      </w:r>
    </w:p>
    <w:p w14:paraId="03267A72">
      <w:pPr>
        <w:pStyle w:val="93"/>
      </w:pPr>
      <w:r>
        <w:rPr>
          <w:rFonts w:hint="eastAsia"/>
        </w:rPr>
        <w:t>本项目施工期与后方国能涟水一期热电联产项目同期实施，项目四周有盐河、省道346、省道235及多条乡镇通行道路分布，交通便利。因此项目施工期间利用现有道路至国能涟水一期热电联产项目厂区后再由厂区道路至码头区域，项目设计大件设备运输亦可考虑使用水路进行运输，项目不再另外建设施工便道。</w:t>
      </w:r>
    </w:p>
    <w:p w14:paraId="40D8D9B4">
      <w:pPr>
        <w:pStyle w:val="80"/>
      </w:pPr>
      <w:bookmarkStart w:id="154" w:name="_Toc24198"/>
      <w:bookmarkEnd w:id="154"/>
      <w:bookmarkStart w:id="155" w:name="_Toc28369"/>
      <w:bookmarkEnd w:id="155"/>
      <w:bookmarkStart w:id="156" w:name="_Toc1809"/>
      <w:bookmarkStart w:id="157" w:name="_Toc182171810"/>
      <w:r>
        <w:rPr>
          <w:rFonts w:hint="eastAsia"/>
        </w:rPr>
        <w:t>水工建筑物</w:t>
      </w:r>
      <w:bookmarkEnd w:id="156"/>
      <w:bookmarkEnd w:id="157"/>
    </w:p>
    <w:p w14:paraId="5A249ABE">
      <w:pPr>
        <w:pStyle w:val="82"/>
      </w:pPr>
      <w:bookmarkStart w:id="158" w:name="_Toc10651"/>
      <w:bookmarkEnd w:id="158"/>
      <w:r>
        <w:rPr>
          <w:rFonts w:hint="eastAsia"/>
        </w:rPr>
        <w:t>建设内容</w:t>
      </w:r>
    </w:p>
    <w:p w14:paraId="49514862">
      <w:pPr>
        <w:pStyle w:val="93"/>
      </w:pPr>
      <w:r>
        <w:rPr>
          <w:rFonts w:hint="eastAsia"/>
        </w:rPr>
        <w:t>（1）建设规模</w:t>
      </w:r>
    </w:p>
    <w:p w14:paraId="4E52BDE1">
      <w:pPr>
        <w:pStyle w:val="93"/>
      </w:pPr>
      <w:r>
        <w:rPr>
          <w:rFonts w:hint="eastAsia"/>
        </w:rPr>
        <w:t>根据总平面布置，本项目拟建3个1000t级的散货泊位。</w:t>
      </w:r>
      <w:r>
        <w:rPr>
          <w:rFonts w:hint="eastAsia"/>
          <w:bCs/>
        </w:rPr>
        <w:t>平行于航道方向布置2个1000吨级煤炭卸船泊位；西南侧布置1个1000吨级待泊泊位。</w:t>
      </w:r>
      <w:r>
        <w:rPr>
          <w:rFonts w:hint="eastAsia"/>
        </w:rPr>
        <w:t>码头北侧考虑与淮安新港建设有限公司码头相接。装卸泊位长度共220m。</w:t>
      </w:r>
    </w:p>
    <w:p w14:paraId="574B3841">
      <w:pPr>
        <w:pStyle w:val="93"/>
      </w:pPr>
      <w:r>
        <w:rPr>
          <w:rFonts w:hint="eastAsia"/>
        </w:rPr>
        <w:t>（2）建筑物等级</w:t>
      </w:r>
    </w:p>
    <w:p w14:paraId="7BB9F571">
      <w:pPr>
        <w:pStyle w:val="93"/>
      </w:pPr>
      <w:r>
        <w:rPr>
          <w:rFonts w:hint="eastAsia"/>
        </w:rPr>
        <w:t>本项目主要水工建筑物包括码头结构、翼墙等，结构安全等级均为Ⅱ级。</w:t>
      </w:r>
    </w:p>
    <w:p w14:paraId="2809FC78">
      <w:pPr>
        <w:pStyle w:val="82"/>
      </w:pPr>
      <w:bookmarkStart w:id="159" w:name="_Toc30954"/>
      <w:bookmarkEnd w:id="159"/>
      <w:r>
        <w:rPr>
          <w:rFonts w:hint="eastAsia"/>
        </w:rPr>
        <w:t>荷载</w:t>
      </w:r>
    </w:p>
    <w:p w14:paraId="22274A5B">
      <w:pPr>
        <w:ind w:firstLine="480"/>
      </w:pPr>
      <w:r>
        <w:rPr>
          <w:rFonts w:hint="eastAsia"/>
        </w:rPr>
        <w:t>（1）水工建筑物自重。</w:t>
      </w:r>
    </w:p>
    <w:p w14:paraId="585C58D4">
      <w:pPr>
        <w:ind w:firstLine="480"/>
      </w:pPr>
      <w:r>
        <w:rPr>
          <w:rFonts w:hint="eastAsia"/>
        </w:rPr>
        <w:t>（2）均布荷载</w:t>
      </w:r>
    </w:p>
    <w:p w14:paraId="69C899B3">
      <w:pPr>
        <w:ind w:firstLine="480"/>
      </w:pPr>
      <w:r>
        <w:rPr>
          <w:rFonts w:hint="eastAsia"/>
        </w:rPr>
        <w:t>码头前沿20m范围内：20kN/m</w:t>
      </w:r>
      <w:r>
        <w:rPr>
          <w:rFonts w:hint="eastAsia"/>
          <w:vertAlign w:val="superscript"/>
        </w:rPr>
        <w:t>2</w:t>
      </w:r>
      <w:r>
        <w:rPr>
          <w:rFonts w:hint="eastAsia"/>
        </w:rPr>
        <w:t>；人群荷载：3kN/m</w:t>
      </w:r>
      <w:r>
        <w:rPr>
          <w:rFonts w:hint="eastAsia"/>
          <w:vertAlign w:val="superscript"/>
        </w:rPr>
        <w:t>2</w:t>
      </w:r>
      <w:r>
        <w:rPr>
          <w:rFonts w:hint="eastAsia"/>
        </w:rPr>
        <w:t>。</w:t>
      </w:r>
    </w:p>
    <w:p w14:paraId="4FBD5C51">
      <w:pPr>
        <w:pStyle w:val="93"/>
      </w:pPr>
      <w:r>
        <w:rPr>
          <w:rFonts w:hint="eastAsia"/>
        </w:rPr>
        <w:t>（3）起重机械荷载</w:t>
      </w:r>
    </w:p>
    <w:p w14:paraId="2E8B65AB">
      <w:pPr>
        <w:pStyle w:val="93"/>
      </w:pPr>
      <w:r>
        <w:rPr>
          <w:rFonts w:hint="eastAsia"/>
        </w:rPr>
        <w:t>桥式抓斗卸船机：4腿，每腿6轮，轮压250kN，轨距10.5m，基距10.5m。</w:t>
      </w:r>
    </w:p>
    <w:p w14:paraId="34C82D95">
      <w:pPr>
        <w:pStyle w:val="93"/>
      </w:pPr>
      <w:r>
        <w:rPr>
          <w:rFonts w:hint="eastAsia"/>
        </w:rPr>
        <w:t>16t</w:t>
      </w:r>
      <w:r>
        <w:rPr>
          <w:rFonts w:hint="eastAsia"/>
          <w:lang w:eastAsia="zh-CN"/>
        </w:rPr>
        <w:t>—</w:t>
      </w:r>
      <w:r>
        <w:rPr>
          <w:rFonts w:hint="eastAsia"/>
        </w:rPr>
        <w:t>20m固定吊：垂直力1500kN，水平力180kN，倾覆力矩3940kN•m。</w:t>
      </w:r>
    </w:p>
    <w:p w14:paraId="7E898C82">
      <w:pPr>
        <w:ind w:firstLine="480"/>
      </w:pPr>
      <w:r>
        <w:rPr>
          <w:rFonts w:hint="eastAsia"/>
        </w:rPr>
        <w:t>（4）船舶荷载</w:t>
      </w:r>
    </w:p>
    <w:p w14:paraId="7DE06031">
      <w:pPr>
        <w:pStyle w:val="93"/>
      </w:pPr>
      <w:r>
        <w:rPr>
          <w:rFonts w:hint="eastAsia" w:ascii="宋体" w:hAnsi="宋体" w:eastAsia="宋体" w:cs="宋体"/>
        </w:rPr>
        <w:t>①</w:t>
      </w:r>
      <w:r>
        <w:rPr>
          <w:rFonts w:hint="eastAsia"/>
        </w:rPr>
        <w:t>船舶系缆力</w:t>
      </w:r>
    </w:p>
    <w:p w14:paraId="23D73981">
      <w:pPr>
        <w:pStyle w:val="93"/>
      </w:pPr>
      <w:r>
        <w:rPr>
          <w:rFonts w:hint="eastAsia"/>
        </w:rPr>
        <w:t>系缆力标准值按1000DWT泊位进行计算。根据风流最不利工况进行组合，最大系缆力标准值为217kN，兼顾水流力，码头面选用250kN系船柱。</w:t>
      </w:r>
    </w:p>
    <w:p w14:paraId="12C5CD87">
      <w:pPr>
        <w:ind w:firstLine="480"/>
      </w:pPr>
      <w:r>
        <w:rPr>
          <w:rFonts w:hint="eastAsia" w:ascii="宋体" w:hAnsi="宋体" w:eastAsia="宋体" w:cs="宋体"/>
        </w:rPr>
        <w:t>②</w:t>
      </w:r>
      <w:r>
        <w:rPr>
          <w:rFonts w:hint="eastAsia"/>
        </w:rPr>
        <w:t>船舶靠泊撞击力</w:t>
      </w:r>
    </w:p>
    <w:p w14:paraId="496A6858">
      <w:pPr>
        <w:ind w:firstLine="480"/>
      </w:pPr>
      <w:r>
        <w:t>10</w:t>
      </w:r>
      <w:r>
        <w:rPr>
          <w:rFonts w:hint="eastAsia"/>
        </w:rPr>
        <w:t>00t级船舶的有效撞击能量</w:t>
      </w:r>
      <w:r>
        <w:rPr>
          <w:rFonts w:hint="eastAsia"/>
          <w:i/>
          <w:iCs/>
        </w:rPr>
        <w:t>E</w:t>
      </w:r>
      <w:r>
        <w:rPr>
          <w:rFonts w:hint="eastAsia"/>
          <w:i/>
          <w:iCs/>
          <w:vertAlign w:val="subscript"/>
        </w:rPr>
        <w:t>0</w:t>
      </w:r>
      <w:r>
        <w:rPr>
          <w:rFonts w:hint="eastAsia"/>
        </w:rPr>
        <w:t>=76.2kJ，橡胶护舷采用SA400H×2000L标准反力型橡胶护舷，变形52.5%时，反力为550kN，吸能为92kJ。</w:t>
      </w:r>
    </w:p>
    <w:p w14:paraId="1231C992">
      <w:pPr>
        <w:ind w:firstLine="480"/>
      </w:pPr>
      <w:r>
        <w:rPr>
          <w:rFonts w:hint="eastAsia" w:ascii="宋体" w:hAnsi="宋体" w:eastAsia="宋体" w:cs="宋体"/>
        </w:rPr>
        <w:t>③</w:t>
      </w:r>
      <w:r>
        <w:rPr>
          <w:rFonts w:hint="eastAsia"/>
        </w:rPr>
        <w:t>挤</w:t>
      </w:r>
      <w:r>
        <w:rPr>
          <w:rFonts w:hint="eastAsia"/>
          <w:lang w:eastAsia="zh-CN"/>
        </w:rPr>
        <w:t>压</w:t>
      </w:r>
      <w:r>
        <w:rPr>
          <w:rFonts w:hint="eastAsia"/>
        </w:rPr>
        <w:t>力</w:t>
      </w:r>
    </w:p>
    <w:p w14:paraId="1B0E9219">
      <w:pPr>
        <w:ind w:firstLine="480"/>
      </w:pPr>
      <w:r>
        <w:rPr>
          <w:rFonts w:hint="eastAsia"/>
        </w:rPr>
        <w:t>船舶停靠码头后，由吹拢风产生的船舶挤靠力，由船舶的直线段与码头护舷相接触，并传递给码头结构。经计算，其反力值远小于船舶靠泊撞击力，对码头结构不起控制作用。</w:t>
      </w:r>
    </w:p>
    <w:p w14:paraId="19079B6E">
      <w:pPr>
        <w:ind w:firstLine="480"/>
      </w:pPr>
      <w:r>
        <w:rPr>
          <w:rFonts w:hint="eastAsia"/>
        </w:rPr>
        <w:t>（5）地震作用</w:t>
      </w:r>
    </w:p>
    <w:p w14:paraId="53E29657">
      <w:pPr>
        <w:pStyle w:val="93"/>
      </w:pPr>
      <w:r>
        <w:rPr>
          <w:rFonts w:hint="eastAsia"/>
        </w:rPr>
        <w:t>根据《中国地震动参数区划图》（GB18306-2015）及《建筑抗震设计规范》（GB50011-2010（2016年版）），拟建场区设计基本地震加速度值为0.065g，抗震设防烈度6度，特征周期0.65s。</w:t>
      </w:r>
    </w:p>
    <w:p w14:paraId="36AE571B">
      <w:pPr>
        <w:pStyle w:val="82"/>
      </w:pPr>
      <w:bookmarkStart w:id="160" w:name="_Toc1002"/>
      <w:bookmarkEnd w:id="160"/>
      <w:r>
        <w:rPr>
          <w:rFonts w:hint="eastAsia"/>
        </w:rPr>
        <w:t>水工建筑物结构方案</w:t>
      </w:r>
    </w:p>
    <w:p w14:paraId="595075EF">
      <w:pPr>
        <w:pStyle w:val="93"/>
      </w:pPr>
      <w:bookmarkStart w:id="161" w:name="_Toc24339"/>
      <w:bookmarkEnd w:id="161"/>
      <w:r>
        <w:rPr>
          <w:rFonts w:hint="eastAsia"/>
        </w:rPr>
        <w:t>1、码头结构方案</w:t>
      </w:r>
    </w:p>
    <w:p w14:paraId="7EC92477">
      <w:pPr>
        <w:ind w:firstLine="480"/>
      </w:pPr>
      <w:r>
        <w:rPr>
          <w:rFonts w:hint="eastAsia"/>
        </w:rPr>
        <w:t>结合场地地质、水文、码头等设计条件综合考虑，码头水工结构拟采用扶壁式结构。</w:t>
      </w:r>
    </w:p>
    <w:p w14:paraId="0588F6D9">
      <w:pPr>
        <w:ind w:firstLine="480" w:firstLineChars="0"/>
      </w:pPr>
      <w:bookmarkStart w:id="162" w:name="_Toc25677"/>
      <w:bookmarkEnd w:id="162"/>
      <w:r>
        <w:rPr>
          <w:rFonts w:hint="eastAsia"/>
        </w:rPr>
        <w:t>（1）1#-2#煤炭卸船泊位码头结构</w:t>
      </w:r>
    </w:p>
    <w:p w14:paraId="7272A1FE">
      <w:pPr>
        <w:pStyle w:val="93"/>
      </w:pPr>
      <w:r>
        <w:rPr>
          <w:rFonts w:hint="eastAsia"/>
        </w:rPr>
        <w:t>钢筋混凝土扶壁式结构：码头顶高程▽7.2m，护轮坎顶高程▽7.5m，设计底高程▽-</w:t>
      </w:r>
      <w:r>
        <w:t>1.66</w:t>
      </w:r>
      <w:r>
        <w:rPr>
          <w:rFonts w:hint="eastAsia"/>
        </w:rPr>
        <w:t>m。立板厚0.6m，底板宽10.7m，底板厚0.8m，肋板间距为4.2m，肋板宽度0.6m，前轨道梁位于扶壁肋板上，底高程▽6.0m，前轨距码头前沿2.5m。底板下设置0.1m素砼垫层。地基处理采用1.6m抛石换填。后轨道梁呈倒T</w:t>
      </w:r>
      <w:r>
        <w:rPr>
          <w:rFonts w:hint="eastAsia"/>
          <w:lang w:eastAsia="zh-CN"/>
        </w:rPr>
        <w:t>形</w:t>
      </w:r>
      <w:r>
        <w:rPr>
          <w:rFonts w:hint="eastAsia"/>
        </w:rPr>
        <w:t>结构，上部宽度为1.0m，下部宽度为1.4m，高度为1.5m，轨道梁下部采用Φ800mmPHC桩，间距为4.2m，桩长为22m。</w:t>
      </w:r>
    </w:p>
    <w:p w14:paraId="32BD9233">
      <w:pPr>
        <w:pStyle w:val="196"/>
      </w:pPr>
      <w:r>
        <w:rPr>
          <w:rFonts w:hint="eastAsia"/>
        </w:rPr>
        <w:drawing>
          <wp:inline distT="0" distB="0" distL="0" distR="0">
            <wp:extent cx="5638800" cy="4635500"/>
            <wp:effectExtent l="0" t="0" r="0" b="0"/>
            <wp:docPr id="659409884" name="图片 23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09884" name="图片 235" descr="图示, 工程绘图&#10;&#10;描述已自动生成"/>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650595" cy="4645756"/>
                    </a:xfrm>
                    <a:prstGeom prst="rect">
                      <a:avLst/>
                    </a:prstGeom>
                    <a:noFill/>
                    <a:ln>
                      <a:noFill/>
                    </a:ln>
                  </pic:spPr>
                </pic:pic>
              </a:graphicData>
            </a:graphic>
          </wp:inline>
        </w:drawing>
      </w:r>
      <w:r>
        <w:rPr>
          <w:rFonts w:hint="eastAsia"/>
        </w:rPr>
        <w:t xml:space="preserve"> </w:t>
      </w:r>
    </w:p>
    <w:p w14:paraId="2D9E6AFF">
      <w:pPr>
        <w:pStyle w:val="90"/>
      </w:pPr>
      <w:r>
        <w:rPr>
          <w:rFonts w:hint="eastAsia"/>
        </w:rPr>
        <w:t>图3.3</w:t>
      </w:r>
      <w:r>
        <w:t>-1</w:t>
      </w:r>
      <w:r>
        <w:rPr>
          <w:rFonts w:hint="eastAsia"/>
        </w:rPr>
        <w:t xml:space="preserve">  散货泊位水工结构（有轨）方案</w:t>
      </w:r>
    </w:p>
    <w:p w14:paraId="317B8284">
      <w:pPr>
        <w:ind w:firstLine="480" w:firstLineChars="0"/>
      </w:pPr>
      <w:bookmarkStart w:id="163" w:name="_Toc12017"/>
      <w:bookmarkEnd w:id="163"/>
      <w:r>
        <w:rPr>
          <w:rFonts w:hint="eastAsia"/>
        </w:rPr>
        <w:t>（2）待泊泊位码头结构</w:t>
      </w:r>
    </w:p>
    <w:p w14:paraId="6A4ADF89">
      <w:pPr>
        <w:pStyle w:val="93"/>
      </w:pPr>
      <w:r>
        <w:rPr>
          <w:rFonts w:hint="eastAsia"/>
        </w:rPr>
        <w:t>钢筋混凝土扶壁式结构：码头顶高程▽7.2m，护轮坎顶高程▽7.5m，设计底高程▽-</w:t>
      </w:r>
      <w:r>
        <w:t>1.6</w:t>
      </w:r>
      <w:r>
        <w:rPr>
          <w:rFonts w:hint="eastAsia"/>
        </w:rPr>
        <w:t>6m。立板厚0.6m，底板宽10.4m，底板厚0.8m，肋板间距为4.2m，肋板宽度0.6m。底板下设置0.1m素砼垫层。地基处理采用1.2m抛石换填。</w:t>
      </w:r>
    </w:p>
    <w:p w14:paraId="556E85F3">
      <w:pPr>
        <w:pStyle w:val="196"/>
      </w:pPr>
      <w:r>
        <w:rPr>
          <w:rFonts w:hint="eastAsia"/>
        </w:rPr>
        <w:drawing>
          <wp:inline distT="0" distB="0" distL="0" distR="0">
            <wp:extent cx="5423535" cy="3185160"/>
            <wp:effectExtent l="0" t="0" r="5715" b="0"/>
            <wp:docPr id="450946286" name="图片 23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946286" name="图片 234" descr="图示, 工程绘图&#10;&#10;描述已自动生成"/>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436281" cy="3192737"/>
                    </a:xfrm>
                    <a:prstGeom prst="rect">
                      <a:avLst/>
                    </a:prstGeom>
                    <a:noFill/>
                    <a:ln>
                      <a:noFill/>
                    </a:ln>
                  </pic:spPr>
                </pic:pic>
              </a:graphicData>
            </a:graphic>
          </wp:inline>
        </w:drawing>
      </w:r>
      <w:r>
        <w:rPr>
          <w:rFonts w:hint="eastAsia"/>
        </w:rPr>
        <w:t xml:space="preserve"> </w:t>
      </w:r>
    </w:p>
    <w:p w14:paraId="0C15ACCC">
      <w:pPr>
        <w:pStyle w:val="90"/>
      </w:pPr>
      <w:r>
        <w:rPr>
          <w:rFonts w:hint="eastAsia"/>
        </w:rPr>
        <w:t>图3.3-2  待泊泊位码头结构</w:t>
      </w:r>
    </w:p>
    <w:p w14:paraId="3692C8B4">
      <w:pPr>
        <w:ind w:firstLine="480"/>
      </w:pPr>
      <w:bookmarkStart w:id="164" w:name="_Toc21521"/>
      <w:bookmarkEnd w:id="164"/>
      <w:bookmarkStart w:id="165" w:name="_Toc9408"/>
      <w:bookmarkEnd w:id="165"/>
      <w:r>
        <w:rPr>
          <w:rFonts w:hint="eastAsia"/>
        </w:rPr>
        <w:t>（3）翼墙</w:t>
      </w:r>
    </w:p>
    <w:p w14:paraId="382A7CE1">
      <w:pPr>
        <w:pStyle w:val="93"/>
      </w:pPr>
      <w:r>
        <w:rPr>
          <w:rFonts w:hint="eastAsia"/>
        </w:rPr>
        <w:t>素混凝土重力式结构：码头顶高程▽7.2，护轮坎顶高程▽7.5，前沿河底高程▽-1.66。底板宽9.6m，底板厚0.8m。地基处理采用1.2m抛石换填。</w:t>
      </w:r>
    </w:p>
    <w:p w14:paraId="51059542">
      <w:pPr>
        <w:pStyle w:val="196"/>
      </w:pPr>
      <w:r>
        <w:drawing>
          <wp:inline distT="0" distB="0" distL="0" distR="0">
            <wp:extent cx="5274310" cy="3034030"/>
            <wp:effectExtent l="0" t="0" r="2540" b="0"/>
            <wp:docPr id="177819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9712" name="图片 1"/>
                    <pic:cNvPicPr>
                      <a:picLocks noChangeAspect="1"/>
                    </pic:cNvPicPr>
                  </pic:nvPicPr>
                  <pic:blipFill>
                    <a:blip r:embed="rId32"/>
                    <a:stretch>
                      <a:fillRect/>
                    </a:stretch>
                  </pic:blipFill>
                  <pic:spPr>
                    <a:xfrm>
                      <a:off x="0" y="0"/>
                      <a:ext cx="5274310" cy="3034030"/>
                    </a:xfrm>
                    <a:prstGeom prst="rect">
                      <a:avLst/>
                    </a:prstGeom>
                  </pic:spPr>
                </pic:pic>
              </a:graphicData>
            </a:graphic>
          </wp:inline>
        </w:drawing>
      </w:r>
      <w:r>
        <w:rPr>
          <w:rFonts w:hint="eastAsia"/>
        </w:rPr>
        <w:t xml:space="preserve"> </w:t>
      </w:r>
    </w:p>
    <w:p w14:paraId="5E3BF6CB">
      <w:pPr>
        <w:pStyle w:val="90"/>
      </w:pPr>
      <w:r>
        <w:rPr>
          <w:rFonts w:hint="eastAsia"/>
        </w:rPr>
        <w:t>图3.3-4  翼墙水工结构</w:t>
      </w:r>
    </w:p>
    <w:p w14:paraId="3D77A037">
      <w:pPr>
        <w:pStyle w:val="80"/>
      </w:pPr>
      <w:bookmarkStart w:id="166" w:name="_Toc7703"/>
      <w:bookmarkEnd w:id="166"/>
      <w:bookmarkStart w:id="167" w:name="_Toc182171811"/>
      <w:r>
        <w:rPr>
          <w:rFonts w:hint="eastAsia"/>
        </w:rPr>
        <w:t>施工方案</w:t>
      </w:r>
      <w:bookmarkEnd w:id="167"/>
    </w:p>
    <w:p w14:paraId="314A28FC">
      <w:pPr>
        <w:pStyle w:val="82"/>
      </w:pPr>
      <w:r>
        <w:rPr>
          <w:rFonts w:hint="eastAsia"/>
        </w:rPr>
        <w:t>施工条件</w:t>
      </w:r>
    </w:p>
    <w:p w14:paraId="05131E92">
      <w:pPr>
        <w:pStyle w:val="93"/>
      </w:pPr>
      <w:r>
        <w:rPr>
          <w:rFonts w:hint="eastAsia"/>
        </w:rPr>
        <w:t>本项目为国能涟水一期热电联产项目配套项目，后方为拟建电厂区域，电厂项目施工阶段外部配套条件齐全，故本项目施工期间交通条件、给排水、供电、通信、建筑材料等均可依托电厂项目。</w:t>
      </w:r>
    </w:p>
    <w:p w14:paraId="49888468">
      <w:pPr>
        <w:pStyle w:val="82"/>
      </w:pPr>
      <w:r>
        <w:rPr>
          <w:rFonts w:hint="eastAsia"/>
        </w:rPr>
        <w:t>施工方案</w:t>
      </w:r>
    </w:p>
    <w:p w14:paraId="154C5A8F">
      <w:pPr>
        <w:pStyle w:val="84"/>
      </w:pPr>
      <w:r>
        <w:rPr>
          <w:rFonts w:hint="eastAsia"/>
        </w:rPr>
        <w:t>施工现场布置</w:t>
      </w:r>
    </w:p>
    <w:p w14:paraId="2D3ACC15">
      <w:pPr>
        <w:pStyle w:val="93"/>
      </w:pPr>
      <w:r>
        <w:rPr>
          <w:rFonts w:hint="eastAsia"/>
        </w:rPr>
        <w:t>本项目施工时序考虑与后期电厂项目同时进行，本项目施工区不再单独设置施工营地、施工材料临时堆放区、施工机械设备堆放区、临时化粪池和临时沉淀池、临时堆土区等临时设施，上述区域均依托使用。疏浚水下土方干化场位于国能涟水一期热电联产项目施工空地内。</w:t>
      </w:r>
      <w:r>
        <w:rPr>
          <w:rStyle w:val="140"/>
          <w:rFonts w:hint="eastAsia"/>
          <w:color w:val="auto"/>
        </w:rPr>
        <w:t>本项目为热电项目配套码头项目，规划为同时施工，统一安排施工建设时序，并同时投入生产</w:t>
      </w:r>
      <w:r>
        <w:rPr>
          <w:rFonts w:hint="eastAsia"/>
        </w:rPr>
        <w:t>。</w:t>
      </w:r>
    </w:p>
    <w:p w14:paraId="43B41AF2">
      <w:pPr>
        <w:pStyle w:val="84"/>
      </w:pPr>
      <w:r>
        <w:rPr>
          <w:rFonts w:hint="eastAsia"/>
        </w:rPr>
        <w:t>施工方案</w:t>
      </w:r>
    </w:p>
    <w:p w14:paraId="6F7A7D2B">
      <w:pPr>
        <w:pStyle w:val="93"/>
      </w:pPr>
      <w:r>
        <w:rPr>
          <w:rFonts w:hint="eastAsia"/>
        </w:rPr>
        <w:t>（1）施工工艺及方法</w:t>
      </w:r>
    </w:p>
    <w:p w14:paraId="4920D0DC">
      <w:pPr>
        <w:pStyle w:val="93"/>
      </w:pPr>
      <w:r>
        <w:rPr>
          <w:rFonts w:hint="eastAsia" w:ascii="宋体" w:hAnsi="宋体" w:eastAsia="宋体" w:cs="宋体"/>
        </w:rPr>
        <w:t>①</w:t>
      </w:r>
      <w:r>
        <w:rPr>
          <w:rFonts w:hint="eastAsia"/>
        </w:rPr>
        <w:t>码头岸线泊位施工应在枯水季节进行（每年11月至来年5月）。</w:t>
      </w:r>
    </w:p>
    <w:p w14:paraId="0AF953AE">
      <w:pPr>
        <w:pStyle w:val="93"/>
      </w:pPr>
      <w:r>
        <w:rPr>
          <w:rFonts w:hint="eastAsia" w:ascii="宋体" w:hAnsi="宋体" w:eastAsia="宋体" w:cs="宋体"/>
        </w:rPr>
        <w:t>②</w:t>
      </w:r>
      <w:r>
        <w:rPr>
          <w:rFonts w:hint="eastAsia"/>
        </w:rPr>
        <w:t>本项目码头水工建筑物施工利用</w:t>
      </w:r>
      <w:r>
        <w:rPr>
          <w:rFonts w:hint="eastAsia"/>
          <w:bCs/>
        </w:rPr>
        <w:t>原盐河河堤</w:t>
      </w:r>
      <w:r>
        <w:rPr>
          <w:rFonts w:hint="eastAsia"/>
        </w:rPr>
        <w:t>形成临时施工围堰，实现土方利用。为确保安全，在开挖码头前沿时，将部分挖方用于加固围堰，防止发生渗流、管涌等事故。根据工程地质条件，围堰迎水侧基本利用原河岸线坡面，顶宽不小于5m，背水侧放坡不小于1</w:t>
      </w:r>
      <w:r>
        <w:rPr>
          <w:rFonts w:hint="eastAsia"/>
          <w:lang w:eastAsia="zh-CN"/>
        </w:rPr>
        <w:t>:</w:t>
      </w:r>
      <w:r>
        <w:rPr>
          <w:rFonts w:hint="eastAsia"/>
        </w:rPr>
        <w:t>2.5，施工时还应做好降排水工作。</w:t>
      </w:r>
    </w:p>
    <w:p w14:paraId="1A0BDFD4">
      <w:pPr>
        <w:pStyle w:val="93"/>
      </w:pPr>
      <w:r>
        <w:rPr>
          <w:rFonts w:hint="eastAsia" w:ascii="宋体" w:hAnsi="宋体" w:eastAsia="宋体" w:cs="宋体"/>
        </w:rPr>
        <w:t>③</w:t>
      </w:r>
      <w:r>
        <w:rPr>
          <w:rFonts w:hint="eastAsia"/>
        </w:rPr>
        <w:t>本项目水工结构为常见型式，可按正常施工工艺进行施工。</w:t>
      </w:r>
    </w:p>
    <w:p w14:paraId="54968289">
      <w:pPr>
        <w:pStyle w:val="93"/>
      </w:pPr>
      <w:r>
        <w:rPr>
          <w:rFonts w:hint="eastAsia"/>
        </w:rPr>
        <w:t>（2）各主要工程项目的施工方法</w:t>
      </w:r>
    </w:p>
    <w:p w14:paraId="2D1A964A">
      <w:pPr>
        <w:pStyle w:val="93"/>
      </w:pPr>
      <w:r>
        <w:rPr>
          <w:rFonts w:hint="eastAsia" w:ascii="宋体" w:hAnsi="宋体" w:eastAsia="宋体" w:cs="宋体"/>
        </w:rPr>
        <w:t>①</w:t>
      </w:r>
      <w:r>
        <w:rPr>
          <w:rFonts w:hint="eastAsia"/>
        </w:rPr>
        <w:t>水工建筑物</w:t>
      </w:r>
    </w:p>
    <w:p w14:paraId="70046A86">
      <w:pPr>
        <w:pStyle w:val="93"/>
      </w:pPr>
      <w:r>
        <w:rPr>
          <w:rFonts w:hint="eastAsia"/>
        </w:rPr>
        <w:t>本项目水工建筑物上部结构全部采用现浇结构，基坑开挖达到标高后，即可进行换填块石的施工，</w:t>
      </w:r>
      <w:r>
        <w:rPr>
          <w:rFonts w:hint="eastAsia"/>
          <w:lang w:eastAsia="zh-CN"/>
        </w:rPr>
        <w:t>基坑</w:t>
      </w:r>
      <w:r>
        <w:rPr>
          <w:rFonts w:hint="eastAsia"/>
        </w:rPr>
        <w:t>施工结束后可进行底板的施工，现浇钢筋砼采用现场人工制作钢筋，现场搅拌砼或者购置商品砼的方式施工；待底板施工完毕并达到设计强度后，再进行立板、肋板的施工，墙身砼强度达到设计强度的80%后进行土方回填压实，压实度要达到设计要求；码头土方清除完毕并验收合格后，再进行码头面板施工及附属设施安装翼墙采用重力式结构，当底板浇筑完成且砼强度达到80%的设计强度后，将底板冲刷干净再进行墙身砌筑。底板基础与墙身接触面须凿毛处理，以增加底板与墙身结合面的抗剪能力。墙身浇筑完成且强度达到设计要求后，方可进行土方回填压实，压实度应满足设计要求，其后进行面层结构施工。</w:t>
      </w:r>
    </w:p>
    <w:p w14:paraId="7477881E">
      <w:pPr>
        <w:pStyle w:val="93"/>
      </w:pPr>
      <w:r>
        <w:rPr>
          <w:rFonts w:hint="eastAsia" w:ascii="宋体" w:hAnsi="宋体" w:eastAsia="宋体" w:cs="宋体"/>
        </w:rPr>
        <w:t>②</w:t>
      </w:r>
      <w:r>
        <w:rPr>
          <w:rFonts w:hint="eastAsia"/>
        </w:rPr>
        <w:t>土方工程</w:t>
      </w:r>
    </w:p>
    <w:p w14:paraId="28ADE767">
      <w:pPr>
        <w:pStyle w:val="93"/>
      </w:pPr>
      <w:r>
        <w:rPr>
          <w:rFonts w:hint="eastAsia"/>
        </w:rPr>
        <w:t>土方施工以机械开挖为主，码头开挖以陆上开挖为主，辅以人工作业。码头工程对回填土的回填要求相对较高，要求墙身强度达80％以上方可进行墙后土回填，回填土应分层夯实，层厚不允许超过30cm，且应控制回填土施工速率，对墙身进行观测，如发现较大位移时应立即停止回填，待位移基本稳定后再继续施工，土方回填宜采用机械夯实。码头的回填土要求：</w:t>
      </w:r>
      <w:r>
        <w:rPr>
          <w:rFonts w:hint="eastAsia"/>
          <w:lang w:eastAsia="zh-CN"/>
        </w:rPr>
        <w:t>路基</w:t>
      </w:r>
      <w:r>
        <w:rPr>
          <w:rFonts w:hint="eastAsia"/>
        </w:rPr>
        <w:t>顶面以下0～80cm压实度为95%；路基顶面以下深度80～150cm，压实度为93%。回填土采用双控指标，要求回填土干容重应不小于15.5kN/m</w:t>
      </w:r>
      <w:r>
        <w:rPr>
          <w:rFonts w:hint="eastAsia"/>
          <w:vertAlign w:val="superscript"/>
        </w:rPr>
        <w:t>3</w:t>
      </w:r>
      <w:r>
        <w:rPr>
          <w:rFonts w:hint="eastAsia"/>
        </w:rPr>
        <w:t>，且应注意墙后边角处土的夯实。</w:t>
      </w:r>
    </w:p>
    <w:p w14:paraId="329321AD">
      <w:pPr>
        <w:pStyle w:val="93"/>
      </w:pPr>
      <w:bookmarkStart w:id="168" w:name="_Hlk181744937"/>
      <w:r>
        <w:rPr>
          <w:rFonts w:hint="eastAsia" w:ascii="宋体" w:hAnsi="宋体" w:eastAsia="宋体" w:cs="宋体"/>
        </w:rPr>
        <w:t>③</w:t>
      </w:r>
      <w:r>
        <w:rPr>
          <w:rFonts w:hint="eastAsia"/>
        </w:rPr>
        <w:t>疏浚工程</w:t>
      </w:r>
    </w:p>
    <w:p w14:paraId="5B8EED11">
      <w:pPr>
        <w:pStyle w:val="139"/>
        <w:ind w:firstLine="480"/>
        <w:rPr>
          <w:color w:val="auto"/>
        </w:rPr>
      </w:pPr>
      <w:r>
        <w:rPr>
          <w:rFonts w:hint="eastAsia"/>
          <w:color w:val="auto"/>
        </w:rPr>
        <w:t>本项目所处航道盐河涟水段Ⅲ级航道整治工程已经疏浚完毕，全线航道已达Ⅲ级，航道线形顺直，河面宽阔，可常年满足 1000 吨级船舶正常通航。本次疏浚工程仅为陆域部分开挖港池后的围堰水下土石方部分。按照新的《江苏省干线航道网规划（2023—2035年）》，盐河航道等级规划调整为二级。</w:t>
      </w:r>
    </w:p>
    <w:p w14:paraId="517FB9B8">
      <w:pPr>
        <w:pStyle w:val="93"/>
      </w:pPr>
      <w:r>
        <w:rPr>
          <w:rFonts w:hint="eastAsia"/>
        </w:rPr>
        <w:t>清淤疏浚工程应符合《省生态环境厅关于印发防范清淤疏浚工程对水质影响工作方案的通知》（苏环办〔2021〕185号）要求。施工应严格按照《疏浚与吹填工程设计规范》（JTS181-5-2012）、《疏浚与吹填工程施工规范》（JTS207-2012）的要求进行。</w:t>
      </w:r>
      <w:r>
        <w:rPr>
          <w:rStyle w:val="140"/>
          <w:rFonts w:hint="eastAsia"/>
          <w:color w:val="auto"/>
        </w:rPr>
        <w:t>具体疏浚范围和疏浚深度见图3.4-1</w:t>
      </w:r>
      <w:r>
        <w:rPr>
          <w:rFonts w:hint="eastAsia"/>
        </w:rPr>
        <w:t>。</w:t>
      </w:r>
    </w:p>
    <w:p w14:paraId="4C591E9A">
      <w:pPr>
        <w:pStyle w:val="139"/>
        <w:ind w:firstLine="480"/>
        <w:rPr>
          <w:color w:val="auto"/>
        </w:rPr>
      </w:pPr>
      <w:r>
        <w:rPr>
          <w:rFonts w:hint="eastAsia"/>
          <w:color w:val="auto"/>
        </w:rPr>
        <w:t>本项目疏浚作业</w:t>
      </w:r>
      <w:r>
        <w:rPr>
          <w:rStyle w:val="140"/>
          <w:rFonts w:hint="eastAsia"/>
          <w:color w:val="auto"/>
        </w:rPr>
        <w:t>选择两栖反铲式清淤船进行疏浚</w:t>
      </w:r>
      <w:r>
        <w:rPr>
          <w:rFonts w:hint="eastAsia"/>
          <w:color w:val="auto"/>
        </w:rPr>
        <w:t>，两栖反铲式清淤船就如陆用挖掘机一样，反铲挖泥船也使用柴油机驱动控制单元，主机和挖掘机</w:t>
      </w:r>
      <w:r>
        <w:rPr>
          <w:rFonts w:hint="eastAsia"/>
          <w:color w:val="auto"/>
          <w:lang w:eastAsia="zh-CN"/>
        </w:rPr>
        <w:t>的</w:t>
      </w:r>
      <w:r>
        <w:rPr>
          <w:rFonts w:hint="eastAsia"/>
          <w:color w:val="auto"/>
        </w:rPr>
        <w:t>机械手臂部分，通过旋转机械装置来挖掘水下土方，不必重新移动挖泥船。吊杆装置由液压缸驱动，这就意味着液压缸装满液体—通常是某种液体—通过施压来使挖掘装置延伸，通过减压使挖掘装置收缩。这就使得铲斗和吊杆容许承受很大的装载量。作业员坐在驾驶室里面控制吊杆的运动，挖出的水下土方通过泥舶转运至污泥干化场。</w:t>
      </w:r>
    </w:p>
    <w:p w14:paraId="11F7E313">
      <w:pPr>
        <w:pStyle w:val="139"/>
        <w:ind w:firstLine="480"/>
        <w:rPr>
          <w:color w:val="auto"/>
        </w:rPr>
      </w:pPr>
      <w:r>
        <w:rPr>
          <w:rFonts w:hint="eastAsia"/>
          <w:color w:val="auto"/>
        </w:rPr>
        <w:t>开工时应进行试挖，选择挖泥船最佳的横移速度、切削厚度、前移（进</w:t>
      </w:r>
      <w:r>
        <w:rPr>
          <w:rFonts w:hint="eastAsia"/>
          <w:color w:val="auto"/>
          <w:lang w:eastAsia="zh-CN"/>
        </w:rPr>
        <w:t>挡</w:t>
      </w:r>
      <w:r>
        <w:rPr>
          <w:rFonts w:hint="eastAsia"/>
          <w:color w:val="auto"/>
        </w:rPr>
        <w:t>）距离等挖泥技术参数，以达到最好的施工效果和挖泥工效。横向分层土层厚度1.0m（含超深）以上按“上层宜厚，下层宜薄”分多层开挖。疏浚之前应做好疏浚区的排查工作，清除水面障碍物。</w:t>
      </w:r>
    </w:p>
    <w:p w14:paraId="174C3439">
      <w:pPr>
        <w:pStyle w:val="139"/>
        <w:ind w:firstLine="480"/>
        <w:rPr>
          <w:color w:val="auto"/>
        </w:rPr>
      </w:pPr>
      <w:r>
        <w:rPr>
          <w:rFonts w:hint="eastAsia"/>
          <w:color w:val="auto"/>
        </w:rPr>
        <w:t>码头建成后，正常运营期港池不需要疏浚，在码头长期运行后，将根据港池淤积情况进行疏浚，不在本次评价范围内。</w:t>
      </w:r>
    </w:p>
    <w:bookmarkEnd w:id="168"/>
    <w:p w14:paraId="6DCEFD4E">
      <w:pPr>
        <w:pStyle w:val="93"/>
      </w:pPr>
      <w:r>
        <w:rPr>
          <w:rFonts w:hint="eastAsia" w:ascii="宋体" w:hAnsi="宋体" w:eastAsia="宋体" w:cs="宋体"/>
        </w:rPr>
        <w:t>④</w:t>
      </w:r>
      <w:r>
        <w:rPr>
          <w:rFonts w:hint="eastAsia"/>
        </w:rPr>
        <w:t>桩基施工</w:t>
      </w:r>
    </w:p>
    <w:p w14:paraId="38D89C63">
      <w:pPr>
        <w:ind w:firstLine="480"/>
        <w:rPr>
          <w:bCs/>
        </w:rPr>
      </w:pPr>
      <w:r>
        <w:rPr>
          <w:rFonts w:hint="eastAsia"/>
          <w:bCs/>
        </w:rPr>
        <w:t>后轨道梁PHC桩采用陆上运输至施工现场，采用打桩机锤击成桩。</w:t>
      </w:r>
    </w:p>
    <w:p w14:paraId="68F44FF7">
      <w:pPr>
        <w:ind w:firstLine="480"/>
        <w:rPr>
          <w:bCs/>
        </w:rPr>
      </w:pPr>
      <w:r>
        <w:rPr>
          <w:rFonts w:hint="eastAsia" w:ascii="宋体" w:hAnsi="宋体" w:eastAsia="宋体" w:cs="宋体"/>
          <w:bCs/>
        </w:rPr>
        <w:t>⑤</w:t>
      </w:r>
      <w:r>
        <w:rPr>
          <w:rFonts w:hint="eastAsia"/>
          <w:bCs/>
        </w:rPr>
        <w:t>设备安装工艺</w:t>
      </w:r>
    </w:p>
    <w:p w14:paraId="7FAC93F0">
      <w:pPr>
        <w:pStyle w:val="93"/>
      </w:pPr>
      <w:r>
        <w:rPr>
          <w:rFonts w:hint="eastAsia"/>
        </w:rPr>
        <w:t>工艺设备在厂家订购，</w:t>
      </w:r>
      <w:r>
        <w:rPr>
          <w:rFonts w:hint="eastAsia"/>
          <w:lang w:eastAsia="zh-CN"/>
        </w:rPr>
        <w:t>运至</w:t>
      </w:r>
      <w:r>
        <w:rPr>
          <w:rFonts w:hint="eastAsia"/>
        </w:rPr>
        <w:t>现场安装。</w:t>
      </w:r>
    </w:p>
    <w:p w14:paraId="1AB45CE5">
      <w:pPr>
        <w:pStyle w:val="84"/>
      </w:pPr>
      <w:r>
        <w:rPr>
          <w:rFonts w:hint="eastAsia"/>
        </w:rPr>
        <w:t>施工进度安排</w:t>
      </w:r>
    </w:p>
    <w:p w14:paraId="145C76AA">
      <w:pPr>
        <w:pStyle w:val="93"/>
      </w:pPr>
      <w:r>
        <w:rPr>
          <w:rFonts w:hint="eastAsia"/>
        </w:rPr>
        <w:t>本项目码头施工顺序安排如下：</w:t>
      </w:r>
    </w:p>
    <w:p w14:paraId="3A411773">
      <w:pPr>
        <w:pStyle w:val="93"/>
      </w:pPr>
      <w:r>
        <w:rPr>
          <w:rFonts w:hint="eastAsia"/>
        </w:rPr>
        <w:t>后方场地表土开挖、碾压回填、围堰形成与加固、码头结构施工、码头前沿面层结构施工、房建施工、设备基础施工、给排水工程施工、设备安装、电气工程施工、设备调试、绿化工程、水下工程验收、水上方开挖、放水、水下方疏浚、工程整体验收等。</w:t>
      </w:r>
    </w:p>
    <w:p w14:paraId="6E2D5963">
      <w:pPr>
        <w:pStyle w:val="93"/>
      </w:pPr>
      <w:r>
        <w:rPr>
          <w:rFonts w:hint="eastAsia"/>
        </w:rPr>
        <w:t>（1）水工建筑物</w:t>
      </w:r>
    </w:p>
    <w:p w14:paraId="5CCB1729">
      <w:pPr>
        <w:pStyle w:val="93"/>
      </w:pPr>
      <w:r>
        <w:rPr>
          <w:rFonts w:hint="eastAsia"/>
        </w:rPr>
        <w:t>码头区表层土方清除→形成施工围堰→基坑开挖→现浇钢筋砼扶壁式结构→墙后土方回填→码头附属设施安装→拆除围堰。</w:t>
      </w:r>
    </w:p>
    <w:p w14:paraId="764464D2">
      <w:pPr>
        <w:pStyle w:val="93"/>
      </w:pPr>
      <w:r>
        <w:rPr>
          <w:rFonts w:hint="eastAsia"/>
        </w:rPr>
        <w:t>（2）前沿路面</w:t>
      </w:r>
    </w:p>
    <w:p w14:paraId="38DCBFD4">
      <w:pPr>
        <w:pStyle w:val="93"/>
      </w:pPr>
      <w:r>
        <w:rPr>
          <w:rFonts w:hint="eastAsia"/>
        </w:rPr>
        <w:t>表层土方清除→回填土或开挖土方→铺设路基→铺设垫层→铺设基层→面层。</w:t>
      </w:r>
    </w:p>
    <w:p w14:paraId="07B80574">
      <w:pPr>
        <w:pStyle w:val="93"/>
      </w:pPr>
      <w:r>
        <w:rPr>
          <w:rFonts w:hint="eastAsia"/>
        </w:rPr>
        <w:t>（3）施工进度安排</w:t>
      </w:r>
    </w:p>
    <w:p w14:paraId="39B5FA06">
      <w:pPr>
        <w:pStyle w:val="93"/>
      </w:pPr>
      <w:r>
        <w:rPr>
          <w:rFonts w:hint="eastAsia"/>
          <w:bCs/>
        </w:rPr>
        <w:t>本项目施工期初步拟定为2025年2月</w:t>
      </w:r>
      <w:r>
        <w:rPr>
          <w:rFonts w:hint="eastAsia"/>
          <w:bCs/>
          <w:lang w:eastAsia="zh-CN"/>
        </w:rPr>
        <w:t>—</w:t>
      </w:r>
      <w:r>
        <w:rPr>
          <w:rFonts w:hint="eastAsia"/>
          <w:bCs/>
        </w:rPr>
        <w:t>202</w:t>
      </w:r>
      <w:r>
        <w:rPr>
          <w:bCs/>
        </w:rPr>
        <w:t>5</w:t>
      </w:r>
      <w:r>
        <w:rPr>
          <w:rFonts w:hint="eastAsia"/>
          <w:bCs/>
        </w:rPr>
        <w:t>年11月，工期为10个月。</w:t>
      </w:r>
      <w:r>
        <w:rPr>
          <w:rFonts w:hint="eastAsia"/>
        </w:rPr>
        <w:t xml:space="preserve">本环评建议涉水构筑物的施工及港池疏浚应选在枯水期施工（每年11月至来年5月），避开丰水期（6月至8月）及禁渔期（4月1日至6月30日），施工进度安排详见下表： </w:t>
      </w:r>
    </w:p>
    <w:p w14:paraId="15458B94">
      <w:pPr>
        <w:pStyle w:val="86"/>
      </w:pPr>
      <w:bookmarkStart w:id="169" w:name="_Hlk181747071"/>
      <w:r>
        <w:rPr>
          <w:rFonts w:hint="eastAsia"/>
        </w:rPr>
        <w:t>本项目施工时序表</w:t>
      </w:r>
    </w:p>
    <w:bookmarkEnd w:id="169"/>
    <w:tbl>
      <w:tblPr>
        <w:tblStyle w:val="38"/>
        <w:tblW w:w="9813"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79"/>
        <w:gridCol w:w="1134"/>
        <w:gridCol w:w="597"/>
        <w:gridCol w:w="709"/>
        <w:gridCol w:w="850"/>
        <w:gridCol w:w="992"/>
        <w:gridCol w:w="993"/>
        <w:gridCol w:w="850"/>
        <w:gridCol w:w="846"/>
        <w:gridCol w:w="850"/>
        <w:gridCol w:w="501"/>
        <w:gridCol w:w="812"/>
      </w:tblGrid>
      <w:tr w14:paraId="580B55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8" w:hRule="atLeast"/>
          <w:tblHeader/>
          <w:jc w:val="center"/>
        </w:trPr>
        <w:tc>
          <w:tcPr>
            <w:tcW w:w="679" w:type="dxa"/>
            <w:vMerge w:val="restart"/>
            <w:tcBorders>
              <w:top w:val="single" w:color="auto" w:sz="4" w:space="0"/>
              <w:left w:val="single" w:color="auto" w:sz="4" w:space="0"/>
              <w:bottom w:val="single" w:color="auto" w:sz="4" w:space="0"/>
              <w:right w:val="single" w:color="auto" w:sz="4" w:space="0"/>
            </w:tcBorders>
            <w:vAlign w:val="center"/>
          </w:tcPr>
          <w:p w14:paraId="2808669D">
            <w:pPr>
              <w:pStyle w:val="196"/>
              <w:rPr>
                <w:b/>
                <w:bCs/>
              </w:rPr>
            </w:pPr>
            <w:bookmarkStart w:id="170" w:name="_Hlk181747090"/>
            <w:r>
              <w:rPr>
                <w:rFonts w:hint="eastAsia"/>
                <w:b/>
                <w:bCs/>
              </w:rPr>
              <w:t>序号</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65555133">
            <w:pPr>
              <w:pStyle w:val="196"/>
              <w:rPr>
                <w:b/>
                <w:bCs/>
              </w:rPr>
            </w:pPr>
            <w:r>
              <w:rPr>
                <w:rFonts w:hint="eastAsia"/>
                <w:b/>
                <w:bCs/>
              </w:rPr>
              <w:t>时间</w:t>
            </w:r>
          </w:p>
          <w:p w14:paraId="15190C43">
            <w:pPr>
              <w:pStyle w:val="196"/>
              <w:rPr>
                <w:b/>
                <w:bCs/>
              </w:rPr>
            </w:pPr>
            <w:r>
              <w:rPr>
                <w:rFonts w:hint="eastAsia"/>
                <w:b/>
                <w:bCs/>
              </w:rPr>
              <w:t>项目</w:t>
            </w:r>
          </w:p>
        </w:tc>
        <w:tc>
          <w:tcPr>
            <w:tcW w:w="8000" w:type="dxa"/>
            <w:gridSpan w:val="10"/>
            <w:tcBorders>
              <w:top w:val="single" w:color="auto" w:sz="4" w:space="0"/>
              <w:left w:val="single" w:color="auto" w:sz="4" w:space="0"/>
              <w:bottom w:val="single" w:color="auto" w:sz="4" w:space="0"/>
              <w:right w:val="single" w:color="auto" w:sz="4" w:space="0"/>
            </w:tcBorders>
            <w:vAlign w:val="center"/>
          </w:tcPr>
          <w:p w14:paraId="7CF82E0B">
            <w:pPr>
              <w:pStyle w:val="196"/>
              <w:rPr>
                <w:b/>
                <w:bCs/>
              </w:rPr>
            </w:pPr>
            <w:r>
              <w:rPr>
                <w:rFonts w:hint="eastAsia"/>
                <w:b/>
                <w:bCs/>
              </w:rPr>
              <w:t>2025年2月</w:t>
            </w:r>
            <w:r>
              <w:rPr>
                <w:rFonts w:hint="eastAsia"/>
                <w:b/>
                <w:bCs/>
                <w:lang w:eastAsia="zh-CN"/>
              </w:rPr>
              <w:t>—</w:t>
            </w:r>
            <w:r>
              <w:rPr>
                <w:rFonts w:hint="eastAsia"/>
                <w:b/>
                <w:bCs/>
              </w:rPr>
              <w:t>202</w:t>
            </w:r>
            <w:r>
              <w:rPr>
                <w:b/>
                <w:bCs/>
              </w:rPr>
              <w:t>5</w:t>
            </w:r>
            <w:r>
              <w:rPr>
                <w:rFonts w:hint="eastAsia"/>
                <w:b/>
                <w:bCs/>
              </w:rPr>
              <w:t>年11月</w:t>
            </w:r>
          </w:p>
        </w:tc>
      </w:tr>
      <w:tr w14:paraId="61C75B7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68" w:hRule="atLeast"/>
          <w:tblHeader/>
          <w:jc w:val="center"/>
        </w:trPr>
        <w:tc>
          <w:tcPr>
            <w:tcW w:w="679" w:type="dxa"/>
            <w:vMerge w:val="continue"/>
            <w:tcBorders>
              <w:top w:val="single" w:color="auto" w:sz="4" w:space="0"/>
              <w:left w:val="single" w:color="auto" w:sz="4" w:space="0"/>
              <w:bottom w:val="single" w:color="auto" w:sz="4" w:space="0"/>
              <w:right w:val="single" w:color="auto" w:sz="4" w:space="0"/>
            </w:tcBorders>
            <w:vAlign w:val="center"/>
          </w:tcPr>
          <w:p w14:paraId="45E2CD73">
            <w:pPr>
              <w:pStyle w:val="196"/>
              <w:rPr>
                <w:b/>
                <w:bCs/>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28F09B6E">
            <w:pPr>
              <w:pStyle w:val="196"/>
              <w:rPr>
                <w:b/>
                <w:bCs/>
              </w:rPr>
            </w:pPr>
          </w:p>
        </w:tc>
        <w:tc>
          <w:tcPr>
            <w:tcW w:w="597" w:type="dxa"/>
            <w:tcBorders>
              <w:top w:val="single" w:color="auto" w:sz="4" w:space="0"/>
              <w:left w:val="single" w:color="auto" w:sz="4" w:space="0"/>
              <w:bottom w:val="single" w:color="auto" w:sz="4" w:space="0"/>
              <w:right w:val="single" w:color="auto" w:sz="4" w:space="0"/>
            </w:tcBorders>
            <w:vAlign w:val="center"/>
          </w:tcPr>
          <w:p w14:paraId="31879EF5">
            <w:pPr>
              <w:pStyle w:val="196"/>
              <w:rPr>
                <w:b/>
                <w:bCs/>
              </w:rPr>
            </w:pPr>
            <w:r>
              <w:rPr>
                <w:rFonts w:hint="eastAsia"/>
                <w:b/>
                <w:bCs/>
              </w:rPr>
              <w:t>1</w:t>
            </w:r>
          </w:p>
        </w:tc>
        <w:tc>
          <w:tcPr>
            <w:tcW w:w="709" w:type="dxa"/>
            <w:tcBorders>
              <w:top w:val="single" w:color="auto" w:sz="4" w:space="0"/>
              <w:left w:val="single" w:color="auto" w:sz="4" w:space="0"/>
              <w:bottom w:val="single" w:color="auto" w:sz="4" w:space="0"/>
              <w:right w:val="single" w:color="auto" w:sz="4" w:space="0"/>
            </w:tcBorders>
            <w:vAlign w:val="center"/>
          </w:tcPr>
          <w:p w14:paraId="3AE9E83C">
            <w:pPr>
              <w:pStyle w:val="196"/>
              <w:rPr>
                <w:b/>
                <w:bCs/>
              </w:rPr>
            </w:pPr>
            <w:r>
              <w:rPr>
                <w:rFonts w:hint="eastAsia"/>
                <w:b/>
                <w:bCs/>
              </w:rPr>
              <w:t>2</w:t>
            </w:r>
          </w:p>
        </w:tc>
        <w:tc>
          <w:tcPr>
            <w:tcW w:w="850" w:type="dxa"/>
            <w:tcBorders>
              <w:top w:val="single" w:color="auto" w:sz="4" w:space="0"/>
              <w:left w:val="single" w:color="auto" w:sz="4" w:space="0"/>
              <w:bottom w:val="single" w:color="auto" w:sz="4" w:space="0"/>
              <w:right w:val="single" w:color="auto" w:sz="4" w:space="0"/>
            </w:tcBorders>
            <w:vAlign w:val="center"/>
          </w:tcPr>
          <w:p w14:paraId="3A7F075C">
            <w:pPr>
              <w:pStyle w:val="196"/>
              <w:rPr>
                <w:b/>
                <w:bCs/>
              </w:rPr>
            </w:pPr>
            <w:r>
              <w:rPr>
                <w:rFonts w:hint="eastAsia"/>
                <w:b/>
                <w:bCs/>
              </w:rPr>
              <w:t>3</w:t>
            </w:r>
          </w:p>
        </w:tc>
        <w:tc>
          <w:tcPr>
            <w:tcW w:w="992" w:type="dxa"/>
            <w:tcBorders>
              <w:top w:val="single" w:color="auto" w:sz="4" w:space="0"/>
              <w:left w:val="single" w:color="auto" w:sz="4" w:space="0"/>
              <w:bottom w:val="single" w:color="auto" w:sz="4" w:space="0"/>
              <w:right w:val="single" w:color="auto" w:sz="4" w:space="0"/>
            </w:tcBorders>
            <w:vAlign w:val="center"/>
          </w:tcPr>
          <w:p w14:paraId="364A2BCA">
            <w:pPr>
              <w:pStyle w:val="196"/>
              <w:rPr>
                <w:b/>
                <w:bCs/>
              </w:rPr>
            </w:pPr>
            <w:r>
              <w:rPr>
                <w:rFonts w:hint="eastAsia"/>
                <w:b/>
                <w:bCs/>
              </w:rPr>
              <w:t>4</w:t>
            </w:r>
          </w:p>
        </w:tc>
        <w:tc>
          <w:tcPr>
            <w:tcW w:w="993" w:type="dxa"/>
            <w:tcBorders>
              <w:top w:val="single" w:color="auto" w:sz="4" w:space="0"/>
              <w:left w:val="single" w:color="auto" w:sz="4" w:space="0"/>
              <w:bottom w:val="single" w:color="auto" w:sz="4" w:space="0"/>
              <w:right w:val="single" w:color="auto" w:sz="4" w:space="0"/>
            </w:tcBorders>
            <w:vAlign w:val="center"/>
          </w:tcPr>
          <w:p w14:paraId="567EB647">
            <w:pPr>
              <w:pStyle w:val="196"/>
              <w:rPr>
                <w:b/>
                <w:bCs/>
              </w:rPr>
            </w:pPr>
            <w:r>
              <w:rPr>
                <w:rFonts w:hint="eastAsia"/>
                <w:b/>
                <w:bCs/>
              </w:rPr>
              <w:t>5</w:t>
            </w:r>
          </w:p>
        </w:tc>
        <w:tc>
          <w:tcPr>
            <w:tcW w:w="850" w:type="dxa"/>
            <w:tcBorders>
              <w:top w:val="single" w:color="auto" w:sz="4" w:space="0"/>
              <w:left w:val="single" w:color="auto" w:sz="4" w:space="0"/>
              <w:bottom w:val="single" w:color="auto" w:sz="4" w:space="0"/>
              <w:right w:val="single" w:color="auto" w:sz="4" w:space="0"/>
            </w:tcBorders>
            <w:vAlign w:val="center"/>
          </w:tcPr>
          <w:p w14:paraId="5623B016">
            <w:pPr>
              <w:pStyle w:val="196"/>
              <w:rPr>
                <w:b/>
                <w:bCs/>
              </w:rPr>
            </w:pPr>
            <w:r>
              <w:rPr>
                <w:rFonts w:hint="eastAsia"/>
                <w:b/>
                <w:bCs/>
              </w:rPr>
              <w:t>6</w:t>
            </w:r>
          </w:p>
        </w:tc>
        <w:tc>
          <w:tcPr>
            <w:tcW w:w="846" w:type="dxa"/>
            <w:tcBorders>
              <w:top w:val="single" w:color="auto" w:sz="4" w:space="0"/>
              <w:left w:val="single" w:color="auto" w:sz="4" w:space="0"/>
              <w:bottom w:val="single" w:color="auto" w:sz="4" w:space="0"/>
              <w:right w:val="single" w:color="auto" w:sz="4" w:space="0"/>
            </w:tcBorders>
            <w:vAlign w:val="center"/>
          </w:tcPr>
          <w:p w14:paraId="32272438">
            <w:pPr>
              <w:pStyle w:val="196"/>
              <w:rPr>
                <w:b/>
                <w:bCs/>
              </w:rPr>
            </w:pPr>
            <w:r>
              <w:rPr>
                <w:rFonts w:hint="eastAsia"/>
                <w:b/>
                <w:bCs/>
              </w:rPr>
              <w:t>7</w:t>
            </w:r>
          </w:p>
        </w:tc>
        <w:tc>
          <w:tcPr>
            <w:tcW w:w="850" w:type="dxa"/>
            <w:tcBorders>
              <w:top w:val="single" w:color="auto" w:sz="4" w:space="0"/>
              <w:left w:val="single" w:color="auto" w:sz="4" w:space="0"/>
              <w:bottom w:val="single" w:color="auto" w:sz="4" w:space="0"/>
              <w:right w:val="single" w:color="auto" w:sz="4" w:space="0"/>
            </w:tcBorders>
            <w:vAlign w:val="center"/>
          </w:tcPr>
          <w:p w14:paraId="22A54539">
            <w:pPr>
              <w:pStyle w:val="196"/>
              <w:rPr>
                <w:b/>
                <w:bCs/>
              </w:rPr>
            </w:pPr>
            <w:r>
              <w:rPr>
                <w:rFonts w:hint="eastAsia"/>
                <w:b/>
                <w:bCs/>
              </w:rPr>
              <w:t>8</w:t>
            </w:r>
          </w:p>
        </w:tc>
        <w:tc>
          <w:tcPr>
            <w:tcW w:w="501" w:type="dxa"/>
            <w:tcBorders>
              <w:top w:val="single" w:color="auto" w:sz="4" w:space="0"/>
              <w:left w:val="single" w:color="auto" w:sz="4" w:space="0"/>
              <w:bottom w:val="single" w:color="auto" w:sz="4" w:space="0"/>
              <w:right w:val="single" w:color="auto" w:sz="4" w:space="0"/>
            </w:tcBorders>
            <w:vAlign w:val="center"/>
          </w:tcPr>
          <w:p w14:paraId="395D5D1F">
            <w:pPr>
              <w:pStyle w:val="196"/>
              <w:rPr>
                <w:b/>
                <w:bCs/>
              </w:rPr>
            </w:pPr>
            <w:r>
              <w:rPr>
                <w:rFonts w:hint="eastAsia"/>
                <w:b/>
                <w:bCs/>
              </w:rPr>
              <w:t>9</w:t>
            </w:r>
          </w:p>
        </w:tc>
        <w:tc>
          <w:tcPr>
            <w:tcW w:w="812" w:type="dxa"/>
            <w:tcBorders>
              <w:top w:val="single" w:color="auto" w:sz="4" w:space="0"/>
              <w:left w:val="single" w:color="auto" w:sz="4" w:space="0"/>
              <w:bottom w:val="single" w:color="auto" w:sz="4" w:space="0"/>
              <w:right w:val="single" w:color="auto" w:sz="4" w:space="0"/>
            </w:tcBorders>
            <w:vAlign w:val="center"/>
          </w:tcPr>
          <w:p w14:paraId="4DCA37B1">
            <w:pPr>
              <w:pStyle w:val="196"/>
              <w:rPr>
                <w:b/>
                <w:bCs/>
              </w:rPr>
            </w:pPr>
            <w:r>
              <w:rPr>
                <w:rFonts w:hint="eastAsia"/>
                <w:b/>
                <w:bCs/>
              </w:rPr>
              <w:t>10</w:t>
            </w:r>
          </w:p>
        </w:tc>
      </w:tr>
      <w:tr w14:paraId="3D63CE7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380BC53C">
            <w:pPr>
              <w:pStyle w:val="196"/>
            </w:pPr>
            <w:r>
              <w:rPr>
                <w:rFonts w:hint="eastAsia"/>
              </w:rPr>
              <w:t>1</w:t>
            </w:r>
          </w:p>
        </w:tc>
        <w:tc>
          <w:tcPr>
            <w:tcW w:w="1134" w:type="dxa"/>
            <w:tcBorders>
              <w:top w:val="single" w:color="auto" w:sz="4" w:space="0"/>
              <w:left w:val="single" w:color="auto" w:sz="4" w:space="0"/>
              <w:bottom w:val="single" w:color="auto" w:sz="4" w:space="0"/>
              <w:right w:val="single" w:color="auto" w:sz="4" w:space="0"/>
            </w:tcBorders>
            <w:vAlign w:val="center"/>
          </w:tcPr>
          <w:p w14:paraId="369A57B4">
            <w:pPr>
              <w:pStyle w:val="196"/>
            </w:pPr>
            <w:r>
              <w:rPr>
                <w:rFonts w:hint="eastAsia"/>
              </w:rPr>
              <w:t>施工准备</w:t>
            </w:r>
          </w:p>
        </w:tc>
        <w:tc>
          <w:tcPr>
            <w:tcW w:w="597" w:type="dxa"/>
            <w:tcBorders>
              <w:top w:val="single" w:color="auto" w:sz="4" w:space="0"/>
              <w:left w:val="single" w:color="auto" w:sz="4" w:space="0"/>
              <w:bottom w:val="single" w:color="auto" w:sz="4" w:space="0"/>
              <w:right w:val="single" w:color="auto" w:sz="4" w:space="0"/>
            </w:tcBorders>
            <w:vAlign w:val="center"/>
          </w:tcPr>
          <w:p w14:paraId="5A23641D">
            <w:pPr>
              <w:pStyle w:val="196"/>
            </w:pPr>
            <w:r>
              <w:rPr>
                <w:rFonts w:hint="eastAsia"/>
              </w:rPr>
              <w:drawing>
                <wp:inline distT="0" distB="0" distL="0" distR="0">
                  <wp:extent cx="465455" cy="25400"/>
                  <wp:effectExtent l="0" t="0" r="0" b="0"/>
                  <wp:docPr id="109128287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82870" name="图片 2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65455" cy="25400"/>
                          </a:xfrm>
                          <a:prstGeom prst="rect">
                            <a:avLst/>
                          </a:prstGeom>
                          <a:noFill/>
                          <a:ln>
                            <a:noFill/>
                          </a:ln>
                        </pic:spPr>
                      </pic:pic>
                    </a:graphicData>
                  </a:graphic>
                </wp:inline>
              </w:drawing>
            </w:r>
          </w:p>
        </w:tc>
        <w:tc>
          <w:tcPr>
            <w:tcW w:w="709" w:type="dxa"/>
            <w:tcBorders>
              <w:top w:val="single" w:color="auto" w:sz="4" w:space="0"/>
              <w:left w:val="single" w:color="auto" w:sz="4" w:space="0"/>
              <w:bottom w:val="single" w:color="auto" w:sz="4" w:space="0"/>
              <w:right w:val="single" w:color="auto" w:sz="4" w:space="0"/>
            </w:tcBorders>
            <w:vAlign w:val="center"/>
          </w:tcPr>
          <w:p w14:paraId="1AC49091">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1EAD0F6">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285F2F61">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66A9770D">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E492443">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2700DF74">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789390F">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165EDF13">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50A0A196">
            <w:pPr>
              <w:pStyle w:val="196"/>
            </w:pPr>
          </w:p>
        </w:tc>
      </w:tr>
      <w:tr w14:paraId="24318C3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38F54077">
            <w:pPr>
              <w:pStyle w:val="196"/>
            </w:pPr>
            <w:r>
              <w:rPr>
                <w:rFonts w:hint="eastAsia"/>
              </w:rPr>
              <w:t>2</w:t>
            </w:r>
          </w:p>
        </w:tc>
        <w:tc>
          <w:tcPr>
            <w:tcW w:w="1134" w:type="dxa"/>
            <w:tcBorders>
              <w:top w:val="single" w:color="auto" w:sz="4" w:space="0"/>
              <w:left w:val="single" w:color="auto" w:sz="4" w:space="0"/>
              <w:bottom w:val="single" w:color="auto" w:sz="4" w:space="0"/>
              <w:right w:val="single" w:color="auto" w:sz="4" w:space="0"/>
            </w:tcBorders>
            <w:vAlign w:val="center"/>
          </w:tcPr>
          <w:p w14:paraId="33B6F1C5">
            <w:pPr>
              <w:pStyle w:val="196"/>
            </w:pPr>
            <w:r>
              <w:rPr>
                <w:rFonts w:hint="eastAsia"/>
              </w:rPr>
              <w:t>陆域地基处理</w:t>
            </w:r>
          </w:p>
        </w:tc>
        <w:tc>
          <w:tcPr>
            <w:tcW w:w="597" w:type="dxa"/>
            <w:tcBorders>
              <w:top w:val="single" w:color="auto" w:sz="4" w:space="0"/>
              <w:left w:val="single" w:color="auto" w:sz="4" w:space="0"/>
              <w:bottom w:val="single" w:color="auto" w:sz="4" w:space="0"/>
              <w:right w:val="single" w:color="auto" w:sz="4" w:space="0"/>
            </w:tcBorders>
            <w:vAlign w:val="center"/>
          </w:tcPr>
          <w:p w14:paraId="0C65D28F">
            <w:pPr>
              <w:pStyle w:val="196"/>
            </w:pPr>
            <w:r>
              <w:rPr>
                <w:rFonts w:hint="eastAsia"/>
              </w:rPr>
              <w:drawing>
                <wp:inline distT="0" distB="0" distL="0" distR="0">
                  <wp:extent cx="508000" cy="42545"/>
                  <wp:effectExtent l="0" t="0" r="6350" b="0"/>
                  <wp:docPr id="1043457695"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57695" name="图片 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08000" cy="42545"/>
                          </a:xfrm>
                          <a:prstGeom prst="rect">
                            <a:avLst/>
                          </a:prstGeom>
                          <a:noFill/>
                          <a:ln>
                            <a:noFill/>
                          </a:ln>
                        </pic:spPr>
                      </pic:pic>
                    </a:graphicData>
                  </a:graphic>
                </wp:inline>
              </w:drawing>
            </w:r>
          </w:p>
        </w:tc>
        <w:tc>
          <w:tcPr>
            <w:tcW w:w="709" w:type="dxa"/>
            <w:tcBorders>
              <w:top w:val="single" w:color="auto" w:sz="4" w:space="0"/>
              <w:left w:val="single" w:color="auto" w:sz="4" w:space="0"/>
              <w:bottom w:val="single" w:color="auto" w:sz="4" w:space="0"/>
              <w:right w:val="single" w:color="auto" w:sz="4" w:space="0"/>
            </w:tcBorders>
            <w:vAlign w:val="center"/>
          </w:tcPr>
          <w:p w14:paraId="394B7012">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E173E41">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7CBC03AC">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53E5E94D">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363406B7">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04F268DC">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2AD733F">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332B21FC">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18C3A22E">
            <w:pPr>
              <w:pStyle w:val="196"/>
            </w:pPr>
          </w:p>
        </w:tc>
      </w:tr>
      <w:tr w14:paraId="6E9780E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1BDBE03C">
            <w:pPr>
              <w:pStyle w:val="196"/>
            </w:pPr>
            <w:r>
              <w:rPr>
                <w:rFonts w:hint="eastAsia"/>
              </w:rPr>
              <w:t>3</w:t>
            </w:r>
          </w:p>
        </w:tc>
        <w:tc>
          <w:tcPr>
            <w:tcW w:w="1134" w:type="dxa"/>
            <w:tcBorders>
              <w:top w:val="single" w:color="auto" w:sz="4" w:space="0"/>
              <w:left w:val="single" w:color="auto" w:sz="4" w:space="0"/>
              <w:bottom w:val="single" w:color="auto" w:sz="4" w:space="0"/>
              <w:right w:val="single" w:color="auto" w:sz="4" w:space="0"/>
            </w:tcBorders>
            <w:vAlign w:val="center"/>
          </w:tcPr>
          <w:p w14:paraId="5D362C9F">
            <w:pPr>
              <w:pStyle w:val="196"/>
            </w:pPr>
            <w:r>
              <w:rPr>
                <w:rFonts w:hint="eastAsia"/>
              </w:rPr>
              <w:t>围堰施工</w:t>
            </w:r>
          </w:p>
        </w:tc>
        <w:tc>
          <w:tcPr>
            <w:tcW w:w="597" w:type="dxa"/>
            <w:tcBorders>
              <w:top w:val="single" w:color="auto" w:sz="4" w:space="0"/>
              <w:left w:val="single" w:color="auto" w:sz="4" w:space="0"/>
              <w:bottom w:val="single" w:color="auto" w:sz="4" w:space="0"/>
              <w:right w:val="single" w:color="auto" w:sz="4" w:space="0"/>
            </w:tcBorders>
            <w:vAlign w:val="center"/>
          </w:tcPr>
          <w:p w14:paraId="025AACE7">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6BA7C4ED">
            <w:pPr>
              <w:pStyle w:val="196"/>
            </w:pPr>
            <w:r>
              <w:rPr>
                <w:rFonts w:hint="eastAsia"/>
              </w:rPr>
              <w:drawing>
                <wp:inline distT="0" distB="0" distL="0" distR="0">
                  <wp:extent cx="1082040" cy="45085"/>
                  <wp:effectExtent l="0" t="0" r="0" b="0"/>
                  <wp:docPr id="490462145"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62145" name="图片 2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144578" cy="48345"/>
                          </a:xfrm>
                          <a:prstGeom prst="rect">
                            <a:avLst/>
                          </a:prstGeom>
                          <a:noFill/>
                          <a:ln>
                            <a:noFill/>
                          </a:ln>
                        </pic:spPr>
                      </pic:pic>
                    </a:graphicData>
                  </a:graphic>
                </wp:inline>
              </w:drawing>
            </w:r>
          </w:p>
        </w:tc>
        <w:tc>
          <w:tcPr>
            <w:tcW w:w="850" w:type="dxa"/>
            <w:tcBorders>
              <w:top w:val="single" w:color="auto" w:sz="4" w:space="0"/>
              <w:left w:val="single" w:color="auto" w:sz="4" w:space="0"/>
              <w:bottom w:val="single" w:color="auto" w:sz="4" w:space="0"/>
              <w:right w:val="single" w:color="auto" w:sz="4" w:space="0"/>
            </w:tcBorders>
            <w:vAlign w:val="center"/>
          </w:tcPr>
          <w:p w14:paraId="1E3A9BFB">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497EBB88">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1DED37F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30888CE5">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0191ED5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564A9BF0">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074D19AA">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33DE34AC">
            <w:pPr>
              <w:pStyle w:val="196"/>
            </w:pPr>
          </w:p>
        </w:tc>
      </w:tr>
      <w:tr w14:paraId="635E3E6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4537FBC6">
            <w:pPr>
              <w:pStyle w:val="196"/>
            </w:pPr>
            <w:r>
              <w:rPr>
                <w:rFonts w:hint="eastAsia"/>
              </w:rPr>
              <w:t>4</w:t>
            </w:r>
          </w:p>
        </w:tc>
        <w:tc>
          <w:tcPr>
            <w:tcW w:w="1134" w:type="dxa"/>
            <w:tcBorders>
              <w:top w:val="single" w:color="auto" w:sz="4" w:space="0"/>
              <w:left w:val="single" w:color="auto" w:sz="4" w:space="0"/>
              <w:bottom w:val="single" w:color="auto" w:sz="4" w:space="0"/>
              <w:right w:val="single" w:color="auto" w:sz="4" w:space="0"/>
            </w:tcBorders>
            <w:vAlign w:val="center"/>
          </w:tcPr>
          <w:p w14:paraId="0FC2B213">
            <w:pPr>
              <w:pStyle w:val="196"/>
            </w:pPr>
            <w:r>
              <w:rPr>
                <w:rFonts w:hint="eastAsia"/>
              </w:rPr>
              <w:t>港池土方开挖</w:t>
            </w:r>
          </w:p>
        </w:tc>
        <w:tc>
          <w:tcPr>
            <w:tcW w:w="597" w:type="dxa"/>
            <w:tcBorders>
              <w:top w:val="single" w:color="auto" w:sz="4" w:space="0"/>
              <w:left w:val="single" w:color="auto" w:sz="4" w:space="0"/>
              <w:bottom w:val="single" w:color="auto" w:sz="4" w:space="0"/>
              <w:right w:val="single" w:color="auto" w:sz="4" w:space="0"/>
            </w:tcBorders>
            <w:vAlign w:val="center"/>
          </w:tcPr>
          <w:p w14:paraId="3B363FE5">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2B3E087D">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5D86427">
            <w:pPr>
              <w:pStyle w:val="196"/>
            </w:pPr>
            <w:r>
              <w:rPr>
                <w:rFonts w:hint="eastAsia"/>
              </w:rPr>
              <w:drawing>
                <wp:anchor distT="0" distB="0" distL="114300" distR="114300" simplePos="0" relativeHeight="251661312" behindDoc="0" locked="0" layoutInCell="1" allowOverlap="1">
                  <wp:simplePos x="0" y="0"/>
                  <wp:positionH relativeFrom="column">
                    <wp:posOffset>-332740</wp:posOffset>
                  </wp:positionH>
                  <wp:positionV relativeFrom="paragraph">
                    <wp:posOffset>78105</wp:posOffset>
                  </wp:positionV>
                  <wp:extent cx="534035" cy="57150"/>
                  <wp:effectExtent l="0" t="0" r="0" b="0"/>
                  <wp:wrapNone/>
                  <wp:docPr id="1281972755"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72755" name="图片 2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34035" cy="57150"/>
                          </a:xfrm>
                          <a:prstGeom prst="rect">
                            <a:avLst/>
                          </a:prstGeom>
                          <a:noFill/>
                          <a:ln>
                            <a:noFill/>
                          </a:ln>
                        </pic:spPr>
                      </pic:pic>
                    </a:graphicData>
                  </a:graphic>
                </wp:anchor>
              </w:drawing>
            </w:r>
          </w:p>
        </w:tc>
        <w:tc>
          <w:tcPr>
            <w:tcW w:w="992" w:type="dxa"/>
            <w:tcBorders>
              <w:top w:val="single" w:color="auto" w:sz="4" w:space="0"/>
              <w:left w:val="single" w:color="auto" w:sz="4" w:space="0"/>
              <w:bottom w:val="single" w:color="auto" w:sz="4" w:space="0"/>
              <w:right w:val="single" w:color="auto" w:sz="4" w:space="0"/>
            </w:tcBorders>
            <w:vAlign w:val="center"/>
          </w:tcPr>
          <w:p w14:paraId="5986DD3F">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25E292C1">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024B9ED">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1BFD7B5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6715B99">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25D3DE24">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4BFDD196">
            <w:pPr>
              <w:pStyle w:val="196"/>
            </w:pPr>
          </w:p>
        </w:tc>
      </w:tr>
      <w:tr w14:paraId="64C983A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318D1098">
            <w:pPr>
              <w:pStyle w:val="196"/>
            </w:pPr>
            <w:r>
              <w:rPr>
                <w:rFonts w:hint="eastAsia"/>
              </w:rPr>
              <w:t>5</w:t>
            </w:r>
          </w:p>
        </w:tc>
        <w:tc>
          <w:tcPr>
            <w:tcW w:w="1134" w:type="dxa"/>
            <w:tcBorders>
              <w:top w:val="single" w:color="auto" w:sz="4" w:space="0"/>
              <w:left w:val="single" w:color="auto" w:sz="4" w:space="0"/>
              <w:bottom w:val="single" w:color="auto" w:sz="4" w:space="0"/>
              <w:right w:val="single" w:color="auto" w:sz="4" w:space="0"/>
            </w:tcBorders>
            <w:vAlign w:val="center"/>
          </w:tcPr>
          <w:p w14:paraId="0BC277E1">
            <w:pPr>
              <w:pStyle w:val="196"/>
            </w:pPr>
            <w:r>
              <w:rPr>
                <w:rFonts w:hint="eastAsia"/>
              </w:rPr>
              <w:t>清淤工程</w:t>
            </w:r>
          </w:p>
        </w:tc>
        <w:tc>
          <w:tcPr>
            <w:tcW w:w="597" w:type="dxa"/>
            <w:tcBorders>
              <w:top w:val="single" w:color="auto" w:sz="4" w:space="0"/>
              <w:left w:val="single" w:color="auto" w:sz="4" w:space="0"/>
              <w:bottom w:val="single" w:color="auto" w:sz="4" w:space="0"/>
              <w:right w:val="single" w:color="auto" w:sz="4" w:space="0"/>
            </w:tcBorders>
            <w:vAlign w:val="center"/>
          </w:tcPr>
          <w:p w14:paraId="3E7DB25A">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773008B3">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8CAAB59">
            <w:pPr>
              <w:pStyle w:val="196"/>
            </w:pPr>
            <w:r>
              <w:rPr>
                <w:rFonts w:hint="eastAsia"/>
              </w:rPr>
              <w:drawing>
                <wp:anchor distT="0" distB="0" distL="114300" distR="114300" simplePos="0" relativeHeight="251660288" behindDoc="0" locked="0" layoutInCell="1" allowOverlap="1">
                  <wp:simplePos x="0" y="0"/>
                  <wp:positionH relativeFrom="column">
                    <wp:posOffset>137795</wp:posOffset>
                  </wp:positionH>
                  <wp:positionV relativeFrom="paragraph">
                    <wp:posOffset>54610</wp:posOffset>
                  </wp:positionV>
                  <wp:extent cx="347345" cy="42545"/>
                  <wp:effectExtent l="0" t="0" r="0" b="0"/>
                  <wp:wrapNone/>
                  <wp:docPr id="948685508"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85508" name="图片 2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7345" cy="42545"/>
                          </a:xfrm>
                          <a:prstGeom prst="rect">
                            <a:avLst/>
                          </a:prstGeom>
                          <a:noFill/>
                          <a:ln>
                            <a:noFill/>
                          </a:ln>
                        </pic:spPr>
                      </pic:pic>
                    </a:graphicData>
                  </a:graphic>
                </wp:anchor>
              </w:drawing>
            </w:r>
          </w:p>
        </w:tc>
        <w:tc>
          <w:tcPr>
            <w:tcW w:w="992" w:type="dxa"/>
            <w:tcBorders>
              <w:top w:val="single" w:color="auto" w:sz="4" w:space="0"/>
              <w:left w:val="single" w:color="auto" w:sz="4" w:space="0"/>
              <w:bottom w:val="single" w:color="auto" w:sz="4" w:space="0"/>
              <w:right w:val="single" w:color="auto" w:sz="4" w:space="0"/>
            </w:tcBorders>
            <w:vAlign w:val="center"/>
          </w:tcPr>
          <w:p w14:paraId="621C3398">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6EF44C3F">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2D1DFAA8">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7225DCEA">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3198EDB3">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52E3CD0F">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083E9AE9">
            <w:pPr>
              <w:pStyle w:val="196"/>
            </w:pPr>
          </w:p>
        </w:tc>
      </w:tr>
      <w:tr w14:paraId="5DE29E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21CD9C67">
            <w:pPr>
              <w:pStyle w:val="196"/>
            </w:pPr>
            <w:r>
              <w:rPr>
                <w:rFonts w:hint="eastAsia"/>
              </w:rPr>
              <w:t>6</w:t>
            </w:r>
          </w:p>
        </w:tc>
        <w:tc>
          <w:tcPr>
            <w:tcW w:w="1134" w:type="dxa"/>
            <w:tcBorders>
              <w:top w:val="single" w:color="auto" w:sz="4" w:space="0"/>
              <w:left w:val="single" w:color="auto" w:sz="4" w:space="0"/>
              <w:bottom w:val="single" w:color="auto" w:sz="4" w:space="0"/>
              <w:right w:val="single" w:color="auto" w:sz="4" w:space="0"/>
            </w:tcBorders>
            <w:vAlign w:val="center"/>
          </w:tcPr>
          <w:p w14:paraId="67F5EE5D">
            <w:pPr>
              <w:pStyle w:val="196"/>
            </w:pPr>
            <w:r>
              <w:rPr>
                <w:rFonts w:hint="eastAsia"/>
              </w:rPr>
              <w:t>水工建筑物施工</w:t>
            </w:r>
          </w:p>
        </w:tc>
        <w:tc>
          <w:tcPr>
            <w:tcW w:w="597" w:type="dxa"/>
            <w:tcBorders>
              <w:top w:val="single" w:color="auto" w:sz="4" w:space="0"/>
              <w:left w:val="single" w:color="auto" w:sz="4" w:space="0"/>
              <w:bottom w:val="single" w:color="auto" w:sz="4" w:space="0"/>
              <w:right w:val="single" w:color="auto" w:sz="4" w:space="0"/>
            </w:tcBorders>
            <w:vAlign w:val="center"/>
          </w:tcPr>
          <w:p w14:paraId="60C6428B">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30F3C9C1">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38FC33D">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0D41B1A3">
            <w:pPr>
              <w:pStyle w:val="196"/>
            </w:pPr>
            <w:r>
              <w:rPr>
                <w:rFonts w:hint="eastAsia"/>
              </w:rPr>
              <w:drawing>
                <wp:anchor distT="0" distB="0" distL="114300" distR="114300" simplePos="0" relativeHeight="251662336" behindDoc="0" locked="0" layoutInCell="1" allowOverlap="1">
                  <wp:simplePos x="0" y="0"/>
                  <wp:positionH relativeFrom="column">
                    <wp:posOffset>-163195</wp:posOffset>
                  </wp:positionH>
                  <wp:positionV relativeFrom="paragraph">
                    <wp:posOffset>40005</wp:posOffset>
                  </wp:positionV>
                  <wp:extent cx="523240" cy="69850"/>
                  <wp:effectExtent l="0" t="0" r="0" b="6350"/>
                  <wp:wrapNone/>
                  <wp:docPr id="1091177544"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77544" name="图片 2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3240" cy="69850"/>
                          </a:xfrm>
                          <a:prstGeom prst="rect">
                            <a:avLst/>
                          </a:prstGeom>
                          <a:noFill/>
                          <a:ln>
                            <a:noFill/>
                          </a:ln>
                        </pic:spPr>
                      </pic:pic>
                    </a:graphicData>
                  </a:graphic>
                </wp:anchor>
              </w:drawing>
            </w:r>
          </w:p>
        </w:tc>
        <w:tc>
          <w:tcPr>
            <w:tcW w:w="993" w:type="dxa"/>
            <w:tcBorders>
              <w:top w:val="single" w:color="auto" w:sz="4" w:space="0"/>
              <w:left w:val="single" w:color="auto" w:sz="4" w:space="0"/>
              <w:bottom w:val="single" w:color="auto" w:sz="4" w:space="0"/>
              <w:right w:val="single" w:color="auto" w:sz="4" w:space="0"/>
            </w:tcBorders>
            <w:vAlign w:val="center"/>
          </w:tcPr>
          <w:p w14:paraId="2C486FB7">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71F28D7A">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012A84E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57391D88">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452ECA2A">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2F0E97CF">
            <w:pPr>
              <w:pStyle w:val="196"/>
            </w:pPr>
          </w:p>
        </w:tc>
      </w:tr>
      <w:tr w14:paraId="0533769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59F7521F">
            <w:pPr>
              <w:pStyle w:val="196"/>
            </w:pPr>
            <w:r>
              <w:rPr>
                <w:rFonts w:hint="eastAsia"/>
              </w:rPr>
              <w:t>7</w:t>
            </w:r>
          </w:p>
        </w:tc>
        <w:tc>
          <w:tcPr>
            <w:tcW w:w="1134" w:type="dxa"/>
            <w:tcBorders>
              <w:top w:val="single" w:color="auto" w:sz="4" w:space="0"/>
              <w:left w:val="single" w:color="auto" w:sz="4" w:space="0"/>
              <w:bottom w:val="single" w:color="auto" w:sz="4" w:space="0"/>
              <w:right w:val="single" w:color="auto" w:sz="4" w:space="0"/>
            </w:tcBorders>
            <w:vAlign w:val="center"/>
          </w:tcPr>
          <w:p w14:paraId="0016444F">
            <w:pPr>
              <w:pStyle w:val="196"/>
            </w:pPr>
            <w:r>
              <w:rPr>
                <w:rFonts w:hint="eastAsia"/>
              </w:rPr>
              <w:t>码头上部结构施工</w:t>
            </w:r>
          </w:p>
        </w:tc>
        <w:tc>
          <w:tcPr>
            <w:tcW w:w="597" w:type="dxa"/>
            <w:tcBorders>
              <w:top w:val="single" w:color="auto" w:sz="4" w:space="0"/>
              <w:left w:val="single" w:color="auto" w:sz="4" w:space="0"/>
              <w:bottom w:val="single" w:color="auto" w:sz="4" w:space="0"/>
              <w:right w:val="single" w:color="auto" w:sz="4" w:space="0"/>
            </w:tcBorders>
            <w:vAlign w:val="center"/>
          </w:tcPr>
          <w:p w14:paraId="71474464">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5617AB49">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512F9D7">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2407A3A5">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541DB20E">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2449702">
            <w:pPr>
              <w:pStyle w:val="196"/>
            </w:pPr>
            <w:r>
              <w:rPr>
                <w:rFonts w:hint="eastAsia"/>
              </w:rPr>
              <w:drawing>
                <wp:inline distT="0" distB="0" distL="0" distR="0">
                  <wp:extent cx="948055" cy="42545"/>
                  <wp:effectExtent l="0" t="0" r="4445" b="0"/>
                  <wp:docPr id="1612489748"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89748" name="图片 2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48055" cy="42545"/>
                          </a:xfrm>
                          <a:prstGeom prst="rect">
                            <a:avLst/>
                          </a:prstGeom>
                          <a:noFill/>
                          <a:ln>
                            <a:noFill/>
                          </a:ln>
                        </pic:spPr>
                      </pic:pic>
                    </a:graphicData>
                  </a:graphic>
                </wp:inline>
              </w:drawing>
            </w:r>
          </w:p>
        </w:tc>
        <w:tc>
          <w:tcPr>
            <w:tcW w:w="846" w:type="dxa"/>
            <w:tcBorders>
              <w:top w:val="single" w:color="auto" w:sz="4" w:space="0"/>
              <w:left w:val="single" w:color="auto" w:sz="4" w:space="0"/>
              <w:bottom w:val="single" w:color="auto" w:sz="4" w:space="0"/>
              <w:right w:val="single" w:color="auto" w:sz="4" w:space="0"/>
            </w:tcBorders>
            <w:vAlign w:val="center"/>
          </w:tcPr>
          <w:p w14:paraId="6C61EBFC">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3A70E99">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3AE7B45C">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65FF10C6">
            <w:pPr>
              <w:pStyle w:val="196"/>
            </w:pPr>
          </w:p>
        </w:tc>
      </w:tr>
      <w:tr w14:paraId="3923C3B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22593F98">
            <w:pPr>
              <w:pStyle w:val="196"/>
            </w:pPr>
            <w:r>
              <w:rPr>
                <w:rFonts w:hint="eastAsia"/>
              </w:rPr>
              <w:t>8</w:t>
            </w:r>
          </w:p>
        </w:tc>
        <w:tc>
          <w:tcPr>
            <w:tcW w:w="1134" w:type="dxa"/>
            <w:tcBorders>
              <w:top w:val="single" w:color="auto" w:sz="4" w:space="0"/>
              <w:left w:val="single" w:color="auto" w:sz="4" w:space="0"/>
              <w:bottom w:val="single" w:color="auto" w:sz="4" w:space="0"/>
              <w:right w:val="single" w:color="auto" w:sz="4" w:space="0"/>
            </w:tcBorders>
            <w:vAlign w:val="center"/>
          </w:tcPr>
          <w:p w14:paraId="54E981A9">
            <w:pPr>
              <w:pStyle w:val="196"/>
            </w:pPr>
            <w:r>
              <w:rPr>
                <w:rFonts w:hint="eastAsia"/>
              </w:rPr>
              <w:t>围堰拆除工程</w:t>
            </w:r>
          </w:p>
        </w:tc>
        <w:tc>
          <w:tcPr>
            <w:tcW w:w="597" w:type="dxa"/>
            <w:tcBorders>
              <w:top w:val="single" w:color="auto" w:sz="4" w:space="0"/>
              <w:left w:val="single" w:color="auto" w:sz="4" w:space="0"/>
              <w:bottom w:val="single" w:color="auto" w:sz="4" w:space="0"/>
              <w:right w:val="single" w:color="auto" w:sz="4" w:space="0"/>
            </w:tcBorders>
            <w:vAlign w:val="center"/>
          </w:tcPr>
          <w:p w14:paraId="1D200943">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7110132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0BB8168">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04603C24">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7AEFDDE2">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5F2018C4">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6D63062B">
            <w:pPr>
              <w:pStyle w:val="196"/>
            </w:pPr>
            <w:r>
              <w:rPr>
                <w:rFonts w:hint="eastAsia"/>
              </w:rPr>
              <w:drawing>
                <wp:inline distT="0" distB="0" distL="0" distR="0">
                  <wp:extent cx="584200" cy="25400"/>
                  <wp:effectExtent l="0" t="0" r="0" b="0"/>
                  <wp:docPr id="1921152458"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52458" name="图片 2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4200" cy="25400"/>
                          </a:xfrm>
                          <a:prstGeom prst="rect">
                            <a:avLst/>
                          </a:prstGeom>
                          <a:noFill/>
                          <a:ln>
                            <a:noFill/>
                          </a:ln>
                        </pic:spPr>
                      </pic:pic>
                    </a:graphicData>
                  </a:graphic>
                </wp:inline>
              </w:drawing>
            </w:r>
          </w:p>
        </w:tc>
        <w:tc>
          <w:tcPr>
            <w:tcW w:w="850" w:type="dxa"/>
            <w:tcBorders>
              <w:top w:val="single" w:color="auto" w:sz="4" w:space="0"/>
              <w:left w:val="single" w:color="auto" w:sz="4" w:space="0"/>
              <w:bottom w:val="single" w:color="auto" w:sz="4" w:space="0"/>
              <w:right w:val="single" w:color="auto" w:sz="4" w:space="0"/>
            </w:tcBorders>
            <w:vAlign w:val="center"/>
          </w:tcPr>
          <w:p w14:paraId="0AF0A034">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4C3E92AD">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178DE1FF">
            <w:pPr>
              <w:pStyle w:val="196"/>
            </w:pPr>
          </w:p>
        </w:tc>
      </w:tr>
      <w:tr w14:paraId="6931DE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2C18E3CE">
            <w:pPr>
              <w:pStyle w:val="196"/>
            </w:pPr>
            <w:r>
              <w:rPr>
                <w:rFonts w:hint="eastAsia"/>
              </w:rPr>
              <w:t>9</w:t>
            </w:r>
          </w:p>
        </w:tc>
        <w:tc>
          <w:tcPr>
            <w:tcW w:w="1134" w:type="dxa"/>
            <w:tcBorders>
              <w:top w:val="single" w:color="auto" w:sz="4" w:space="0"/>
              <w:left w:val="single" w:color="auto" w:sz="4" w:space="0"/>
              <w:bottom w:val="single" w:color="auto" w:sz="4" w:space="0"/>
              <w:right w:val="single" w:color="auto" w:sz="4" w:space="0"/>
            </w:tcBorders>
            <w:vAlign w:val="center"/>
          </w:tcPr>
          <w:p w14:paraId="51E82DE0">
            <w:pPr>
              <w:pStyle w:val="196"/>
            </w:pPr>
            <w:r>
              <w:rPr>
                <w:rFonts w:hint="eastAsia"/>
              </w:rPr>
              <w:t>码头附属设施安装</w:t>
            </w:r>
          </w:p>
        </w:tc>
        <w:tc>
          <w:tcPr>
            <w:tcW w:w="597" w:type="dxa"/>
            <w:tcBorders>
              <w:top w:val="single" w:color="auto" w:sz="4" w:space="0"/>
              <w:left w:val="single" w:color="auto" w:sz="4" w:space="0"/>
              <w:bottom w:val="single" w:color="auto" w:sz="4" w:space="0"/>
              <w:right w:val="single" w:color="auto" w:sz="4" w:space="0"/>
            </w:tcBorders>
            <w:vAlign w:val="center"/>
          </w:tcPr>
          <w:p w14:paraId="5334D49F">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2CCDC755">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D64CD1C">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4F1DA514">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3F52DE7C">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92E1C4D">
            <w:pPr>
              <w:pStyle w:val="196"/>
            </w:pPr>
            <w:r>
              <w:rPr>
                <w:rFonts w:hint="eastAsia"/>
              </w:rPr>
              <w:drawing>
                <wp:inline distT="0" distB="0" distL="0" distR="0">
                  <wp:extent cx="1193800" cy="42545"/>
                  <wp:effectExtent l="0" t="0" r="6350" b="0"/>
                  <wp:docPr id="1157151711"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51711" name="图片 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193800" cy="42545"/>
                          </a:xfrm>
                          <a:prstGeom prst="rect">
                            <a:avLst/>
                          </a:prstGeom>
                          <a:noFill/>
                          <a:ln>
                            <a:noFill/>
                          </a:ln>
                        </pic:spPr>
                      </pic:pic>
                    </a:graphicData>
                  </a:graphic>
                </wp:inline>
              </w:drawing>
            </w:r>
          </w:p>
        </w:tc>
        <w:tc>
          <w:tcPr>
            <w:tcW w:w="846" w:type="dxa"/>
            <w:tcBorders>
              <w:top w:val="single" w:color="auto" w:sz="4" w:space="0"/>
              <w:left w:val="single" w:color="auto" w:sz="4" w:space="0"/>
              <w:bottom w:val="single" w:color="auto" w:sz="4" w:space="0"/>
              <w:right w:val="single" w:color="auto" w:sz="4" w:space="0"/>
            </w:tcBorders>
            <w:vAlign w:val="center"/>
          </w:tcPr>
          <w:p w14:paraId="2900AD5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A067D48">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0601001D">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6F6DFA8D">
            <w:pPr>
              <w:pStyle w:val="196"/>
            </w:pPr>
          </w:p>
        </w:tc>
      </w:tr>
      <w:tr w14:paraId="4B9CC24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3940D1C8">
            <w:pPr>
              <w:pStyle w:val="196"/>
            </w:pPr>
            <w:r>
              <w:rPr>
                <w:rFonts w:hint="eastAsia"/>
              </w:rPr>
              <w:t>10</w:t>
            </w:r>
          </w:p>
        </w:tc>
        <w:tc>
          <w:tcPr>
            <w:tcW w:w="1134" w:type="dxa"/>
            <w:tcBorders>
              <w:top w:val="single" w:color="auto" w:sz="4" w:space="0"/>
              <w:left w:val="single" w:color="auto" w:sz="4" w:space="0"/>
              <w:bottom w:val="single" w:color="auto" w:sz="4" w:space="0"/>
              <w:right w:val="single" w:color="auto" w:sz="4" w:space="0"/>
            </w:tcBorders>
            <w:vAlign w:val="center"/>
          </w:tcPr>
          <w:p w14:paraId="06BCB04A">
            <w:pPr>
              <w:pStyle w:val="196"/>
            </w:pPr>
            <w:r>
              <w:rPr>
                <w:rFonts w:hint="eastAsia"/>
              </w:rPr>
              <w:t>码头前沿铺面工程</w:t>
            </w:r>
          </w:p>
        </w:tc>
        <w:tc>
          <w:tcPr>
            <w:tcW w:w="597" w:type="dxa"/>
            <w:tcBorders>
              <w:top w:val="single" w:color="auto" w:sz="4" w:space="0"/>
              <w:left w:val="single" w:color="auto" w:sz="4" w:space="0"/>
              <w:bottom w:val="single" w:color="auto" w:sz="4" w:space="0"/>
              <w:right w:val="single" w:color="auto" w:sz="4" w:space="0"/>
            </w:tcBorders>
            <w:vAlign w:val="center"/>
          </w:tcPr>
          <w:p w14:paraId="0FC3B711">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6252B2C8">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9A197EC">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674DF679">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34F57393">
            <w:pPr>
              <w:pStyle w:val="196"/>
            </w:pPr>
            <w:r>
              <w:rPr>
                <w:rFonts w:hint="eastAsia"/>
              </w:rPr>
              <w:drawing>
                <wp:inline distT="0" distB="0" distL="0" distR="0">
                  <wp:extent cx="1143000" cy="42545"/>
                  <wp:effectExtent l="0" t="0" r="0" b="0"/>
                  <wp:docPr id="130281165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11658" name="图片 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143000" cy="42545"/>
                          </a:xfrm>
                          <a:prstGeom prst="rect">
                            <a:avLst/>
                          </a:prstGeom>
                          <a:noFill/>
                          <a:ln>
                            <a:noFill/>
                          </a:ln>
                        </pic:spPr>
                      </pic:pic>
                    </a:graphicData>
                  </a:graphic>
                </wp:inline>
              </w:drawing>
            </w:r>
          </w:p>
        </w:tc>
        <w:tc>
          <w:tcPr>
            <w:tcW w:w="850" w:type="dxa"/>
            <w:tcBorders>
              <w:top w:val="single" w:color="auto" w:sz="4" w:space="0"/>
              <w:left w:val="single" w:color="auto" w:sz="4" w:space="0"/>
              <w:bottom w:val="single" w:color="auto" w:sz="4" w:space="0"/>
              <w:right w:val="single" w:color="auto" w:sz="4" w:space="0"/>
            </w:tcBorders>
            <w:vAlign w:val="center"/>
          </w:tcPr>
          <w:p w14:paraId="475F8C4B">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3795F46F">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ECF2257">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3B65192E">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3083CEAE">
            <w:pPr>
              <w:pStyle w:val="196"/>
            </w:pPr>
          </w:p>
        </w:tc>
      </w:tr>
      <w:tr w14:paraId="68F2C8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57D6DCB0">
            <w:pPr>
              <w:pStyle w:val="196"/>
            </w:pPr>
            <w:r>
              <w:rPr>
                <w:rFonts w:hint="eastAsia"/>
              </w:rPr>
              <w:t>11</w:t>
            </w:r>
          </w:p>
        </w:tc>
        <w:tc>
          <w:tcPr>
            <w:tcW w:w="1134" w:type="dxa"/>
            <w:tcBorders>
              <w:top w:val="single" w:color="auto" w:sz="4" w:space="0"/>
              <w:left w:val="single" w:color="auto" w:sz="4" w:space="0"/>
              <w:bottom w:val="single" w:color="auto" w:sz="4" w:space="0"/>
              <w:right w:val="single" w:color="auto" w:sz="4" w:space="0"/>
            </w:tcBorders>
            <w:vAlign w:val="center"/>
          </w:tcPr>
          <w:p w14:paraId="68DD282C">
            <w:pPr>
              <w:pStyle w:val="196"/>
            </w:pPr>
            <w:r>
              <w:rPr>
                <w:rFonts w:hint="eastAsia"/>
              </w:rPr>
              <w:t>建筑工程、电气工程</w:t>
            </w:r>
          </w:p>
        </w:tc>
        <w:tc>
          <w:tcPr>
            <w:tcW w:w="597" w:type="dxa"/>
            <w:tcBorders>
              <w:top w:val="single" w:color="auto" w:sz="4" w:space="0"/>
              <w:left w:val="single" w:color="auto" w:sz="4" w:space="0"/>
              <w:bottom w:val="single" w:color="auto" w:sz="4" w:space="0"/>
              <w:right w:val="single" w:color="auto" w:sz="4" w:space="0"/>
            </w:tcBorders>
            <w:vAlign w:val="center"/>
          </w:tcPr>
          <w:p w14:paraId="075B10D5">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4BA15D9F">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89176FB">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4F8E22F8">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1AE06F3E">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2F186DA0">
            <w:pPr>
              <w:pStyle w:val="196"/>
            </w:pPr>
            <w:r>
              <w:rPr>
                <w:rFonts w:hint="eastAsia"/>
              </w:rPr>
              <w:drawing>
                <wp:inline distT="0" distB="0" distL="0" distR="0">
                  <wp:extent cx="1168400" cy="42545"/>
                  <wp:effectExtent l="0" t="0" r="0" b="0"/>
                  <wp:docPr id="1330693027"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93027" name="图片 2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168400" cy="42545"/>
                          </a:xfrm>
                          <a:prstGeom prst="rect">
                            <a:avLst/>
                          </a:prstGeom>
                          <a:noFill/>
                          <a:ln>
                            <a:noFill/>
                          </a:ln>
                        </pic:spPr>
                      </pic:pic>
                    </a:graphicData>
                  </a:graphic>
                </wp:inline>
              </w:drawing>
            </w:r>
          </w:p>
        </w:tc>
        <w:tc>
          <w:tcPr>
            <w:tcW w:w="846" w:type="dxa"/>
            <w:tcBorders>
              <w:top w:val="single" w:color="auto" w:sz="4" w:space="0"/>
              <w:left w:val="single" w:color="auto" w:sz="4" w:space="0"/>
              <w:bottom w:val="single" w:color="auto" w:sz="4" w:space="0"/>
              <w:right w:val="single" w:color="auto" w:sz="4" w:space="0"/>
            </w:tcBorders>
            <w:vAlign w:val="center"/>
          </w:tcPr>
          <w:p w14:paraId="57324D45">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3FCB281C">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6FCE7E0E">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5FC6CEA7">
            <w:pPr>
              <w:pStyle w:val="196"/>
            </w:pPr>
          </w:p>
        </w:tc>
      </w:tr>
      <w:tr w14:paraId="6641CC0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44FC8C1E">
            <w:pPr>
              <w:pStyle w:val="196"/>
            </w:pPr>
            <w:r>
              <w:rPr>
                <w:rFonts w:hint="eastAsia"/>
              </w:rPr>
              <w:t>12</w:t>
            </w:r>
          </w:p>
        </w:tc>
        <w:tc>
          <w:tcPr>
            <w:tcW w:w="1134" w:type="dxa"/>
            <w:tcBorders>
              <w:top w:val="single" w:color="auto" w:sz="4" w:space="0"/>
              <w:left w:val="single" w:color="auto" w:sz="4" w:space="0"/>
              <w:bottom w:val="single" w:color="auto" w:sz="4" w:space="0"/>
              <w:right w:val="single" w:color="auto" w:sz="4" w:space="0"/>
            </w:tcBorders>
            <w:vAlign w:val="center"/>
          </w:tcPr>
          <w:p w14:paraId="279844EC">
            <w:pPr>
              <w:pStyle w:val="196"/>
            </w:pPr>
            <w:r>
              <w:rPr>
                <w:rFonts w:hint="eastAsia"/>
              </w:rPr>
              <w:t>设备安装调试</w:t>
            </w:r>
          </w:p>
        </w:tc>
        <w:tc>
          <w:tcPr>
            <w:tcW w:w="597" w:type="dxa"/>
            <w:tcBorders>
              <w:top w:val="single" w:color="auto" w:sz="4" w:space="0"/>
              <w:left w:val="single" w:color="auto" w:sz="4" w:space="0"/>
              <w:bottom w:val="single" w:color="auto" w:sz="4" w:space="0"/>
              <w:right w:val="single" w:color="auto" w:sz="4" w:space="0"/>
            </w:tcBorders>
            <w:vAlign w:val="center"/>
          </w:tcPr>
          <w:p w14:paraId="1798EC67">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60B1D6A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21849717">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76A51FB3">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37BE07C5">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103CE038">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0A727B0C">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4E71F66">
            <w:pPr>
              <w:pStyle w:val="196"/>
            </w:pPr>
            <w:r>
              <w:rPr>
                <w:rFonts w:hint="eastAsia"/>
              </w:rPr>
              <w:drawing>
                <wp:inline distT="0" distB="0" distL="0" distR="0">
                  <wp:extent cx="753745" cy="25400"/>
                  <wp:effectExtent l="0" t="0" r="0" b="0"/>
                  <wp:docPr id="158692716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27162" name="图片 2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753745" cy="25400"/>
                          </a:xfrm>
                          <a:prstGeom prst="rect">
                            <a:avLst/>
                          </a:prstGeom>
                          <a:noFill/>
                          <a:ln>
                            <a:noFill/>
                          </a:ln>
                        </pic:spPr>
                      </pic:pic>
                    </a:graphicData>
                  </a:graphic>
                </wp:inline>
              </w:drawing>
            </w:r>
          </w:p>
        </w:tc>
        <w:tc>
          <w:tcPr>
            <w:tcW w:w="501" w:type="dxa"/>
            <w:tcBorders>
              <w:top w:val="single" w:color="auto" w:sz="4" w:space="0"/>
              <w:left w:val="single" w:color="auto" w:sz="4" w:space="0"/>
              <w:bottom w:val="single" w:color="auto" w:sz="4" w:space="0"/>
              <w:right w:val="single" w:color="auto" w:sz="4" w:space="0"/>
            </w:tcBorders>
            <w:vAlign w:val="center"/>
          </w:tcPr>
          <w:p w14:paraId="11AC740F">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1FED1B6C">
            <w:pPr>
              <w:pStyle w:val="196"/>
            </w:pPr>
          </w:p>
        </w:tc>
      </w:tr>
      <w:tr w14:paraId="5C76DF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679" w:type="dxa"/>
            <w:tcBorders>
              <w:top w:val="single" w:color="auto" w:sz="4" w:space="0"/>
              <w:left w:val="single" w:color="auto" w:sz="4" w:space="0"/>
              <w:bottom w:val="single" w:color="auto" w:sz="4" w:space="0"/>
              <w:right w:val="single" w:color="auto" w:sz="4" w:space="0"/>
            </w:tcBorders>
            <w:vAlign w:val="center"/>
          </w:tcPr>
          <w:p w14:paraId="053C5766">
            <w:pPr>
              <w:pStyle w:val="196"/>
            </w:pPr>
            <w:r>
              <w:rPr>
                <w:rFonts w:hint="eastAsia"/>
              </w:rPr>
              <w:t>13</w:t>
            </w:r>
          </w:p>
        </w:tc>
        <w:tc>
          <w:tcPr>
            <w:tcW w:w="1134" w:type="dxa"/>
            <w:tcBorders>
              <w:top w:val="single" w:color="auto" w:sz="4" w:space="0"/>
              <w:left w:val="single" w:color="auto" w:sz="4" w:space="0"/>
              <w:bottom w:val="single" w:color="auto" w:sz="4" w:space="0"/>
              <w:right w:val="single" w:color="auto" w:sz="4" w:space="0"/>
            </w:tcBorders>
            <w:vAlign w:val="center"/>
          </w:tcPr>
          <w:p w14:paraId="76F1A264">
            <w:pPr>
              <w:pStyle w:val="196"/>
            </w:pPr>
            <w:r>
              <w:rPr>
                <w:rFonts w:hint="eastAsia"/>
              </w:rPr>
              <w:t>交工验收</w:t>
            </w:r>
          </w:p>
        </w:tc>
        <w:tc>
          <w:tcPr>
            <w:tcW w:w="597" w:type="dxa"/>
            <w:tcBorders>
              <w:top w:val="single" w:color="auto" w:sz="4" w:space="0"/>
              <w:left w:val="single" w:color="auto" w:sz="4" w:space="0"/>
              <w:bottom w:val="single" w:color="auto" w:sz="4" w:space="0"/>
              <w:right w:val="single" w:color="auto" w:sz="4" w:space="0"/>
            </w:tcBorders>
            <w:vAlign w:val="center"/>
          </w:tcPr>
          <w:p w14:paraId="2EEFDB54">
            <w:pPr>
              <w:pStyle w:val="196"/>
            </w:pPr>
          </w:p>
        </w:tc>
        <w:tc>
          <w:tcPr>
            <w:tcW w:w="709" w:type="dxa"/>
            <w:tcBorders>
              <w:top w:val="single" w:color="auto" w:sz="4" w:space="0"/>
              <w:left w:val="single" w:color="auto" w:sz="4" w:space="0"/>
              <w:bottom w:val="single" w:color="auto" w:sz="4" w:space="0"/>
              <w:right w:val="single" w:color="auto" w:sz="4" w:space="0"/>
            </w:tcBorders>
            <w:vAlign w:val="center"/>
          </w:tcPr>
          <w:p w14:paraId="42BDE8E0">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A9BBE88">
            <w:pPr>
              <w:pStyle w:val="196"/>
            </w:pPr>
          </w:p>
        </w:tc>
        <w:tc>
          <w:tcPr>
            <w:tcW w:w="992" w:type="dxa"/>
            <w:tcBorders>
              <w:top w:val="single" w:color="auto" w:sz="4" w:space="0"/>
              <w:left w:val="single" w:color="auto" w:sz="4" w:space="0"/>
              <w:bottom w:val="single" w:color="auto" w:sz="4" w:space="0"/>
              <w:right w:val="single" w:color="auto" w:sz="4" w:space="0"/>
            </w:tcBorders>
            <w:vAlign w:val="center"/>
          </w:tcPr>
          <w:p w14:paraId="13E92321">
            <w:pPr>
              <w:pStyle w:val="196"/>
            </w:pPr>
          </w:p>
        </w:tc>
        <w:tc>
          <w:tcPr>
            <w:tcW w:w="993" w:type="dxa"/>
            <w:tcBorders>
              <w:top w:val="single" w:color="auto" w:sz="4" w:space="0"/>
              <w:left w:val="single" w:color="auto" w:sz="4" w:space="0"/>
              <w:bottom w:val="single" w:color="auto" w:sz="4" w:space="0"/>
              <w:right w:val="single" w:color="auto" w:sz="4" w:space="0"/>
            </w:tcBorders>
            <w:vAlign w:val="center"/>
          </w:tcPr>
          <w:p w14:paraId="71F5538B">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6B93024A">
            <w:pPr>
              <w:pStyle w:val="196"/>
            </w:pPr>
          </w:p>
        </w:tc>
        <w:tc>
          <w:tcPr>
            <w:tcW w:w="846" w:type="dxa"/>
            <w:tcBorders>
              <w:top w:val="single" w:color="auto" w:sz="4" w:space="0"/>
              <w:left w:val="single" w:color="auto" w:sz="4" w:space="0"/>
              <w:bottom w:val="single" w:color="auto" w:sz="4" w:space="0"/>
              <w:right w:val="single" w:color="auto" w:sz="4" w:space="0"/>
            </w:tcBorders>
            <w:vAlign w:val="center"/>
          </w:tcPr>
          <w:p w14:paraId="01CBC866">
            <w:pPr>
              <w:pStyle w:val="196"/>
            </w:pPr>
          </w:p>
        </w:tc>
        <w:tc>
          <w:tcPr>
            <w:tcW w:w="850" w:type="dxa"/>
            <w:tcBorders>
              <w:top w:val="single" w:color="auto" w:sz="4" w:space="0"/>
              <w:left w:val="single" w:color="auto" w:sz="4" w:space="0"/>
              <w:bottom w:val="single" w:color="auto" w:sz="4" w:space="0"/>
              <w:right w:val="single" w:color="auto" w:sz="4" w:space="0"/>
            </w:tcBorders>
            <w:vAlign w:val="center"/>
          </w:tcPr>
          <w:p w14:paraId="01D399BF">
            <w:pPr>
              <w:pStyle w:val="196"/>
            </w:pPr>
          </w:p>
        </w:tc>
        <w:tc>
          <w:tcPr>
            <w:tcW w:w="501" w:type="dxa"/>
            <w:tcBorders>
              <w:top w:val="single" w:color="auto" w:sz="4" w:space="0"/>
              <w:left w:val="single" w:color="auto" w:sz="4" w:space="0"/>
              <w:bottom w:val="single" w:color="auto" w:sz="4" w:space="0"/>
              <w:right w:val="single" w:color="auto" w:sz="4" w:space="0"/>
            </w:tcBorders>
            <w:vAlign w:val="center"/>
          </w:tcPr>
          <w:p w14:paraId="2DBDD9B4">
            <w:pPr>
              <w:pStyle w:val="196"/>
            </w:pPr>
          </w:p>
        </w:tc>
        <w:tc>
          <w:tcPr>
            <w:tcW w:w="812" w:type="dxa"/>
            <w:tcBorders>
              <w:top w:val="single" w:color="auto" w:sz="4" w:space="0"/>
              <w:left w:val="single" w:color="auto" w:sz="4" w:space="0"/>
              <w:bottom w:val="single" w:color="auto" w:sz="4" w:space="0"/>
              <w:right w:val="single" w:color="auto" w:sz="4" w:space="0"/>
            </w:tcBorders>
            <w:vAlign w:val="center"/>
          </w:tcPr>
          <w:p w14:paraId="6755AA65">
            <w:pPr>
              <w:pStyle w:val="196"/>
            </w:pPr>
            <w:r>
              <w:rPr>
                <w:rFonts w:hint="eastAsia"/>
              </w:rPr>
              <w:drawing>
                <wp:inline distT="0" distB="0" distL="0" distR="0">
                  <wp:extent cx="262255" cy="25400"/>
                  <wp:effectExtent l="0" t="0" r="0" b="0"/>
                  <wp:docPr id="1249532416"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32416" name="图片 2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255" cy="25400"/>
                          </a:xfrm>
                          <a:prstGeom prst="rect">
                            <a:avLst/>
                          </a:prstGeom>
                          <a:noFill/>
                          <a:ln>
                            <a:noFill/>
                          </a:ln>
                        </pic:spPr>
                      </pic:pic>
                    </a:graphicData>
                  </a:graphic>
                </wp:inline>
              </w:drawing>
            </w:r>
          </w:p>
        </w:tc>
      </w:tr>
      <w:bookmarkEnd w:id="170"/>
    </w:tbl>
    <w:p w14:paraId="5763406F">
      <w:pPr>
        <w:pStyle w:val="82"/>
        <w:ind w:left="2" w:leftChars="1"/>
      </w:pPr>
      <w:bookmarkStart w:id="171" w:name="_Hlk181744549"/>
      <w:r>
        <w:rPr>
          <w:rFonts w:hint="eastAsia"/>
        </w:rPr>
        <w:t>土石方及平衡情况</w:t>
      </w:r>
    </w:p>
    <w:bookmarkEnd w:id="171"/>
    <w:p w14:paraId="767E9160">
      <w:pPr>
        <w:pStyle w:val="139"/>
        <w:ind w:left="2" w:leftChars="1" w:firstLine="480"/>
        <w:rPr>
          <w:color w:val="auto"/>
        </w:rPr>
      </w:pPr>
      <w:r>
        <w:rPr>
          <w:rFonts w:hint="eastAsia"/>
          <w:color w:val="auto"/>
        </w:rPr>
        <w:t>根据《国能涟水一期热电联产项目水土保持方案报告书》，本项目土石方开挖量为18.8万m³，其中水下方疏浚量为2.4万m³，土石方开挖量为16.4万m³。不涉及现有水域清淤。</w:t>
      </w:r>
    </w:p>
    <w:p w14:paraId="15ABB9C5">
      <w:pPr>
        <w:pStyle w:val="139"/>
        <w:ind w:left="2" w:leftChars="1" w:firstLine="480"/>
        <w:rPr>
          <w:color w:val="auto"/>
        </w:rPr>
      </w:pPr>
      <w:r>
        <w:rPr>
          <w:rFonts w:hint="eastAsia"/>
          <w:color w:val="auto"/>
        </w:rPr>
        <w:t>水下土方疏浚量计算过程如下：根据图3.4-1 码头疏浚范围及疏浚深度图，疏浚范围为港池开挖后码头前沿围堰的水下部分，具体而言，长约为码头所占岸线前沿190m长，宽为开挖的陆域港池前沿至盐河自然河滩延伸至码头前沿底高程-1.66m处约25m宽，高为码头前沿底高程-1.66m至施工时盐河水位6m的约7.66m高，顶宽约8m的梯形范围，该梯形范围自然状态下的水下土方量为190m×（8m+25m）×7.66m÷2=</w:t>
      </w:r>
      <w:r>
        <w:rPr>
          <w:color w:val="auto"/>
        </w:rPr>
        <w:t>24014</w:t>
      </w:r>
      <w:r>
        <w:rPr>
          <w:rFonts w:hint="eastAsia"/>
          <w:color w:val="auto"/>
        </w:rPr>
        <w:t>m</w:t>
      </w:r>
      <w:r>
        <w:rPr>
          <w:rFonts w:hint="eastAsia"/>
          <w:color w:val="auto"/>
          <w:vertAlign w:val="superscript"/>
        </w:rPr>
        <w:t>3</w:t>
      </w:r>
      <w:r>
        <w:rPr>
          <w:rFonts w:hint="eastAsia"/>
          <w:color w:val="auto"/>
        </w:rPr>
        <w:t>。即水下土方疏浚量约为2.4万立方米。</w:t>
      </w:r>
    </w:p>
    <w:p w14:paraId="78026D11">
      <w:pPr>
        <w:pStyle w:val="93"/>
      </w:pPr>
      <w:r>
        <w:rPr>
          <w:rFonts w:hint="eastAsia"/>
        </w:rPr>
        <w:t>根据《关于国能涟水一期热电联产项目水土保持方案的行政许可决定》（淮水许可〔2021〕62号）和《国能涟水一期热电联产项目水土保持方案报告书》，国能涟水一期热电联产项目借方9.10万m</w:t>
      </w:r>
      <w:r>
        <w:rPr>
          <w:rFonts w:hint="eastAsia"/>
          <w:vertAlign w:val="superscript"/>
        </w:rPr>
        <w:t>3</w:t>
      </w:r>
      <w:r>
        <w:rPr>
          <w:rFonts w:hint="eastAsia"/>
        </w:rPr>
        <w:t>（来源于配套码头工程</w:t>
      </w:r>
      <w:r>
        <w:rPr>
          <w:rFonts w:hint="eastAsia"/>
          <w:lang w:eastAsia="zh-CN"/>
        </w:rPr>
        <w:t>及</w:t>
      </w:r>
      <w:r>
        <w:rPr>
          <w:rFonts w:hint="eastAsia"/>
        </w:rPr>
        <w:t>本项目的挖方），</w:t>
      </w:r>
      <w:r>
        <w:rPr>
          <w:rStyle w:val="140"/>
          <w:rFonts w:hint="eastAsia"/>
          <w:color w:val="auto"/>
        </w:rPr>
        <w:t>本项目工程区域需要回填土方量9.7万m</w:t>
      </w:r>
      <w:r>
        <w:rPr>
          <w:rStyle w:val="140"/>
          <w:rFonts w:hint="eastAsia"/>
          <w:color w:val="auto"/>
          <w:vertAlign w:val="superscript"/>
        </w:rPr>
        <w:t>3</w:t>
      </w:r>
      <w:r>
        <w:rPr>
          <w:rStyle w:val="140"/>
          <w:rFonts w:hint="eastAsia"/>
          <w:color w:val="auto"/>
        </w:rPr>
        <w:t>，因此，本项目无弃方产生</w:t>
      </w:r>
      <w:r>
        <w:rPr>
          <w:rFonts w:hint="eastAsia"/>
        </w:rPr>
        <w:t>。</w:t>
      </w:r>
    </w:p>
    <w:p w14:paraId="101F0F5A">
      <w:pPr>
        <w:pStyle w:val="93"/>
      </w:pPr>
      <w:r>
        <w:rPr>
          <w:rFonts w:hint="eastAsia"/>
        </w:rPr>
        <w:t>本项目不设置临时堆场、取土场和弃渣场，均依托国能涟水一期热电联产项目临时工程，本项目土石方平衡见表3.4-</w:t>
      </w:r>
      <w:r>
        <w:t>2</w:t>
      </w:r>
      <w:r>
        <w:rPr>
          <w:rFonts w:hint="eastAsia"/>
        </w:rPr>
        <w:t>。</w:t>
      </w:r>
    </w:p>
    <w:p w14:paraId="129CB203">
      <w:pPr>
        <w:pStyle w:val="86"/>
      </w:pPr>
      <w:r>
        <w:rPr>
          <w:rFonts w:hint="eastAsia"/>
        </w:rPr>
        <w:t>项目土石方平衡表   单位：万m³</w:t>
      </w:r>
    </w:p>
    <w:tbl>
      <w:tblPr>
        <w:tblStyle w:val="38"/>
        <w:tblW w:w="5000" w:type="pct"/>
        <w:tblInd w:w="0" w:type="dxa"/>
        <w:tblLayout w:type="autofit"/>
        <w:tblCellMar>
          <w:top w:w="0" w:type="dxa"/>
          <w:left w:w="108" w:type="dxa"/>
          <w:bottom w:w="0" w:type="dxa"/>
          <w:right w:w="108" w:type="dxa"/>
        </w:tblCellMar>
      </w:tblPr>
      <w:tblGrid>
        <w:gridCol w:w="1102"/>
        <w:gridCol w:w="1102"/>
        <w:gridCol w:w="1104"/>
        <w:gridCol w:w="1904"/>
        <w:gridCol w:w="1103"/>
        <w:gridCol w:w="1103"/>
        <w:gridCol w:w="1103"/>
      </w:tblGrid>
      <w:tr w14:paraId="13C2CCD5">
        <w:tblPrEx>
          <w:tblCellMar>
            <w:top w:w="0" w:type="dxa"/>
            <w:left w:w="108" w:type="dxa"/>
            <w:bottom w:w="0" w:type="dxa"/>
            <w:right w:w="108" w:type="dxa"/>
          </w:tblCellMar>
        </w:tblPrEx>
        <w:trPr>
          <w:trHeight w:val="288" w:hRule="atLeast"/>
        </w:trPr>
        <w:tc>
          <w:tcPr>
            <w:tcW w:w="194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065C70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挖方</w:t>
            </w:r>
          </w:p>
        </w:tc>
        <w:tc>
          <w:tcPr>
            <w:tcW w:w="2411" w:type="pct"/>
            <w:gridSpan w:val="3"/>
            <w:tcBorders>
              <w:top w:val="single" w:color="auto" w:sz="4" w:space="0"/>
              <w:left w:val="nil"/>
              <w:bottom w:val="single" w:color="auto" w:sz="4" w:space="0"/>
              <w:right w:val="single" w:color="000000" w:sz="4" w:space="0"/>
            </w:tcBorders>
            <w:shd w:val="clear" w:color="auto" w:fill="auto"/>
            <w:vAlign w:val="center"/>
          </w:tcPr>
          <w:p w14:paraId="7B920CC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总填方量</w:t>
            </w:r>
          </w:p>
        </w:tc>
        <w:tc>
          <w:tcPr>
            <w:tcW w:w="64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00D39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总弃方量</w:t>
            </w:r>
          </w:p>
        </w:tc>
      </w:tr>
      <w:tr w14:paraId="4C90AFD0">
        <w:tblPrEx>
          <w:tblCellMar>
            <w:top w:w="0" w:type="dxa"/>
            <w:left w:w="108" w:type="dxa"/>
            <w:bottom w:w="0" w:type="dxa"/>
            <w:right w:w="108" w:type="dxa"/>
          </w:tblCellMar>
        </w:tblPrEx>
        <w:trPr>
          <w:trHeight w:val="576" w:hRule="atLeast"/>
        </w:trPr>
        <w:tc>
          <w:tcPr>
            <w:tcW w:w="647" w:type="pct"/>
            <w:tcBorders>
              <w:top w:val="nil"/>
              <w:left w:val="single" w:color="auto" w:sz="4" w:space="0"/>
              <w:bottom w:val="single" w:color="auto" w:sz="4" w:space="0"/>
              <w:right w:val="single" w:color="auto" w:sz="4" w:space="0"/>
            </w:tcBorders>
            <w:shd w:val="clear" w:color="auto" w:fill="auto"/>
            <w:vAlign w:val="center"/>
          </w:tcPr>
          <w:p w14:paraId="3338D3F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土方开挖量</w:t>
            </w:r>
          </w:p>
        </w:tc>
        <w:tc>
          <w:tcPr>
            <w:tcW w:w="647" w:type="pct"/>
            <w:tcBorders>
              <w:top w:val="nil"/>
              <w:left w:val="nil"/>
              <w:bottom w:val="single" w:color="auto" w:sz="4" w:space="0"/>
              <w:right w:val="single" w:color="auto" w:sz="4" w:space="0"/>
            </w:tcBorders>
            <w:shd w:val="clear" w:color="auto" w:fill="auto"/>
            <w:vAlign w:val="center"/>
          </w:tcPr>
          <w:p w14:paraId="262829E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疏浚量</w:t>
            </w:r>
          </w:p>
        </w:tc>
        <w:tc>
          <w:tcPr>
            <w:tcW w:w="647" w:type="pct"/>
            <w:tcBorders>
              <w:top w:val="nil"/>
              <w:left w:val="nil"/>
              <w:bottom w:val="single" w:color="auto" w:sz="4" w:space="0"/>
              <w:right w:val="single" w:color="auto" w:sz="4" w:space="0"/>
            </w:tcBorders>
            <w:shd w:val="clear" w:color="auto" w:fill="auto"/>
            <w:vAlign w:val="center"/>
          </w:tcPr>
          <w:p w14:paraId="6DDC833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小计</w:t>
            </w:r>
          </w:p>
        </w:tc>
        <w:tc>
          <w:tcPr>
            <w:tcW w:w="1117" w:type="pct"/>
            <w:tcBorders>
              <w:top w:val="nil"/>
              <w:left w:val="nil"/>
              <w:bottom w:val="single" w:color="auto" w:sz="4" w:space="0"/>
              <w:right w:val="single" w:color="auto" w:sz="4" w:space="0"/>
            </w:tcBorders>
            <w:shd w:val="clear" w:color="auto" w:fill="auto"/>
            <w:vAlign w:val="center"/>
          </w:tcPr>
          <w:p w14:paraId="3FA1EDC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热电项目（一期）借方</w:t>
            </w:r>
          </w:p>
        </w:tc>
        <w:tc>
          <w:tcPr>
            <w:tcW w:w="647" w:type="pct"/>
            <w:tcBorders>
              <w:top w:val="nil"/>
              <w:left w:val="nil"/>
              <w:bottom w:val="single" w:color="auto" w:sz="4" w:space="0"/>
              <w:right w:val="single" w:color="auto" w:sz="4" w:space="0"/>
            </w:tcBorders>
            <w:shd w:val="clear" w:color="auto" w:fill="auto"/>
            <w:vAlign w:val="center"/>
          </w:tcPr>
          <w:p w14:paraId="422CCD2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回填量</w:t>
            </w:r>
          </w:p>
        </w:tc>
        <w:tc>
          <w:tcPr>
            <w:tcW w:w="647" w:type="pct"/>
            <w:tcBorders>
              <w:top w:val="nil"/>
              <w:left w:val="nil"/>
              <w:bottom w:val="single" w:color="auto" w:sz="4" w:space="0"/>
              <w:right w:val="single" w:color="auto" w:sz="4" w:space="0"/>
            </w:tcBorders>
            <w:shd w:val="clear" w:color="auto" w:fill="auto"/>
            <w:vAlign w:val="center"/>
          </w:tcPr>
          <w:p w14:paraId="4BC8334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小计</w:t>
            </w:r>
          </w:p>
        </w:tc>
        <w:tc>
          <w:tcPr>
            <w:tcW w:w="647" w:type="pct"/>
            <w:vMerge w:val="continue"/>
            <w:tcBorders>
              <w:top w:val="single" w:color="auto" w:sz="4" w:space="0"/>
              <w:left w:val="single" w:color="auto" w:sz="4" w:space="0"/>
              <w:bottom w:val="single" w:color="auto" w:sz="4" w:space="0"/>
              <w:right w:val="single" w:color="auto" w:sz="4" w:space="0"/>
            </w:tcBorders>
            <w:vAlign w:val="center"/>
          </w:tcPr>
          <w:p w14:paraId="5A641544">
            <w:pPr>
              <w:spacing w:line="240" w:lineRule="auto"/>
              <w:ind w:firstLine="0" w:firstLineChars="0"/>
              <w:rPr>
                <w:rFonts w:hint="eastAsia" w:ascii="宋体" w:hAnsi="宋体" w:eastAsia="宋体" w:cs="宋体"/>
                <w:kern w:val="0"/>
                <w:sz w:val="21"/>
              </w:rPr>
            </w:pPr>
          </w:p>
        </w:tc>
      </w:tr>
      <w:tr w14:paraId="0ACBD923">
        <w:tblPrEx>
          <w:tblCellMar>
            <w:top w:w="0" w:type="dxa"/>
            <w:left w:w="108" w:type="dxa"/>
            <w:bottom w:w="0" w:type="dxa"/>
            <w:right w:w="108" w:type="dxa"/>
          </w:tblCellMar>
        </w:tblPrEx>
        <w:trPr>
          <w:trHeight w:val="276" w:hRule="atLeast"/>
        </w:trPr>
        <w:tc>
          <w:tcPr>
            <w:tcW w:w="647" w:type="pct"/>
            <w:tcBorders>
              <w:top w:val="nil"/>
              <w:left w:val="single" w:color="auto" w:sz="4" w:space="0"/>
              <w:bottom w:val="single" w:color="auto" w:sz="4" w:space="0"/>
              <w:right w:val="single" w:color="auto" w:sz="4" w:space="0"/>
            </w:tcBorders>
            <w:shd w:val="clear" w:color="auto" w:fill="auto"/>
            <w:vAlign w:val="center"/>
          </w:tcPr>
          <w:p w14:paraId="65B59DCB">
            <w:pPr>
              <w:spacing w:line="240" w:lineRule="auto"/>
              <w:ind w:firstLine="0" w:firstLineChars="0"/>
              <w:jc w:val="center"/>
              <w:rPr>
                <w:rFonts w:eastAsia="等线" w:cs="Times New Roman"/>
                <w:kern w:val="0"/>
                <w:sz w:val="21"/>
              </w:rPr>
            </w:pPr>
            <w:r>
              <w:rPr>
                <w:rFonts w:eastAsia="等线" w:cs="Times New Roman"/>
                <w:kern w:val="0"/>
                <w:sz w:val="21"/>
              </w:rPr>
              <w:t>16.4</w:t>
            </w:r>
          </w:p>
        </w:tc>
        <w:tc>
          <w:tcPr>
            <w:tcW w:w="647" w:type="pct"/>
            <w:tcBorders>
              <w:top w:val="nil"/>
              <w:left w:val="nil"/>
              <w:bottom w:val="single" w:color="auto" w:sz="4" w:space="0"/>
              <w:right w:val="single" w:color="auto" w:sz="4" w:space="0"/>
            </w:tcBorders>
            <w:shd w:val="clear" w:color="auto" w:fill="auto"/>
            <w:vAlign w:val="center"/>
          </w:tcPr>
          <w:p w14:paraId="03736FC8">
            <w:pPr>
              <w:spacing w:line="240" w:lineRule="auto"/>
              <w:ind w:firstLine="0" w:firstLineChars="0"/>
              <w:jc w:val="center"/>
              <w:rPr>
                <w:rFonts w:eastAsia="等线" w:cs="Times New Roman"/>
                <w:kern w:val="0"/>
                <w:sz w:val="21"/>
              </w:rPr>
            </w:pPr>
            <w:r>
              <w:rPr>
                <w:rFonts w:eastAsia="等线" w:cs="Times New Roman"/>
                <w:kern w:val="0"/>
                <w:sz w:val="21"/>
              </w:rPr>
              <w:t>2.4</w:t>
            </w:r>
          </w:p>
        </w:tc>
        <w:tc>
          <w:tcPr>
            <w:tcW w:w="647" w:type="pct"/>
            <w:tcBorders>
              <w:top w:val="nil"/>
              <w:left w:val="nil"/>
              <w:bottom w:val="single" w:color="auto" w:sz="4" w:space="0"/>
              <w:right w:val="single" w:color="auto" w:sz="4" w:space="0"/>
            </w:tcBorders>
            <w:shd w:val="clear" w:color="auto" w:fill="auto"/>
            <w:vAlign w:val="center"/>
          </w:tcPr>
          <w:p w14:paraId="7E9408DF">
            <w:pPr>
              <w:spacing w:line="240" w:lineRule="auto"/>
              <w:ind w:firstLine="0" w:firstLineChars="0"/>
              <w:jc w:val="center"/>
              <w:rPr>
                <w:rFonts w:eastAsia="等线" w:cs="Times New Roman"/>
                <w:kern w:val="0"/>
                <w:sz w:val="21"/>
              </w:rPr>
            </w:pPr>
            <w:r>
              <w:rPr>
                <w:rFonts w:eastAsia="等线" w:cs="Times New Roman"/>
                <w:kern w:val="0"/>
                <w:sz w:val="21"/>
              </w:rPr>
              <w:t>18.8</w:t>
            </w:r>
          </w:p>
        </w:tc>
        <w:tc>
          <w:tcPr>
            <w:tcW w:w="1117" w:type="pct"/>
            <w:tcBorders>
              <w:top w:val="nil"/>
              <w:left w:val="nil"/>
              <w:bottom w:val="single" w:color="auto" w:sz="4" w:space="0"/>
              <w:right w:val="single" w:color="auto" w:sz="4" w:space="0"/>
            </w:tcBorders>
            <w:shd w:val="clear" w:color="auto" w:fill="auto"/>
            <w:vAlign w:val="center"/>
          </w:tcPr>
          <w:p w14:paraId="10253C37">
            <w:pPr>
              <w:spacing w:line="240" w:lineRule="auto"/>
              <w:ind w:firstLine="0" w:firstLineChars="0"/>
              <w:jc w:val="center"/>
              <w:rPr>
                <w:rFonts w:eastAsia="等线" w:cs="Times New Roman"/>
                <w:kern w:val="0"/>
                <w:sz w:val="21"/>
              </w:rPr>
            </w:pPr>
            <w:r>
              <w:rPr>
                <w:rFonts w:eastAsia="等线" w:cs="Times New Roman"/>
                <w:kern w:val="0"/>
                <w:sz w:val="21"/>
              </w:rPr>
              <w:t>9.1</w:t>
            </w:r>
          </w:p>
        </w:tc>
        <w:tc>
          <w:tcPr>
            <w:tcW w:w="647" w:type="pct"/>
            <w:tcBorders>
              <w:top w:val="nil"/>
              <w:left w:val="nil"/>
              <w:bottom w:val="single" w:color="auto" w:sz="4" w:space="0"/>
              <w:right w:val="single" w:color="auto" w:sz="4" w:space="0"/>
            </w:tcBorders>
            <w:shd w:val="clear" w:color="auto" w:fill="auto"/>
            <w:vAlign w:val="center"/>
          </w:tcPr>
          <w:p w14:paraId="7F83BE5A">
            <w:pPr>
              <w:spacing w:line="240" w:lineRule="auto"/>
              <w:ind w:firstLine="0" w:firstLineChars="0"/>
              <w:jc w:val="center"/>
              <w:rPr>
                <w:rFonts w:eastAsia="等线" w:cs="Times New Roman"/>
                <w:kern w:val="0"/>
                <w:sz w:val="21"/>
              </w:rPr>
            </w:pPr>
            <w:r>
              <w:rPr>
                <w:rFonts w:eastAsia="等线" w:cs="Times New Roman"/>
                <w:kern w:val="0"/>
                <w:sz w:val="21"/>
              </w:rPr>
              <w:t>9.7</w:t>
            </w:r>
          </w:p>
        </w:tc>
        <w:tc>
          <w:tcPr>
            <w:tcW w:w="647" w:type="pct"/>
            <w:tcBorders>
              <w:top w:val="nil"/>
              <w:left w:val="nil"/>
              <w:bottom w:val="single" w:color="auto" w:sz="4" w:space="0"/>
              <w:right w:val="single" w:color="auto" w:sz="4" w:space="0"/>
            </w:tcBorders>
            <w:shd w:val="clear" w:color="auto" w:fill="auto"/>
            <w:vAlign w:val="center"/>
          </w:tcPr>
          <w:p w14:paraId="7C2A819F">
            <w:pPr>
              <w:spacing w:line="240" w:lineRule="auto"/>
              <w:ind w:firstLine="0" w:firstLineChars="0"/>
              <w:jc w:val="center"/>
              <w:rPr>
                <w:rFonts w:eastAsia="等线" w:cs="Times New Roman"/>
                <w:kern w:val="0"/>
                <w:sz w:val="21"/>
              </w:rPr>
            </w:pPr>
            <w:r>
              <w:rPr>
                <w:rFonts w:eastAsia="等线" w:cs="Times New Roman"/>
                <w:kern w:val="0"/>
                <w:sz w:val="21"/>
              </w:rPr>
              <w:t>18.8</w:t>
            </w:r>
          </w:p>
        </w:tc>
        <w:tc>
          <w:tcPr>
            <w:tcW w:w="647" w:type="pct"/>
            <w:tcBorders>
              <w:top w:val="nil"/>
              <w:left w:val="nil"/>
              <w:bottom w:val="single" w:color="auto" w:sz="4" w:space="0"/>
              <w:right w:val="single" w:color="auto" w:sz="4" w:space="0"/>
            </w:tcBorders>
            <w:shd w:val="clear" w:color="auto" w:fill="auto"/>
            <w:vAlign w:val="center"/>
          </w:tcPr>
          <w:p w14:paraId="05BBA594">
            <w:pPr>
              <w:spacing w:line="240" w:lineRule="auto"/>
              <w:ind w:firstLine="0" w:firstLineChars="0"/>
              <w:jc w:val="center"/>
              <w:rPr>
                <w:rFonts w:eastAsia="等线" w:cs="Times New Roman"/>
                <w:kern w:val="0"/>
                <w:sz w:val="21"/>
              </w:rPr>
            </w:pPr>
            <w:r>
              <w:rPr>
                <w:rFonts w:eastAsia="等线" w:cs="Times New Roman"/>
                <w:kern w:val="0"/>
                <w:sz w:val="21"/>
              </w:rPr>
              <w:t>0</w:t>
            </w:r>
          </w:p>
        </w:tc>
      </w:tr>
    </w:tbl>
    <w:p w14:paraId="4955DA4C">
      <w:pPr>
        <w:pStyle w:val="80"/>
      </w:pPr>
      <w:bookmarkStart w:id="172" w:name="_Toc182171812"/>
      <w:r>
        <w:rPr>
          <w:rFonts w:hint="eastAsia"/>
        </w:rPr>
        <w:t>工艺流程及产污环节</w:t>
      </w:r>
      <w:bookmarkEnd w:id="172"/>
    </w:p>
    <w:p w14:paraId="5C2D7277">
      <w:pPr>
        <w:pStyle w:val="82"/>
      </w:pPr>
      <w:bookmarkStart w:id="173" w:name="_Hlk181744693"/>
      <w:r>
        <w:rPr>
          <w:rFonts w:hint="eastAsia"/>
        </w:rPr>
        <w:t>装卸工艺方案</w:t>
      </w:r>
    </w:p>
    <w:bookmarkEnd w:id="173"/>
    <w:p w14:paraId="5D104700">
      <w:pPr>
        <w:pStyle w:val="84"/>
      </w:pPr>
      <w:bookmarkStart w:id="174" w:name="_Hlk181744734"/>
      <w:r>
        <w:rPr>
          <w:rFonts w:hint="eastAsia"/>
        </w:rPr>
        <w:t>主要设计参数</w:t>
      </w:r>
    </w:p>
    <w:p w14:paraId="3A889836">
      <w:pPr>
        <w:pStyle w:val="139"/>
        <w:ind w:firstLine="480"/>
        <w:rPr>
          <w:color w:val="auto"/>
        </w:rPr>
      </w:pPr>
      <w:r>
        <w:rPr>
          <w:rFonts w:hint="eastAsia"/>
          <w:color w:val="auto"/>
        </w:rPr>
        <w:t>1、码头设计吞吐量：因本项目为电厂专用码头，主要为后方国能淮安绿色低碳综合能源服务项目服务，码头吞吐量预测为112万吨/年；</w:t>
      </w:r>
    </w:p>
    <w:p w14:paraId="67DCA3B5">
      <w:pPr>
        <w:pStyle w:val="139"/>
        <w:ind w:firstLine="480"/>
        <w:rPr>
          <w:color w:val="auto"/>
        </w:rPr>
      </w:pPr>
      <w:r>
        <w:rPr>
          <w:rFonts w:hint="eastAsia"/>
          <w:color w:val="auto"/>
        </w:rPr>
        <w:t xml:space="preserve">2、设计代表船型：1000t级散货船； </w:t>
      </w:r>
    </w:p>
    <w:p w14:paraId="16813E88">
      <w:pPr>
        <w:pStyle w:val="139"/>
        <w:ind w:firstLine="480"/>
        <w:rPr>
          <w:color w:val="auto"/>
        </w:rPr>
      </w:pPr>
      <w:r>
        <w:rPr>
          <w:rFonts w:hint="eastAsia"/>
          <w:color w:val="auto"/>
        </w:rPr>
        <w:t xml:space="preserve">3、作业天数：泊位年作业天数330天； </w:t>
      </w:r>
    </w:p>
    <w:p w14:paraId="7748B0D5">
      <w:pPr>
        <w:pStyle w:val="139"/>
        <w:ind w:firstLine="480"/>
        <w:rPr>
          <w:color w:val="auto"/>
        </w:rPr>
      </w:pPr>
      <w:r>
        <w:rPr>
          <w:rFonts w:hint="eastAsia"/>
          <w:color w:val="auto"/>
        </w:rPr>
        <w:t>4、作业班次：3班；</w:t>
      </w:r>
    </w:p>
    <w:p w14:paraId="3AB4DBE2">
      <w:pPr>
        <w:pStyle w:val="139"/>
        <w:ind w:firstLine="480"/>
        <w:rPr>
          <w:color w:val="auto"/>
        </w:rPr>
      </w:pPr>
      <w:r>
        <w:rPr>
          <w:rFonts w:hint="eastAsia"/>
          <w:color w:val="auto"/>
        </w:rPr>
        <w:t>5、主要货种的物料重度：煤炭 0.85 t/m</w:t>
      </w:r>
      <w:r>
        <w:rPr>
          <w:rFonts w:hint="eastAsia"/>
          <w:color w:val="auto"/>
          <w:vertAlign w:val="superscript"/>
        </w:rPr>
        <w:t>3</w:t>
      </w:r>
      <w:r>
        <w:rPr>
          <w:rFonts w:hint="eastAsia"/>
          <w:color w:val="auto"/>
        </w:rPr>
        <w:t xml:space="preserve">； </w:t>
      </w:r>
    </w:p>
    <w:p w14:paraId="5EB9434B">
      <w:pPr>
        <w:pStyle w:val="139"/>
        <w:ind w:firstLine="480"/>
        <w:rPr>
          <w:color w:val="auto"/>
        </w:rPr>
      </w:pPr>
      <w:r>
        <w:rPr>
          <w:rFonts w:hint="eastAsia"/>
          <w:color w:val="auto"/>
        </w:rPr>
        <w:t>6、泊位利用率：取0.65。</w:t>
      </w:r>
    </w:p>
    <w:p w14:paraId="7CF27DB3">
      <w:pPr>
        <w:pStyle w:val="84"/>
        <w:tabs>
          <w:tab w:val="center" w:pos="4152"/>
        </w:tabs>
      </w:pPr>
      <w:r>
        <w:rPr>
          <w:rFonts w:hint="eastAsia"/>
        </w:rPr>
        <w:t>装卸工艺流程</w:t>
      </w:r>
      <w:r>
        <w:rPr>
          <w:rFonts w:hint="eastAsia"/>
        </w:rPr>
        <w:tab/>
      </w:r>
    </w:p>
    <w:p w14:paraId="77E33A13">
      <w:pPr>
        <w:pStyle w:val="139"/>
        <w:ind w:firstLine="480"/>
        <w:rPr>
          <w:color w:val="auto"/>
        </w:rPr>
      </w:pPr>
      <w:r>
        <w:rPr>
          <w:rFonts w:hint="eastAsia"/>
          <w:color w:val="auto"/>
        </w:rPr>
        <w:t>本码头设计范围主要为码头前沿部分，后方堆场及堆场转运等另行设计，故本次装卸工艺方案仅针对码头前沿部分。</w:t>
      </w:r>
    </w:p>
    <w:p w14:paraId="43FFC707">
      <w:pPr>
        <w:pStyle w:val="139"/>
        <w:ind w:firstLine="480"/>
        <w:rPr>
          <w:color w:val="auto"/>
        </w:rPr>
      </w:pPr>
      <w:r>
        <w:rPr>
          <w:rFonts w:hint="eastAsia"/>
          <w:color w:val="auto"/>
        </w:rPr>
        <w:t>卸船工艺流程为：船→桥式抓斗卸船机→水平输送皮带机→1#转运站→入电厂皮带机。</w:t>
      </w:r>
    </w:p>
    <w:p w14:paraId="32048E89">
      <w:pPr>
        <w:pStyle w:val="84"/>
      </w:pPr>
      <w:r>
        <w:rPr>
          <w:rFonts w:hint="eastAsia"/>
        </w:rPr>
        <w:t>装卸设备</w:t>
      </w:r>
    </w:p>
    <w:p w14:paraId="494067F5">
      <w:pPr>
        <w:pStyle w:val="139"/>
        <w:ind w:firstLine="480"/>
        <w:rPr>
          <w:color w:val="auto"/>
        </w:rPr>
      </w:pPr>
      <w:r>
        <w:rPr>
          <w:rFonts w:hint="eastAsia"/>
          <w:color w:val="auto"/>
        </w:rPr>
        <w:t>装卸设备选型主要是依据年吞吐量、装卸货种及设计船型等因素进行。</w:t>
      </w:r>
    </w:p>
    <w:p w14:paraId="46E0FAA5">
      <w:pPr>
        <w:pStyle w:val="139"/>
        <w:ind w:firstLine="480"/>
        <w:rPr>
          <w:color w:val="auto"/>
        </w:rPr>
      </w:pPr>
      <w:r>
        <w:rPr>
          <w:rFonts w:hint="eastAsia"/>
          <w:color w:val="auto"/>
        </w:rPr>
        <w:t>本项目设计船型为 1000t 级，货种主要为煤炭卸船。</w:t>
      </w:r>
    </w:p>
    <w:p w14:paraId="3FFC6136">
      <w:pPr>
        <w:pStyle w:val="139"/>
        <w:ind w:firstLine="480"/>
        <w:rPr>
          <w:color w:val="auto"/>
        </w:rPr>
      </w:pPr>
      <w:r>
        <w:rPr>
          <w:rFonts w:hint="eastAsia"/>
          <w:color w:val="auto"/>
        </w:rPr>
        <w:t xml:space="preserve">1、煤炭卸船 </w:t>
      </w:r>
    </w:p>
    <w:p w14:paraId="40485C23">
      <w:pPr>
        <w:pStyle w:val="139"/>
        <w:ind w:firstLine="480"/>
        <w:rPr>
          <w:color w:val="auto"/>
        </w:rPr>
      </w:pPr>
      <w:r>
        <w:rPr>
          <w:rFonts w:hint="eastAsia"/>
          <w:color w:val="auto"/>
        </w:rPr>
        <w:t>本码头新建1000t级卸煤泊位共2个，1000t待泊泊位1个，待泊泊位不设置装卸装置，均为煤炭进口至后方电厂发电用，煤炭进口吞吐量为112万t，由本码头承担，吞吐量较大，煤炭泊位卸船应选用专业化的煤炭卸船设备及清舱设备。</w:t>
      </w:r>
    </w:p>
    <w:p w14:paraId="3DC4D778">
      <w:pPr>
        <w:pStyle w:val="139"/>
        <w:ind w:firstLine="480"/>
        <w:rPr>
          <w:color w:val="auto"/>
        </w:rPr>
      </w:pPr>
      <w:r>
        <w:rPr>
          <w:rFonts w:hint="eastAsia"/>
          <w:color w:val="auto"/>
        </w:rPr>
        <w:t>适应本码头改扩建工程的卸煤设备主要有：桥式抓斗卸煤机、螺旋式连续卸煤机两种；</w:t>
      </w:r>
      <w:r>
        <w:rPr>
          <w:rFonts w:hint="eastAsia"/>
          <w:color w:val="auto"/>
          <w:lang w:eastAsia="zh-CN"/>
        </w:rPr>
        <w:t>清仓</w:t>
      </w:r>
      <w:r>
        <w:rPr>
          <w:rFonts w:hint="eastAsia"/>
          <w:color w:val="auto"/>
        </w:rPr>
        <w:t>设备采用：抓料机、小型推耙机等，并配以人工辅助。本码头根据上述各设备的特点，考虑本码头为电厂专用煤炭卸船，为满足厂区来煤的稳定性，本次评价卸煤泊位采用2台桥式抓斗卸船机卸煤炭。</w:t>
      </w:r>
    </w:p>
    <w:p w14:paraId="21BE85FC">
      <w:pPr>
        <w:pStyle w:val="139"/>
        <w:ind w:firstLine="480"/>
        <w:rPr>
          <w:color w:val="auto"/>
        </w:rPr>
      </w:pPr>
      <w:r>
        <w:rPr>
          <w:rFonts w:hint="eastAsia"/>
          <w:color w:val="auto"/>
        </w:rPr>
        <w:t>2、水平运输选型</w:t>
      </w:r>
    </w:p>
    <w:p w14:paraId="36ED7EF4">
      <w:pPr>
        <w:pStyle w:val="139"/>
        <w:ind w:firstLine="480"/>
        <w:rPr>
          <w:color w:val="auto"/>
        </w:rPr>
      </w:pPr>
      <w:r>
        <w:rPr>
          <w:rFonts w:hint="eastAsia"/>
          <w:color w:val="auto"/>
        </w:rPr>
        <w:t>码头前沿与后方电厂的煤炭堆场之间采用皮带输送机进行水平运输，码头前沿采用1条带宽为1.2m的固定带式输送机，将卸下的煤炭转运入电厂转运站的皮带机上。</w:t>
      </w:r>
    </w:p>
    <w:p w14:paraId="560C18F9">
      <w:pPr>
        <w:pStyle w:val="93"/>
        <w:rPr>
          <w:b/>
        </w:rPr>
      </w:pPr>
      <w:r>
        <w:rPr>
          <w:rFonts w:hint="eastAsia"/>
        </w:rPr>
        <w:t>本项目主要装卸机械设备根据码头设计能力进行配套配置，见表3.5-1。</w:t>
      </w:r>
    </w:p>
    <w:p w14:paraId="2926F182">
      <w:pPr>
        <w:pStyle w:val="86"/>
      </w:pPr>
      <w:r>
        <w:rPr>
          <w:rFonts w:hint="eastAsia"/>
        </w:rPr>
        <w:t>装卸机械设置一览表</w:t>
      </w:r>
    </w:p>
    <w:tbl>
      <w:tblPr>
        <w:tblStyle w:val="38"/>
        <w:tblW w:w="8740" w:type="dxa"/>
        <w:tblInd w:w="0" w:type="dxa"/>
        <w:tblLayout w:type="autofit"/>
        <w:tblCellMar>
          <w:top w:w="0" w:type="dxa"/>
          <w:left w:w="108" w:type="dxa"/>
          <w:bottom w:w="0" w:type="dxa"/>
          <w:right w:w="108" w:type="dxa"/>
        </w:tblCellMar>
      </w:tblPr>
      <w:tblGrid>
        <w:gridCol w:w="960"/>
        <w:gridCol w:w="2120"/>
        <w:gridCol w:w="2040"/>
        <w:gridCol w:w="960"/>
        <w:gridCol w:w="960"/>
        <w:gridCol w:w="1700"/>
      </w:tblGrid>
      <w:tr w14:paraId="11645109">
        <w:tblPrEx>
          <w:tblCellMar>
            <w:top w:w="0" w:type="dxa"/>
            <w:left w:w="108" w:type="dxa"/>
            <w:bottom w:w="0" w:type="dxa"/>
            <w:right w:w="108" w:type="dxa"/>
          </w:tblCellMar>
        </w:tblPrEx>
        <w:trPr>
          <w:trHeight w:val="288"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560BD507">
            <w:pPr>
              <w:spacing w:line="240" w:lineRule="auto"/>
              <w:ind w:firstLine="0" w:firstLineChars="0"/>
              <w:jc w:val="center"/>
              <w:rPr>
                <w:rFonts w:hint="eastAsia" w:ascii="宋体" w:hAnsi="宋体" w:eastAsia="宋体" w:cs="宋体"/>
                <w:b/>
                <w:bCs/>
                <w:kern w:val="0"/>
                <w:sz w:val="21"/>
              </w:rPr>
            </w:pPr>
            <w:bookmarkStart w:id="175" w:name="_Hlk181744780"/>
            <w:r>
              <w:rPr>
                <w:rFonts w:hint="eastAsia" w:ascii="宋体" w:hAnsi="宋体" w:eastAsia="宋体" w:cs="宋体"/>
                <w:b/>
                <w:bCs/>
                <w:kern w:val="0"/>
                <w:sz w:val="21"/>
              </w:rPr>
              <w:t>序号</w:t>
            </w:r>
          </w:p>
        </w:tc>
        <w:tc>
          <w:tcPr>
            <w:tcW w:w="2120" w:type="dxa"/>
            <w:tcBorders>
              <w:top w:val="single" w:color="auto" w:sz="4" w:space="0"/>
              <w:left w:val="nil"/>
              <w:bottom w:val="single" w:color="auto" w:sz="4" w:space="0"/>
              <w:right w:val="single" w:color="auto" w:sz="4" w:space="0"/>
            </w:tcBorders>
            <w:shd w:val="clear" w:color="auto" w:fill="auto"/>
            <w:vAlign w:val="center"/>
          </w:tcPr>
          <w:p w14:paraId="1EF84E5A">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设备名称</w:t>
            </w:r>
          </w:p>
        </w:tc>
        <w:tc>
          <w:tcPr>
            <w:tcW w:w="2040" w:type="dxa"/>
            <w:tcBorders>
              <w:top w:val="single" w:color="auto" w:sz="4" w:space="0"/>
              <w:left w:val="nil"/>
              <w:bottom w:val="single" w:color="auto" w:sz="4" w:space="0"/>
              <w:right w:val="single" w:color="auto" w:sz="4" w:space="0"/>
            </w:tcBorders>
            <w:shd w:val="clear" w:color="auto" w:fill="auto"/>
            <w:vAlign w:val="center"/>
          </w:tcPr>
          <w:p w14:paraId="36E2A03F">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型号及规格</w:t>
            </w:r>
          </w:p>
        </w:tc>
        <w:tc>
          <w:tcPr>
            <w:tcW w:w="960" w:type="dxa"/>
            <w:tcBorders>
              <w:top w:val="single" w:color="auto" w:sz="4" w:space="0"/>
              <w:left w:val="nil"/>
              <w:bottom w:val="single" w:color="auto" w:sz="4" w:space="0"/>
              <w:right w:val="single" w:color="auto" w:sz="4" w:space="0"/>
            </w:tcBorders>
            <w:shd w:val="clear" w:color="auto" w:fill="auto"/>
            <w:vAlign w:val="center"/>
          </w:tcPr>
          <w:p w14:paraId="2F2A6AA7">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单位</w:t>
            </w:r>
          </w:p>
        </w:tc>
        <w:tc>
          <w:tcPr>
            <w:tcW w:w="960" w:type="dxa"/>
            <w:tcBorders>
              <w:top w:val="single" w:color="auto" w:sz="4" w:space="0"/>
              <w:left w:val="nil"/>
              <w:bottom w:val="single" w:color="auto" w:sz="4" w:space="0"/>
              <w:right w:val="single" w:color="auto" w:sz="4" w:space="0"/>
            </w:tcBorders>
            <w:shd w:val="clear" w:color="auto" w:fill="auto"/>
            <w:vAlign w:val="center"/>
          </w:tcPr>
          <w:p w14:paraId="094A536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数量</w:t>
            </w:r>
          </w:p>
        </w:tc>
        <w:tc>
          <w:tcPr>
            <w:tcW w:w="1700" w:type="dxa"/>
            <w:tcBorders>
              <w:top w:val="single" w:color="auto" w:sz="4" w:space="0"/>
              <w:left w:val="nil"/>
              <w:bottom w:val="single" w:color="auto" w:sz="4" w:space="0"/>
              <w:right w:val="single" w:color="auto" w:sz="4" w:space="0"/>
            </w:tcBorders>
            <w:shd w:val="clear" w:color="auto" w:fill="auto"/>
            <w:vAlign w:val="center"/>
          </w:tcPr>
          <w:p w14:paraId="036D4107">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备注</w:t>
            </w:r>
          </w:p>
        </w:tc>
      </w:tr>
      <w:tr w14:paraId="13DAB003">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50856F2E">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2120" w:type="dxa"/>
            <w:tcBorders>
              <w:top w:val="nil"/>
              <w:left w:val="nil"/>
              <w:bottom w:val="single" w:color="auto" w:sz="4" w:space="0"/>
              <w:right w:val="single" w:color="auto" w:sz="4" w:space="0"/>
            </w:tcBorders>
            <w:shd w:val="clear" w:color="auto" w:fill="auto"/>
            <w:vAlign w:val="center"/>
          </w:tcPr>
          <w:p w14:paraId="2A07184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桥式抓斗卸船机</w:t>
            </w:r>
          </w:p>
        </w:tc>
        <w:tc>
          <w:tcPr>
            <w:tcW w:w="2040" w:type="dxa"/>
            <w:tcBorders>
              <w:top w:val="nil"/>
              <w:left w:val="nil"/>
              <w:bottom w:val="single" w:color="auto" w:sz="4" w:space="0"/>
              <w:right w:val="single" w:color="auto" w:sz="4" w:space="0"/>
            </w:tcBorders>
            <w:shd w:val="clear" w:color="auto" w:fill="auto"/>
            <w:vAlign w:val="center"/>
          </w:tcPr>
          <w:p w14:paraId="6D3BD441">
            <w:pPr>
              <w:spacing w:line="240" w:lineRule="auto"/>
              <w:ind w:firstLine="0" w:firstLineChars="0"/>
              <w:jc w:val="center"/>
              <w:rPr>
                <w:rFonts w:eastAsia="等线" w:cs="Times New Roman"/>
                <w:kern w:val="0"/>
                <w:sz w:val="21"/>
              </w:rPr>
            </w:pPr>
            <w:r>
              <w:rPr>
                <w:rFonts w:eastAsia="等线" w:cs="Times New Roman"/>
                <w:kern w:val="0"/>
                <w:sz w:val="21"/>
              </w:rPr>
              <w:t>400t/h</w:t>
            </w:r>
          </w:p>
        </w:tc>
        <w:tc>
          <w:tcPr>
            <w:tcW w:w="960" w:type="dxa"/>
            <w:tcBorders>
              <w:top w:val="nil"/>
              <w:left w:val="nil"/>
              <w:bottom w:val="single" w:color="auto" w:sz="4" w:space="0"/>
              <w:right w:val="single" w:color="auto" w:sz="4" w:space="0"/>
            </w:tcBorders>
            <w:shd w:val="clear" w:color="auto" w:fill="auto"/>
            <w:vAlign w:val="center"/>
          </w:tcPr>
          <w:p w14:paraId="2B4AA7B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台</w:t>
            </w:r>
          </w:p>
        </w:tc>
        <w:tc>
          <w:tcPr>
            <w:tcW w:w="960" w:type="dxa"/>
            <w:tcBorders>
              <w:top w:val="nil"/>
              <w:left w:val="nil"/>
              <w:bottom w:val="single" w:color="auto" w:sz="4" w:space="0"/>
              <w:right w:val="single" w:color="auto" w:sz="4" w:space="0"/>
            </w:tcBorders>
            <w:shd w:val="clear" w:color="auto" w:fill="auto"/>
            <w:vAlign w:val="center"/>
          </w:tcPr>
          <w:p w14:paraId="6A11EDAD">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1700" w:type="dxa"/>
            <w:tcBorders>
              <w:top w:val="nil"/>
              <w:left w:val="nil"/>
              <w:bottom w:val="single" w:color="auto" w:sz="4" w:space="0"/>
              <w:right w:val="single" w:color="auto" w:sz="4" w:space="0"/>
            </w:tcBorders>
            <w:shd w:val="clear" w:color="auto" w:fill="auto"/>
            <w:vAlign w:val="center"/>
          </w:tcPr>
          <w:p w14:paraId="4CD7F4E4">
            <w:pPr>
              <w:spacing w:line="240" w:lineRule="auto"/>
              <w:ind w:firstLine="0" w:firstLineChars="0"/>
              <w:jc w:val="center"/>
              <w:rPr>
                <w:rFonts w:eastAsia="等线" w:cs="Times New Roman"/>
                <w:kern w:val="0"/>
                <w:sz w:val="21"/>
              </w:rPr>
            </w:pPr>
            <w:r>
              <w:rPr>
                <w:rFonts w:eastAsia="等线" w:cs="Times New Roman"/>
                <w:kern w:val="0"/>
                <w:sz w:val="21"/>
              </w:rPr>
              <w:t>400kW</w:t>
            </w:r>
            <w:r>
              <w:rPr>
                <w:rFonts w:hint="eastAsia" w:ascii="宋体" w:hAnsi="宋体" w:eastAsia="宋体" w:cs="Times New Roman"/>
                <w:kern w:val="0"/>
                <w:sz w:val="21"/>
              </w:rPr>
              <w:t>，卸煤</w:t>
            </w:r>
          </w:p>
        </w:tc>
      </w:tr>
      <w:tr w14:paraId="696CFAE5">
        <w:tblPrEx>
          <w:tblCellMar>
            <w:top w:w="0" w:type="dxa"/>
            <w:left w:w="108" w:type="dxa"/>
            <w:bottom w:w="0" w:type="dxa"/>
            <w:right w:w="108" w:type="dxa"/>
          </w:tblCellMar>
        </w:tblPrEx>
        <w:trPr>
          <w:trHeight w:val="336"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79F2D1E">
            <w:pPr>
              <w:spacing w:line="240" w:lineRule="auto"/>
              <w:ind w:firstLine="0" w:firstLineChars="0"/>
              <w:jc w:val="center"/>
              <w:rPr>
                <w:rFonts w:eastAsia="等线" w:cs="Times New Roman"/>
                <w:kern w:val="0"/>
                <w:sz w:val="21"/>
              </w:rPr>
            </w:pPr>
            <w:r>
              <w:rPr>
                <w:rFonts w:hint="eastAsia" w:eastAsia="等线" w:cs="Times New Roman"/>
                <w:kern w:val="0"/>
                <w:sz w:val="21"/>
              </w:rPr>
              <w:t>2</w:t>
            </w:r>
          </w:p>
        </w:tc>
        <w:tc>
          <w:tcPr>
            <w:tcW w:w="2120" w:type="dxa"/>
            <w:tcBorders>
              <w:top w:val="nil"/>
              <w:left w:val="nil"/>
              <w:bottom w:val="single" w:color="auto" w:sz="4" w:space="0"/>
              <w:right w:val="single" w:color="auto" w:sz="4" w:space="0"/>
            </w:tcBorders>
            <w:shd w:val="clear" w:color="auto" w:fill="auto"/>
            <w:vAlign w:val="center"/>
          </w:tcPr>
          <w:p w14:paraId="4092C36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小型推耙机</w:t>
            </w:r>
          </w:p>
        </w:tc>
        <w:tc>
          <w:tcPr>
            <w:tcW w:w="2040" w:type="dxa"/>
            <w:tcBorders>
              <w:top w:val="nil"/>
              <w:left w:val="nil"/>
              <w:bottom w:val="single" w:color="auto" w:sz="4" w:space="0"/>
              <w:right w:val="single" w:color="auto" w:sz="4" w:space="0"/>
            </w:tcBorders>
            <w:shd w:val="clear" w:color="auto" w:fill="auto"/>
            <w:vAlign w:val="center"/>
          </w:tcPr>
          <w:p w14:paraId="595FD2CF">
            <w:pPr>
              <w:spacing w:line="240" w:lineRule="auto"/>
              <w:ind w:firstLine="0" w:firstLineChars="0"/>
              <w:jc w:val="center"/>
              <w:rPr>
                <w:rFonts w:eastAsia="等线" w:cs="Times New Roman"/>
                <w:kern w:val="0"/>
                <w:sz w:val="21"/>
              </w:rPr>
            </w:pPr>
            <w:r>
              <w:rPr>
                <w:rFonts w:eastAsia="等线" w:cs="Times New Roman"/>
                <w:kern w:val="0"/>
                <w:sz w:val="21"/>
              </w:rPr>
              <w:t>1m</w:t>
            </w:r>
            <w:r>
              <w:rPr>
                <w:rFonts w:eastAsia="等线" w:cs="Times New Roman"/>
                <w:kern w:val="0"/>
                <w:sz w:val="21"/>
                <w:vertAlign w:val="superscript"/>
              </w:rPr>
              <w:t>3</w:t>
            </w:r>
          </w:p>
        </w:tc>
        <w:tc>
          <w:tcPr>
            <w:tcW w:w="960" w:type="dxa"/>
            <w:tcBorders>
              <w:top w:val="nil"/>
              <w:left w:val="nil"/>
              <w:bottom w:val="single" w:color="auto" w:sz="4" w:space="0"/>
              <w:right w:val="single" w:color="auto" w:sz="4" w:space="0"/>
            </w:tcBorders>
            <w:shd w:val="clear" w:color="auto" w:fill="auto"/>
            <w:vAlign w:val="center"/>
          </w:tcPr>
          <w:p w14:paraId="4C27417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台</w:t>
            </w:r>
          </w:p>
        </w:tc>
        <w:tc>
          <w:tcPr>
            <w:tcW w:w="960" w:type="dxa"/>
            <w:tcBorders>
              <w:top w:val="nil"/>
              <w:left w:val="nil"/>
              <w:bottom w:val="single" w:color="auto" w:sz="4" w:space="0"/>
              <w:right w:val="single" w:color="auto" w:sz="4" w:space="0"/>
            </w:tcBorders>
            <w:shd w:val="clear" w:color="auto" w:fill="auto"/>
            <w:vAlign w:val="center"/>
          </w:tcPr>
          <w:p w14:paraId="19074C26">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1700" w:type="dxa"/>
            <w:tcBorders>
              <w:top w:val="nil"/>
              <w:left w:val="nil"/>
              <w:bottom w:val="single" w:color="auto" w:sz="4" w:space="0"/>
              <w:right w:val="single" w:color="auto" w:sz="4" w:space="0"/>
            </w:tcBorders>
            <w:shd w:val="clear" w:color="auto" w:fill="auto"/>
            <w:vAlign w:val="center"/>
          </w:tcPr>
          <w:p w14:paraId="4801001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清舱</w:t>
            </w:r>
          </w:p>
        </w:tc>
      </w:tr>
      <w:tr w14:paraId="1087C9BA">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14E21828">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2120" w:type="dxa"/>
            <w:tcBorders>
              <w:top w:val="nil"/>
              <w:left w:val="nil"/>
              <w:bottom w:val="single" w:color="auto" w:sz="4" w:space="0"/>
              <w:right w:val="single" w:color="auto" w:sz="4" w:space="0"/>
            </w:tcBorders>
            <w:shd w:val="clear" w:color="auto" w:fill="auto"/>
            <w:vAlign w:val="center"/>
          </w:tcPr>
          <w:p w14:paraId="40C57EC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固定皮带机</w:t>
            </w:r>
          </w:p>
        </w:tc>
        <w:tc>
          <w:tcPr>
            <w:tcW w:w="2040" w:type="dxa"/>
            <w:tcBorders>
              <w:top w:val="nil"/>
              <w:left w:val="nil"/>
              <w:bottom w:val="single" w:color="auto" w:sz="4" w:space="0"/>
              <w:right w:val="single" w:color="auto" w:sz="4" w:space="0"/>
            </w:tcBorders>
            <w:shd w:val="clear" w:color="auto" w:fill="auto"/>
            <w:vAlign w:val="center"/>
          </w:tcPr>
          <w:p w14:paraId="739CDC93">
            <w:pPr>
              <w:spacing w:line="240" w:lineRule="auto"/>
              <w:ind w:firstLine="0" w:firstLineChars="0"/>
              <w:jc w:val="center"/>
              <w:rPr>
                <w:rFonts w:eastAsia="等线" w:cs="Times New Roman"/>
                <w:kern w:val="0"/>
                <w:sz w:val="21"/>
              </w:rPr>
            </w:pPr>
            <w:r>
              <w:rPr>
                <w:rFonts w:eastAsia="等线" w:cs="Times New Roman"/>
                <w:kern w:val="0"/>
                <w:sz w:val="21"/>
              </w:rPr>
              <w:t>B=1.2m</w:t>
            </w:r>
            <w:r>
              <w:rPr>
                <w:rFonts w:hint="eastAsia" w:eastAsia="等线" w:cs="Times New Roman"/>
                <w:kern w:val="0"/>
                <w:sz w:val="21"/>
                <w:lang w:eastAsia="zh-CN"/>
              </w:rPr>
              <w:t>,</w:t>
            </w:r>
            <w:r>
              <w:rPr>
                <w:rFonts w:eastAsia="等线" w:cs="Times New Roman"/>
                <w:kern w:val="0"/>
                <w:sz w:val="21"/>
              </w:rPr>
              <w:t>V=2.5m/s</w:t>
            </w:r>
          </w:p>
        </w:tc>
        <w:tc>
          <w:tcPr>
            <w:tcW w:w="960" w:type="dxa"/>
            <w:tcBorders>
              <w:top w:val="nil"/>
              <w:left w:val="nil"/>
              <w:bottom w:val="single" w:color="auto" w:sz="4" w:space="0"/>
              <w:right w:val="single" w:color="auto" w:sz="4" w:space="0"/>
            </w:tcBorders>
            <w:shd w:val="clear" w:color="auto" w:fill="auto"/>
            <w:vAlign w:val="center"/>
          </w:tcPr>
          <w:p w14:paraId="63C6D628">
            <w:pPr>
              <w:spacing w:line="240" w:lineRule="auto"/>
              <w:ind w:firstLine="0" w:firstLineChars="0"/>
              <w:jc w:val="center"/>
              <w:rPr>
                <w:rFonts w:eastAsia="等线" w:cs="Times New Roman"/>
                <w:kern w:val="0"/>
                <w:sz w:val="21"/>
              </w:rPr>
            </w:pPr>
            <w:r>
              <w:rPr>
                <w:rFonts w:eastAsia="等线" w:cs="Times New Roman"/>
                <w:kern w:val="0"/>
                <w:sz w:val="21"/>
              </w:rPr>
              <w:t>m</w:t>
            </w:r>
          </w:p>
        </w:tc>
        <w:tc>
          <w:tcPr>
            <w:tcW w:w="960" w:type="dxa"/>
            <w:tcBorders>
              <w:top w:val="nil"/>
              <w:left w:val="nil"/>
              <w:bottom w:val="single" w:color="auto" w:sz="4" w:space="0"/>
              <w:right w:val="single" w:color="auto" w:sz="4" w:space="0"/>
            </w:tcBorders>
            <w:shd w:val="clear" w:color="auto" w:fill="auto"/>
            <w:vAlign w:val="center"/>
          </w:tcPr>
          <w:p w14:paraId="5E12A5F4">
            <w:pPr>
              <w:spacing w:line="240" w:lineRule="auto"/>
              <w:ind w:firstLine="0" w:firstLineChars="0"/>
              <w:jc w:val="center"/>
              <w:rPr>
                <w:rFonts w:eastAsia="等线" w:cs="Times New Roman"/>
                <w:kern w:val="0"/>
                <w:sz w:val="21"/>
              </w:rPr>
            </w:pPr>
            <w:r>
              <w:rPr>
                <w:rFonts w:eastAsia="等线" w:cs="Times New Roman"/>
                <w:kern w:val="0"/>
                <w:sz w:val="21"/>
              </w:rPr>
              <w:t>336</w:t>
            </w:r>
          </w:p>
        </w:tc>
        <w:tc>
          <w:tcPr>
            <w:tcW w:w="1700" w:type="dxa"/>
            <w:tcBorders>
              <w:top w:val="nil"/>
              <w:left w:val="nil"/>
              <w:bottom w:val="single" w:color="auto" w:sz="4" w:space="0"/>
              <w:right w:val="single" w:color="auto" w:sz="4" w:space="0"/>
            </w:tcBorders>
            <w:shd w:val="clear" w:color="auto" w:fill="auto"/>
            <w:vAlign w:val="center"/>
          </w:tcPr>
          <w:p w14:paraId="0C75714A">
            <w:pPr>
              <w:spacing w:line="240" w:lineRule="auto"/>
              <w:ind w:firstLine="0" w:firstLineChars="0"/>
              <w:jc w:val="center"/>
              <w:rPr>
                <w:rFonts w:eastAsia="等线" w:cs="Times New Roman"/>
                <w:kern w:val="0"/>
                <w:sz w:val="21"/>
              </w:rPr>
            </w:pPr>
            <w:r>
              <w:rPr>
                <w:rFonts w:eastAsia="等线" w:cs="Times New Roman"/>
                <w:kern w:val="0"/>
                <w:sz w:val="21"/>
              </w:rPr>
              <w:t>75kW</w:t>
            </w:r>
          </w:p>
        </w:tc>
      </w:tr>
      <w:tr w14:paraId="2D654BF3">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44528DA2">
            <w:pPr>
              <w:spacing w:line="240" w:lineRule="auto"/>
              <w:ind w:firstLine="0" w:firstLineChars="0"/>
              <w:jc w:val="center"/>
              <w:rPr>
                <w:rFonts w:eastAsia="等线" w:cs="Times New Roman"/>
                <w:kern w:val="0"/>
                <w:sz w:val="21"/>
              </w:rPr>
            </w:pPr>
            <w:r>
              <w:rPr>
                <w:rFonts w:eastAsia="等线" w:cs="Times New Roman"/>
                <w:kern w:val="0"/>
                <w:sz w:val="21"/>
              </w:rPr>
              <w:t>4</w:t>
            </w:r>
          </w:p>
        </w:tc>
        <w:tc>
          <w:tcPr>
            <w:tcW w:w="2120" w:type="dxa"/>
            <w:tcBorders>
              <w:top w:val="nil"/>
              <w:left w:val="nil"/>
              <w:bottom w:val="single" w:color="auto" w:sz="4" w:space="0"/>
              <w:right w:val="single" w:color="auto" w:sz="4" w:space="0"/>
            </w:tcBorders>
            <w:shd w:val="clear" w:color="auto" w:fill="auto"/>
            <w:vAlign w:val="center"/>
          </w:tcPr>
          <w:p w14:paraId="2E10480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除铁器</w:t>
            </w:r>
          </w:p>
        </w:tc>
        <w:tc>
          <w:tcPr>
            <w:tcW w:w="2040" w:type="dxa"/>
            <w:tcBorders>
              <w:top w:val="nil"/>
              <w:left w:val="nil"/>
              <w:bottom w:val="single" w:color="auto" w:sz="4" w:space="0"/>
              <w:right w:val="single" w:color="auto" w:sz="4" w:space="0"/>
            </w:tcBorders>
            <w:shd w:val="clear" w:color="auto" w:fill="auto"/>
            <w:vAlign w:val="center"/>
          </w:tcPr>
          <w:p w14:paraId="41A74B7E">
            <w:pPr>
              <w:spacing w:line="240" w:lineRule="auto"/>
              <w:ind w:firstLine="0" w:firstLineChars="0"/>
              <w:jc w:val="center"/>
              <w:rPr>
                <w:rFonts w:eastAsia="等线" w:cs="Times New Roman"/>
                <w:kern w:val="0"/>
                <w:sz w:val="21"/>
              </w:rPr>
            </w:pPr>
            <w:r>
              <w:rPr>
                <w:rFonts w:eastAsia="等线" w:cs="Times New Roman"/>
                <w:kern w:val="0"/>
                <w:sz w:val="21"/>
              </w:rPr>
              <w:t>　</w:t>
            </w:r>
          </w:p>
        </w:tc>
        <w:tc>
          <w:tcPr>
            <w:tcW w:w="960" w:type="dxa"/>
            <w:tcBorders>
              <w:top w:val="nil"/>
              <w:left w:val="nil"/>
              <w:bottom w:val="single" w:color="auto" w:sz="4" w:space="0"/>
              <w:right w:val="single" w:color="auto" w:sz="4" w:space="0"/>
            </w:tcBorders>
            <w:shd w:val="clear" w:color="auto" w:fill="auto"/>
            <w:vAlign w:val="center"/>
          </w:tcPr>
          <w:p w14:paraId="4A0807A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台</w:t>
            </w:r>
          </w:p>
        </w:tc>
        <w:tc>
          <w:tcPr>
            <w:tcW w:w="960" w:type="dxa"/>
            <w:tcBorders>
              <w:top w:val="nil"/>
              <w:left w:val="nil"/>
              <w:bottom w:val="single" w:color="auto" w:sz="4" w:space="0"/>
              <w:right w:val="single" w:color="auto" w:sz="4" w:space="0"/>
            </w:tcBorders>
            <w:shd w:val="clear" w:color="auto" w:fill="auto"/>
            <w:vAlign w:val="center"/>
          </w:tcPr>
          <w:p w14:paraId="311A5435">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1700" w:type="dxa"/>
            <w:tcBorders>
              <w:top w:val="nil"/>
              <w:left w:val="nil"/>
              <w:bottom w:val="single" w:color="auto" w:sz="4" w:space="0"/>
              <w:right w:val="single" w:color="auto" w:sz="4" w:space="0"/>
            </w:tcBorders>
            <w:shd w:val="clear" w:color="auto" w:fill="auto"/>
            <w:vAlign w:val="center"/>
          </w:tcPr>
          <w:p w14:paraId="5A1D341E">
            <w:pPr>
              <w:spacing w:line="240" w:lineRule="auto"/>
              <w:ind w:firstLine="0" w:firstLineChars="0"/>
              <w:jc w:val="center"/>
              <w:rPr>
                <w:rFonts w:eastAsia="等线" w:cs="Times New Roman"/>
                <w:kern w:val="0"/>
                <w:sz w:val="21"/>
              </w:rPr>
            </w:pPr>
            <w:r>
              <w:rPr>
                <w:rFonts w:eastAsia="等线" w:cs="Times New Roman"/>
                <w:kern w:val="0"/>
                <w:sz w:val="21"/>
              </w:rPr>
              <w:t>20kW</w:t>
            </w:r>
          </w:p>
        </w:tc>
      </w:tr>
      <w:tr w14:paraId="79EA9B4C">
        <w:tblPrEx>
          <w:tblCellMar>
            <w:top w:w="0" w:type="dxa"/>
            <w:left w:w="108" w:type="dxa"/>
            <w:bottom w:w="0" w:type="dxa"/>
            <w:right w:w="108" w:type="dxa"/>
          </w:tblCellMar>
        </w:tblPrEx>
        <w:trPr>
          <w:trHeight w:val="288" w:hRule="atLeast"/>
        </w:trPr>
        <w:tc>
          <w:tcPr>
            <w:tcW w:w="960" w:type="dxa"/>
            <w:tcBorders>
              <w:top w:val="nil"/>
              <w:left w:val="single" w:color="auto" w:sz="4" w:space="0"/>
              <w:bottom w:val="single" w:color="auto" w:sz="4" w:space="0"/>
              <w:right w:val="single" w:color="auto" w:sz="4" w:space="0"/>
            </w:tcBorders>
            <w:shd w:val="clear" w:color="auto" w:fill="auto"/>
            <w:vAlign w:val="center"/>
          </w:tcPr>
          <w:p w14:paraId="221F7615">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2120" w:type="dxa"/>
            <w:tcBorders>
              <w:top w:val="nil"/>
              <w:left w:val="nil"/>
              <w:bottom w:val="single" w:color="auto" w:sz="4" w:space="0"/>
              <w:right w:val="single" w:color="auto" w:sz="4" w:space="0"/>
            </w:tcBorders>
            <w:shd w:val="clear" w:color="auto" w:fill="auto"/>
            <w:vAlign w:val="center"/>
          </w:tcPr>
          <w:p w14:paraId="2C01BE1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皮带机挡风墙</w:t>
            </w:r>
          </w:p>
        </w:tc>
        <w:tc>
          <w:tcPr>
            <w:tcW w:w="2040" w:type="dxa"/>
            <w:tcBorders>
              <w:top w:val="nil"/>
              <w:left w:val="nil"/>
              <w:bottom w:val="single" w:color="auto" w:sz="4" w:space="0"/>
              <w:right w:val="single" w:color="auto" w:sz="4" w:space="0"/>
            </w:tcBorders>
            <w:shd w:val="clear" w:color="auto" w:fill="auto"/>
            <w:vAlign w:val="center"/>
          </w:tcPr>
          <w:p w14:paraId="59E5AC74">
            <w:pPr>
              <w:spacing w:line="240" w:lineRule="auto"/>
              <w:ind w:firstLine="0" w:firstLineChars="0"/>
              <w:jc w:val="center"/>
              <w:rPr>
                <w:rFonts w:eastAsia="等线" w:cs="Times New Roman"/>
                <w:kern w:val="0"/>
                <w:sz w:val="21"/>
              </w:rPr>
            </w:pPr>
            <w:r>
              <w:rPr>
                <w:rFonts w:eastAsia="等线" w:cs="Times New Roman"/>
                <w:kern w:val="0"/>
                <w:sz w:val="21"/>
              </w:rPr>
              <w:t>　</w:t>
            </w:r>
          </w:p>
        </w:tc>
        <w:tc>
          <w:tcPr>
            <w:tcW w:w="960" w:type="dxa"/>
            <w:tcBorders>
              <w:top w:val="nil"/>
              <w:left w:val="nil"/>
              <w:bottom w:val="single" w:color="auto" w:sz="4" w:space="0"/>
              <w:right w:val="single" w:color="auto" w:sz="4" w:space="0"/>
            </w:tcBorders>
            <w:shd w:val="clear" w:color="auto" w:fill="auto"/>
            <w:vAlign w:val="center"/>
          </w:tcPr>
          <w:p w14:paraId="5B15B7E7">
            <w:pPr>
              <w:spacing w:line="240" w:lineRule="auto"/>
              <w:ind w:firstLine="0" w:firstLineChars="0"/>
              <w:jc w:val="center"/>
              <w:rPr>
                <w:rFonts w:eastAsia="等线" w:cs="Times New Roman"/>
                <w:kern w:val="0"/>
                <w:sz w:val="21"/>
              </w:rPr>
            </w:pPr>
            <w:r>
              <w:rPr>
                <w:rFonts w:eastAsia="等线" w:cs="Times New Roman"/>
                <w:kern w:val="0"/>
                <w:sz w:val="21"/>
              </w:rPr>
              <w:t>m</w:t>
            </w:r>
          </w:p>
        </w:tc>
        <w:tc>
          <w:tcPr>
            <w:tcW w:w="960" w:type="dxa"/>
            <w:tcBorders>
              <w:top w:val="nil"/>
              <w:left w:val="nil"/>
              <w:bottom w:val="single" w:color="auto" w:sz="4" w:space="0"/>
              <w:right w:val="single" w:color="auto" w:sz="4" w:space="0"/>
            </w:tcBorders>
            <w:shd w:val="clear" w:color="auto" w:fill="auto"/>
            <w:vAlign w:val="center"/>
          </w:tcPr>
          <w:p w14:paraId="6B3D09FC">
            <w:pPr>
              <w:spacing w:line="240" w:lineRule="auto"/>
              <w:ind w:firstLine="0" w:firstLineChars="0"/>
              <w:jc w:val="center"/>
              <w:rPr>
                <w:rFonts w:eastAsia="等线" w:cs="Times New Roman"/>
                <w:kern w:val="0"/>
                <w:sz w:val="21"/>
              </w:rPr>
            </w:pPr>
            <w:r>
              <w:rPr>
                <w:rFonts w:eastAsia="等线" w:cs="Times New Roman"/>
                <w:kern w:val="0"/>
                <w:sz w:val="21"/>
              </w:rPr>
              <w:t>200</w:t>
            </w:r>
          </w:p>
        </w:tc>
        <w:tc>
          <w:tcPr>
            <w:tcW w:w="1700" w:type="dxa"/>
            <w:tcBorders>
              <w:top w:val="nil"/>
              <w:left w:val="nil"/>
              <w:bottom w:val="single" w:color="auto" w:sz="4" w:space="0"/>
              <w:right w:val="single" w:color="auto" w:sz="4" w:space="0"/>
            </w:tcBorders>
            <w:shd w:val="clear" w:color="auto" w:fill="auto"/>
            <w:vAlign w:val="center"/>
          </w:tcPr>
          <w:p w14:paraId="1FB4E60F">
            <w:pPr>
              <w:spacing w:line="240" w:lineRule="auto"/>
              <w:ind w:firstLine="0" w:firstLineChars="0"/>
              <w:jc w:val="center"/>
              <w:rPr>
                <w:rFonts w:eastAsia="等线" w:cs="Times New Roman"/>
                <w:kern w:val="0"/>
                <w:sz w:val="21"/>
              </w:rPr>
            </w:pPr>
            <w:r>
              <w:rPr>
                <w:rFonts w:eastAsia="等线" w:cs="Times New Roman"/>
                <w:kern w:val="0"/>
                <w:sz w:val="21"/>
              </w:rPr>
              <w:t>　</w:t>
            </w:r>
          </w:p>
        </w:tc>
      </w:tr>
      <w:bookmarkEnd w:id="174"/>
      <w:bookmarkEnd w:id="175"/>
    </w:tbl>
    <w:p w14:paraId="7DA4737E">
      <w:pPr>
        <w:pStyle w:val="82"/>
      </w:pPr>
      <w:r>
        <w:rPr>
          <w:rFonts w:hint="eastAsia"/>
        </w:rPr>
        <w:t>施工期工艺流程及产污环节</w:t>
      </w:r>
    </w:p>
    <w:p w14:paraId="28EF9978">
      <w:pPr>
        <w:pStyle w:val="93"/>
      </w:pPr>
      <w:r>
        <w:rPr>
          <w:rFonts w:hint="eastAsia"/>
        </w:rPr>
        <w:t>本项目施工期间工艺流程及产物环节示意图见图3.5-1。</w:t>
      </w:r>
    </w:p>
    <w:p w14:paraId="0ADF4B44">
      <w:pPr>
        <w:pStyle w:val="196"/>
      </w:pPr>
      <w:r>
        <w:rPr>
          <w:rFonts w:hint="eastAsia"/>
        </w:rPr>
        <w:drawing>
          <wp:inline distT="0" distB="0" distL="0" distR="0">
            <wp:extent cx="5249545" cy="6096000"/>
            <wp:effectExtent l="0" t="0" r="8255" b="0"/>
            <wp:docPr id="1644452154" name="图片 21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2154" name="图片 218" descr="图示, 示意图&#10;&#10;描述已自动生成"/>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249545" cy="6096000"/>
                    </a:xfrm>
                    <a:prstGeom prst="rect">
                      <a:avLst/>
                    </a:prstGeom>
                    <a:noFill/>
                    <a:ln>
                      <a:noFill/>
                    </a:ln>
                  </pic:spPr>
                </pic:pic>
              </a:graphicData>
            </a:graphic>
          </wp:inline>
        </w:drawing>
      </w:r>
      <w:r>
        <w:rPr>
          <w:rFonts w:hint="eastAsia"/>
        </w:rPr>
        <w:t xml:space="preserve"> </w:t>
      </w:r>
    </w:p>
    <w:p w14:paraId="33572BCC">
      <w:pPr>
        <w:pStyle w:val="90"/>
      </w:pPr>
      <w:r>
        <w:rPr>
          <w:rFonts w:hint="eastAsia"/>
        </w:rPr>
        <w:t>图3.5-1  本项目施工期间工艺流程及产污环节示意图</w:t>
      </w:r>
    </w:p>
    <w:p w14:paraId="3237FE83">
      <w:pPr>
        <w:pStyle w:val="82"/>
      </w:pPr>
      <w:r>
        <w:rPr>
          <w:rFonts w:hint="eastAsia"/>
        </w:rPr>
        <w:t>营运期工艺流程及产污环节</w:t>
      </w:r>
    </w:p>
    <w:p w14:paraId="292BB36B">
      <w:pPr>
        <w:pStyle w:val="93"/>
      </w:pPr>
      <w:r>
        <w:rPr>
          <w:rFonts w:hint="eastAsia"/>
        </w:rPr>
        <w:t>本项目营运期间工艺流程及产污环节示意图见图3.5</w:t>
      </w:r>
      <w:r>
        <w:t>-</w:t>
      </w:r>
      <w:r>
        <w:rPr>
          <w:rFonts w:hint="eastAsia"/>
        </w:rPr>
        <w:t>2。</w:t>
      </w:r>
    </w:p>
    <w:p w14:paraId="1AA91D25">
      <w:pPr>
        <w:pStyle w:val="139"/>
        <w:ind w:firstLine="480"/>
        <w:rPr>
          <w:color w:val="auto"/>
        </w:rPr>
      </w:pPr>
      <w:r>
        <w:rPr>
          <w:rFonts w:hint="eastAsia"/>
          <w:color w:val="auto"/>
        </w:rPr>
        <w:t>运营期工艺流程为：船→桥式抓斗卸船机→水平输送皮带机→1#转运站→入电厂皮带机。</w:t>
      </w:r>
    </w:p>
    <w:p w14:paraId="0C8EE2D2">
      <w:pPr>
        <w:pStyle w:val="196"/>
      </w:pPr>
      <w:r>
        <w:drawing>
          <wp:inline distT="0" distB="0" distL="0" distR="0">
            <wp:extent cx="5250815" cy="1884045"/>
            <wp:effectExtent l="0" t="0" r="6985" b="1905"/>
            <wp:docPr id="39066157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61576" name="图片 3" descr="图示&#10;&#10;描述已自动生成"/>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250815" cy="1884045"/>
                    </a:xfrm>
                    <a:prstGeom prst="rect">
                      <a:avLst/>
                    </a:prstGeom>
                    <a:noFill/>
                    <a:ln>
                      <a:noFill/>
                    </a:ln>
                  </pic:spPr>
                </pic:pic>
              </a:graphicData>
            </a:graphic>
          </wp:inline>
        </w:drawing>
      </w:r>
      <w:r>
        <w:rPr>
          <w:rFonts w:hint="eastAsia"/>
        </w:rPr>
        <w:t xml:space="preserve"> </w:t>
      </w:r>
    </w:p>
    <w:p w14:paraId="60A048AF">
      <w:pPr>
        <w:pStyle w:val="90"/>
      </w:pPr>
      <w:r>
        <w:rPr>
          <w:rFonts w:hint="eastAsia"/>
        </w:rPr>
        <w:t>图3.5</w:t>
      </w:r>
      <w:r>
        <w:t>-</w:t>
      </w:r>
      <w:r>
        <w:rPr>
          <w:rFonts w:hint="eastAsia"/>
        </w:rPr>
        <w:t>2  本项目营运期间工艺流程及产污环节示意图</w:t>
      </w:r>
    </w:p>
    <w:p w14:paraId="12961831">
      <w:pPr>
        <w:pStyle w:val="139"/>
        <w:ind w:firstLine="480"/>
        <w:rPr>
          <w:color w:val="auto"/>
        </w:rPr>
      </w:pPr>
      <w:r>
        <w:rPr>
          <w:rFonts w:hint="eastAsia"/>
          <w:color w:val="auto"/>
        </w:rPr>
        <w:t>（1）环境空气影响因素分析</w:t>
      </w:r>
    </w:p>
    <w:p w14:paraId="796C8E24">
      <w:pPr>
        <w:pStyle w:val="139"/>
        <w:ind w:firstLine="480"/>
        <w:rPr>
          <w:color w:val="auto"/>
        </w:rPr>
      </w:pPr>
      <w:r>
        <w:rPr>
          <w:rFonts w:hint="eastAsia"/>
          <w:color w:val="auto"/>
        </w:rPr>
        <w:t>主要包括煤炭在卸船作业过程产生的扬尘，港作机械设备废气，船舶废气、道路扬尘等对周边环境空气影响。项目码</w:t>
      </w:r>
      <w:r>
        <w:rPr>
          <w:rFonts w:hint="eastAsia"/>
          <w:color w:val="auto"/>
          <w:lang w:eastAsia="zh-CN"/>
        </w:rPr>
        <w:t>头地</w:t>
      </w:r>
      <w:r>
        <w:rPr>
          <w:rFonts w:hint="eastAsia"/>
          <w:color w:val="auto"/>
        </w:rPr>
        <w:t>面设置岸电箱，到港船舶拟接入岸电系统，仅考虑船舶到港、离港及辅机产生的大气污染物排放。本项目配备桥式抓斗卸船机等机械设备。根据设计单位提供资料，桥式抓斗式卸船机等装卸设备均使用电能。因此本项目装卸机械及运输车辆产生废气较少，本次评价仅进行定性分析。</w:t>
      </w:r>
    </w:p>
    <w:p w14:paraId="1612AAB8">
      <w:pPr>
        <w:pStyle w:val="139"/>
        <w:ind w:firstLine="480"/>
        <w:rPr>
          <w:color w:val="auto"/>
        </w:rPr>
      </w:pPr>
      <w:r>
        <w:rPr>
          <w:rFonts w:hint="eastAsia"/>
          <w:color w:val="auto"/>
        </w:rPr>
        <w:t>（2）水环境影响因素分析</w:t>
      </w:r>
    </w:p>
    <w:p w14:paraId="789DC7E8">
      <w:pPr>
        <w:pStyle w:val="139"/>
        <w:ind w:firstLine="480"/>
        <w:rPr>
          <w:color w:val="auto"/>
        </w:rPr>
      </w:pPr>
      <w:r>
        <w:rPr>
          <w:rFonts w:hint="eastAsia"/>
          <w:color w:val="auto"/>
        </w:rPr>
        <w:t>主要包括到港船舶废水（生活污水、舱底油污水），码头面、廊道区域地面冲洗废水、流动机械冲洗水，初期雨水，机械维修废水等对附近水体水质环境的影响。</w:t>
      </w:r>
    </w:p>
    <w:p w14:paraId="580B030B">
      <w:pPr>
        <w:pStyle w:val="139"/>
        <w:ind w:firstLine="480"/>
        <w:rPr>
          <w:color w:val="auto"/>
        </w:rPr>
      </w:pPr>
      <w:r>
        <w:rPr>
          <w:rFonts w:hint="eastAsia"/>
          <w:color w:val="auto"/>
        </w:rPr>
        <w:t>（3）声环境影响因素分析</w:t>
      </w:r>
    </w:p>
    <w:p w14:paraId="18D07742">
      <w:pPr>
        <w:pStyle w:val="139"/>
        <w:ind w:firstLine="480"/>
        <w:rPr>
          <w:color w:val="auto"/>
        </w:rPr>
      </w:pPr>
      <w:r>
        <w:rPr>
          <w:rFonts w:hint="eastAsia"/>
          <w:color w:val="auto"/>
        </w:rPr>
        <w:t>主要包括装卸设备运行噪声、运输车辆和船舶鸣号产生的交通噪声等对周围声环境的影响。</w:t>
      </w:r>
    </w:p>
    <w:p w14:paraId="107BD142">
      <w:pPr>
        <w:pStyle w:val="139"/>
        <w:ind w:firstLine="480"/>
        <w:rPr>
          <w:color w:val="auto"/>
        </w:rPr>
      </w:pPr>
      <w:r>
        <w:rPr>
          <w:rFonts w:hint="eastAsia"/>
          <w:color w:val="auto"/>
        </w:rPr>
        <w:t>（4）固体废物影响因素分析</w:t>
      </w:r>
    </w:p>
    <w:p w14:paraId="4CA15CE5">
      <w:pPr>
        <w:pStyle w:val="139"/>
        <w:ind w:firstLine="480"/>
        <w:rPr>
          <w:color w:val="auto"/>
        </w:rPr>
      </w:pPr>
      <w:r>
        <w:rPr>
          <w:rFonts w:hint="eastAsia"/>
          <w:color w:val="auto"/>
        </w:rPr>
        <w:t>主要包括生活垃圾、机修废油、装卸废料等固体废物对附近水体生态环境造成影响。</w:t>
      </w:r>
    </w:p>
    <w:p w14:paraId="02D771B0">
      <w:pPr>
        <w:pStyle w:val="139"/>
        <w:ind w:firstLine="480"/>
        <w:rPr>
          <w:color w:val="auto"/>
        </w:rPr>
      </w:pPr>
      <w:r>
        <w:rPr>
          <w:rFonts w:hint="eastAsia"/>
          <w:color w:val="auto"/>
        </w:rPr>
        <w:t>输煤皮带首段设置电磁除铁，被皮带输送机输送的煤炭通过安装在首部支架上的磁选机（即旋转的直流磁铁）时，物料中的铁磁杂物被吸，由弃铁胶带将铁磁杂物拽至电动滚筒卸下，达到自动除铁的目的。</w:t>
      </w:r>
    </w:p>
    <w:p w14:paraId="00115CD6">
      <w:pPr>
        <w:pStyle w:val="80"/>
      </w:pPr>
      <w:bookmarkStart w:id="176" w:name="_Toc182171813"/>
      <w:r>
        <w:rPr>
          <w:rFonts w:hint="eastAsia"/>
        </w:rPr>
        <w:t>环境风险识别</w:t>
      </w:r>
      <w:bookmarkEnd w:id="176"/>
    </w:p>
    <w:p w14:paraId="35232980">
      <w:pPr>
        <w:pStyle w:val="93"/>
      </w:pPr>
      <w:r>
        <w:rPr>
          <w:rFonts w:hint="eastAsia"/>
        </w:rPr>
        <w:t>本项目码头主要货种为煤炭，项目营运期间的环境风险主要考虑运输船舶的溢油风险。</w:t>
      </w:r>
    </w:p>
    <w:p w14:paraId="20FBF057">
      <w:pPr>
        <w:pStyle w:val="82"/>
      </w:pPr>
      <w:r>
        <w:rPr>
          <w:rFonts w:hint="eastAsia"/>
        </w:rPr>
        <w:t>典型事故统计资料分析</w:t>
      </w:r>
    </w:p>
    <w:p w14:paraId="7C3FFCBD">
      <w:pPr>
        <w:pStyle w:val="93"/>
      </w:pPr>
      <w:r>
        <w:rPr>
          <w:rFonts w:hint="eastAsia"/>
        </w:rPr>
        <w:t>根据淮安地方海事局提供资料，淮安内河境内2014至2018年共发生交通事故41起，事故（险情）成因主要是船舶在航行过程中发生碰撞、自沉。近年来淮安市水上交通事故主要集中在京杭运河、洪泽湖、淮河等辖区通航水域。淮安市内河通航水域2017年以前的水上交通事故（险情）发生呈逐年上升趋势，但随着港口货物吞吐量增加，船舶通航更加频繁，航行密度增大，事故发生的风险水平仍在不断提升。</w:t>
      </w:r>
    </w:p>
    <w:p w14:paraId="3DCFD546">
      <w:pPr>
        <w:ind w:firstLine="480"/>
      </w:pPr>
      <w:r>
        <w:rPr>
          <w:rFonts w:hint="eastAsia"/>
        </w:rPr>
        <w:t>现阶段，淮安市尚未发生过较大规模的船舶溢油污染事故。</w:t>
      </w:r>
    </w:p>
    <w:p w14:paraId="6935A695">
      <w:pPr>
        <w:pStyle w:val="82"/>
      </w:pPr>
      <w:r>
        <w:rPr>
          <w:rFonts w:hint="eastAsia"/>
        </w:rPr>
        <w:t>物质危险性识别</w:t>
      </w:r>
    </w:p>
    <w:p w14:paraId="4A449F42">
      <w:pPr>
        <w:pStyle w:val="93"/>
      </w:pPr>
      <w:r>
        <w:rPr>
          <w:rFonts w:hint="eastAsia"/>
        </w:rPr>
        <w:t>本项目进出港船舶主要动力燃料为船用燃料油，危险物质分布于进港船舶。其燃料油危险特性及防范措施见表3.6-1。</w:t>
      </w:r>
    </w:p>
    <w:p w14:paraId="459E8DDA">
      <w:pPr>
        <w:pStyle w:val="86"/>
      </w:pPr>
      <w:r>
        <w:rPr>
          <w:rFonts w:hint="eastAsia"/>
        </w:rPr>
        <w:t>燃料油危险特性及防范措施一览表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361"/>
        <w:gridCol w:w="2464"/>
        <w:gridCol w:w="2252"/>
        <w:gridCol w:w="55"/>
        <w:gridCol w:w="2232"/>
      </w:tblGrid>
      <w:tr w14:paraId="292C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5000" w:type="pct"/>
            <w:gridSpan w:val="5"/>
            <w:vAlign w:val="center"/>
          </w:tcPr>
          <w:p w14:paraId="6EB4CD18">
            <w:pPr>
              <w:pStyle w:val="196"/>
            </w:pPr>
            <w:r>
              <w:rPr>
                <w:rFonts w:hint="eastAsia"/>
              </w:rPr>
              <w:t>理化特性</w:t>
            </w:r>
          </w:p>
        </w:tc>
      </w:tr>
      <w:tr w14:paraId="66799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3D0A8B0A">
            <w:pPr>
              <w:pStyle w:val="196"/>
            </w:pPr>
            <w:r>
              <w:rPr>
                <w:rFonts w:hint="eastAsia"/>
              </w:rPr>
              <w:t>外观</w:t>
            </w:r>
          </w:p>
        </w:tc>
        <w:tc>
          <w:tcPr>
            <w:tcW w:w="1473" w:type="pct"/>
            <w:vAlign w:val="center"/>
          </w:tcPr>
          <w:p w14:paraId="5884D267">
            <w:pPr>
              <w:pStyle w:val="196"/>
            </w:pPr>
            <w:r>
              <w:rPr>
                <w:rFonts w:hint="eastAsia"/>
              </w:rPr>
              <w:t>黑色油状物</w:t>
            </w:r>
          </w:p>
        </w:tc>
        <w:tc>
          <w:tcPr>
            <w:tcW w:w="1346" w:type="pct"/>
            <w:vAlign w:val="center"/>
          </w:tcPr>
          <w:p w14:paraId="7A88961A">
            <w:pPr>
              <w:pStyle w:val="196"/>
            </w:pPr>
          </w:p>
        </w:tc>
        <w:tc>
          <w:tcPr>
            <w:tcW w:w="1365" w:type="pct"/>
            <w:gridSpan w:val="2"/>
            <w:vAlign w:val="center"/>
          </w:tcPr>
          <w:p w14:paraId="64F357BB">
            <w:pPr>
              <w:pStyle w:val="196"/>
            </w:pPr>
          </w:p>
        </w:tc>
      </w:tr>
      <w:tr w14:paraId="63E9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629D9398">
            <w:pPr>
              <w:pStyle w:val="196"/>
            </w:pPr>
            <w:r>
              <w:rPr>
                <w:rFonts w:hint="eastAsia"/>
              </w:rPr>
              <w:t>闪点</w:t>
            </w:r>
          </w:p>
        </w:tc>
        <w:tc>
          <w:tcPr>
            <w:tcW w:w="1473" w:type="pct"/>
            <w:vAlign w:val="center"/>
          </w:tcPr>
          <w:p w14:paraId="52340D9A">
            <w:pPr>
              <w:pStyle w:val="196"/>
            </w:pPr>
            <w:r>
              <w:rPr>
                <w:rFonts w:hint="eastAsia"/>
              </w:rPr>
              <w:t>120℃</w:t>
            </w:r>
          </w:p>
        </w:tc>
        <w:tc>
          <w:tcPr>
            <w:tcW w:w="1346" w:type="pct"/>
            <w:vAlign w:val="center"/>
          </w:tcPr>
          <w:p w14:paraId="31FAAF8D">
            <w:pPr>
              <w:pStyle w:val="196"/>
            </w:pPr>
            <w:r>
              <w:rPr>
                <w:rFonts w:hint="eastAsia"/>
              </w:rPr>
              <w:t>引燃温度</w:t>
            </w:r>
          </w:p>
        </w:tc>
        <w:tc>
          <w:tcPr>
            <w:tcW w:w="1365" w:type="pct"/>
            <w:gridSpan w:val="2"/>
            <w:vAlign w:val="center"/>
          </w:tcPr>
          <w:p w14:paraId="792D8F8F">
            <w:pPr>
              <w:pStyle w:val="196"/>
            </w:pPr>
            <w:r>
              <w:rPr>
                <w:rFonts w:hint="eastAsia"/>
              </w:rPr>
              <w:t>520℃</w:t>
            </w:r>
          </w:p>
        </w:tc>
      </w:tr>
      <w:tr w14:paraId="6439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5000" w:type="pct"/>
            <w:gridSpan w:val="5"/>
            <w:vAlign w:val="center"/>
          </w:tcPr>
          <w:p w14:paraId="07EB2D67">
            <w:pPr>
              <w:pStyle w:val="196"/>
            </w:pPr>
            <w:r>
              <w:rPr>
                <w:rFonts w:hint="eastAsia"/>
              </w:rPr>
              <w:t>健康危害</w:t>
            </w:r>
          </w:p>
        </w:tc>
      </w:tr>
      <w:tr w14:paraId="3DE3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0DCB60ED">
            <w:pPr>
              <w:pStyle w:val="196"/>
            </w:pPr>
            <w:r>
              <w:rPr>
                <w:rFonts w:hint="eastAsia"/>
              </w:rPr>
              <w:t>侵入途径</w:t>
            </w:r>
          </w:p>
        </w:tc>
        <w:tc>
          <w:tcPr>
            <w:tcW w:w="4185" w:type="pct"/>
            <w:gridSpan w:val="4"/>
            <w:vAlign w:val="center"/>
          </w:tcPr>
          <w:p w14:paraId="4E52145A">
            <w:pPr>
              <w:pStyle w:val="196"/>
            </w:pPr>
            <w:r>
              <w:rPr>
                <w:rFonts w:hint="eastAsia"/>
              </w:rPr>
              <w:t>吸入、食入</w:t>
            </w:r>
          </w:p>
        </w:tc>
      </w:tr>
      <w:tr w14:paraId="7FB1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5F89CCFE">
            <w:pPr>
              <w:pStyle w:val="196"/>
            </w:pPr>
            <w:r>
              <w:rPr>
                <w:rFonts w:hint="eastAsia"/>
              </w:rPr>
              <w:t>健康危害</w:t>
            </w:r>
          </w:p>
        </w:tc>
        <w:tc>
          <w:tcPr>
            <w:tcW w:w="4185" w:type="pct"/>
            <w:gridSpan w:val="4"/>
            <w:vAlign w:val="center"/>
          </w:tcPr>
          <w:p w14:paraId="448A10C1">
            <w:pPr>
              <w:pStyle w:val="196"/>
            </w:pPr>
            <w:r>
              <w:rPr>
                <w:rFonts w:hint="eastAsia"/>
              </w:rPr>
              <w:t>对皮肤有一定的损害，可致接触性皮炎、毛囊性损害等。接触后，尚可有咳嗽、胸闷、头痛、乏力、</w:t>
            </w:r>
            <w:r>
              <w:rPr>
                <w:rFonts w:hint="eastAsia"/>
                <w:lang w:eastAsia="zh-CN"/>
              </w:rPr>
              <w:t>食欲缺乏</w:t>
            </w:r>
            <w:r>
              <w:rPr>
                <w:rFonts w:hint="eastAsia"/>
              </w:rPr>
              <w:t>等全身症状和眼、鼻、咽部的</w:t>
            </w:r>
            <w:r>
              <w:rPr>
                <w:rFonts w:hint="eastAsia"/>
                <w:lang w:eastAsia="zh-CN"/>
              </w:rPr>
              <w:t>刺激症</w:t>
            </w:r>
            <w:r>
              <w:rPr>
                <w:rFonts w:hint="eastAsia"/>
              </w:rPr>
              <w:t>状。</w:t>
            </w:r>
          </w:p>
        </w:tc>
      </w:tr>
      <w:tr w14:paraId="3BE1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5000" w:type="pct"/>
            <w:gridSpan w:val="5"/>
            <w:vAlign w:val="center"/>
          </w:tcPr>
          <w:p w14:paraId="58687F1E">
            <w:pPr>
              <w:pStyle w:val="196"/>
            </w:pPr>
            <w:r>
              <w:rPr>
                <w:rFonts w:hint="eastAsia"/>
              </w:rPr>
              <w:t>急救措施</w:t>
            </w:r>
          </w:p>
        </w:tc>
      </w:tr>
      <w:tr w14:paraId="14251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54D34DA4">
            <w:pPr>
              <w:pStyle w:val="196"/>
            </w:pPr>
            <w:r>
              <w:rPr>
                <w:rFonts w:hint="eastAsia"/>
              </w:rPr>
              <w:t>皮肤接触</w:t>
            </w:r>
          </w:p>
        </w:tc>
        <w:tc>
          <w:tcPr>
            <w:tcW w:w="4185" w:type="pct"/>
            <w:gridSpan w:val="4"/>
            <w:vAlign w:val="center"/>
          </w:tcPr>
          <w:p w14:paraId="49567075">
            <w:pPr>
              <w:pStyle w:val="196"/>
            </w:pPr>
            <w:r>
              <w:rPr>
                <w:rFonts w:hint="eastAsia"/>
              </w:rPr>
              <w:t>脱去污染的衣着，用大量流动清水冲洗</w:t>
            </w:r>
          </w:p>
        </w:tc>
      </w:tr>
      <w:tr w14:paraId="4623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6DF8633B">
            <w:pPr>
              <w:pStyle w:val="196"/>
            </w:pPr>
            <w:r>
              <w:rPr>
                <w:rFonts w:hint="eastAsia"/>
              </w:rPr>
              <w:t>眼睛接触</w:t>
            </w:r>
          </w:p>
        </w:tc>
        <w:tc>
          <w:tcPr>
            <w:tcW w:w="4185" w:type="pct"/>
            <w:gridSpan w:val="4"/>
            <w:vAlign w:val="center"/>
          </w:tcPr>
          <w:p w14:paraId="6D03CEDC">
            <w:pPr>
              <w:pStyle w:val="196"/>
            </w:pPr>
            <w:r>
              <w:rPr>
                <w:rFonts w:hint="eastAsia"/>
              </w:rPr>
              <w:t>提起眼睑，用流动清水或生理盐水冲洗，就医</w:t>
            </w:r>
          </w:p>
        </w:tc>
      </w:tr>
      <w:tr w14:paraId="1F35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62D61F57">
            <w:pPr>
              <w:pStyle w:val="196"/>
            </w:pPr>
            <w:r>
              <w:rPr>
                <w:rFonts w:hint="eastAsia"/>
              </w:rPr>
              <w:t>吸入</w:t>
            </w:r>
          </w:p>
        </w:tc>
        <w:tc>
          <w:tcPr>
            <w:tcW w:w="4185" w:type="pct"/>
            <w:gridSpan w:val="4"/>
            <w:vAlign w:val="center"/>
          </w:tcPr>
          <w:p w14:paraId="4B7D410B">
            <w:pPr>
              <w:pStyle w:val="196"/>
            </w:pPr>
            <w:r>
              <w:rPr>
                <w:rFonts w:hint="eastAsia"/>
              </w:rPr>
              <w:t>脱离现场至空气新鲜处。如呼吸困难，给输氧，就医</w:t>
            </w:r>
          </w:p>
        </w:tc>
      </w:tr>
      <w:tr w14:paraId="0443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552CBD91">
            <w:pPr>
              <w:pStyle w:val="196"/>
            </w:pPr>
            <w:r>
              <w:rPr>
                <w:rFonts w:hint="eastAsia"/>
              </w:rPr>
              <w:t>食入</w:t>
            </w:r>
          </w:p>
        </w:tc>
        <w:tc>
          <w:tcPr>
            <w:tcW w:w="4185" w:type="pct"/>
            <w:gridSpan w:val="4"/>
            <w:vAlign w:val="center"/>
          </w:tcPr>
          <w:p w14:paraId="307143CF">
            <w:pPr>
              <w:pStyle w:val="196"/>
            </w:pPr>
            <w:r>
              <w:rPr>
                <w:rFonts w:hint="eastAsia"/>
              </w:rPr>
              <w:t>饮足量温水，催吐，就医</w:t>
            </w:r>
          </w:p>
        </w:tc>
      </w:tr>
      <w:tr w14:paraId="3948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5000" w:type="pct"/>
            <w:gridSpan w:val="5"/>
            <w:vAlign w:val="center"/>
          </w:tcPr>
          <w:p w14:paraId="21BF0C55">
            <w:pPr>
              <w:pStyle w:val="196"/>
            </w:pPr>
            <w:r>
              <w:rPr>
                <w:rFonts w:hint="eastAsia"/>
              </w:rPr>
              <w:t>燃爆特性和消防</w:t>
            </w:r>
          </w:p>
        </w:tc>
      </w:tr>
      <w:tr w14:paraId="4E8C1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3BCE4E76">
            <w:pPr>
              <w:pStyle w:val="196"/>
            </w:pPr>
            <w:r>
              <w:rPr>
                <w:rFonts w:hint="eastAsia"/>
              </w:rPr>
              <w:t>燃烧性</w:t>
            </w:r>
          </w:p>
        </w:tc>
        <w:tc>
          <w:tcPr>
            <w:tcW w:w="1473" w:type="pct"/>
            <w:vAlign w:val="center"/>
          </w:tcPr>
          <w:p w14:paraId="74A4CC59">
            <w:pPr>
              <w:pStyle w:val="196"/>
            </w:pPr>
            <w:r>
              <w:rPr>
                <w:rFonts w:hint="eastAsia"/>
              </w:rPr>
              <w:t>本品可燃，具有刺激性</w:t>
            </w:r>
          </w:p>
        </w:tc>
        <w:tc>
          <w:tcPr>
            <w:tcW w:w="1379" w:type="pct"/>
            <w:gridSpan w:val="2"/>
            <w:vAlign w:val="center"/>
          </w:tcPr>
          <w:p w14:paraId="7140571C">
            <w:pPr>
              <w:pStyle w:val="196"/>
            </w:pPr>
            <w:r>
              <w:rPr>
                <w:rFonts w:hint="eastAsia"/>
              </w:rPr>
              <w:t>有害燃烧产物</w:t>
            </w:r>
          </w:p>
        </w:tc>
        <w:tc>
          <w:tcPr>
            <w:tcW w:w="1333" w:type="pct"/>
            <w:vAlign w:val="center"/>
          </w:tcPr>
          <w:p w14:paraId="4C5AB2D9">
            <w:pPr>
              <w:pStyle w:val="196"/>
            </w:pPr>
            <w:r>
              <w:rPr>
                <w:rFonts w:hint="eastAsia"/>
              </w:rPr>
              <w:t>CO、CO</w:t>
            </w:r>
            <w:r>
              <w:rPr>
                <w:rFonts w:hint="eastAsia"/>
                <w:vertAlign w:val="subscript"/>
              </w:rPr>
              <w:t>2</w:t>
            </w:r>
            <w:r>
              <w:rPr>
                <w:rFonts w:hint="eastAsia"/>
              </w:rPr>
              <w:t>、成分未知的黑色烟雾</w:t>
            </w:r>
          </w:p>
        </w:tc>
      </w:tr>
      <w:tr w14:paraId="33FA1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70041FD2">
            <w:pPr>
              <w:pStyle w:val="196"/>
            </w:pPr>
            <w:r>
              <w:rPr>
                <w:rFonts w:hint="eastAsia"/>
              </w:rPr>
              <w:t>危险特性</w:t>
            </w:r>
          </w:p>
        </w:tc>
        <w:tc>
          <w:tcPr>
            <w:tcW w:w="4185" w:type="pct"/>
            <w:gridSpan w:val="4"/>
            <w:vAlign w:val="center"/>
          </w:tcPr>
          <w:p w14:paraId="6945C096">
            <w:pPr>
              <w:pStyle w:val="196"/>
            </w:pPr>
            <w:r>
              <w:rPr>
                <w:rFonts w:hint="eastAsia"/>
              </w:rPr>
              <w:t>受高热分解，放出腐蚀性、刺激性的烟雾</w:t>
            </w:r>
          </w:p>
        </w:tc>
      </w:tr>
      <w:tr w14:paraId="6658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1CB9C93E">
            <w:pPr>
              <w:pStyle w:val="196"/>
            </w:pPr>
            <w:r>
              <w:rPr>
                <w:rFonts w:hint="eastAsia"/>
              </w:rPr>
              <w:t>灭火方法</w:t>
            </w:r>
          </w:p>
        </w:tc>
        <w:tc>
          <w:tcPr>
            <w:tcW w:w="4185" w:type="pct"/>
            <w:gridSpan w:val="4"/>
            <w:vAlign w:val="center"/>
          </w:tcPr>
          <w:p w14:paraId="1E6A0CBE">
            <w:pPr>
              <w:pStyle w:val="196"/>
            </w:pPr>
            <w:r>
              <w:rPr>
                <w:rFonts w:hint="eastAsia"/>
              </w:rPr>
              <w:t>消防人员须佩戴防毒面具、穿全身消防服，在上风向灭火。尽可能将容器</w:t>
            </w:r>
          </w:p>
          <w:p w14:paraId="657797DC">
            <w:pPr>
              <w:pStyle w:val="196"/>
            </w:pPr>
            <w:r>
              <w:rPr>
                <w:rFonts w:hint="eastAsia"/>
              </w:rPr>
              <w:t>从火场移至空旷处。喷水保持火场容器冷却，直至灭火结束。处在火场中</w:t>
            </w:r>
          </w:p>
          <w:p w14:paraId="3809ADA9">
            <w:pPr>
              <w:pStyle w:val="196"/>
            </w:pPr>
            <w:r>
              <w:rPr>
                <w:rFonts w:hint="eastAsia"/>
              </w:rPr>
              <w:t>的容器若已变色或从安全泄压装 置中产生声音，必须马上撤离</w:t>
            </w:r>
          </w:p>
        </w:tc>
      </w:tr>
      <w:tr w14:paraId="2DA2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5000" w:type="pct"/>
            <w:gridSpan w:val="5"/>
            <w:vAlign w:val="center"/>
          </w:tcPr>
          <w:p w14:paraId="59C31FAA">
            <w:pPr>
              <w:pStyle w:val="196"/>
            </w:pPr>
            <w:r>
              <w:rPr>
                <w:rFonts w:hint="eastAsia"/>
                <w:lang w:eastAsia="zh-CN"/>
              </w:rPr>
              <w:t>其他</w:t>
            </w:r>
          </w:p>
        </w:tc>
      </w:tr>
      <w:tr w14:paraId="56C8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5626E753">
            <w:pPr>
              <w:pStyle w:val="196"/>
            </w:pPr>
            <w:r>
              <w:rPr>
                <w:rFonts w:hint="eastAsia"/>
              </w:rPr>
              <w:t>泄漏应急处理</w:t>
            </w:r>
          </w:p>
        </w:tc>
        <w:tc>
          <w:tcPr>
            <w:tcW w:w="4185" w:type="pct"/>
            <w:gridSpan w:val="4"/>
            <w:vAlign w:val="center"/>
          </w:tcPr>
          <w:p w14:paraId="2D853C69">
            <w:pPr>
              <w:pStyle w:val="196"/>
            </w:pPr>
            <w:r>
              <w:rPr>
                <w:rFonts w:hint="eastAsia"/>
              </w:rPr>
              <w:t>迅速撤离泄漏污染区人员至安全区，并进行隔离，严格限制出入。切断火</w:t>
            </w:r>
          </w:p>
          <w:p w14:paraId="6B6B5924">
            <w:pPr>
              <w:pStyle w:val="196"/>
            </w:pPr>
            <w:r>
              <w:rPr>
                <w:rFonts w:hint="eastAsia"/>
              </w:rPr>
              <w:t>源，建议应急处理人员戴自给正压式呼吸器，穿防毒服，尽可能切断泄漏</w:t>
            </w:r>
          </w:p>
          <w:p w14:paraId="1047A17B">
            <w:pPr>
              <w:pStyle w:val="196"/>
            </w:pPr>
            <w:r>
              <w:rPr>
                <w:rFonts w:hint="eastAsia"/>
              </w:rPr>
              <w:t>源，防止流入下水道、排洪沟等限制性空间。小量泄漏：用砂土或其他不</w:t>
            </w:r>
          </w:p>
          <w:p w14:paraId="270AB8A3">
            <w:pPr>
              <w:pStyle w:val="196"/>
            </w:pPr>
            <w:r>
              <w:rPr>
                <w:rFonts w:hint="eastAsia"/>
              </w:rPr>
              <w:t>燃材料吸附或吸收。大量泄漏：构筑围堤或挖坑收容，用泵转移至槽车或</w:t>
            </w:r>
          </w:p>
          <w:p w14:paraId="615A0D98">
            <w:pPr>
              <w:pStyle w:val="196"/>
            </w:pPr>
            <w:r>
              <w:rPr>
                <w:rFonts w:hint="eastAsia"/>
              </w:rPr>
              <w:t>专用收集器内，回收或运至废物处理场所处置</w:t>
            </w:r>
          </w:p>
        </w:tc>
      </w:tr>
      <w:tr w14:paraId="0DC2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61DFE457">
            <w:pPr>
              <w:pStyle w:val="196"/>
            </w:pPr>
            <w:r>
              <w:rPr>
                <w:rFonts w:hint="eastAsia"/>
              </w:rPr>
              <w:t>储存注意事项</w:t>
            </w:r>
          </w:p>
        </w:tc>
        <w:tc>
          <w:tcPr>
            <w:tcW w:w="4185" w:type="pct"/>
            <w:gridSpan w:val="4"/>
            <w:vAlign w:val="center"/>
          </w:tcPr>
          <w:p w14:paraId="6547C7A1">
            <w:pPr>
              <w:pStyle w:val="196"/>
            </w:pPr>
            <w:r>
              <w:rPr>
                <w:rFonts w:hint="eastAsia"/>
              </w:rPr>
              <w:t>储存于阴凉、通风的库房，远离火种、热源，应与氧化剂、酸类分开存放，切忌混储。配备相应品种和数量的消防器材。储区应备有泄漏应急处理设备和合适的收容材料</w:t>
            </w:r>
          </w:p>
        </w:tc>
      </w:tr>
      <w:tr w14:paraId="19A5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710A17C3">
            <w:pPr>
              <w:pStyle w:val="196"/>
            </w:pPr>
            <w:r>
              <w:rPr>
                <w:rFonts w:hint="eastAsia"/>
              </w:rPr>
              <w:t>运输注意事项</w:t>
            </w:r>
          </w:p>
        </w:tc>
        <w:tc>
          <w:tcPr>
            <w:tcW w:w="4185" w:type="pct"/>
            <w:gridSpan w:val="4"/>
            <w:vAlign w:val="center"/>
          </w:tcPr>
          <w:p w14:paraId="2B3E8CA0">
            <w:pPr>
              <w:pStyle w:val="196"/>
            </w:pPr>
            <w:r>
              <w:rPr>
                <w:rFonts w:hint="eastAsia"/>
              </w:rPr>
              <w:t>运输前应先检查包装容器是否完整、密封，运输过程中要确保容器不泄漏、不倒塌、不坠落、不损坏。严禁与氧化剂、酸类、食用化学品等混装混运。运输车船必须彻底清洗、消毒，否则不得装运其他物品。船运时，配装位置应远离卧室、厨房，并与机舱、电源、火源等部位隔离。公路运输时要按规定路线行驶</w:t>
            </w:r>
          </w:p>
        </w:tc>
      </w:tr>
      <w:tr w14:paraId="1AA84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033CF557">
            <w:pPr>
              <w:pStyle w:val="196"/>
            </w:pPr>
            <w:r>
              <w:rPr>
                <w:rFonts w:hint="eastAsia"/>
              </w:rPr>
              <w:t>操作处置注意事项</w:t>
            </w:r>
          </w:p>
        </w:tc>
        <w:tc>
          <w:tcPr>
            <w:tcW w:w="4185" w:type="pct"/>
            <w:gridSpan w:val="4"/>
            <w:vAlign w:val="center"/>
          </w:tcPr>
          <w:p w14:paraId="549CB3BD">
            <w:pPr>
              <w:pStyle w:val="196"/>
            </w:pPr>
            <w:r>
              <w:rPr>
                <w:rFonts w:hint="eastAsia"/>
              </w:rPr>
              <w:t>密闭操作，提供良好的自然通风条件。操作人员必须经过专门培训，严格遵守操作规程。建议操作人员佩戴自吸过滤式防毒面具（半面罩），戴化学安全防护眼镜，穿防毒物渗透工作服，戴橡胶耐油手套。远离火种、热源，工作场 所严禁吸烟。使用防爆型的通风系统和设备。防止蒸气泄漏到工作场所空气中，避免与氧化剂、酸类接触。搬运时要轻装轻卸，防止包装及容器损坏。配备相应品种和数量的消防器材及泄漏应急处理设备。倒空的容器可能残留有害物</w:t>
            </w:r>
          </w:p>
        </w:tc>
      </w:tr>
      <w:tr w14:paraId="7D1B9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45F14E74">
            <w:pPr>
              <w:pStyle w:val="196"/>
            </w:pPr>
            <w:r>
              <w:rPr>
                <w:rFonts w:hint="eastAsia"/>
              </w:rPr>
              <w:t>个体防护</w:t>
            </w:r>
          </w:p>
        </w:tc>
        <w:tc>
          <w:tcPr>
            <w:tcW w:w="4185" w:type="pct"/>
            <w:gridSpan w:val="4"/>
            <w:vAlign w:val="center"/>
          </w:tcPr>
          <w:p w14:paraId="555B9653">
            <w:pPr>
              <w:pStyle w:val="196"/>
            </w:pPr>
            <w:r>
              <w:rPr>
                <w:rFonts w:hint="eastAsia"/>
              </w:rPr>
              <w:t>工程控制：提供良好的自然通风条件。</w:t>
            </w:r>
          </w:p>
          <w:p w14:paraId="35A2D45B">
            <w:pPr>
              <w:pStyle w:val="196"/>
            </w:pPr>
            <w:r>
              <w:rPr>
                <w:rFonts w:hint="eastAsia"/>
              </w:rPr>
              <w:t>呼吸系统防护：空气中浓度超标时，必须佩戴自吸过滤式防毒面具（半面罩）。 紧急事态抢救或撤离时，应该佩戴空气呼吸器。</w:t>
            </w:r>
          </w:p>
          <w:p w14:paraId="42B9779B">
            <w:pPr>
              <w:pStyle w:val="196"/>
            </w:pPr>
            <w:r>
              <w:rPr>
                <w:rFonts w:hint="eastAsia"/>
              </w:rPr>
              <w:t>眼睛防护：戴化学安全防护眼镜。</w:t>
            </w:r>
          </w:p>
          <w:p w14:paraId="602E5943">
            <w:pPr>
              <w:pStyle w:val="196"/>
            </w:pPr>
            <w:r>
              <w:rPr>
                <w:rFonts w:hint="eastAsia"/>
              </w:rPr>
              <w:t>身体防护：穿防毒物渗透工作服。手防护：戴橡胶耐油手套。</w:t>
            </w:r>
          </w:p>
          <w:p w14:paraId="6D234504">
            <w:pPr>
              <w:pStyle w:val="196"/>
            </w:pPr>
            <w:r>
              <w:rPr>
                <w:rFonts w:hint="eastAsia"/>
              </w:rPr>
              <w:t>其他：工作完毕，淋浴更衣，工作完毕，彻底清洗。</w:t>
            </w:r>
          </w:p>
        </w:tc>
      </w:tr>
      <w:tr w14:paraId="6D9D6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814" w:type="pct"/>
            <w:vAlign w:val="center"/>
          </w:tcPr>
          <w:p w14:paraId="267AC2B8">
            <w:pPr>
              <w:pStyle w:val="196"/>
            </w:pPr>
            <w:r>
              <w:rPr>
                <w:rFonts w:hint="eastAsia"/>
              </w:rPr>
              <w:t>稳定性和反应活性</w:t>
            </w:r>
          </w:p>
        </w:tc>
        <w:tc>
          <w:tcPr>
            <w:tcW w:w="4185" w:type="pct"/>
            <w:gridSpan w:val="4"/>
            <w:vAlign w:val="center"/>
          </w:tcPr>
          <w:p w14:paraId="4E8CC99C">
            <w:pPr>
              <w:pStyle w:val="196"/>
            </w:pPr>
            <w:r>
              <w:rPr>
                <w:rFonts w:hint="eastAsia"/>
              </w:rPr>
              <w:t>稳定性：稳定聚合危害：不聚合</w:t>
            </w:r>
          </w:p>
          <w:p w14:paraId="0A1F4B6E">
            <w:pPr>
              <w:pStyle w:val="196"/>
            </w:pPr>
            <w:r>
              <w:rPr>
                <w:rFonts w:hint="eastAsia"/>
              </w:rPr>
              <w:t>禁忌物：强氧化剂、强酸</w:t>
            </w:r>
          </w:p>
        </w:tc>
      </w:tr>
    </w:tbl>
    <w:p w14:paraId="49B9E658">
      <w:pPr>
        <w:pStyle w:val="82"/>
      </w:pPr>
      <w:r>
        <w:rPr>
          <w:rFonts w:hint="eastAsia"/>
        </w:rPr>
        <w:t>生产系统危险性识别</w:t>
      </w:r>
    </w:p>
    <w:p w14:paraId="7BC6A165">
      <w:pPr>
        <w:pStyle w:val="93"/>
      </w:pPr>
      <w:r>
        <w:rPr>
          <w:rFonts w:hint="eastAsia"/>
        </w:rPr>
        <w:t>本项目船舶在入港航道中，由于船舶因素、人为因素、天气因素等可能造成船舶相互碰撞或船舶撞击码头，导致燃料油泄漏，污染周边水环境，甚至引发火灾、爆炸，污染水体及大气环境，危害人群健康。</w:t>
      </w:r>
    </w:p>
    <w:p w14:paraId="0E2AA152">
      <w:pPr>
        <w:pStyle w:val="82"/>
      </w:pPr>
      <w:r>
        <w:rPr>
          <w:rFonts w:hint="eastAsia"/>
        </w:rPr>
        <w:t>危险物质向环境转移的途径识别</w:t>
      </w:r>
    </w:p>
    <w:p w14:paraId="147B838F">
      <w:pPr>
        <w:pStyle w:val="93"/>
      </w:pPr>
      <w:r>
        <w:rPr>
          <w:rFonts w:hint="eastAsia"/>
        </w:rPr>
        <w:t>本项目若发生水上燃料泄漏，有毒有害物质的扩散途径主要是水体及大气。燃料油泄漏进入盐河后，不溶于且轻于水的燃料油漂浮在水面上，在水流及风力的作用下随水流漂移扩散。泄漏后，燃料油中易挥发的成分挥发至大气中，在风力的作用下载空气中迁移扩散。</w:t>
      </w:r>
    </w:p>
    <w:p w14:paraId="6172C456">
      <w:pPr>
        <w:pStyle w:val="82"/>
      </w:pPr>
      <w:r>
        <w:rPr>
          <w:rFonts w:hint="eastAsia"/>
        </w:rPr>
        <w:t>小结</w:t>
      </w:r>
    </w:p>
    <w:p w14:paraId="0AE30AB6">
      <w:pPr>
        <w:pStyle w:val="93"/>
      </w:pPr>
      <w:r>
        <w:rPr>
          <w:rFonts w:hint="eastAsia"/>
        </w:rPr>
        <w:t>本项目环境风险识别情况详见表3.6-2。</w:t>
      </w:r>
    </w:p>
    <w:p w14:paraId="431E9812">
      <w:pPr>
        <w:pStyle w:val="86"/>
      </w:pPr>
      <w:r>
        <w:rPr>
          <w:rFonts w:hint="eastAsia"/>
        </w:rPr>
        <w:t>本项目环境风险识别表</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543"/>
        <w:gridCol w:w="1125"/>
        <w:gridCol w:w="1326"/>
        <w:gridCol w:w="966"/>
        <w:gridCol w:w="1259"/>
        <w:gridCol w:w="1044"/>
        <w:gridCol w:w="763"/>
        <w:gridCol w:w="1336"/>
      </w:tblGrid>
      <w:tr w14:paraId="0D064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jc w:val="center"/>
        </w:trPr>
        <w:tc>
          <w:tcPr>
            <w:tcW w:w="325" w:type="pct"/>
            <w:vAlign w:val="center"/>
          </w:tcPr>
          <w:p w14:paraId="07BCCDF9">
            <w:pPr>
              <w:pStyle w:val="196"/>
            </w:pPr>
            <w:r>
              <w:rPr>
                <w:rFonts w:hint="eastAsia"/>
              </w:rPr>
              <w:t>序号</w:t>
            </w:r>
          </w:p>
        </w:tc>
        <w:tc>
          <w:tcPr>
            <w:tcW w:w="672" w:type="pct"/>
            <w:vAlign w:val="center"/>
          </w:tcPr>
          <w:p w14:paraId="71367E5B">
            <w:pPr>
              <w:pStyle w:val="196"/>
            </w:pPr>
            <w:r>
              <w:rPr>
                <w:rFonts w:hint="eastAsia"/>
              </w:rPr>
              <w:t>危险单元</w:t>
            </w:r>
          </w:p>
        </w:tc>
        <w:tc>
          <w:tcPr>
            <w:tcW w:w="792" w:type="pct"/>
            <w:vAlign w:val="center"/>
          </w:tcPr>
          <w:p w14:paraId="529A4C0A">
            <w:pPr>
              <w:pStyle w:val="196"/>
            </w:pPr>
            <w:r>
              <w:rPr>
                <w:rFonts w:hint="eastAsia"/>
              </w:rPr>
              <w:t>风险源</w:t>
            </w:r>
          </w:p>
        </w:tc>
        <w:tc>
          <w:tcPr>
            <w:tcW w:w="577" w:type="pct"/>
            <w:vAlign w:val="center"/>
          </w:tcPr>
          <w:p w14:paraId="0463F387">
            <w:pPr>
              <w:pStyle w:val="196"/>
            </w:pPr>
            <w:r>
              <w:rPr>
                <w:rFonts w:hint="eastAsia"/>
              </w:rPr>
              <w:t>主要危险物质</w:t>
            </w:r>
          </w:p>
        </w:tc>
        <w:tc>
          <w:tcPr>
            <w:tcW w:w="752" w:type="pct"/>
            <w:vAlign w:val="center"/>
          </w:tcPr>
          <w:p w14:paraId="098237FF">
            <w:pPr>
              <w:pStyle w:val="196"/>
            </w:pPr>
            <w:r>
              <w:rPr>
                <w:rFonts w:hint="eastAsia"/>
              </w:rPr>
              <w:t>危险物质最大存</w:t>
            </w:r>
            <w:r>
              <w:rPr>
                <w:rFonts w:hint="eastAsia"/>
                <w:lang w:eastAsia="zh-CN"/>
              </w:rPr>
              <w:t>载量</w:t>
            </w:r>
          </w:p>
        </w:tc>
        <w:tc>
          <w:tcPr>
            <w:tcW w:w="624" w:type="pct"/>
            <w:vAlign w:val="center"/>
          </w:tcPr>
          <w:p w14:paraId="63AADCB8">
            <w:pPr>
              <w:pStyle w:val="196"/>
            </w:pPr>
            <w:r>
              <w:rPr>
                <w:rFonts w:hint="eastAsia"/>
              </w:rPr>
              <w:t>环境风险</w:t>
            </w:r>
          </w:p>
        </w:tc>
        <w:tc>
          <w:tcPr>
            <w:tcW w:w="456" w:type="pct"/>
            <w:vAlign w:val="center"/>
          </w:tcPr>
          <w:p w14:paraId="2CE269B1">
            <w:pPr>
              <w:pStyle w:val="196"/>
            </w:pPr>
            <w:r>
              <w:rPr>
                <w:rFonts w:hint="eastAsia"/>
              </w:rPr>
              <w:t>环境影响途径</w:t>
            </w:r>
          </w:p>
        </w:tc>
        <w:tc>
          <w:tcPr>
            <w:tcW w:w="798" w:type="pct"/>
            <w:vAlign w:val="center"/>
          </w:tcPr>
          <w:p w14:paraId="04FD85E5">
            <w:pPr>
              <w:pStyle w:val="196"/>
            </w:pPr>
            <w:r>
              <w:rPr>
                <w:rFonts w:hint="eastAsia"/>
              </w:rPr>
              <w:t>可能受影响的环境敏感目标</w:t>
            </w:r>
          </w:p>
        </w:tc>
      </w:tr>
      <w:tr w14:paraId="5F61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500" w:hRule="atLeast"/>
          <w:jc w:val="center"/>
        </w:trPr>
        <w:tc>
          <w:tcPr>
            <w:tcW w:w="325" w:type="pct"/>
            <w:vMerge w:val="restart"/>
            <w:vAlign w:val="center"/>
          </w:tcPr>
          <w:p w14:paraId="44C9CD0C">
            <w:pPr>
              <w:pStyle w:val="196"/>
            </w:pPr>
            <w:r>
              <w:rPr>
                <w:rFonts w:hint="eastAsia"/>
              </w:rPr>
              <w:t>1</w:t>
            </w:r>
          </w:p>
        </w:tc>
        <w:tc>
          <w:tcPr>
            <w:tcW w:w="672" w:type="pct"/>
            <w:vMerge w:val="restart"/>
            <w:vAlign w:val="center"/>
          </w:tcPr>
          <w:p w14:paraId="0CCC1756">
            <w:pPr>
              <w:pStyle w:val="196"/>
            </w:pPr>
            <w:r>
              <w:rPr>
                <w:rFonts w:hint="eastAsia"/>
              </w:rPr>
              <w:t>码头处（航道内）</w:t>
            </w:r>
          </w:p>
        </w:tc>
        <w:tc>
          <w:tcPr>
            <w:tcW w:w="792" w:type="pct"/>
            <w:vMerge w:val="restart"/>
            <w:vAlign w:val="center"/>
          </w:tcPr>
          <w:p w14:paraId="0CA7E6C8">
            <w:pPr>
              <w:pStyle w:val="196"/>
            </w:pPr>
            <w:r>
              <w:rPr>
                <w:rFonts w:hint="eastAsia"/>
              </w:rPr>
              <w:t>1000t散货船舶碰撞等事故，火灾等</w:t>
            </w:r>
          </w:p>
        </w:tc>
        <w:tc>
          <w:tcPr>
            <w:tcW w:w="577" w:type="pct"/>
            <w:vMerge w:val="restart"/>
            <w:vAlign w:val="center"/>
          </w:tcPr>
          <w:p w14:paraId="204D4466">
            <w:pPr>
              <w:pStyle w:val="196"/>
            </w:pPr>
            <w:r>
              <w:rPr>
                <w:rFonts w:hint="eastAsia"/>
              </w:rPr>
              <w:t>燃料油</w:t>
            </w:r>
          </w:p>
        </w:tc>
        <w:tc>
          <w:tcPr>
            <w:tcW w:w="752" w:type="pct"/>
            <w:vMerge w:val="restart"/>
            <w:vAlign w:val="center"/>
          </w:tcPr>
          <w:p w14:paraId="4F45CA4E">
            <w:pPr>
              <w:pStyle w:val="196"/>
            </w:pPr>
            <w:r>
              <w:t>234.35</w:t>
            </w:r>
            <w:r>
              <w:rPr>
                <w:rFonts w:hint="eastAsia"/>
              </w:rPr>
              <w:t>t</w:t>
            </w:r>
          </w:p>
        </w:tc>
        <w:tc>
          <w:tcPr>
            <w:tcW w:w="624" w:type="pct"/>
            <w:vAlign w:val="center"/>
          </w:tcPr>
          <w:p w14:paraId="436EF697">
            <w:pPr>
              <w:pStyle w:val="196"/>
            </w:pPr>
            <w:r>
              <w:rPr>
                <w:rFonts w:hint="eastAsia"/>
              </w:rPr>
              <w:t>泄漏</w:t>
            </w:r>
          </w:p>
        </w:tc>
        <w:tc>
          <w:tcPr>
            <w:tcW w:w="456" w:type="pct"/>
            <w:vAlign w:val="center"/>
          </w:tcPr>
          <w:p w14:paraId="12F6DA0C">
            <w:pPr>
              <w:pStyle w:val="196"/>
            </w:pPr>
            <w:r>
              <w:rPr>
                <w:rFonts w:hint="eastAsia"/>
              </w:rPr>
              <w:t>盐河</w:t>
            </w:r>
          </w:p>
        </w:tc>
        <w:tc>
          <w:tcPr>
            <w:tcW w:w="798" w:type="pct"/>
            <w:vAlign w:val="center"/>
          </w:tcPr>
          <w:p w14:paraId="2317B403">
            <w:pPr>
              <w:pStyle w:val="196"/>
            </w:pPr>
            <w:r>
              <w:rPr>
                <w:rFonts w:hint="eastAsia"/>
              </w:rPr>
              <w:t>上下游敏感水体</w:t>
            </w:r>
          </w:p>
        </w:tc>
      </w:tr>
      <w:tr w14:paraId="48E5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531" w:hRule="atLeast"/>
          <w:jc w:val="center"/>
        </w:trPr>
        <w:tc>
          <w:tcPr>
            <w:tcW w:w="0" w:type="auto"/>
            <w:vMerge w:val="continue"/>
            <w:vAlign w:val="center"/>
          </w:tcPr>
          <w:p w14:paraId="3C5E2ABA">
            <w:pPr>
              <w:pStyle w:val="196"/>
            </w:pPr>
          </w:p>
        </w:tc>
        <w:tc>
          <w:tcPr>
            <w:tcW w:w="0" w:type="auto"/>
            <w:vMerge w:val="continue"/>
            <w:vAlign w:val="center"/>
          </w:tcPr>
          <w:p w14:paraId="0399FAAA">
            <w:pPr>
              <w:pStyle w:val="196"/>
            </w:pPr>
          </w:p>
        </w:tc>
        <w:tc>
          <w:tcPr>
            <w:tcW w:w="0" w:type="auto"/>
            <w:vMerge w:val="continue"/>
            <w:vAlign w:val="center"/>
          </w:tcPr>
          <w:p w14:paraId="4531FE1C">
            <w:pPr>
              <w:pStyle w:val="196"/>
            </w:pPr>
          </w:p>
        </w:tc>
        <w:tc>
          <w:tcPr>
            <w:tcW w:w="0" w:type="auto"/>
            <w:vMerge w:val="continue"/>
            <w:vAlign w:val="center"/>
          </w:tcPr>
          <w:p w14:paraId="29EE5469">
            <w:pPr>
              <w:pStyle w:val="196"/>
            </w:pPr>
          </w:p>
        </w:tc>
        <w:tc>
          <w:tcPr>
            <w:tcW w:w="0" w:type="auto"/>
            <w:vMerge w:val="continue"/>
            <w:vAlign w:val="center"/>
          </w:tcPr>
          <w:p w14:paraId="37290AA0">
            <w:pPr>
              <w:pStyle w:val="196"/>
            </w:pPr>
          </w:p>
        </w:tc>
        <w:tc>
          <w:tcPr>
            <w:tcW w:w="624" w:type="pct"/>
            <w:vAlign w:val="center"/>
          </w:tcPr>
          <w:p w14:paraId="3C8964BB">
            <w:pPr>
              <w:pStyle w:val="196"/>
            </w:pPr>
            <w:r>
              <w:rPr>
                <w:rFonts w:hint="eastAsia"/>
              </w:rPr>
              <w:t>火灾爆炸二次污染</w:t>
            </w:r>
          </w:p>
        </w:tc>
        <w:tc>
          <w:tcPr>
            <w:tcW w:w="456" w:type="pct"/>
            <w:vAlign w:val="center"/>
          </w:tcPr>
          <w:p w14:paraId="7DEA3425">
            <w:pPr>
              <w:pStyle w:val="196"/>
            </w:pPr>
            <w:r>
              <w:rPr>
                <w:rFonts w:hint="eastAsia"/>
              </w:rPr>
              <w:t>大气</w:t>
            </w:r>
          </w:p>
        </w:tc>
        <w:tc>
          <w:tcPr>
            <w:tcW w:w="798" w:type="pct"/>
            <w:vAlign w:val="center"/>
          </w:tcPr>
          <w:p w14:paraId="1CDF63F5">
            <w:pPr>
              <w:pStyle w:val="196"/>
            </w:pPr>
            <w:r>
              <w:rPr>
                <w:rFonts w:hint="eastAsia"/>
              </w:rPr>
              <w:t>影响范围内</w:t>
            </w:r>
          </w:p>
          <w:p w14:paraId="410A72DD">
            <w:pPr>
              <w:pStyle w:val="196"/>
            </w:pPr>
            <w:r>
              <w:rPr>
                <w:rFonts w:hint="eastAsia"/>
              </w:rPr>
              <w:t>居民</w:t>
            </w:r>
          </w:p>
        </w:tc>
      </w:tr>
    </w:tbl>
    <w:p w14:paraId="2287DC16">
      <w:pPr>
        <w:pStyle w:val="80"/>
      </w:pPr>
      <w:bookmarkStart w:id="177" w:name="_Toc8169"/>
      <w:bookmarkEnd w:id="177"/>
      <w:bookmarkStart w:id="178" w:name="_Toc182171814"/>
      <w:r>
        <w:rPr>
          <w:rFonts w:hint="eastAsia"/>
        </w:rPr>
        <w:t>施工期污染源分析</w:t>
      </w:r>
      <w:bookmarkEnd w:id="178"/>
    </w:p>
    <w:p w14:paraId="5112EA0B">
      <w:pPr>
        <w:pStyle w:val="82"/>
      </w:pPr>
      <w:r>
        <w:rPr>
          <w:rFonts w:hint="eastAsia"/>
        </w:rPr>
        <w:t>污染物产生环节</w:t>
      </w:r>
    </w:p>
    <w:p w14:paraId="5DA98EB9">
      <w:pPr>
        <w:pStyle w:val="93"/>
      </w:pPr>
      <w:r>
        <w:rPr>
          <w:rFonts w:hint="eastAsia"/>
        </w:rPr>
        <w:t>本项目在施工期状态下的污染包括废气、废水、噪声、固体废物等。其中：</w:t>
      </w:r>
    </w:p>
    <w:p w14:paraId="4CD52A2B">
      <w:pPr>
        <w:pStyle w:val="93"/>
      </w:pPr>
      <w:r>
        <w:rPr>
          <w:rFonts w:hint="eastAsia"/>
        </w:rPr>
        <w:t>（1）废气产生环节主要有施工扬尘、施工船舶、车辆和机械废气、排泥场废气、临时堆场扬尘、运输砂石料粉尘等。</w:t>
      </w:r>
    </w:p>
    <w:p w14:paraId="28BFA118">
      <w:pPr>
        <w:pStyle w:val="93"/>
      </w:pPr>
      <w:r>
        <w:rPr>
          <w:rFonts w:hint="eastAsia"/>
        </w:rPr>
        <w:t>（2）废水产生的主要环节有航道疏浚产生的水体污染、施工船舶污水、施工人员生活污水、疏浚水下土方干化场</w:t>
      </w:r>
      <w:r>
        <w:rPr>
          <w:rFonts w:hint="eastAsia"/>
          <w:lang w:eastAsia="zh-CN"/>
        </w:rPr>
        <w:t>雨水</w:t>
      </w:r>
      <w:r>
        <w:rPr>
          <w:rFonts w:hint="eastAsia"/>
        </w:rPr>
        <w:t>。</w:t>
      </w:r>
    </w:p>
    <w:p w14:paraId="5A93D7A8">
      <w:pPr>
        <w:ind w:firstLine="480"/>
      </w:pPr>
      <w:r>
        <w:rPr>
          <w:rFonts w:hint="eastAsia"/>
        </w:rPr>
        <w:t>（3）噪声的产生环节主要有施工船舶和施工机械噪声。</w:t>
      </w:r>
    </w:p>
    <w:p w14:paraId="74C51BE0">
      <w:pPr>
        <w:pStyle w:val="93"/>
      </w:pPr>
      <w:r>
        <w:rPr>
          <w:rFonts w:hint="eastAsia"/>
        </w:rPr>
        <w:t>（4）固废的产生环节主要有生活垃圾、建筑垃圾、机修废油及沉淀池含油污泥。</w:t>
      </w:r>
    </w:p>
    <w:p w14:paraId="48CB4408">
      <w:pPr>
        <w:pStyle w:val="82"/>
      </w:pPr>
      <w:r>
        <w:rPr>
          <w:rFonts w:hint="eastAsia"/>
        </w:rPr>
        <w:t>废气源强分析</w:t>
      </w:r>
    </w:p>
    <w:p w14:paraId="38FDB0DC">
      <w:pPr>
        <w:ind w:firstLine="480"/>
      </w:pPr>
      <w:r>
        <w:rPr>
          <w:rFonts w:hint="eastAsia"/>
        </w:rPr>
        <w:t>（1）施工扬尘</w:t>
      </w:r>
    </w:p>
    <w:p w14:paraId="7776CC79">
      <w:pPr>
        <w:pStyle w:val="93"/>
      </w:pPr>
      <w:r>
        <w:rPr>
          <w:rFonts w:hint="eastAsia"/>
        </w:rPr>
        <w:t>施工期间对大气环境的主要影响是施工期间的场地平整、土方回填、建材运输装卸等产生的施工扬尘会使周围大气中的悬浮微粒浓度增加，局部地区污染加剧。</w:t>
      </w:r>
    </w:p>
    <w:p w14:paraId="238F3505">
      <w:pPr>
        <w:pStyle w:val="93"/>
      </w:pPr>
      <w:r>
        <w:rPr>
          <w:rFonts w:hint="eastAsia"/>
        </w:rPr>
        <w:t>本次评价采用《南京市扬尘源排放清单估算》（南京大学大气科学学院）采用的施工扬尘估算公式估算施工扬尘量，公式如下：</w:t>
      </w:r>
    </w:p>
    <w:p w14:paraId="47F1CC6B">
      <w:pPr>
        <w:ind w:firstLine="480"/>
      </w:pPr>
      <w:r>
        <w:rPr>
          <w:rFonts w:hint="eastAsia"/>
        </w:rPr>
        <w:t>E</w:t>
      </w:r>
      <w:r>
        <w:rPr>
          <w:rFonts w:hint="eastAsia"/>
          <w:vertAlign w:val="subscript"/>
        </w:rPr>
        <w:t>C</w:t>
      </w:r>
      <w:r>
        <w:rPr>
          <w:rFonts w:hint="eastAsia"/>
        </w:rPr>
        <w:t>=A×T×EF</w:t>
      </w:r>
      <w:r>
        <w:rPr>
          <w:rFonts w:hint="eastAsia"/>
          <w:vertAlign w:val="subscript"/>
        </w:rPr>
        <w:t>C</w:t>
      </w:r>
    </w:p>
    <w:p w14:paraId="223C0947">
      <w:pPr>
        <w:ind w:firstLine="480"/>
      </w:pPr>
      <w:r>
        <w:rPr>
          <w:rFonts w:hint="eastAsia"/>
        </w:rPr>
        <w:t>式中：E</w:t>
      </w:r>
      <w:r>
        <w:rPr>
          <w:rFonts w:hint="eastAsia"/>
          <w:vertAlign w:val="subscript"/>
        </w:rPr>
        <w:t>C</w:t>
      </w:r>
      <w:r>
        <w:rPr>
          <w:rFonts w:hint="eastAsia"/>
        </w:rPr>
        <w:t>——在建工地引起的颗粒物排放量，t/a；</w:t>
      </w:r>
    </w:p>
    <w:p w14:paraId="743CAB8D">
      <w:pPr>
        <w:ind w:firstLine="480"/>
      </w:pPr>
      <w:r>
        <w:rPr>
          <w:rFonts w:hint="eastAsia"/>
        </w:rPr>
        <w:t>A——施工面积，m</w:t>
      </w:r>
      <w:r>
        <w:rPr>
          <w:rFonts w:hint="eastAsia"/>
          <w:vertAlign w:val="superscript"/>
        </w:rPr>
        <w:t>2</w:t>
      </w:r>
      <w:r>
        <w:rPr>
          <w:rFonts w:hint="eastAsia"/>
        </w:rPr>
        <w:t>；</w:t>
      </w:r>
    </w:p>
    <w:p w14:paraId="568E3A5B">
      <w:pPr>
        <w:ind w:firstLine="480"/>
      </w:pPr>
      <w:r>
        <w:rPr>
          <w:rFonts w:hint="eastAsia"/>
        </w:rPr>
        <w:t>T——施工时间，月；</w:t>
      </w:r>
    </w:p>
    <w:p w14:paraId="296191E5">
      <w:pPr>
        <w:pStyle w:val="93"/>
        <w:rPr>
          <w:lang w:val="en-US"/>
        </w:rPr>
      </w:pPr>
      <w:r>
        <w:rPr>
          <w:rFonts w:hint="eastAsia"/>
          <w:lang w:val="en-US"/>
        </w:rPr>
        <w:t>EF</w:t>
      </w:r>
      <w:r>
        <w:rPr>
          <w:rFonts w:hint="eastAsia"/>
          <w:vertAlign w:val="subscript"/>
          <w:lang w:val="en-US"/>
        </w:rPr>
        <w:t>C</w:t>
      </w:r>
      <w:r>
        <w:rPr>
          <w:rFonts w:hint="eastAsia"/>
          <w:lang w:val="en-US"/>
        </w:rPr>
        <w:t>——</w:t>
      </w:r>
      <w:r>
        <w:rPr>
          <w:rFonts w:hint="eastAsia"/>
        </w:rPr>
        <w:t>在建工地引起的颗粒物排放系数</w:t>
      </w:r>
      <w:r>
        <w:rPr>
          <w:rFonts w:hint="eastAsia"/>
          <w:lang w:val="en-US"/>
        </w:rPr>
        <w:t>，kg/m</w:t>
      </w:r>
      <w:r>
        <w:rPr>
          <w:rFonts w:hint="eastAsia"/>
          <w:vertAlign w:val="superscript"/>
          <w:lang w:val="en-US"/>
        </w:rPr>
        <w:t>2</w:t>
      </w:r>
      <w:r>
        <w:rPr>
          <w:rFonts w:hint="eastAsia"/>
          <w:lang w:val="en-US"/>
        </w:rPr>
        <w:t>·</w:t>
      </w:r>
      <w:r>
        <w:rPr>
          <w:rFonts w:hint="eastAsia"/>
        </w:rPr>
        <w:t>月</w:t>
      </w:r>
      <w:r>
        <w:rPr>
          <w:rFonts w:hint="eastAsia"/>
          <w:lang w:val="en-US"/>
        </w:rPr>
        <w:t>，</w:t>
      </w:r>
      <w:r>
        <w:rPr>
          <w:rFonts w:hint="eastAsia"/>
        </w:rPr>
        <w:t>本次评价取</w:t>
      </w:r>
      <w:r>
        <w:rPr>
          <w:rFonts w:hint="eastAsia"/>
          <w:lang w:val="en-US"/>
        </w:rPr>
        <w:t>0.068</w:t>
      </w:r>
      <w:r>
        <w:rPr>
          <w:rFonts w:hint="eastAsia"/>
        </w:rPr>
        <w:t>。</w:t>
      </w:r>
    </w:p>
    <w:p w14:paraId="1F26DA0E">
      <w:pPr>
        <w:ind w:firstLine="480"/>
        <w:rPr>
          <w:vertAlign w:val="subscript"/>
        </w:rPr>
      </w:pPr>
      <w:r>
        <w:rPr>
          <w:rFonts w:hint="eastAsia"/>
        </w:rPr>
        <w:t>根据上述公式及排放系数，本项目施工面积为9584m</w:t>
      </w:r>
      <w:r>
        <w:rPr>
          <w:rFonts w:hint="eastAsia"/>
          <w:vertAlign w:val="superscript"/>
        </w:rPr>
        <w:t>2</w:t>
      </w:r>
      <w:r>
        <w:rPr>
          <w:rFonts w:hint="eastAsia"/>
        </w:rPr>
        <w:t>，施工时间10个月，则产生的粉尘约6.52t。采取洒水防尘措施后，扬尘削减量约66%，实际排放量约2.22t。</w:t>
      </w:r>
    </w:p>
    <w:p w14:paraId="30881916">
      <w:pPr>
        <w:pStyle w:val="93"/>
      </w:pPr>
      <w:r>
        <w:rPr>
          <w:rFonts w:hint="eastAsia"/>
        </w:rPr>
        <w:t>（2）施工船舶、车辆和机械废气</w:t>
      </w:r>
    </w:p>
    <w:p w14:paraId="70373E33">
      <w:pPr>
        <w:pStyle w:val="93"/>
      </w:pPr>
      <w:r>
        <w:t>施工船舶、燃油机械和运输车辆运行过程中将产生燃油废气，主要污染物为NOx、CO、PM</w:t>
      </w:r>
      <w:r>
        <w:rPr>
          <w:vertAlign w:val="subscript"/>
        </w:rPr>
        <w:t>2.5</w:t>
      </w:r>
      <w:r>
        <w:t>等，排放强度较小。由于施工工地内的施工机械、运输车船分布较分散，属于无组织排放，工程基本处于开阔地，空气流动条件好，废气经稀释扩散后不会对周边空气环境产生明显影响。依据《道路机动车大气污染物排放清单编制技术指南》（试行）和《非道路移动源大气污染物排放清单编制技术指南》（试行），各类施工机械和运输车辆的污染物排放情况如表3.7-1所示。</w:t>
      </w:r>
    </w:p>
    <w:p w14:paraId="125A293C">
      <w:pPr>
        <w:pStyle w:val="86"/>
      </w:pPr>
      <w:r>
        <w:t>部分施工机械和车辆的燃油废气排放情况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1"/>
        <w:gridCol w:w="1280"/>
        <w:gridCol w:w="1280"/>
        <w:gridCol w:w="1280"/>
        <w:gridCol w:w="1280"/>
        <w:gridCol w:w="1280"/>
      </w:tblGrid>
      <w:tr w14:paraId="4BC3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5" w:type="pct"/>
            <w:vMerge w:val="restart"/>
            <w:tcBorders>
              <w:top w:val="single" w:color="auto" w:sz="4" w:space="0"/>
              <w:left w:val="single" w:color="auto" w:sz="4" w:space="0"/>
              <w:bottom w:val="single" w:color="auto" w:sz="4" w:space="0"/>
              <w:right w:val="single" w:color="auto" w:sz="4" w:space="0"/>
            </w:tcBorders>
            <w:noWrap/>
            <w:vAlign w:val="center"/>
          </w:tcPr>
          <w:p w14:paraId="27EC9C45">
            <w:pPr>
              <w:pStyle w:val="196"/>
            </w:pPr>
            <w:r>
              <w:t>类型</w:t>
            </w:r>
          </w:p>
        </w:tc>
        <w:tc>
          <w:tcPr>
            <w:tcW w:w="3755" w:type="pct"/>
            <w:gridSpan w:val="5"/>
            <w:tcBorders>
              <w:top w:val="single" w:color="auto" w:sz="4" w:space="0"/>
              <w:left w:val="single" w:color="auto" w:sz="4" w:space="0"/>
              <w:bottom w:val="single" w:color="auto" w:sz="4" w:space="0"/>
              <w:right w:val="single" w:color="auto" w:sz="4" w:space="0"/>
            </w:tcBorders>
            <w:noWrap/>
            <w:vAlign w:val="center"/>
          </w:tcPr>
          <w:p w14:paraId="3B33C2C2">
            <w:pPr>
              <w:pStyle w:val="196"/>
            </w:pPr>
            <w:r>
              <w:t>污染物排放情况（g/kg燃料</w:t>
            </w:r>
            <w:r>
              <w:rPr>
                <w:rFonts w:hint="eastAsia"/>
                <w:lang w:eastAsia="zh-CN"/>
              </w:rPr>
              <w:t>）</w:t>
            </w:r>
          </w:p>
        </w:tc>
      </w:tr>
      <w:tr w14:paraId="20A7C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EBDEB31">
            <w:pPr>
              <w:pStyle w:val="196"/>
            </w:pPr>
          </w:p>
        </w:tc>
        <w:tc>
          <w:tcPr>
            <w:tcW w:w="751" w:type="pct"/>
            <w:tcBorders>
              <w:top w:val="single" w:color="auto" w:sz="4" w:space="0"/>
              <w:left w:val="single" w:color="auto" w:sz="4" w:space="0"/>
              <w:bottom w:val="single" w:color="auto" w:sz="4" w:space="0"/>
              <w:right w:val="single" w:color="auto" w:sz="4" w:space="0"/>
            </w:tcBorders>
            <w:noWrap/>
            <w:vAlign w:val="center"/>
          </w:tcPr>
          <w:p w14:paraId="76F4755D">
            <w:pPr>
              <w:pStyle w:val="196"/>
            </w:pPr>
            <w:r>
              <w:t>PM</w:t>
            </w:r>
            <w:r>
              <w:rPr>
                <w:vertAlign w:val="subscript"/>
              </w:rPr>
              <w:t>10</w:t>
            </w:r>
          </w:p>
        </w:tc>
        <w:tc>
          <w:tcPr>
            <w:tcW w:w="751" w:type="pct"/>
            <w:tcBorders>
              <w:top w:val="single" w:color="auto" w:sz="4" w:space="0"/>
              <w:left w:val="single" w:color="auto" w:sz="4" w:space="0"/>
              <w:bottom w:val="single" w:color="auto" w:sz="4" w:space="0"/>
              <w:right w:val="single" w:color="auto" w:sz="4" w:space="0"/>
            </w:tcBorders>
            <w:noWrap/>
            <w:vAlign w:val="center"/>
          </w:tcPr>
          <w:p w14:paraId="1B476454">
            <w:pPr>
              <w:pStyle w:val="196"/>
            </w:pPr>
            <w:r>
              <w:t>PM</w:t>
            </w:r>
            <w:r>
              <w:rPr>
                <w:vertAlign w:val="subscript"/>
              </w:rPr>
              <w:t>2.5</w:t>
            </w:r>
          </w:p>
        </w:tc>
        <w:tc>
          <w:tcPr>
            <w:tcW w:w="751" w:type="pct"/>
            <w:tcBorders>
              <w:top w:val="single" w:color="auto" w:sz="4" w:space="0"/>
              <w:left w:val="single" w:color="auto" w:sz="4" w:space="0"/>
              <w:bottom w:val="single" w:color="auto" w:sz="4" w:space="0"/>
              <w:right w:val="single" w:color="auto" w:sz="4" w:space="0"/>
            </w:tcBorders>
            <w:noWrap/>
            <w:vAlign w:val="center"/>
          </w:tcPr>
          <w:p w14:paraId="1CE0A197">
            <w:pPr>
              <w:pStyle w:val="196"/>
            </w:pPr>
            <w:r>
              <w:t>HC</w:t>
            </w:r>
          </w:p>
        </w:tc>
        <w:tc>
          <w:tcPr>
            <w:tcW w:w="751" w:type="pct"/>
            <w:tcBorders>
              <w:top w:val="single" w:color="auto" w:sz="4" w:space="0"/>
              <w:left w:val="single" w:color="auto" w:sz="4" w:space="0"/>
              <w:bottom w:val="single" w:color="auto" w:sz="4" w:space="0"/>
              <w:right w:val="single" w:color="auto" w:sz="4" w:space="0"/>
            </w:tcBorders>
            <w:noWrap/>
            <w:vAlign w:val="center"/>
          </w:tcPr>
          <w:p w14:paraId="70A3E4BC">
            <w:pPr>
              <w:pStyle w:val="196"/>
            </w:pPr>
            <w:r>
              <w:t>NOx</w:t>
            </w:r>
          </w:p>
        </w:tc>
        <w:tc>
          <w:tcPr>
            <w:tcW w:w="751" w:type="pct"/>
            <w:tcBorders>
              <w:top w:val="single" w:color="auto" w:sz="4" w:space="0"/>
              <w:left w:val="single" w:color="auto" w:sz="4" w:space="0"/>
              <w:bottom w:val="single" w:color="auto" w:sz="4" w:space="0"/>
              <w:right w:val="single" w:color="auto" w:sz="4" w:space="0"/>
            </w:tcBorders>
            <w:noWrap/>
            <w:vAlign w:val="center"/>
          </w:tcPr>
          <w:p w14:paraId="5A8AFA0E">
            <w:pPr>
              <w:pStyle w:val="196"/>
            </w:pPr>
            <w:r>
              <w:t>CO</w:t>
            </w:r>
          </w:p>
        </w:tc>
      </w:tr>
      <w:tr w14:paraId="76D52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5" w:type="pct"/>
            <w:tcBorders>
              <w:top w:val="single" w:color="auto" w:sz="4" w:space="0"/>
              <w:left w:val="single" w:color="auto" w:sz="4" w:space="0"/>
              <w:bottom w:val="single" w:color="auto" w:sz="4" w:space="0"/>
              <w:right w:val="single" w:color="auto" w:sz="4" w:space="0"/>
            </w:tcBorders>
            <w:noWrap/>
            <w:vAlign w:val="center"/>
          </w:tcPr>
          <w:p w14:paraId="6031BEA5">
            <w:pPr>
              <w:pStyle w:val="196"/>
              <w:rPr>
                <w:bCs/>
              </w:rPr>
            </w:pPr>
            <w:r>
              <w:rPr>
                <w:bCs/>
              </w:rPr>
              <w:t>工程机械</w:t>
            </w:r>
          </w:p>
        </w:tc>
        <w:tc>
          <w:tcPr>
            <w:tcW w:w="751" w:type="pct"/>
            <w:tcBorders>
              <w:top w:val="single" w:color="auto" w:sz="4" w:space="0"/>
              <w:left w:val="single" w:color="auto" w:sz="4" w:space="0"/>
              <w:bottom w:val="single" w:color="auto" w:sz="4" w:space="0"/>
              <w:right w:val="single" w:color="auto" w:sz="4" w:space="0"/>
            </w:tcBorders>
            <w:noWrap/>
            <w:vAlign w:val="center"/>
          </w:tcPr>
          <w:p w14:paraId="6F6BB68D">
            <w:pPr>
              <w:pStyle w:val="196"/>
              <w:rPr>
                <w:bCs/>
              </w:rPr>
            </w:pPr>
            <w:r>
              <w:rPr>
                <w:bCs/>
              </w:rPr>
              <w:t>2.09</w:t>
            </w:r>
          </w:p>
        </w:tc>
        <w:tc>
          <w:tcPr>
            <w:tcW w:w="751" w:type="pct"/>
            <w:tcBorders>
              <w:top w:val="single" w:color="auto" w:sz="4" w:space="0"/>
              <w:left w:val="single" w:color="auto" w:sz="4" w:space="0"/>
              <w:bottom w:val="single" w:color="auto" w:sz="4" w:space="0"/>
              <w:right w:val="single" w:color="auto" w:sz="4" w:space="0"/>
            </w:tcBorders>
            <w:noWrap/>
            <w:vAlign w:val="center"/>
          </w:tcPr>
          <w:p w14:paraId="12472DAC">
            <w:pPr>
              <w:pStyle w:val="196"/>
              <w:rPr>
                <w:bCs/>
              </w:rPr>
            </w:pPr>
            <w:r>
              <w:rPr>
                <w:bCs/>
              </w:rPr>
              <w:t>2.09</w:t>
            </w:r>
          </w:p>
        </w:tc>
        <w:tc>
          <w:tcPr>
            <w:tcW w:w="751" w:type="pct"/>
            <w:tcBorders>
              <w:top w:val="single" w:color="auto" w:sz="4" w:space="0"/>
              <w:left w:val="single" w:color="auto" w:sz="4" w:space="0"/>
              <w:bottom w:val="single" w:color="auto" w:sz="4" w:space="0"/>
              <w:right w:val="single" w:color="auto" w:sz="4" w:space="0"/>
            </w:tcBorders>
            <w:noWrap/>
            <w:vAlign w:val="center"/>
          </w:tcPr>
          <w:p w14:paraId="4FAFC912">
            <w:pPr>
              <w:pStyle w:val="196"/>
              <w:rPr>
                <w:bCs/>
              </w:rPr>
            </w:pPr>
            <w:r>
              <w:rPr>
                <w:bCs/>
              </w:rPr>
              <w:t>3.39</w:t>
            </w:r>
          </w:p>
        </w:tc>
        <w:tc>
          <w:tcPr>
            <w:tcW w:w="751" w:type="pct"/>
            <w:tcBorders>
              <w:top w:val="single" w:color="auto" w:sz="4" w:space="0"/>
              <w:left w:val="single" w:color="auto" w:sz="4" w:space="0"/>
              <w:bottom w:val="single" w:color="auto" w:sz="4" w:space="0"/>
              <w:right w:val="single" w:color="auto" w:sz="4" w:space="0"/>
            </w:tcBorders>
            <w:noWrap/>
            <w:vAlign w:val="center"/>
          </w:tcPr>
          <w:p w14:paraId="25C18A1D">
            <w:pPr>
              <w:pStyle w:val="196"/>
              <w:rPr>
                <w:bCs/>
              </w:rPr>
            </w:pPr>
            <w:r>
              <w:rPr>
                <w:bCs/>
              </w:rPr>
              <w:t>32.79</w:t>
            </w:r>
          </w:p>
        </w:tc>
        <w:tc>
          <w:tcPr>
            <w:tcW w:w="751" w:type="pct"/>
            <w:tcBorders>
              <w:top w:val="single" w:color="auto" w:sz="4" w:space="0"/>
              <w:left w:val="single" w:color="auto" w:sz="4" w:space="0"/>
              <w:bottom w:val="single" w:color="auto" w:sz="4" w:space="0"/>
              <w:right w:val="single" w:color="auto" w:sz="4" w:space="0"/>
            </w:tcBorders>
            <w:noWrap/>
            <w:vAlign w:val="center"/>
          </w:tcPr>
          <w:p w14:paraId="0CDC3475">
            <w:pPr>
              <w:pStyle w:val="196"/>
              <w:rPr>
                <w:bCs/>
              </w:rPr>
            </w:pPr>
            <w:r>
              <w:rPr>
                <w:bCs/>
              </w:rPr>
              <w:t>10.72</w:t>
            </w:r>
          </w:p>
        </w:tc>
      </w:tr>
      <w:tr w14:paraId="022A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5" w:type="pct"/>
            <w:tcBorders>
              <w:top w:val="single" w:color="auto" w:sz="4" w:space="0"/>
              <w:left w:val="single" w:color="auto" w:sz="4" w:space="0"/>
              <w:bottom w:val="single" w:color="auto" w:sz="4" w:space="0"/>
              <w:right w:val="single" w:color="auto" w:sz="4" w:space="0"/>
            </w:tcBorders>
            <w:noWrap/>
            <w:vAlign w:val="center"/>
          </w:tcPr>
          <w:p w14:paraId="6B9176D3">
            <w:pPr>
              <w:pStyle w:val="196"/>
              <w:rPr>
                <w:bCs/>
              </w:rPr>
            </w:pPr>
            <w:r>
              <w:rPr>
                <w:bCs/>
              </w:rPr>
              <w:t>柴油船舶</w:t>
            </w:r>
          </w:p>
        </w:tc>
        <w:tc>
          <w:tcPr>
            <w:tcW w:w="751" w:type="pct"/>
            <w:tcBorders>
              <w:top w:val="single" w:color="auto" w:sz="4" w:space="0"/>
              <w:left w:val="single" w:color="auto" w:sz="4" w:space="0"/>
              <w:bottom w:val="single" w:color="auto" w:sz="4" w:space="0"/>
              <w:right w:val="single" w:color="auto" w:sz="4" w:space="0"/>
            </w:tcBorders>
            <w:noWrap/>
            <w:vAlign w:val="center"/>
          </w:tcPr>
          <w:p w14:paraId="46886B2C">
            <w:pPr>
              <w:pStyle w:val="196"/>
              <w:rPr>
                <w:bCs/>
              </w:rPr>
            </w:pPr>
            <w:r>
              <w:rPr>
                <w:bCs/>
              </w:rPr>
              <w:t>3.81</w:t>
            </w:r>
          </w:p>
        </w:tc>
        <w:tc>
          <w:tcPr>
            <w:tcW w:w="751" w:type="pct"/>
            <w:tcBorders>
              <w:top w:val="single" w:color="auto" w:sz="4" w:space="0"/>
              <w:left w:val="single" w:color="auto" w:sz="4" w:space="0"/>
              <w:bottom w:val="single" w:color="auto" w:sz="4" w:space="0"/>
              <w:right w:val="single" w:color="auto" w:sz="4" w:space="0"/>
            </w:tcBorders>
            <w:noWrap/>
            <w:vAlign w:val="center"/>
          </w:tcPr>
          <w:p w14:paraId="7A844DD3">
            <w:pPr>
              <w:pStyle w:val="196"/>
              <w:rPr>
                <w:bCs/>
              </w:rPr>
            </w:pPr>
            <w:r>
              <w:rPr>
                <w:bCs/>
              </w:rPr>
              <w:t>3.65</w:t>
            </w:r>
          </w:p>
        </w:tc>
        <w:tc>
          <w:tcPr>
            <w:tcW w:w="751" w:type="pct"/>
            <w:tcBorders>
              <w:top w:val="single" w:color="auto" w:sz="4" w:space="0"/>
              <w:left w:val="single" w:color="auto" w:sz="4" w:space="0"/>
              <w:bottom w:val="single" w:color="auto" w:sz="4" w:space="0"/>
              <w:right w:val="single" w:color="auto" w:sz="4" w:space="0"/>
            </w:tcBorders>
            <w:noWrap/>
            <w:vAlign w:val="center"/>
          </w:tcPr>
          <w:p w14:paraId="40AA857F">
            <w:pPr>
              <w:pStyle w:val="196"/>
              <w:rPr>
                <w:bCs/>
              </w:rPr>
            </w:pPr>
            <w:r>
              <w:rPr>
                <w:bCs/>
              </w:rPr>
              <w:t>6.19</w:t>
            </w:r>
          </w:p>
        </w:tc>
        <w:tc>
          <w:tcPr>
            <w:tcW w:w="751" w:type="pct"/>
            <w:tcBorders>
              <w:top w:val="single" w:color="auto" w:sz="4" w:space="0"/>
              <w:left w:val="single" w:color="auto" w:sz="4" w:space="0"/>
              <w:bottom w:val="single" w:color="auto" w:sz="4" w:space="0"/>
              <w:right w:val="single" w:color="auto" w:sz="4" w:space="0"/>
            </w:tcBorders>
            <w:noWrap/>
            <w:vAlign w:val="center"/>
          </w:tcPr>
          <w:p w14:paraId="68D03E10">
            <w:pPr>
              <w:pStyle w:val="196"/>
              <w:rPr>
                <w:bCs/>
              </w:rPr>
            </w:pPr>
            <w:r>
              <w:rPr>
                <w:bCs/>
              </w:rPr>
              <w:t>47.6</w:t>
            </w:r>
          </w:p>
        </w:tc>
        <w:tc>
          <w:tcPr>
            <w:tcW w:w="751" w:type="pct"/>
            <w:tcBorders>
              <w:top w:val="single" w:color="auto" w:sz="4" w:space="0"/>
              <w:left w:val="single" w:color="auto" w:sz="4" w:space="0"/>
              <w:bottom w:val="single" w:color="auto" w:sz="4" w:space="0"/>
              <w:right w:val="single" w:color="auto" w:sz="4" w:space="0"/>
            </w:tcBorders>
            <w:noWrap/>
            <w:vAlign w:val="center"/>
          </w:tcPr>
          <w:p w14:paraId="17E9DF5B">
            <w:pPr>
              <w:pStyle w:val="196"/>
              <w:rPr>
                <w:bCs/>
              </w:rPr>
            </w:pPr>
            <w:r>
              <w:rPr>
                <w:bCs/>
              </w:rPr>
              <w:t>23.8</w:t>
            </w:r>
          </w:p>
        </w:tc>
      </w:tr>
      <w:tr w14:paraId="4695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5" w:type="pct"/>
            <w:vMerge w:val="restart"/>
            <w:tcBorders>
              <w:top w:val="nil"/>
              <w:left w:val="single" w:color="auto" w:sz="4" w:space="0"/>
              <w:bottom w:val="single" w:color="auto" w:sz="4" w:space="0"/>
              <w:right w:val="single" w:color="auto" w:sz="4" w:space="0"/>
            </w:tcBorders>
            <w:noWrap/>
            <w:vAlign w:val="center"/>
          </w:tcPr>
          <w:p w14:paraId="2E3DE87E">
            <w:pPr>
              <w:pStyle w:val="196"/>
            </w:pPr>
            <w:r>
              <w:t>类型</w:t>
            </w:r>
          </w:p>
        </w:tc>
        <w:tc>
          <w:tcPr>
            <w:tcW w:w="3755" w:type="pct"/>
            <w:gridSpan w:val="5"/>
            <w:tcBorders>
              <w:top w:val="single" w:color="auto" w:sz="4" w:space="0"/>
              <w:left w:val="single" w:color="auto" w:sz="4" w:space="0"/>
              <w:bottom w:val="single" w:color="auto" w:sz="4" w:space="0"/>
              <w:right w:val="single" w:color="auto" w:sz="4" w:space="0"/>
            </w:tcBorders>
            <w:noWrap/>
            <w:vAlign w:val="center"/>
          </w:tcPr>
          <w:p w14:paraId="180D056A">
            <w:pPr>
              <w:pStyle w:val="196"/>
            </w:pPr>
            <w:r>
              <w:t>污染物排放情况（g/km</w:t>
            </w:r>
            <w:r>
              <w:rPr>
                <w:rFonts w:hint="eastAsia"/>
                <w:lang w:eastAsia="zh-CN"/>
              </w:rPr>
              <w:t>）</w:t>
            </w:r>
          </w:p>
        </w:tc>
      </w:tr>
      <w:tr w14:paraId="20FE4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vMerge w:val="continue"/>
            <w:tcBorders>
              <w:top w:val="nil"/>
              <w:left w:val="single" w:color="auto" w:sz="4" w:space="0"/>
              <w:bottom w:val="single" w:color="auto" w:sz="4" w:space="0"/>
              <w:right w:val="single" w:color="auto" w:sz="4" w:space="0"/>
            </w:tcBorders>
            <w:vAlign w:val="center"/>
          </w:tcPr>
          <w:p w14:paraId="70E6B1D0">
            <w:pPr>
              <w:pStyle w:val="196"/>
            </w:pPr>
          </w:p>
        </w:tc>
        <w:tc>
          <w:tcPr>
            <w:tcW w:w="751" w:type="pct"/>
            <w:tcBorders>
              <w:top w:val="single" w:color="auto" w:sz="4" w:space="0"/>
              <w:left w:val="single" w:color="auto" w:sz="4" w:space="0"/>
              <w:bottom w:val="single" w:color="auto" w:sz="4" w:space="0"/>
              <w:right w:val="single" w:color="auto" w:sz="4" w:space="0"/>
            </w:tcBorders>
            <w:noWrap/>
            <w:vAlign w:val="center"/>
          </w:tcPr>
          <w:p w14:paraId="5D4076F7">
            <w:pPr>
              <w:pStyle w:val="196"/>
            </w:pPr>
            <w:r>
              <w:t>PM</w:t>
            </w:r>
            <w:r>
              <w:rPr>
                <w:vertAlign w:val="subscript"/>
              </w:rPr>
              <w:t>10</w:t>
            </w:r>
          </w:p>
        </w:tc>
        <w:tc>
          <w:tcPr>
            <w:tcW w:w="751" w:type="pct"/>
            <w:tcBorders>
              <w:top w:val="single" w:color="auto" w:sz="4" w:space="0"/>
              <w:left w:val="single" w:color="auto" w:sz="4" w:space="0"/>
              <w:bottom w:val="single" w:color="auto" w:sz="4" w:space="0"/>
              <w:right w:val="single" w:color="auto" w:sz="4" w:space="0"/>
            </w:tcBorders>
            <w:noWrap/>
            <w:vAlign w:val="center"/>
          </w:tcPr>
          <w:p w14:paraId="0D20CC0F">
            <w:pPr>
              <w:pStyle w:val="196"/>
            </w:pPr>
            <w:r>
              <w:t>PM</w:t>
            </w:r>
            <w:r>
              <w:rPr>
                <w:vertAlign w:val="subscript"/>
              </w:rPr>
              <w:t>2.5</w:t>
            </w:r>
          </w:p>
        </w:tc>
        <w:tc>
          <w:tcPr>
            <w:tcW w:w="751" w:type="pct"/>
            <w:tcBorders>
              <w:top w:val="single" w:color="auto" w:sz="4" w:space="0"/>
              <w:left w:val="single" w:color="auto" w:sz="4" w:space="0"/>
              <w:bottom w:val="single" w:color="auto" w:sz="4" w:space="0"/>
              <w:right w:val="single" w:color="auto" w:sz="4" w:space="0"/>
            </w:tcBorders>
            <w:noWrap/>
            <w:vAlign w:val="center"/>
          </w:tcPr>
          <w:p w14:paraId="3E410542">
            <w:pPr>
              <w:pStyle w:val="196"/>
            </w:pPr>
            <w:r>
              <w:t>HC</w:t>
            </w:r>
          </w:p>
        </w:tc>
        <w:tc>
          <w:tcPr>
            <w:tcW w:w="751" w:type="pct"/>
            <w:tcBorders>
              <w:top w:val="single" w:color="auto" w:sz="4" w:space="0"/>
              <w:left w:val="single" w:color="auto" w:sz="4" w:space="0"/>
              <w:bottom w:val="single" w:color="auto" w:sz="4" w:space="0"/>
              <w:right w:val="single" w:color="auto" w:sz="4" w:space="0"/>
            </w:tcBorders>
            <w:noWrap/>
            <w:vAlign w:val="center"/>
          </w:tcPr>
          <w:p w14:paraId="5F739C73">
            <w:pPr>
              <w:pStyle w:val="196"/>
            </w:pPr>
            <w:r>
              <w:t>NOx</w:t>
            </w:r>
          </w:p>
        </w:tc>
        <w:tc>
          <w:tcPr>
            <w:tcW w:w="751" w:type="pct"/>
            <w:tcBorders>
              <w:top w:val="single" w:color="auto" w:sz="4" w:space="0"/>
              <w:left w:val="single" w:color="auto" w:sz="4" w:space="0"/>
              <w:bottom w:val="single" w:color="auto" w:sz="4" w:space="0"/>
              <w:right w:val="single" w:color="auto" w:sz="4" w:space="0"/>
            </w:tcBorders>
            <w:noWrap/>
            <w:vAlign w:val="center"/>
          </w:tcPr>
          <w:p w14:paraId="7145E20F">
            <w:pPr>
              <w:pStyle w:val="196"/>
            </w:pPr>
            <w:r>
              <w:t>CO</w:t>
            </w:r>
          </w:p>
        </w:tc>
      </w:tr>
      <w:tr w14:paraId="286A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45" w:type="pct"/>
            <w:tcBorders>
              <w:top w:val="single" w:color="auto" w:sz="4" w:space="0"/>
              <w:left w:val="single" w:color="auto" w:sz="4" w:space="0"/>
              <w:bottom w:val="single" w:color="auto" w:sz="4" w:space="0"/>
              <w:right w:val="single" w:color="auto" w:sz="4" w:space="0"/>
            </w:tcBorders>
            <w:noWrap/>
            <w:vAlign w:val="center"/>
          </w:tcPr>
          <w:p w14:paraId="558652A9">
            <w:pPr>
              <w:pStyle w:val="196"/>
              <w:rPr>
                <w:bCs/>
              </w:rPr>
            </w:pPr>
            <w:r>
              <w:rPr>
                <w:bCs/>
              </w:rPr>
              <w:t>重型货车（国四）</w:t>
            </w:r>
          </w:p>
        </w:tc>
        <w:tc>
          <w:tcPr>
            <w:tcW w:w="751" w:type="pct"/>
            <w:tcBorders>
              <w:top w:val="single" w:color="auto" w:sz="4" w:space="0"/>
              <w:left w:val="single" w:color="auto" w:sz="4" w:space="0"/>
              <w:bottom w:val="single" w:color="auto" w:sz="4" w:space="0"/>
              <w:right w:val="single" w:color="auto" w:sz="4" w:space="0"/>
            </w:tcBorders>
            <w:noWrap/>
            <w:vAlign w:val="center"/>
          </w:tcPr>
          <w:p w14:paraId="1D1DFB5B">
            <w:pPr>
              <w:pStyle w:val="196"/>
              <w:rPr>
                <w:bCs/>
              </w:rPr>
            </w:pPr>
            <w:r>
              <w:rPr>
                <w:bCs/>
              </w:rPr>
              <w:t>0.153</w:t>
            </w:r>
          </w:p>
        </w:tc>
        <w:tc>
          <w:tcPr>
            <w:tcW w:w="751" w:type="pct"/>
            <w:tcBorders>
              <w:top w:val="single" w:color="auto" w:sz="4" w:space="0"/>
              <w:left w:val="single" w:color="auto" w:sz="4" w:space="0"/>
              <w:bottom w:val="single" w:color="auto" w:sz="4" w:space="0"/>
              <w:right w:val="single" w:color="auto" w:sz="4" w:space="0"/>
            </w:tcBorders>
            <w:noWrap/>
            <w:vAlign w:val="center"/>
          </w:tcPr>
          <w:p w14:paraId="2240A35C">
            <w:pPr>
              <w:pStyle w:val="196"/>
              <w:rPr>
                <w:bCs/>
              </w:rPr>
            </w:pPr>
            <w:r>
              <w:rPr>
                <w:bCs/>
              </w:rPr>
              <w:t>0.138</w:t>
            </w:r>
          </w:p>
        </w:tc>
        <w:tc>
          <w:tcPr>
            <w:tcW w:w="751" w:type="pct"/>
            <w:tcBorders>
              <w:top w:val="single" w:color="auto" w:sz="4" w:space="0"/>
              <w:left w:val="single" w:color="auto" w:sz="4" w:space="0"/>
              <w:bottom w:val="single" w:color="auto" w:sz="4" w:space="0"/>
              <w:right w:val="single" w:color="auto" w:sz="4" w:space="0"/>
            </w:tcBorders>
            <w:noWrap/>
            <w:vAlign w:val="center"/>
          </w:tcPr>
          <w:p w14:paraId="24C7B6F9">
            <w:pPr>
              <w:pStyle w:val="196"/>
              <w:rPr>
                <w:bCs/>
              </w:rPr>
            </w:pPr>
            <w:r>
              <w:rPr>
                <w:bCs/>
              </w:rPr>
              <w:t>0.129</w:t>
            </w:r>
          </w:p>
        </w:tc>
        <w:tc>
          <w:tcPr>
            <w:tcW w:w="751" w:type="pct"/>
            <w:tcBorders>
              <w:top w:val="single" w:color="auto" w:sz="4" w:space="0"/>
              <w:left w:val="single" w:color="auto" w:sz="4" w:space="0"/>
              <w:bottom w:val="single" w:color="auto" w:sz="4" w:space="0"/>
              <w:right w:val="single" w:color="auto" w:sz="4" w:space="0"/>
            </w:tcBorders>
            <w:noWrap/>
            <w:vAlign w:val="center"/>
          </w:tcPr>
          <w:p w14:paraId="1CC32AED">
            <w:pPr>
              <w:pStyle w:val="196"/>
              <w:rPr>
                <w:bCs/>
              </w:rPr>
            </w:pPr>
            <w:r>
              <w:rPr>
                <w:bCs/>
              </w:rPr>
              <w:t>5.554</w:t>
            </w:r>
          </w:p>
        </w:tc>
        <w:tc>
          <w:tcPr>
            <w:tcW w:w="751" w:type="pct"/>
            <w:tcBorders>
              <w:top w:val="single" w:color="auto" w:sz="4" w:space="0"/>
              <w:left w:val="single" w:color="auto" w:sz="4" w:space="0"/>
              <w:bottom w:val="single" w:color="auto" w:sz="4" w:space="0"/>
              <w:right w:val="single" w:color="auto" w:sz="4" w:space="0"/>
            </w:tcBorders>
            <w:noWrap/>
            <w:vAlign w:val="center"/>
          </w:tcPr>
          <w:p w14:paraId="06528FFB">
            <w:pPr>
              <w:pStyle w:val="196"/>
              <w:rPr>
                <w:bCs/>
              </w:rPr>
            </w:pPr>
            <w:r>
              <w:rPr>
                <w:bCs/>
              </w:rPr>
              <w:t>2.2</w:t>
            </w:r>
          </w:p>
        </w:tc>
      </w:tr>
    </w:tbl>
    <w:p w14:paraId="1042359A">
      <w:pPr>
        <w:pStyle w:val="93"/>
      </w:pPr>
      <w:r>
        <w:rPr>
          <w:rFonts w:hint="eastAsia"/>
        </w:rPr>
        <w:t>（</w:t>
      </w:r>
      <w:r>
        <w:t>3</w:t>
      </w:r>
      <w:r>
        <w:rPr>
          <w:rFonts w:hint="eastAsia"/>
        </w:rPr>
        <w:t>）临时堆场扬尘</w:t>
      </w:r>
    </w:p>
    <w:p w14:paraId="570F2019">
      <w:pPr>
        <w:pStyle w:val="93"/>
      </w:pPr>
      <w:r>
        <w:rPr>
          <w:rFonts w:hint="eastAsia"/>
        </w:rPr>
        <w:t>本期码头项目施工期间产生的土方依托国能涟水一期热电联产项目厂区临时堆场进行堆放，其扬尘量可按照堆场起尘的经验公式计算：</w:t>
      </w:r>
    </w:p>
    <w:p w14:paraId="7A4F4009">
      <w:pPr>
        <w:ind w:firstLine="480"/>
      </w:pPr>
      <w:r>
        <w:rPr>
          <w:rFonts w:hint="eastAsia"/>
          <w:i/>
          <w:iCs/>
        </w:rPr>
        <w:t>Q</w:t>
      </w:r>
      <w:r>
        <w:rPr>
          <w:rFonts w:hint="eastAsia"/>
        </w:rPr>
        <w:t>=2.1</w:t>
      </w:r>
      <w:r>
        <w:rPr>
          <w:rFonts w:hint="eastAsia"/>
          <w:lang w:eastAsia="zh-CN"/>
        </w:rPr>
        <w:t>(</w:t>
      </w:r>
      <w:r>
        <w:rPr>
          <w:rFonts w:hint="eastAsia"/>
          <w:i/>
          <w:iCs/>
        </w:rPr>
        <w:t>V</w:t>
      </w:r>
      <w:r>
        <w:rPr>
          <w:rFonts w:hint="eastAsia"/>
          <w:vertAlign w:val="subscript"/>
        </w:rPr>
        <w:t>50</w:t>
      </w:r>
      <w:r>
        <w:rPr>
          <w:rFonts w:hint="eastAsia"/>
        </w:rPr>
        <w:t>-</w:t>
      </w:r>
      <w:r>
        <w:rPr>
          <w:rFonts w:hint="eastAsia"/>
          <w:i/>
          <w:iCs/>
        </w:rPr>
        <w:t>V</w:t>
      </w:r>
      <w:r>
        <w:rPr>
          <w:rFonts w:hint="eastAsia"/>
          <w:vertAlign w:val="subscript"/>
        </w:rPr>
        <w:t>0</w:t>
      </w:r>
      <w:r>
        <w:rPr>
          <w:rFonts w:hint="eastAsia"/>
          <w:vertAlign w:val="subscript"/>
          <w:lang w:eastAsia="zh-CN"/>
        </w:rPr>
        <w:t>)</w:t>
      </w:r>
      <w:r>
        <w:rPr>
          <w:rFonts w:hint="eastAsia"/>
          <w:vertAlign w:val="superscript"/>
        </w:rPr>
        <w:t>3</w:t>
      </w:r>
      <w:r>
        <w:rPr>
          <w:rFonts w:hint="eastAsia"/>
          <w:i/>
          <w:iCs/>
          <w:vertAlign w:val="superscript"/>
        </w:rPr>
        <w:t>e</w:t>
      </w:r>
      <w:r>
        <w:rPr>
          <w:rFonts w:hint="eastAsia"/>
        </w:rPr>
        <w:t>-1.023</w:t>
      </w:r>
      <w:r>
        <w:rPr>
          <w:rFonts w:hint="eastAsia"/>
          <w:i/>
          <w:iCs/>
        </w:rPr>
        <w:t>W</w:t>
      </w:r>
    </w:p>
    <w:p w14:paraId="4D589B1F">
      <w:pPr>
        <w:ind w:firstLine="480"/>
      </w:pPr>
      <w:r>
        <w:rPr>
          <w:rFonts w:hint="eastAsia"/>
        </w:rPr>
        <w:t>式中：</w:t>
      </w:r>
      <w:r>
        <w:rPr>
          <w:rFonts w:hint="eastAsia"/>
          <w:i/>
          <w:iCs/>
        </w:rPr>
        <w:t>Q</w:t>
      </w:r>
      <w:r>
        <w:rPr>
          <w:rFonts w:hint="eastAsia"/>
        </w:rPr>
        <w:softHyphen/>
      </w:r>
      <w:r>
        <w:rPr>
          <w:rFonts w:hint="eastAsia"/>
        </w:rPr>
        <w:t>—起尘量，kg/t.a；</w:t>
      </w:r>
    </w:p>
    <w:p w14:paraId="5B43C5DB">
      <w:pPr>
        <w:ind w:firstLine="480"/>
      </w:pPr>
      <w:r>
        <w:rPr>
          <w:rFonts w:hint="eastAsia"/>
          <w:i/>
          <w:iCs/>
        </w:rPr>
        <w:t>V</w:t>
      </w:r>
      <w:r>
        <w:rPr>
          <w:rFonts w:hint="eastAsia"/>
          <w:vertAlign w:val="subscript"/>
        </w:rPr>
        <w:t>50</w:t>
      </w:r>
      <w:r>
        <w:rPr>
          <w:rFonts w:hint="eastAsia"/>
        </w:rPr>
        <w:t>—距地面50m处风速，m/s；</w:t>
      </w:r>
    </w:p>
    <w:p w14:paraId="520A5B58">
      <w:pPr>
        <w:ind w:firstLine="480"/>
      </w:pPr>
      <w:r>
        <w:rPr>
          <w:rFonts w:hint="eastAsia"/>
          <w:i/>
          <w:iCs/>
        </w:rPr>
        <w:t>V</w:t>
      </w:r>
      <w:r>
        <w:rPr>
          <w:rFonts w:hint="eastAsia"/>
          <w:vertAlign w:val="subscript"/>
        </w:rPr>
        <w:t>0</w:t>
      </w:r>
      <w:r>
        <w:rPr>
          <w:rFonts w:hint="eastAsia"/>
        </w:rPr>
        <w:t>—起尘风速，m/s，</w:t>
      </w:r>
      <w:r>
        <w:rPr>
          <w:rFonts w:hint="eastAsia"/>
          <w:i/>
          <w:iCs/>
        </w:rPr>
        <w:t>V</w:t>
      </w:r>
      <w:r>
        <w:rPr>
          <w:rFonts w:hint="eastAsia"/>
          <w:vertAlign w:val="subscript"/>
        </w:rPr>
        <w:t>0</w:t>
      </w:r>
      <w:r>
        <w:rPr>
          <w:rFonts w:hint="eastAsia"/>
        </w:rPr>
        <w:t>=1.93</w:t>
      </w:r>
      <w:r>
        <w:rPr>
          <w:rFonts w:hint="eastAsia"/>
          <w:i/>
          <w:iCs/>
        </w:rPr>
        <w:t>W</w:t>
      </w:r>
      <w:r>
        <w:rPr>
          <w:rFonts w:hint="eastAsia"/>
        </w:rPr>
        <w:t>+3.02；</w:t>
      </w:r>
    </w:p>
    <w:p w14:paraId="725F1150">
      <w:pPr>
        <w:ind w:firstLine="480"/>
      </w:pPr>
      <w:r>
        <w:rPr>
          <w:rFonts w:hint="eastAsia"/>
          <w:i/>
          <w:iCs/>
        </w:rPr>
        <w:t>W</w:t>
      </w:r>
      <w:r>
        <w:rPr>
          <w:rFonts w:hint="eastAsia"/>
        </w:rPr>
        <w:t>—尘粒的含水率，%。</w:t>
      </w:r>
    </w:p>
    <w:p w14:paraId="44281BCE">
      <w:pPr>
        <w:pStyle w:val="93"/>
      </w:pPr>
      <w:r>
        <w:rPr>
          <w:rFonts w:hint="eastAsia"/>
        </w:rPr>
        <w:t>起尘风速与粒径和含水率有关，因此，减少露天堆放和保证一定的含水率减少裸露地面是减少风力起尘的有效手段。</w:t>
      </w:r>
    </w:p>
    <w:p w14:paraId="51BF7D7C">
      <w:pPr>
        <w:pStyle w:val="93"/>
      </w:pPr>
      <w:r>
        <w:rPr>
          <w:rFonts w:hint="eastAsia"/>
        </w:rPr>
        <w:t>（</w:t>
      </w:r>
      <w:r>
        <w:t>4</w:t>
      </w:r>
      <w:r>
        <w:rPr>
          <w:rFonts w:hint="eastAsia"/>
        </w:rPr>
        <w:t>）疏浚水下土方干化场臭气</w:t>
      </w:r>
    </w:p>
    <w:p w14:paraId="3A3DDB1C">
      <w:pPr>
        <w:pStyle w:val="93"/>
      </w:pPr>
      <w:r>
        <w:rPr>
          <w:rFonts w:hint="eastAsia"/>
        </w:rPr>
        <w:t>本项目疏浚量约为2.4万m</w:t>
      </w:r>
      <w:r>
        <w:rPr>
          <w:rFonts w:hint="eastAsia"/>
          <w:vertAlign w:val="superscript"/>
        </w:rPr>
        <w:t>3</w:t>
      </w:r>
      <w:r>
        <w:rPr>
          <w:rFonts w:hint="eastAsia"/>
        </w:rPr>
        <w:t>。本工程考虑在国能涟水一期热电联产项目施工空地内布设1座排泥场，盐河河道疏浚底泥堆放于排泥场过程中将产生臭味，其主要成分为H</w:t>
      </w:r>
      <w:r>
        <w:rPr>
          <w:rFonts w:hint="eastAsia"/>
          <w:vertAlign w:val="subscript"/>
        </w:rPr>
        <w:t>2</w:t>
      </w:r>
      <w:r>
        <w:rPr>
          <w:rFonts w:hint="eastAsia"/>
        </w:rPr>
        <w:t>S、NH</w:t>
      </w:r>
      <w:r>
        <w:rPr>
          <w:rFonts w:hint="eastAsia"/>
          <w:vertAlign w:val="subscript"/>
        </w:rPr>
        <w:t>3</w:t>
      </w:r>
      <w:r>
        <w:rPr>
          <w:rFonts w:hint="eastAsia"/>
        </w:rPr>
        <w:t>、臭气。根据附近区域相关河湖疏浚工程经验，疏挖底泥本身只有微弱气味，在存放一段时间后气味会有所加重，但只要合理加土覆盖，工程结束后</w:t>
      </w:r>
      <w:r>
        <w:rPr>
          <w:rFonts w:hint="eastAsia"/>
          <w:lang w:val="en-US"/>
        </w:rPr>
        <w:t>及时</w:t>
      </w:r>
      <w:r>
        <w:rPr>
          <w:rFonts w:hint="eastAsia"/>
        </w:rPr>
        <w:t>复垦或绿化，恶臭程度总体较小，影响范围有限。臭味强度是以臭味的嗅觉阈值为基准划分等级的，共分为六级，见表3.7-</w:t>
      </w:r>
      <w:r>
        <w:t>2</w:t>
      </w:r>
      <w:r>
        <w:rPr>
          <w:rFonts w:hint="eastAsia"/>
        </w:rPr>
        <w:t>。</w:t>
      </w:r>
    </w:p>
    <w:p w14:paraId="720B8B93">
      <w:pPr>
        <w:pStyle w:val="86"/>
      </w:pPr>
      <w:r>
        <w:rPr>
          <w:rFonts w:hint="eastAsia"/>
        </w:rPr>
        <w:t>臭味强度分级表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6286"/>
      </w:tblGrid>
      <w:tr w14:paraId="6192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235" w:type="dxa"/>
            <w:tcBorders>
              <w:top w:val="single" w:color="auto" w:sz="4" w:space="0"/>
              <w:left w:val="single" w:color="auto" w:sz="4" w:space="0"/>
              <w:bottom w:val="single" w:color="auto" w:sz="4" w:space="0"/>
              <w:right w:val="single" w:color="auto" w:sz="4" w:space="0"/>
            </w:tcBorders>
            <w:vAlign w:val="center"/>
          </w:tcPr>
          <w:p w14:paraId="3FF66E67">
            <w:pPr>
              <w:pStyle w:val="196"/>
              <w:rPr>
                <w:b/>
                <w:bCs/>
              </w:rPr>
            </w:pPr>
            <w:r>
              <w:rPr>
                <w:rFonts w:hint="eastAsia"/>
                <w:b/>
                <w:bCs/>
              </w:rPr>
              <w:t>臭气强度</w:t>
            </w:r>
          </w:p>
        </w:tc>
        <w:tc>
          <w:tcPr>
            <w:tcW w:w="6287" w:type="dxa"/>
            <w:tcBorders>
              <w:top w:val="single" w:color="auto" w:sz="4" w:space="0"/>
              <w:left w:val="single" w:color="auto" w:sz="4" w:space="0"/>
              <w:bottom w:val="single" w:color="auto" w:sz="4" w:space="0"/>
              <w:right w:val="single" w:color="auto" w:sz="4" w:space="0"/>
            </w:tcBorders>
            <w:vAlign w:val="center"/>
          </w:tcPr>
          <w:p w14:paraId="6BF643C0">
            <w:pPr>
              <w:pStyle w:val="196"/>
              <w:rPr>
                <w:b/>
                <w:bCs/>
              </w:rPr>
            </w:pPr>
            <w:r>
              <w:rPr>
                <w:rFonts w:hint="eastAsia"/>
                <w:b/>
                <w:bCs/>
              </w:rPr>
              <w:t>感觉强度描述</w:t>
            </w:r>
          </w:p>
        </w:tc>
      </w:tr>
      <w:tr w14:paraId="7B50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3B9EC349">
            <w:pPr>
              <w:pStyle w:val="196"/>
            </w:pPr>
            <w:r>
              <w:rPr>
                <w:rFonts w:hint="eastAsia"/>
              </w:rPr>
              <w:t>0</w:t>
            </w:r>
          </w:p>
        </w:tc>
        <w:tc>
          <w:tcPr>
            <w:tcW w:w="6287" w:type="dxa"/>
            <w:tcBorders>
              <w:top w:val="single" w:color="auto" w:sz="4" w:space="0"/>
              <w:left w:val="single" w:color="auto" w:sz="4" w:space="0"/>
              <w:bottom w:val="single" w:color="auto" w:sz="4" w:space="0"/>
              <w:right w:val="single" w:color="auto" w:sz="4" w:space="0"/>
            </w:tcBorders>
            <w:vAlign w:val="center"/>
          </w:tcPr>
          <w:p w14:paraId="54B693CC">
            <w:pPr>
              <w:pStyle w:val="196"/>
            </w:pPr>
            <w:r>
              <w:rPr>
                <w:rFonts w:hint="eastAsia"/>
              </w:rPr>
              <w:t>无气味</w:t>
            </w:r>
          </w:p>
        </w:tc>
      </w:tr>
      <w:tr w14:paraId="0E21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66354BE5">
            <w:pPr>
              <w:pStyle w:val="196"/>
            </w:pPr>
            <w:r>
              <w:rPr>
                <w:rFonts w:hint="eastAsia"/>
              </w:rPr>
              <w:t>1</w:t>
            </w:r>
          </w:p>
        </w:tc>
        <w:tc>
          <w:tcPr>
            <w:tcW w:w="6287" w:type="dxa"/>
            <w:tcBorders>
              <w:top w:val="single" w:color="auto" w:sz="4" w:space="0"/>
              <w:left w:val="single" w:color="auto" w:sz="4" w:space="0"/>
              <w:bottom w:val="single" w:color="auto" w:sz="4" w:space="0"/>
              <w:right w:val="single" w:color="auto" w:sz="4" w:space="0"/>
            </w:tcBorders>
            <w:vAlign w:val="center"/>
          </w:tcPr>
          <w:p w14:paraId="25AD8DB3">
            <w:pPr>
              <w:pStyle w:val="196"/>
            </w:pPr>
            <w:r>
              <w:rPr>
                <w:rFonts w:hint="eastAsia"/>
              </w:rPr>
              <w:t>勉强能感觉到气味（感觉阈值）</w:t>
            </w:r>
          </w:p>
        </w:tc>
      </w:tr>
      <w:tr w14:paraId="00A18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4129991C">
            <w:pPr>
              <w:pStyle w:val="196"/>
            </w:pPr>
            <w:r>
              <w:rPr>
                <w:rFonts w:hint="eastAsia"/>
              </w:rPr>
              <w:t>2</w:t>
            </w:r>
          </w:p>
        </w:tc>
        <w:tc>
          <w:tcPr>
            <w:tcW w:w="6287" w:type="dxa"/>
            <w:tcBorders>
              <w:top w:val="single" w:color="auto" w:sz="4" w:space="0"/>
              <w:left w:val="single" w:color="auto" w:sz="4" w:space="0"/>
              <w:bottom w:val="single" w:color="auto" w:sz="4" w:space="0"/>
              <w:right w:val="single" w:color="auto" w:sz="4" w:space="0"/>
            </w:tcBorders>
            <w:vAlign w:val="center"/>
          </w:tcPr>
          <w:p w14:paraId="73E3AE45">
            <w:pPr>
              <w:pStyle w:val="196"/>
            </w:pPr>
            <w:r>
              <w:rPr>
                <w:rFonts w:hint="eastAsia"/>
              </w:rPr>
              <w:t>气味很弱但能分辨其性质（识别阈值）</w:t>
            </w:r>
          </w:p>
        </w:tc>
      </w:tr>
      <w:tr w14:paraId="404E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505965F3">
            <w:pPr>
              <w:pStyle w:val="196"/>
            </w:pPr>
            <w:r>
              <w:rPr>
                <w:rFonts w:hint="eastAsia"/>
              </w:rPr>
              <w:t>3</w:t>
            </w:r>
          </w:p>
        </w:tc>
        <w:tc>
          <w:tcPr>
            <w:tcW w:w="6287" w:type="dxa"/>
            <w:tcBorders>
              <w:top w:val="single" w:color="auto" w:sz="4" w:space="0"/>
              <w:left w:val="single" w:color="auto" w:sz="4" w:space="0"/>
              <w:bottom w:val="single" w:color="auto" w:sz="4" w:space="0"/>
              <w:right w:val="single" w:color="auto" w:sz="4" w:space="0"/>
            </w:tcBorders>
            <w:vAlign w:val="center"/>
          </w:tcPr>
          <w:p w14:paraId="10A90C6C">
            <w:pPr>
              <w:pStyle w:val="196"/>
            </w:pPr>
            <w:r>
              <w:rPr>
                <w:rFonts w:hint="eastAsia"/>
              </w:rPr>
              <w:t>很容易感觉到气味</w:t>
            </w:r>
          </w:p>
        </w:tc>
      </w:tr>
      <w:tr w14:paraId="3DA5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181897A4">
            <w:pPr>
              <w:pStyle w:val="196"/>
            </w:pPr>
            <w:r>
              <w:rPr>
                <w:rFonts w:hint="eastAsia"/>
              </w:rPr>
              <w:t>4</w:t>
            </w:r>
          </w:p>
        </w:tc>
        <w:tc>
          <w:tcPr>
            <w:tcW w:w="6287" w:type="dxa"/>
            <w:tcBorders>
              <w:top w:val="single" w:color="auto" w:sz="4" w:space="0"/>
              <w:left w:val="single" w:color="auto" w:sz="4" w:space="0"/>
              <w:bottom w:val="single" w:color="auto" w:sz="4" w:space="0"/>
              <w:right w:val="single" w:color="auto" w:sz="4" w:space="0"/>
            </w:tcBorders>
            <w:vAlign w:val="center"/>
          </w:tcPr>
          <w:p w14:paraId="027E2D86">
            <w:pPr>
              <w:pStyle w:val="196"/>
            </w:pPr>
            <w:r>
              <w:rPr>
                <w:rFonts w:hint="eastAsia"/>
              </w:rPr>
              <w:t>强烈的气味</w:t>
            </w:r>
          </w:p>
        </w:tc>
      </w:tr>
      <w:tr w14:paraId="7B54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35" w:type="dxa"/>
            <w:tcBorders>
              <w:top w:val="single" w:color="auto" w:sz="4" w:space="0"/>
              <w:left w:val="single" w:color="auto" w:sz="4" w:space="0"/>
              <w:bottom w:val="single" w:color="auto" w:sz="4" w:space="0"/>
              <w:right w:val="single" w:color="auto" w:sz="4" w:space="0"/>
            </w:tcBorders>
            <w:vAlign w:val="center"/>
          </w:tcPr>
          <w:p w14:paraId="0088E925">
            <w:pPr>
              <w:pStyle w:val="196"/>
            </w:pPr>
            <w:r>
              <w:rPr>
                <w:rFonts w:hint="eastAsia"/>
              </w:rPr>
              <w:t>5</w:t>
            </w:r>
          </w:p>
        </w:tc>
        <w:tc>
          <w:tcPr>
            <w:tcW w:w="6287" w:type="dxa"/>
            <w:tcBorders>
              <w:top w:val="single" w:color="auto" w:sz="4" w:space="0"/>
              <w:left w:val="single" w:color="auto" w:sz="4" w:space="0"/>
              <w:bottom w:val="single" w:color="auto" w:sz="4" w:space="0"/>
              <w:right w:val="single" w:color="auto" w:sz="4" w:space="0"/>
            </w:tcBorders>
            <w:vAlign w:val="center"/>
          </w:tcPr>
          <w:p w14:paraId="1F64DBE7">
            <w:pPr>
              <w:pStyle w:val="196"/>
            </w:pPr>
            <w:r>
              <w:rPr>
                <w:rFonts w:hint="eastAsia"/>
              </w:rPr>
              <w:t>无法忍受的极强的气味</w:t>
            </w:r>
          </w:p>
        </w:tc>
      </w:tr>
    </w:tbl>
    <w:p w14:paraId="0436C897">
      <w:pPr>
        <w:pStyle w:val="93"/>
      </w:pPr>
      <w:r>
        <w:rPr>
          <w:rFonts w:hint="eastAsia"/>
          <w:lang w:eastAsia="zh-CN"/>
        </w:rPr>
        <w:t>限值</w:t>
      </w:r>
      <w:r>
        <w:rPr>
          <w:rFonts w:hint="eastAsia"/>
        </w:rPr>
        <w:t>标准一般相当于恶臭强度2.5~3.5级，超出该强度范围，即认为发生恶臭污染，需要采取相应措施。本项目采用类比法分析恶臭污染源强度级别。河湖疏浚工程类比分析，底泥在疏挖过程中在岸边将会有较明显的臭味；30m之外达到2级强度，有轻微臭味，低于恶臭强度的限制标准（2.5～3.5级）；50m之外，基本无气味。</w:t>
      </w:r>
    </w:p>
    <w:p w14:paraId="44B9FDAE">
      <w:pPr>
        <w:pStyle w:val="82"/>
      </w:pPr>
      <w:r>
        <w:rPr>
          <w:rFonts w:hint="eastAsia"/>
        </w:rPr>
        <w:t>废水污染源强分析</w:t>
      </w:r>
    </w:p>
    <w:p w14:paraId="2E45D839">
      <w:pPr>
        <w:pStyle w:val="93"/>
      </w:pPr>
      <w:r>
        <w:rPr>
          <w:rFonts w:hint="eastAsia"/>
        </w:rPr>
        <w:t>（1）航道疏浚产生的水体污染</w:t>
      </w:r>
    </w:p>
    <w:p w14:paraId="4884DEA5">
      <w:pPr>
        <w:pStyle w:val="139"/>
        <w:ind w:firstLine="480"/>
        <w:rPr>
          <w:color w:val="auto"/>
        </w:rPr>
      </w:pPr>
      <w:r>
        <w:rPr>
          <w:rFonts w:hint="eastAsia"/>
          <w:color w:val="auto"/>
        </w:rPr>
        <w:t>本工程港池疏浚挖泥作业</w:t>
      </w:r>
      <w:r>
        <w:rPr>
          <w:rStyle w:val="140"/>
          <w:rFonts w:hint="eastAsia"/>
          <w:color w:val="auto"/>
        </w:rPr>
        <w:t>采用反铲式挖泥船</w:t>
      </w:r>
      <w:r>
        <w:rPr>
          <w:rFonts w:hint="eastAsia"/>
          <w:color w:val="auto"/>
        </w:rPr>
        <w:t>。疏浚作业对环境的影响一是挖泥船挖泥作业时，挖斗将河底泥沙松动、扰动，虽然大部分土方被挖如铲斗，但部分泥沙仍引起悬浮，在紊动水流的作用下，向四周扩散，从而引起局部河浑浊浊度增大。</w:t>
      </w:r>
    </w:p>
    <w:p w14:paraId="2C5E34E9">
      <w:pPr>
        <w:pStyle w:val="93"/>
      </w:pPr>
      <w:r>
        <w:rPr>
          <w:rFonts w:hint="eastAsia"/>
        </w:rPr>
        <w:t>码头建设时疏浚、抛石护岸将造成的短期水体浑浊是近岸水体污染的主要因素。水域清淤悬浮泥沙入河源</w:t>
      </w:r>
      <w:r>
        <w:rPr>
          <w:rFonts w:hint="eastAsia"/>
          <w:lang w:eastAsia="zh-CN"/>
        </w:rPr>
        <w:t>请</w:t>
      </w:r>
      <w:r>
        <w:rPr>
          <w:rFonts w:hint="eastAsia"/>
        </w:rPr>
        <w:t>参考《水运工程建设项目环境影响评价指南》（JTS/T105-2021）提出的疏浚作业悬浮物发生量计算公式及参数（见表3.7</w:t>
      </w:r>
      <w:r>
        <w:t>-3</w:t>
      </w:r>
      <w:r>
        <w:rPr>
          <w:rFonts w:hint="eastAsia"/>
        </w:rPr>
        <w:t>）。</w:t>
      </w:r>
    </w:p>
    <w:p w14:paraId="3520A7BC">
      <w:pPr>
        <w:ind w:firstLine="480"/>
      </w:pPr>
      <w:r>
        <w:rPr>
          <w:rFonts w:hint="eastAsia"/>
        </w:rPr>
        <w:drawing>
          <wp:inline distT="0" distB="0" distL="0" distR="0">
            <wp:extent cx="1290955" cy="393700"/>
            <wp:effectExtent l="0" t="0" r="0" b="6350"/>
            <wp:docPr id="910808064" name="图片 21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08064" name="图片 216" descr="形状&#10;&#10;中度可信度描述已自动生成"/>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300061" cy="396307"/>
                    </a:xfrm>
                    <a:prstGeom prst="rect">
                      <a:avLst/>
                    </a:prstGeom>
                    <a:noFill/>
                    <a:ln>
                      <a:noFill/>
                    </a:ln>
                  </pic:spPr>
                </pic:pic>
              </a:graphicData>
            </a:graphic>
          </wp:inline>
        </w:drawing>
      </w:r>
    </w:p>
    <w:p w14:paraId="40CFB003">
      <w:pPr>
        <w:pStyle w:val="93"/>
      </w:pPr>
      <w:r>
        <w:rPr>
          <w:rFonts w:hint="eastAsia"/>
        </w:rPr>
        <w:t>式中：Q－清淤作业悬浮物发生量，t/h；</w:t>
      </w:r>
    </w:p>
    <w:p w14:paraId="7AA03F53">
      <w:pPr>
        <w:pStyle w:val="93"/>
      </w:pPr>
      <w:r>
        <w:rPr>
          <w:rFonts w:hint="eastAsia"/>
          <w:i/>
          <w:iCs/>
        </w:rPr>
        <w:t>W</w:t>
      </w:r>
      <w:r>
        <w:rPr>
          <w:rFonts w:hint="eastAsia"/>
          <w:i/>
          <w:iCs/>
          <w:vertAlign w:val="subscript"/>
        </w:rPr>
        <w:t>0</w:t>
      </w:r>
      <w:r>
        <w:rPr>
          <w:rFonts w:hint="eastAsia"/>
        </w:rPr>
        <w:t>－悬浮物发生系数，根据规范取0.038t/m</w:t>
      </w:r>
      <w:r>
        <w:rPr>
          <w:rFonts w:hint="eastAsia"/>
          <w:vertAlign w:val="superscript"/>
        </w:rPr>
        <w:t>3</w:t>
      </w:r>
      <w:r>
        <w:rPr>
          <w:rFonts w:hint="eastAsia"/>
        </w:rPr>
        <w:t>；</w:t>
      </w:r>
    </w:p>
    <w:p w14:paraId="70AA43FE">
      <w:pPr>
        <w:pStyle w:val="93"/>
      </w:pPr>
      <w:r>
        <w:rPr>
          <w:rFonts w:hint="eastAsia"/>
        </w:rPr>
        <w:t>R</w:t>
      </w:r>
      <w:r>
        <w:rPr>
          <w:vertAlign w:val="subscript"/>
        </w:rPr>
        <w:t>0</w:t>
      </w:r>
      <w:r>
        <w:rPr>
          <w:rFonts w:hint="eastAsia"/>
        </w:rPr>
        <w:t>－现场流速悬浮物临界粒子累计百分比，根据指南取80.2%</w:t>
      </w:r>
    </w:p>
    <w:p w14:paraId="4EFF5664">
      <w:pPr>
        <w:pStyle w:val="93"/>
      </w:pPr>
      <w:r>
        <w:rPr>
          <w:rFonts w:hint="eastAsia"/>
        </w:rPr>
        <w:t>R－发生系数W</w:t>
      </w:r>
      <w:r>
        <w:rPr>
          <w:vertAlign w:val="subscript"/>
        </w:rPr>
        <w:t>0</w:t>
      </w:r>
      <w:r>
        <w:rPr>
          <w:rFonts w:hint="eastAsia"/>
        </w:rPr>
        <w:t>时的悬浮物粒径累计百分比，根据指南取89.2%；</w:t>
      </w:r>
    </w:p>
    <w:p w14:paraId="34A2228E">
      <w:pPr>
        <w:pStyle w:val="93"/>
      </w:pPr>
      <w:r>
        <w:rPr>
          <w:rFonts w:hint="eastAsia"/>
        </w:rPr>
        <w:t>T－挖泥船施工效率，m</w:t>
      </w:r>
      <w:r>
        <w:rPr>
          <w:rFonts w:hint="eastAsia"/>
          <w:vertAlign w:val="superscript"/>
        </w:rPr>
        <w:t>3</w:t>
      </w:r>
      <w:r>
        <w:rPr>
          <w:rFonts w:hint="eastAsia"/>
        </w:rPr>
        <w:t>/h，单艘挖泥船效率取80m</w:t>
      </w:r>
      <w:r>
        <w:rPr>
          <w:rFonts w:hint="eastAsia"/>
          <w:vertAlign w:val="superscript"/>
        </w:rPr>
        <w:t>3</w:t>
      </w:r>
      <w:r>
        <w:rPr>
          <w:rFonts w:hint="eastAsia"/>
        </w:rPr>
        <w:t>/h；</w:t>
      </w:r>
    </w:p>
    <w:p w14:paraId="4B146E76">
      <w:pPr>
        <w:pStyle w:val="86"/>
      </w:pPr>
      <w:r>
        <w:rPr>
          <w:rFonts w:hint="eastAsia"/>
        </w:rPr>
        <w:t>疏浚悬浮物源强计算参数表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2130"/>
        <w:gridCol w:w="2130"/>
        <w:gridCol w:w="2131"/>
      </w:tblGrid>
      <w:tr w14:paraId="0DF1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46" w:type="dxa"/>
            <w:tcBorders>
              <w:top w:val="single" w:color="auto" w:sz="4" w:space="0"/>
              <w:left w:val="single" w:color="auto" w:sz="4" w:space="0"/>
              <w:bottom w:val="single" w:color="auto" w:sz="4" w:space="0"/>
              <w:right w:val="single" w:color="auto" w:sz="4" w:space="0"/>
            </w:tcBorders>
            <w:vAlign w:val="center"/>
          </w:tcPr>
          <w:p w14:paraId="69DE8CA4">
            <w:pPr>
              <w:pStyle w:val="196"/>
            </w:pPr>
            <w:r>
              <w:rPr>
                <w:rFonts w:hint="eastAsia"/>
              </w:rPr>
              <w:t>项目</w:t>
            </w:r>
          </w:p>
        </w:tc>
        <w:tc>
          <w:tcPr>
            <w:tcW w:w="2130" w:type="dxa"/>
            <w:tcBorders>
              <w:top w:val="single" w:color="auto" w:sz="4" w:space="0"/>
              <w:left w:val="single" w:color="auto" w:sz="4" w:space="0"/>
              <w:bottom w:val="single" w:color="auto" w:sz="4" w:space="0"/>
              <w:right w:val="single" w:color="auto" w:sz="4" w:space="0"/>
            </w:tcBorders>
            <w:vAlign w:val="center"/>
          </w:tcPr>
          <w:p w14:paraId="19C65F60">
            <w:pPr>
              <w:pStyle w:val="196"/>
            </w:pPr>
            <w:r>
              <w:rPr>
                <w:rFonts w:hint="eastAsia"/>
              </w:rPr>
              <w:t>R</w:t>
            </w:r>
          </w:p>
        </w:tc>
        <w:tc>
          <w:tcPr>
            <w:tcW w:w="2130" w:type="dxa"/>
            <w:tcBorders>
              <w:top w:val="single" w:color="auto" w:sz="4" w:space="0"/>
              <w:left w:val="single" w:color="auto" w:sz="4" w:space="0"/>
              <w:bottom w:val="single" w:color="auto" w:sz="4" w:space="0"/>
              <w:right w:val="single" w:color="auto" w:sz="4" w:space="0"/>
            </w:tcBorders>
            <w:vAlign w:val="center"/>
          </w:tcPr>
          <w:p w14:paraId="6A4599A6">
            <w:pPr>
              <w:pStyle w:val="196"/>
            </w:pPr>
            <w:r>
              <w:rPr>
                <w:rFonts w:hint="eastAsia"/>
              </w:rPr>
              <w:t>R</w:t>
            </w:r>
            <w:r>
              <w:rPr>
                <w:rFonts w:hint="eastAsia"/>
                <w:vertAlign w:val="subscript"/>
              </w:rPr>
              <w:t>0</w:t>
            </w:r>
          </w:p>
        </w:tc>
        <w:tc>
          <w:tcPr>
            <w:tcW w:w="2131" w:type="dxa"/>
            <w:tcBorders>
              <w:top w:val="single" w:color="auto" w:sz="4" w:space="0"/>
              <w:left w:val="single" w:color="auto" w:sz="4" w:space="0"/>
              <w:bottom w:val="single" w:color="auto" w:sz="4" w:space="0"/>
              <w:right w:val="single" w:color="auto" w:sz="4" w:space="0"/>
            </w:tcBorders>
            <w:vAlign w:val="center"/>
          </w:tcPr>
          <w:p w14:paraId="0B2462DA">
            <w:pPr>
              <w:pStyle w:val="196"/>
            </w:pPr>
            <w:r>
              <w:rPr>
                <w:rFonts w:hint="eastAsia"/>
              </w:rPr>
              <w:t>W</w:t>
            </w:r>
            <w:r>
              <w:rPr>
                <w:rFonts w:hint="eastAsia"/>
                <w:vertAlign w:val="subscript"/>
              </w:rPr>
              <w:t>0</w:t>
            </w:r>
          </w:p>
        </w:tc>
      </w:tr>
      <w:tr w14:paraId="3D7D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6" w:type="dxa"/>
            <w:tcBorders>
              <w:top w:val="single" w:color="auto" w:sz="4" w:space="0"/>
              <w:left w:val="single" w:color="auto" w:sz="4" w:space="0"/>
              <w:bottom w:val="single" w:color="auto" w:sz="4" w:space="0"/>
              <w:right w:val="single" w:color="auto" w:sz="4" w:space="0"/>
            </w:tcBorders>
            <w:vAlign w:val="center"/>
          </w:tcPr>
          <w:p w14:paraId="73B6CB2B">
            <w:pPr>
              <w:pStyle w:val="196"/>
            </w:pPr>
            <w:r>
              <w:rPr>
                <w:rFonts w:hint="eastAsia"/>
              </w:rPr>
              <w:t>疏浚</w:t>
            </w:r>
          </w:p>
        </w:tc>
        <w:tc>
          <w:tcPr>
            <w:tcW w:w="2130" w:type="dxa"/>
            <w:tcBorders>
              <w:top w:val="single" w:color="auto" w:sz="4" w:space="0"/>
              <w:left w:val="single" w:color="auto" w:sz="4" w:space="0"/>
              <w:bottom w:val="single" w:color="auto" w:sz="4" w:space="0"/>
              <w:right w:val="single" w:color="auto" w:sz="4" w:space="0"/>
            </w:tcBorders>
            <w:vAlign w:val="center"/>
          </w:tcPr>
          <w:p w14:paraId="469D14A6">
            <w:pPr>
              <w:pStyle w:val="196"/>
            </w:pPr>
            <w:r>
              <w:rPr>
                <w:rFonts w:hint="eastAsia"/>
              </w:rPr>
              <w:t>89.2%</w:t>
            </w:r>
          </w:p>
        </w:tc>
        <w:tc>
          <w:tcPr>
            <w:tcW w:w="2130" w:type="dxa"/>
            <w:tcBorders>
              <w:top w:val="single" w:color="auto" w:sz="4" w:space="0"/>
              <w:left w:val="single" w:color="auto" w:sz="4" w:space="0"/>
              <w:bottom w:val="single" w:color="auto" w:sz="4" w:space="0"/>
              <w:right w:val="single" w:color="auto" w:sz="4" w:space="0"/>
            </w:tcBorders>
            <w:vAlign w:val="center"/>
          </w:tcPr>
          <w:p w14:paraId="132E1107">
            <w:pPr>
              <w:pStyle w:val="196"/>
            </w:pPr>
            <w:r>
              <w:rPr>
                <w:rFonts w:hint="eastAsia"/>
              </w:rPr>
              <w:t>80.2%</w:t>
            </w:r>
          </w:p>
        </w:tc>
        <w:tc>
          <w:tcPr>
            <w:tcW w:w="2131" w:type="dxa"/>
            <w:tcBorders>
              <w:top w:val="single" w:color="auto" w:sz="4" w:space="0"/>
              <w:left w:val="single" w:color="auto" w:sz="4" w:space="0"/>
              <w:bottom w:val="single" w:color="auto" w:sz="4" w:space="0"/>
              <w:right w:val="single" w:color="auto" w:sz="4" w:space="0"/>
            </w:tcBorders>
            <w:vAlign w:val="center"/>
          </w:tcPr>
          <w:p w14:paraId="69500285">
            <w:pPr>
              <w:pStyle w:val="196"/>
            </w:pPr>
            <w:r>
              <w:rPr>
                <w:rFonts w:hint="eastAsia"/>
              </w:rPr>
              <w:t>38.0×10</w:t>
            </w:r>
            <w:r>
              <w:rPr>
                <w:rFonts w:hint="eastAsia"/>
                <w:lang w:eastAsia="zh-CN"/>
              </w:rPr>
              <w:t>—</w:t>
            </w:r>
            <w:r>
              <w:rPr>
                <w:rFonts w:hint="eastAsia"/>
                <w:vertAlign w:val="superscript"/>
              </w:rPr>
              <w:t>3</w:t>
            </w:r>
            <w:r>
              <w:rPr>
                <w:rFonts w:hint="eastAsia"/>
              </w:rPr>
              <w:t>t/m</w:t>
            </w:r>
            <w:r>
              <w:rPr>
                <w:rFonts w:hint="eastAsia"/>
                <w:vertAlign w:val="superscript"/>
              </w:rPr>
              <w:t>3</w:t>
            </w:r>
          </w:p>
        </w:tc>
      </w:tr>
    </w:tbl>
    <w:p w14:paraId="183E0D6C">
      <w:pPr>
        <w:pStyle w:val="93"/>
      </w:pPr>
      <w:r>
        <w:rPr>
          <w:rFonts w:hint="eastAsia"/>
        </w:rPr>
        <w:t>本工程港池疏浚量为2.4万m³，施工天数按30天计，则每</w:t>
      </w:r>
      <w:r>
        <w:rPr>
          <w:rFonts w:hint="eastAsia"/>
          <w:lang w:eastAsia="zh-CN"/>
        </w:rPr>
        <w:t>天开</w:t>
      </w:r>
      <w:r>
        <w:rPr>
          <w:rFonts w:hint="eastAsia"/>
        </w:rPr>
        <w:t>浚量800m³，每天施工约10小时，拟采用疏浚效率为80m³/h的反铲式挖泥船。根据上述计算，港池疏浚时悬浮物产生量为3.38t/h（折0.94kg/s）。计算得到的悬浮物源强结果见表3.7-</w:t>
      </w:r>
      <w:r>
        <w:t>4</w:t>
      </w:r>
      <w:r>
        <w:rPr>
          <w:rFonts w:hint="eastAsia"/>
        </w:rPr>
        <w:t>。</w:t>
      </w:r>
    </w:p>
    <w:p w14:paraId="1F95AEE5">
      <w:pPr>
        <w:pStyle w:val="86"/>
      </w:pPr>
      <w:r>
        <w:rPr>
          <w:rFonts w:hint="eastAsia"/>
        </w:rPr>
        <w:t>疏浚工程悬浮泥沙产生量统计</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5"/>
        <w:gridCol w:w="2066"/>
        <w:gridCol w:w="2079"/>
        <w:gridCol w:w="2085"/>
      </w:tblGrid>
      <w:tr w14:paraId="1DB6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5" w:type="dxa"/>
            <w:tcBorders>
              <w:top w:val="single" w:color="auto" w:sz="4" w:space="0"/>
              <w:left w:val="single" w:color="auto" w:sz="4" w:space="0"/>
              <w:bottom w:val="single" w:color="auto" w:sz="4" w:space="0"/>
              <w:right w:val="single" w:color="auto" w:sz="4" w:space="0"/>
            </w:tcBorders>
            <w:vAlign w:val="center"/>
          </w:tcPr>
          <w:p w14:paraId="4C6345AE">
            <w:pPr>
              <w:pStyle w:val="196"/>
            </w:pPr>
            <w:r>
              <w:rPr>
                <w:rFonts w:hint="eastAsia"/>
              </w:rPr>
              <w:t>项目</w:t>
            </w:r>
          </w:p>
        </w:tc>
        <w:tc>
          <w:tcPr>
            <w:tcW w:w="2066" w:type="dxa"/>
            <w:tcBorders>
              <w:top w:val="single" w:color="auto" w:sz="4" w:space="0"/>
              <w:left w:val="single" w:color="auto" w:sz="4" w:space="0"/>
              <w:bottom w:val="single" w:color="auto" w:sz="4" w:space="0"/>
              <w:right w:val="single" w:color="auto" w:sz="4" w:space="0"/>
            </w:tcBorders>
            <w:vAlign w:val="center"/>
          </w:tcPr>
          <w:p w14:paraId="177510C9">
            <w:pPr>
              <w:pStyle w:val="196"/>
            </w:pPr>
            <w:r>
              <w:rPr>
                <w:rFonts w:hint="eastAsia"/>
              </w:rPr>
              <w:t>工程量</w:t>
            </w:r>
          </w:p>
        </w:tc>
        <w:tc>
          <w:tcPr>
            <w:tcW w:w="4164" w:type="dxa"/>
            <w:gridSpan w:val="2"/>
            <w:tcBorders>
              <w:top w:val="single" w:color="auto" w:sz="4" w:space="0"/>
              <w:left w:val="single" w:color="auto" w:sz="4" w:space="0"/>
              <w:bottom w:val="single" w:color="auto" w:sz="4" w:space="0"/>
              <w:right w:val="single" w:color="auto" w:sz="4" w:space="0"/>
            </w:tcBorders>
            <w:vAlign w:val="center"/>
          </w:tcPr>
          <w:p w14:paraId="0111AA11">
            <w:pPr>
              <w:pStyle w:val="196"/>
            </w:pPr>
            <w:r>
              <w:rPr>
                <w:rFonts w:hint="eastAsia"/>
              </w:rPr>
              <w:t>悬浮泥沙产生量</w:t>
            </w:r>
          </w:p>
        </w:tc>
      </w:tr>
      <w:tr w14:paraId="2969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5" w:type="dxa"/>
            <w:tcBorders>
              <w:top w:val="single" w:color="auto" w:sz="4" w:space="0"/>
              <w:left w:val="single" w:color="auto" w:sz="4" w:space="0"/>
              <w:bottom w:val="single" w:color="auto" w:sz="4" w:space="0"/>
              <w:right w:val="single" w:color="auto" w:sz="4" w:space="0"/>
            </w:tcBorders>
            <w:vAlign w:val="center"/>
          </w:tcPr>
          <w:p w14:paraId="6B2DAC8B">
            <w:pPr>
              <w:pStyle w:val="196"/>
            </w:pPr>
            <w:r>
              <w:rPr>
                <w:rFonts w:hint="eastAsia"/>
              </w:rPr>
              <w:t>疏浚挖泥</w:t>
            </w:r>
          </w:p>
        </w:tc>
        <w:tc>
          <w:tcPr>
            <w:tcW w:w="2066" w:type="dxa"/>
            <w:tcBorders>
              <w:top w:val="single" w:color="auto" w:sz="4" w:space="0"/>
              <w:left w:val="single" w:color="auto" w:sz="4" w:space="0"/>
              <w:bottom w:val="single" w:color="auto" w:sz="4" w:space="0"/>
              <w:right w:val="single" w:color="auto" w:sz="4" w:space="0"/>
            </w:tcBorders>
            <w:vAlign w:val="center"/>
          </w:tcPr>
          <w:p w14:paraId="52415010">
            <w:pPr>
              <w:pStyle w:val="196"/>
            </w:pPr>
            <w:r>
              <w:rPr>
                <w:rFonts w:hint="eastAsia"/>
              </w:rPr>
              <w:t>2.4万m</w:t>
            </w:r>
            <w:r>
              <w:rPr>
                <w:rFonts w:hint="eastAsia"/>
                <w:vertAlign w:val="superscript"/>
              </w:rPr>
              <w:t>3</w:t>
            </w:r>
          </w:p>
        </w:tc>
        <w:tc>
          <w:tcPr>
            <w:tcW w:w="2079" w:type="dxa"/>
            <w:tcBorders>
              <w:top w:val="single" w:color="auto" w:sz="4" w:space="0"/>
              <w:left w:val="single" w:color="auto" w:sz="4" w:space="0"/>
              <w:bottom w:val="single" w:color="auto" w:sz="4" w:space="0"/>
              <w:right w:val="single" w:color="auto" w:sz="4" w:space="0"/>
            </w:tcBorders>
            <w:vAlign w:val="center"/>
          </w:tcPr>
          <w:p w14:paraId="2EA945EA">
            <w:pPr>
              <w:pStyle w:val="196"/>
            </w:pPr>
            <w:r>
              <w:rPr>
                <w:rFonts w:hint="eastAsia"/>
              </w:rPr>
              <w:t>3.38t/h</w:t>
            </w:r>
          </w:p>
        </w:tc>
        <w:tc>
          <w:tcPr>
            <w:tcW w:w="2085" w:type="dxa"/>
            <w:tcBorders>
              <w:top w:val="single" w:color="auto" w:sz="4" w:space="0"/>
              <w:left w:val="single" w:color="auto" w:sz="4" w:space="0"/>
              <w:bottom w:val="single" w:color="auto" w:sz="4" w:space="0"/>
              <w:right w:val="single" w:color="auto" w:sz="4" w:space="0"/>
            </w:tcBorders>
            <w:vAlign w:val="center"/>
          </w:tcPr>
          <w:p w14:paraId="2EEBDC27">
            <w:pPr>
              <w:pStyle w:val="196"/>
            </w:pPr>
            <w:r>
              <w:rPr>
                <w:rFonts w:hint="eastAsia"/>
              </w:rPr>
              <w:t>0.94kg/s</w:t>
            </w:r>
          </w:p>
        </w:tc>
      </w:tr>
    </w:tbl>
    <w:p w14:paraId="539A8780">
      <w:pPr>
        <w:ind w:firstLine="480"/>
        <w:rPr>
          <w:kern w:val="0"/>
          <w:szCs w:val="24"/>
        </w:rPr>
      </w:pPr>
      <w:r>
        <w:rPr>
          <w:rFonts w:hint="eastAsia" w:ascii="宋体" w:hAnsi="宋体"/>
          <w:kern w:val="0"/>
          <w:szCs w:val="24"/>
        </w:rPr>
        <w:t>（</w:t>
      </w:r>
      <w:r>
        <w:rPr>
          <w:kern w:val="0"/>
          <w:szCs w:val="24"/>
        </w:rPr>
        <w:t>2</w:t>
      </w:r>
      <w:r>
        <w:rPr>
          <w:rFonts w:hint="eastAsia" w:ascii="宋体" w:hAnsi="宋体"/>
          <w:kern w:val="0"/>
          <w:szCs w:val="24"/>
        </w:rPr>
        <w:t>）翼墙端部</w:t>
      </w:r>
      <w:r>
        <w:rPr>
          <w:rFonts w:ascii="宋体" w:hAnsi="宋体"/>
          <w:kern w:val="0"/>
          <w:szCs w:val="24"/>
        </w:rPr>
        <w:t>对</w:t>
      </w:r>
      <w:r>
        <w:rPr>
          <w:rFonts w:hint="eastAsia" w:ascii="宋体" w:hAnsi="宋体"/>
          <w:kern w:val="0"/>
          <w:szCs w:val="24"/>
        </w:rPr>
        <w:t>盐河</w:t>
      </w:r>
      <w:r>
        <w:rPr>
          <w:rFonts w:ascii="宋体" w:hAnsi="宋体"/>
          <w:kern w:val="0"/>
          <w:szCs w:val="24"/>
        </w:rPr>
        <w:t>水体扰动影响</w:t>
      </w:r>
    </w:p>
    <w:p w14:paraId="6A4D2911">
      <w:pPr>
        <w:ind w:firstLine="480"/>
        <w:rPr>
          <w:kern w:val="0"/>
          <w:szCs w:val="24"/>
        </w:rPr>
      </w:pPr>
      <w:r>
        <w:rPr>
          <w:rFonts w:ascii="宋体" w:hAnsi="宋体"/>
          <w:kern w:val="0"/>
          <w:szCs w:val="24"/>
        </w:rPr>
        <w:t>码头</w:t>
      </w:r>
      <w:r>
        <w:rPr>
          <w:rFonts w:hint="eastAsia" w:ascii="宋体" w:hAnsi="宋体"/>
          <w:kern w:val="0"/>
          <w:szCs w:val="24"/>
        </w:rPr>
        <w:t>翼墙端部</w:t>
      </w:r>
      <w:r>
        <w:rPr>
          <w:rFonts w:ascii="宋体" w:hAnsi="宋体"/>
          <w:kern w:val="0"/>
          <w:szCs w:val="24"/>
        </w:rPr>
        <w:t>施工时对水环境的影响主要是导致周边水体浑浊，底泥悬浮，以及管理、操作不当，施工物料跌落水体，泥浆水流入水体，将使地表水体中悬浮物含量增加，并可能对水生生物活动产生一定影响。尤其是在水下挖泥过程中，将使局部水域变</w:t>
      </w:r>
      <w:r>
        <w:rPr>
          <w:rFonts w:hint="eastAsia" w:ascii="宋体" w:hAnsi="宋体"/>
          <w:kern w:val="0"/>
          <w:szCs w:val="24"/>
          <w:lang w:eastAsia="zh-CN"/>
        </w:rPr>
        <w:t>浑浊</w:t>
      </w:r>
      <w:r>
        <w:rPr>
          <w:rFonts w:ascii="宋体" w:hAnsi="宋体"/>
          <w:kern w:val="0"/>
          <w:szCs w:val="24"/>
        </w:rPr>
        <w:t>，水体中的</w:t>
      </w:r>
      <w:r>
        <w:rPr>
          <w:kern w:val="0"/>
          <w:szCs w:val="24"/>
        </w:rPr>
        <w:t>SS</w:t>
      </w:r>
      <w:r>
        <w:rPr>
          <w:rFonts w:ascii="宋体" w:hAnsi="宋体"/>
          <w:kern w:val="0"/>
          <w:szCs w:val="24"/>
        </w:rPr>
        <w:t>含量显著增加，</w:t>
      </w:r>
      <w:r>
        <w:rPr>
          <w:kern w:val="0"/>
          <w:szCs w:val="24"/>
        </w:rPr>
        <w:t>SS</w:t>
      </w:r>
      <w:r>
        <w:rPr>
          <w:rFonts w:ascii="宋体" w:hAnsi="宋体"/>
          <w:kern w:val="0"/>
          <w:szCs w:val="24"/>
        </w:rPr>
        <w:t>浓度升高</w:t>
      </w:r>
      <w:r>
        <w:rPr>
          <w:kern w:val="0"/>
          <w:szCs w:val="24"/>
        </w:rPr>
        <w:t>100</w:t>
      </w:r>
      <w:r>
        <w:rPr>
          <w:rFonts w:ascii="宋体" w:hAnsi="宋体"/>
          <w:kern w:val="0"/>
          <w:szCs w:val="24"/>
        </w:rPr>
        <w:t>～</w:t>
      </w:r>
      <w:r>
        <w:rPr>
          <w:kern w:val="0"/>
          <w:szCs w:val="24"/>
        </w:rPr>
        <w:t>200mg/L</w:t>
      </w:r>
      <w:r>
        <w:rPr>
          <w:rFonts w:ascii="宋体" w:hAnsi="宋体"/>
          <w:kern w:val="0"/>
          <w:szCs w:val="24"/>
        </w:rPr>
        <w:t>，</w:t>
      </w:r>
      <w:r>
        <w:rPr>
          <w:kern w:val="0"/>
          <w:szCs w:val="24"/>
        </w:rPr>
        <w:t>N</w:t>
      </w:r>
      <w:r>
        <w:rPr>
          <w:rFonts w:ascii="宋体" w:hAnsi="宋体"/>
          <w:kern w:val="0"/>
          <w:szCs w:val="24"/>
        </w:rPr>
        <w:t>、</w:t>
      </w:r>
      <w:r>
        <w:rPr>
          <w:kern w:val="0"/>
          <w:szCs w:val="24"/>
        </w:rPr>
        <w:t>P</w:t>
      </w:r>
      <w:r>
        <w:rPr>
          <w:rFonts w:ascii="宋体" w:hAnsi="宋体"/>
          <w:kern w:val="0"/>
          <w:szCs w:val="24"/>
        </w:rPr>
        <w:t>释放速率较静止状态提高了</w:t>
      </w:r>
      <w:r>
        <w:rPr>
          <w:kern w:val="0"/>
          <w:szCs w:val="24"/>
        </w:rPr>
        <w:t>2</w:t>
      </w:r>
      <w:r>
        <w:rPr>
          <w:rFonts w:ascii="宋体" w:hAnsi="宋体"/>
          <w:kern w:val="0"/>
          <w:szCs w:val="24"/>
        </w:rPr>
        <w:t>倍。</w:t>
      </w:r>
    </w:p>
    <w:p w14:paraId="2D2D5CC6">
      <w:pPr>
        <w:pStyle w:val="139"/>
        <w:ind w:firstLine="480"/>
        <w:rPr>
          <w:color w:val="auto"/>
          <w:lang w:val="en-US"/>
        </w:rPr>
      </w:pPr>
      <w:bookmarkStart w:id="179" w:name="_Hlk181747294"/>
      <w:bookmarkStart w:id="180" w:name="_Hlk181747420"/>
      <w:r>
        <w:rPr>
          <w:rFonts w:hint="eastAsia"/>
          <w:color w:val="auto"/>
          <w:lang w:val="en-US"/>
        </w:rPr>
        <w:t>（</w:t>
      </w:r>
      <w:r>
        <w:rPr>
          <w:color w:val="auto"/>
          <w:lang w:val="en-US"/>
        </w:rPr>
        <w:t>3</w:t>
      </w:r>
      <w:r>
        <w:rPr>
          <w:rFonts w:hint="eastAsia"/>
          <w:color w:val="auto"/>
          <w:lang w:val="en-US"/>
        </w:rPr>
        <w:t>）</w:t>
      </w:r>
      <w:r>
        <w:rPr>
          <w:rFonts w:hint="eastAsia"/>
          <w:color w:val="auto"/>
        </w:rPr>
        <w:t>水下方疏浚污泥余水</w:t>
      </w:r>
    </w:p>
    <w:bookmarkEnd w:id="179"/>
    <w:p w14:paraId="404CEB7A">
      <w:pPr>
        <w:pStyle w:val="139"/>
        <w:ind w:firstLine="480"/>
        <w:rPr>
          <w:color w:val="auto"/>
        </w:rPr>
      </w:pPr>
      <w:r>
        <w:rPr>
          <w:rFonts w:hint="eastAsia"/>
          <w:color w:val="auto"/>
        </w:rPr>
        <w:t>本项目</w:t>
      </w:r>
      <w:r>
        <w:rPr>
          <w:rStyle w:val="140"/>
          <w:rFonts w:hint="eastAsia"/>
          <w:color w:val="auto"/>
        </w:rPr>
        <w:t>采用反铲式挖泥船</w:t>
      </w:r>
      <w:r>
        <w:rPr>
          <w:rFonts w:hint="eastAsia"/>
          <w:color w:val="auto"/>
        </w:rPr>
        <w:t>进行疏浚，本项目疏浚产生的水下方通过泥驳输送至陆域水下土方干化场。由于水下方含水量较大，堆存过程中产生溢流的泥浆水即余水，主要污染物为SS。</w:t>
      </w:r>
    </w:p>
    <w:p w14:paraId="0ADBA631">
      <w:pPr>
        <w:pStyle w:val="139"/>
        <w:ind w:firstLine="480"/>
        <w:rPr>
          <w:color w:val="auto"/>
        </w:rPr>
      </w:pPr>
      <w:r>
        <w:rPr>
          <w:rFonts w:hint="eastAsia"/>
          <w:color w:val="auto"/>
        </w:rPr>
        <w:t>本项目采用顺岸凹入式港池布置，位于盐河的北岸，盐河自“五改三”工程实施后，两岸均建有护岸或护坡，泥</w:t>
      </w:r>
      <w:r>
        <w:rPr>
          <w:rFonts w:hint="eastAsia"/>
          <w:color w:val="auto"/>
          <w:lang w:eastAsia="zh-CN"/>
        </w:rPr>
        <w:t>沙</w:t>
      </w:r>
      <w:r>
        <w:rPr>
          <w:rFonts w:hint="eastAsia"/>
          <w:color w:val="auto"/>
        </w:rPr>
        <w:t>来源较少，河水侵蚀、冲刷作用微弱，河岸（堤）稳定，疏浚的水下土方含沙量含淤泥量较少。</w:t>
      </w:r>
    </w:p>
    <w:p w14:paraId="6E468DB4">
      <w:pPr>
        <w:pStyle w:val="139"/>
        <w:ind w:firstLine="480"/>
        <w:rPr>
          <w:color w:val="auto"/>
        </w:rPr>
      </w:pPr>
      <w:r>
        <w:rPr>
          <w:rFonts w:hint="eastAsia"/>
          <w:color w:val="auto"/>
        </w:rPr>
        <w:t>自然状态下的疏浚土方量约2.4万m</w:t>
      </w:r>
      <w:r>
        <w:rPr>
          <w:rFonts w:hint="eastAsia"/>
          <w:color w:val="auto"/>
          <w:vertAlign w:val="superscript"/>
        </w:rPr>
        <w:t>3</w:t>
      </w:r>
      <w:r>
        <w:rPr>
          <w:rFonts w:hint="eastAsia"/>
          <w:color w:val="auto"/>
        </w:rPr>
        <w:t>，考虑水下河滩土方的饱和状况，按照自然饱和含水率70%计。水下土方采用反铲式挖泥方式，含水率相对较小，疏挖泥浆通过驳船运至水下土方干化场，静置后经导流沟，排水进入尾水沉淀池，疏浚水下土方含水率考虑为80%，则疏浚</w:t>
      </w:r>
      <w:r>
        <w:rPr>
          <w:rFonts w:hint="eastAsia"/>
          <w:color w:val="auto"/>
          <w:lang w:eastAsia="zh-CN"/>
        </w:rPr>
        <w:t>至干</w:t>
      </w:r>
      <w:r>
        <w:rPr>
          <w:rFonts w:hint="eastAsia"/>
          <w:color w:val="auto"/>
        </w:rPr>
        <w:t>化场的水下土方量为3.6万m</w:t>
      </w:r>
      <w:r>
        <w:rPr>
          <w:rFonts w:hint="eastAsia"/>
          <w:color w:val="auto"/>
          <w:vertAlign w:val="superscript"/>
        </w:rPr>
        <w:t>3</w:t>
      </w:r>
      <w:r>
        <w:rPr>
          <w:rFonts w:hint="eastAsia"/>
          <w:color w:val="auto"/>
        </w:rPr>
        <w:t>，澄清水从沉淀池流出，出水部分回用，部分就近排入盐河。按照水下土方排水干化后含水率仍为70%计，不考虑蒸发损失，则本项目疏浚水下土方排水共约1.2万m</w:t>
      </w:r>
      <w:r>
        <w:rPr>
          <w:rFonts w:hint="eastAsia"/>
          <w:color w:val="auto"/>
          <w:vertAlign w:val="superscript"/>
        </w:rPr>
        <w:t>3</w:t>
      </w:r>
      <w:r>
        <w:rPr>
          <w:rFonts w:hint="eastAsia"/>
          <w:color w:val="auto"/>
        </w:rPr>
        <w:t>，考虑20%的回用，则有9600m</w:t>
      </w:r>
      <w:r>
        <w:rPr>
          <w:rFonts w:hint="eastAsia"/>
          <w:color w:val="auto"/>
          <w:vertAlign w:val="superscript"/>
        </w:rPr>
        <w:t>3</w:t>
      </w:r>
      <w:r>
        <w:rPr>
          <w:rFonts w:hint="eastAsia"/>
          <w:color w:val="auto"/>
        </w:rPr>
        <w:t>排入盐河。</w:t>
      </w:r>
    </w:p>
    <w:p w14:paraId="32D45B3E">
      <w:pPr>
        <w:pStyle w:val="139"/>
        <w:ind w:firstLine="480"/>
        <w:rPr>
          <w:color w:val="auto"/>
        </w:rPr>
      </w:pPr>
      <w:r>
        <w:rPr>
          <w:rFonts w:hint="eastAsia"/>
          <w:color w:val="auto"/>
        </w:rPr>
        <w:t>类比相关研究结果（</w:t>
      </w:r>
      <w:r>
        <w:rPr>
          <w:rFonts w:hint="eastAsia"/>
          <w:color w:val="auto"/>
          <w:lang w:eastAsia="zh-CN"/>
        </w:rPr>
        <w:t>吴海英</w:t>
      </w:r>
      <w:r>
        <w:rPr>
          <w:rFonts w:hint="eastAsia"/>
          <w:i/>
          <w:iCs/>
          <w:color w:val="auto"/>
        </w:rPr>
        <w:t>等.围滩吹填工程对水环境的影响分析[J].水资源保护，2005，21（2）：53-56</w:t>
      </w:r>
      <w:r>
        <w:rPr>
          <w:rFonts w:hint="eastAsia"/>
          <w:color w:val="auto"/>
        </w:rPr>
        <w:t>；</w:t>
      </w:r>
      <w:r>
        <w:rPr>
          <w:rFonts w:hint="eastAsia"/>
          <w:i/>
          <w:iCs/>
          <w:color w:val="auto"/>
        </w:rPr>
        <w:t>任荣珠等.港池清淤、岸边吹填对周围海域的环境影响分析[J].海洋通报，1996，15（1）：53-60</w:t>
      </w:r>
      <w:r>
        <w:rPr>
          <w:rFonts w:hint="eastAsia"/>
          <w:color w:val="auto"/>
        </w:rPr>
        <w:t>），由于泥沙的沉降速度较大，淤泥干化场原水SS浓度220mg/L时，经过30分钟的静沉后，悬浮物含量可降低至50mg/L左右，满足《污水综合排放标准》（GB8978-1996）表4一级标准。</w:t>
      </w:r>
    </w:p>
    <w:bookmarkEnd w:id="180"/>
    <w:p w14:paraId="673AEBCD">
      <w:pPr>
        <w:pStyle w:val="93"/>
      </w:pPr>
      <w:r>
        <w:rPr>
          <w:rFonts w:hint="eastAsia"/>
        </w:rPr>
        <w:t>（</w:t>
      </w:r>
      <w:r>
        <w:t>4</w:t>
      </w:r>
      <w:r>
        <w:rPr>
          <w:rFonts w:hint="eastAsia"/>
        </w:rPr>
        <w:t>）施工船舶污水</w:t>
      </w:r>
    </w:p>
    <w:p w14:paraId="5A750803">
      <w:pPr>
        <w:pStyle w:val="93"/>
      </w:pPr>
      <w:r>
        <w:rPr>
          <w:rFonts w:hint="eastAsia"/>
        </w:rPr>
        <w:t>施工船舶污水包括船舶舱底油污水和船舶生活污水。本项目船舶水上施工按100天计。</w:t>
      </w:r>
    </w:p>
    <w:p w14:paraId="56C1548C">
      <w:pPr>
        <w:pStyle w:val="93"/>
      </w:pPr>
      <w:r>
        <w:rPr>
          <w:rFonts w:hint="eastAsia" w:ascii="宋体" w:hAnsi="宋体" w:eastAsia="宋体" w:cs="宋体"/>
        </w:rPr>
        <w:t>①</w:t>
      </w:r>
      <w:r>
        <w:rPr>
          <w:rFonts w:hint="eastAsia"/>
        </w:rPr>
        <w:t>根据《水运工程环境保护设计规范》（JTS149-2018）中表4.2.4，500吨级船舶舱底油污水水量为0.14t/d•艘，本项目施工船舶多为500吨级，按2艘施工船舶同时工作估算，施工船舶舱底油污水产生量约为0.28t/d，共产生污水28t。</w:t>
      </w:r>
    </w:p>
    <w:p w14:paraId="51D5698E">
      <w:pPr>
        <w:pStyle w:val="93"/>
      </w:pPr>
      <w:r>
        <w:rPr>
          <w:rFonts w:hint="eastAsia"/>
        </w:rPr>
        <w:t>根据《水运工程环境保护设计规范》（JTS149-2018），无实测资料时含油量可取3000mg/L-6000mg/L，本次取含油浓度约为3000mg/L，石油类产生量为0.84kg/d。</w:t>
      </w:r>
    </w:p>
    <w:p w14:paraId="033F5F9B">
      <w:pPr>
        <w:pStyle w:val="93"/>
      </w:pPr>
      <w:r>
        <w:rPr>
          <w:rFonts w:hint="eastAsia" w:ascii="宋体" w:hAnsi="宋体" w:eastAsia="宋体" w:cs="宋体"/>
        </w:rPr>
        <w:t>②</w:t>
      </w:r>
      <w:r>
        <w:rPr>
          <w:rFonts w:hint="eastAsia"/>
        </w:rPr>
        <w:t>船舶生活污水产生量按150L/d•人，施工船舶工作人员按10人计，则施工期船舶生活污水量为150t。污水中主要污染因子为COD、SS、NH</w:t>
      </w:r>
      <w:r>
        <w:rPr>
          <w:rFonts w:hint="eastAsia"/>
          <w:vertAlign w:val="subscript"/>
        </w:rPr>
        <w:t>3</w:t>
      </w:r>
      <w:r>
        <w:rPr>
          <w:rFonts w:hint="eastAsia"/>
        </w:rPr>
        <w:t>-N、TN、TP。根据同类项目有关资料</w:t>
      </w:r>
      <w:r>
        <w:rPr>
          <w:rFonts w:hint="eastAsia"/>
          <w:lang w:eastAsia="zh-CN"/>
        </w:rPr>
        <w:t>对比</w:t>
      </w:r>
      <w:r>
        <w:rPr>
          <w:rFonts w:hint="eastAsia"/>
        </w:rPr>
        <w:t>分析，其浓度分别达到400mg/L、300mg/L、40mg/L、50mg/L，10mg/L。COD、SS、NH</w:t>
      </w:r>
      <w:r>
        <w:rPr>
          <w:rFonts w:hint="eastAsia"/>
          <w:vertAlign w:val="subscript"/>
        </w:rPr>
        <w:t>3</w:t>
      </w:r>
      <w:r>
        <w:rPr>
          <w:rFonts w:hint="eastAsia"/>
        </w:rPr>
        <w:t>-N、TN、TP产生量分别为60kg、45kg、6kg、7.5kg和1.5kg，</w:t>
      </w:r>
    </w:p>
    <w:p w14:paraId="314369D1">
      <w:pPr>
        <w:pStyle w:val="93"/>
      </w:pPr>
      <w:r>
        <w:rPr>
          <w:rFonts w:hint="eastAsia"/>
        </w:rPr>
        <w:t>上述施工船舶舱底油污水和施工船舶生活污水由船舶自行带走。</w:t>
      </w:r>
    </w:p>
    <w:p w14:paraId="023F4CBA">
      <w:pPr>
        <w:ind w:firstLine="480"/>
      </w:pPr>
      <w:r>
        <w:rPr>
          <w:rFonts w:hint="eastAsia"/>
        </w:rPr>
        <w:t>（</w:t>
      </w:r>
      <w:r>
        <w:t>5</w:t>
      </w:r>
      <w:r>
        <w:rPr>
          <w:rFonts w:hint="eastAsia"/>
        </w:rPr>
        <w:t>）陆域施工生活污水</w:t>
      </w:r>
    </w:p>
    <w:p w14:paraId="516F1EDC">
      <w:pPr>
        <w:pStyle w:val="93"/>
      </w:pPr>
      <w:r>
        <w:rPr>
          <w:rFonts w:hint="eastAsia"/>
        </w:rPr>
        <w:t>施工人员生活用水量取150L/人·d，污水排放系数取0.9。码头施工高峰期施工人数约30人。施工</w:t>
      </w:r>
      <w:r>
        <w:rPr>
          <w:rFonts w:hint="eastAsia"/>
          <w:lang w:eastAsia="zh-CN"/>
        </w:rPr>
        <w:t>生活污水</w:t>
      </w:r>
      <w:r>
        <w:rPr>
          <w:rFonts w:hint="eastAsia"/>
        </w:rPr>
        <w:t>产生量为405t。污水中主要污染因子为COD、SS、NH3-N、TN、TP。类比同类项目有关资料，其浓度分别达到400mg/L、300mg/L、40mg/L、50mg/L，10mg/L。COD、SS、NH</w:t>
      </w:r>
      <w:r>
        <w:rPr>
          <w:rFonts w:hint="eastAsia"/>
          <w:vertAlign w:val="subscript"/>
        </w:rPr>
        <w:t>3</w:t>
      </w:r>
      <w:r>
        <w:rPr>
          <w:rFonts w:hint="eastAsia"/>
        </w:rPr>
        <w:t>-N、TN、TP产生量分别为162kg、121.5kg、16.2kg、20.25kg和4.05kg。</w:t>
      </w:r>
    </w:p>
    <w:p w14:paraId="2EFFCCF8">
      <w:pPr>
        <w:pStyle w:val="93"/>
      </w:pPr>
      <w:r>
        <w:rPr>
          <w:rFonts w:hint="eastAsia"/>
        </w:rPr>
        <w:t>陆域施工生活污水依托国能涟水一期热电联产项目施工生活区临时生活污水处理站进行处理不排放。</w:t>
      </w:r>
    </w:p>
    <w:p w14:paraId="266717EB">
      <w:pPr>
        <w:pStyle w:val="93"/>
      </w:pPr>
      <w:r>
        <w:rPr>
          <w:rFonts w:hint="eastAsia"/>
        </w:rPr>
        <w:t>（</w:t>
      </w:r>
      <w:r>
        <w:t>6</w:t>
      </w:r>
      <w:r>
        <w:rPr>
          <w:rFonts w:hint="eastAsia"/>
        </w:rPr>
        <w:t>）施工车辆及机械冲洗废水</w:t>
      </w:r>
    </w:p>
    <w:p w14:paraId="5C0D5355">
      <w:pPr>
        <w:pStyle w:val="93"/>
      </w:pPr>
      <w:r>
        <w:rPr>
          <w:rFonts w:hint="eastAsia"/>
        </w:rPr>
        <w:t>根据《河港工程总体设计规范》（JTS166-2020），冲洗用水标准约600～800L/台•次，每天清洗台数约为20台，则施工机械冲洗用水量约为16m</w:t>
      </w:r>
      <w:r>
        <w:rPr>
          <w:rFonts w:hint="eastAsia"/>
          <w:vertAlign w:val="superscript"/>
        </w:rPr>
        <w:t>3</w:t>
      </w:r>
      <w:r>
        <w:rPr>
          <w:rFonts w:hint="eastAsia"/>
        </w:rPr>
        <w:t>/d。冲洗用水损耗量以10%计，则冲洗废水产生量约为14.4m</w:t>
      </w:r>
      <w:r>
        <w:rPr>
          <w:rFonts w:hint="eastAsia"/>
          <w:vertAlign w:val="superscript"/>
        </w:rPr>
        <w:t>3</w:t>
      </w:r>
      <w:r>
        <w:rPr>
          <w:rFonts w:hint="eastAsia"/>
        </w:rPr>
        <w:t>/d，该类废水的主要污染物为COD、SS和石油类，COD浓度约为100mg/L，SS浓度为200mg/L，石油类浓度为80mg/L。施工车辆及机械冲洗废水经沉淀池预处理后用作场地洒水抑尘不排放。</w:t>
      </w:r>
    </w:p>
    <w:p w14:paraId="0642D03B">
      <w:pPr>
        <w:pStyle w:val="93"/>
      </w:pPr>
      <w:r>
        <w:rPr>
          <w:rFonts w:hint="eastAsia"/>
        </w:rPr>
        <w:t>（</w:t>
      </w:r>
      <w:r>
        <w:t>7</w:t>
      </w:r>
      <w:r>
        <w:rPr>
          <w:rFonts w:hint="eastAsia"/>
        </w:rPr>
        <w:t>）基坑排水</w:t>
      </w:r>
    </w:p>
    <w:p w14:paraId="4C3B0D92">
      <w:pPr>
        <w:pStyle w:val="93"/>
      </w:pPr>
      <w:r>
        <w:rPr>
          <w:rFonts w:hint="eastAsia"/>
        </w:rPr>
        <w:t>本工程基坑排水包括围堰施工所形成的基坑明水以及主体建筑物基础开挖产生的基坑渗水。开挖过程中设置排水沟与集水井，对基坑地下渗水通过泵排放。基坑排水分初期排水和施工期排水，基坑排水量约为340m</w:t>
      </w:r>
      <w:r>
        <w:rPr>
          <w:rFonts w:hint="eastAsia"/>
          <w:vertAlign w:val="superscript"/>
        </w:rPr>
        <w:t>3</w:t>
      </w:r>
      <w:r>
        <w:rPr>
          <w:rFonts w:hint="eastAsia"/>
        </w:rPr>
        <w:t>，主要污染物均为SS，产生浓度约2000mg/L，基坑排水采取静置沉淀一段时间待泥沙下沉后再抽排上清液，排至周边沟渠，并控制水位下降速率，避免泥浆水外排，可有效降低排水中SS含量。</w:t>
      </w:r>
    </w:p>
    <w:p w14:paraId="10848557">
      <w:pPr>
        <w:pStyle w:val="93"/>
      </w:pPr>
      <w:r>
        <w:rPr>
          <w:rFonts w:hint="eastAsia"/>
        </w:rPr>
        <w:t>码头施工期废水污染源强汇见表3.7-5。</w:t>
      </w:r>
    </w:p>
    <w:p w14:paraId="46FC1247">
      <w:pPr>
        <w:pStyle w:val="86"/>
      </w:pPr>
      <w:r>
        <w:rPr>
          <w:rFonts w:hint="eastAsia"/>
        </w:rPr>
        <w:t>施工期废水汇总表</w:t>
      </w:r>
    </w:p>
    <w:tbl>
      <w:tblPr>
        <w:tblStyle w:val="38"/>
        <w:tblW w:w="49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3"/>
        <w:gridCol w:w="885"/>
        <w:gridCol w:w="930"/>
        <w:gridCol w:w="945"/>
        <w:gridCol w:w="908"/>
        <w:gridCol w:w="3198"/>
      </w:tblGrid>
      <w:tr w14:paraId="362A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4F56060F">
            <w:pPr>
              <w:pStyle w:val="196"/>
            </w:pPr>
            <w:r>
              <w:rPr>
                <w:rFonts w:hint="eastAsia"/>
              </w:rPr>
              <w:t>类别</w:t>
            </w:r>
          </w:p>
        </w:tc>
        <w:tc>
          <w:tcPr>
            <w:tcW w:w="538" w:type="pct"/>
            <w:vAlign w:val="center"/>
          </w:tcPr>
          <w:p w14:paraId="3233463E">
            <w:pPr>
              <w:pStyle w:val="196"/>
            </w:pPr>
            <w:r>
              <w:rPr>
                <w:rFonts w:hint="eastAsia"/>
              </w:rPr>
              <w:t>指标</w:t>
            </w:r>
          </w:p>
        </w:tc>
        <w:tc>
          <w:tcPr>
            <w:tcW w:w="565" w:type="pct"/>
            <w:vAlign w:val="center"/>
          </w:tcPr>
          <w:p w14:paraId="741A755D">
            <w:pPr>
              <w:pStyle w:val="196"/>
            </w:pPr>
            <w:r>
              <w:rPr>
                <w:rFonts w:hint="eastAsia"/>
              </w:rPr>
              <w:t>单位</w:t>
            </w:r>
          </w:p>
        </w:tc>
        <w:tc>
          <w:tcPr>
            <w:tcW w:w="574" w:type="pct"/>
            <w:vAlign w:val="center"/>
          </w:tcPr>
          <w:p w14:paraId="36155D82">
            <w:pPr>
              <w:pStyle w:val="196"/>
            </w:pPr>
            <w:r>
              <w:rPr>
                <w:rFonts w:hint="eastAsia"/>
              </w:rPr>
              <w:t>产生量</w:t>
            </w:r>
          </w:p>
        </w:tc>
        <w:tc>
          <w:tcPr>
            <w:tcW w:w="552" w:type="pct"/>
            <w:vAlign w:val="center"/>
          </w:tcPr>
          <w:p w14:paraId="6CB10D47">
            <w:pPr>
              <w:pStyle w:val="196"/>
            </w:pPr>
            <w:r>
              <w:rPr>
                <w:rFonts w:hint="eastAsia"/>
              </w:rPr>
              <w:t>排放量</w:t>
            </w:r>
          </w:p>
        </w:tc>
        <w:tc>
          <w:tcPr>
            <w:tcW w:w="1943" w:type="pct"/>
            <w:vAlign w:val="center"/>
          </w:tcPr>
          <w:p w14:paraId="5F5760D1">
            <w:pPr>
              <w:pStyle w:val="196"/>
            </w:pPr>
            <w:r>
              <w:rPr>
                <w:rFonts w:hint="eastAsia"/>
              </w:rPr>
              <w:t>备注</w:t>
            </w:r>
          </w:p>
        </w:tc>
      </w:tr>
      <w:tr w14:paraId="2F01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0662AC42">
            <w:pPr>
              <w:pStyle w:val="196"/>
            </w:pPr>
            <w:r>
              <w:rPr>
                <w:rFonts w:hint="eastAsia"/>
              </w:rPr>
              <w:t>疏浚泥沙</w:t>
            </w:r>
          </w:p>
        </w:tc>
        <w:tc>
          <w:tcPr>
            <w:tcW w:w="538" w:type="pct"/>
            <w:vAlign w:val="center"/>
          </w:tcPr>
          <w:p w14:paraId="127712B5">
            <w:pPr>
              <w:pStyle w:val="196"/>
            </w:pPr>
            <w:r>
              <w:rPr>
                <w:rFonts w:hint="eastAsia"/>
              </w:rPr>
              <w:t>SS</w:t>
            </w:r>
          </w:p>
        </w:tc>
        <w:tc>
          <w:tcPr>
            <w:tcW w:w="565" w:type="pct"/>
            <w:vAlign w:val="center"/>
          </w:tcPr>
          <w:p w14:paraId="7D155C1A">
            <w:pPr>
              <w:pStyle w:val="196"/>
            </w:pPr>
            <w:r>
              <w:rPr>
                <w:rFonts w:hint="eastAsia"/>
              </w:rPr>
              <w:t>t/h</w:t>
            </w:r>
          </w:p>
        </w:tc>
        <w:tc>
          <w:tcPr>
            <w:tcW w:w="574" w:type="pct"/>
            <w:vAlign w:val="center"/>
          </w:tcPr>
          <w:p w14:paraId="377B540C">
            <w:pPr>
              <w:pStyle w:val="196"/>
            </w:pPr>
            <w:r>
              <w:rPr>
                <w:rFonts w:hint="eastAsia"/>
              </w:rPr>
              <w:t>3.38</w:t>
            </w:r>
          </w:p>
        </w:tc>
        <w:tc>
          <w:tcPr>
            <w:tcW w:w="552" w:type="pct"/>
            <w:vAlign w:val="center"/>
          </w:tcPr>
          <w:p w14:paraId="11541AEB">
            <w:pPr>
              <w:pStyle w:val="196"/>
            </w:pPr>
            <w:r>
              <w:rPr>
                <w:rFonts w:hint="eastAsia"/>
              </w:rPr>
              <w:t>/</w:t>
            </w:r>
          </w:p>
        </w:tc>
        <w:tc>
          <w:tcPr>
            <w:tcW w:w="1943" w:type="pct"/>
            <w:vAlign w:val="center"/>
          </w:tcPr>
          <w:p w14:paraId="62995294">
            <w:pPr>
              <w:pStyle w:val="196"/>
            </w:pPr>
            <w:r>
              <w:rPr>
                <w:rFonts w:hint="eastAsia"/>
              </w:rPr>
              <w:t>疏浚引起盐河水体SS增加</w:t>
            </w:r>
          </w:p>
        </w:tc>
      </w:tr>
      <w:tr w14:paraId="20A1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28" w:type="pct"/>
            <w:vAlign w:val="center"/>
          </w:tcPr>
          <w:p w14:paraId="7902FD3B">
            <w:pPr>
              <w:pStyle w:val="196"/>
            </w:pPr>
            <w:r>
              <w:rPr>
                <w:rFonts w:hint="eastAsia"/>
              </w:rPr>
              <w:t>疏浚污泥余水</w:t>
            </w:r>
          </w:p>
        </w:tc>
        <w:tc>
          <w:tcPr>
            <w:tcW w:w="538" w:type="pct"/>
            <w:vAlign w:val="center"/>
          </w:tcPr>
          <w:p w14:paraId="02B9A810">
            <w:pPr>
              <w:pStyle w:val="196"/>
            </w:pPr>
            <w:r>
              <w:rPr>
                <w:rFonts w:hint="eastAsia"/>
              </w:rPr>
              <w:t>SS</w:t>
            </w:r>
          </w:p>
        </w:tc>
        <w:tc>
          <w:tcPr>
            <w:tcW w:w="565" w:type="pct"/>
            <w:vAlign w:val="center"/>
          </w:tcPr>
          <w:p w14:paraId="27712962">
            <w:pPr>
              <w:pStyle w:val="196"/>
            </w:pPr>
            <w:r>
              <w:rPr>
                <w:rFonts w:hint="eastAsia"/>
              </w:rPr>
              <w:t>t/d</w:t>
            </w:r>
          </w:p>
        </w:tc>
        <w:tc>
          <w:tcPr>
            <w:tcW w:w="574" w:type="pct"/>
            <w:vAlign w:val="center"/>
          </w:tcPr>
          <w:p w14:paraId="3B4D5797">
            <w:pPr>
              <w:pStyle w:val="196"/>
            </w:pPr>
            <w:r>
              <w:rPr>
                <w:rFonts w:eastAsia="等线" w:cs="Times New Roman"/>
                <w:szCs w:val="21"/>
              </w:rPr>
              <w:t>0.84</w:t>
            </w:r>
          </w:p>
        </w:tc>
        <w:tc>
          <w:tcPr>
            <w:tcW w:w="552" w:type="pct"/>
            <w:vAlign w:val="center"/>
          </w:tcPr>
          <w:p w14:paraId="2126152C">
            <w:pPr>
              <w:pStyle w:val="196"/>
            </w:pPr>
            <w:r>
              <w:rPr>
                <w:rFonts w:eastAsia="等线" w:cs="Times New Roman"/>
                <w:szCs w:val="21"/>
              </w:rPr>
              <w:t>0.672</w:t>
            </w:r>
          </w:p>
        </w:tc>
        <w:tc>
          <w:tcPr>
            <w:tcW w:w="1943" w:type="pct"/>
            <w:vAlign w:val="center"/>
          </w:tcPr>
          <w:p w14:paraId="4D07003E">
            <w:pPr>
              <w:pStyle w:val="196"/>
            </w:pPr>
            <w:r>
              <w:rPr>
                <w:rFonts w:hint="eastAsia"/>
              </w:rPr>
              <w:t>抛泥区（设置在后方电厂）设置围堰，并做好围堰、沉淀池，尾水部分回用于场地喷洒，部分在满足《污水综合排放标准》（GB8978-1996）表4一级标准后就近排入盐河</w:t>
            </w:r>
          </w:p>
        </w:tc>
      </w:tr>
      <w:tr w14:paraId="3248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28" w:type="pct"/>
            <w:vMerge w:val="restart"/>
            <w:vAlign w:val="center"/>
          </w:tcPr>
          <w:p w14:paraId="5F7E86A8">
            <w:pPr>
              <w:pStyle w:val="196"/>
            </w:pPr>
            <w:r>
              <w:rPr>
                <w:rFonts w:hint="eastAsia"/>
              </w:rPr>
              <w:t>施工船舶舱底油污水</w:t>
            </w:r>
          </w:p>
        </w:tc>
        <w:tc>
          <w:tcPr>
            <w:tcW w:w="538" w:type="pct"/>
            <w:vAlign w:val="center"/>
          </w:tcPr>
          <w:p w14:paraId="1400BF70">
            <w:pPr>
              <w:pStyle w:val="196"/>
            </w:pPr>
            <w:r>
              <w:rPr>
                <w:rFonts w:hint="eastAsia"/>
              </w:rPr>
              <w:t>COD</w:t>
            </w:r>
          </w:p>
        </w:tc>
        <w:tc>
          <w:tcPr>
            <w:tcW w:w="565" w:type="pct"/>
            <w:vAlign w:val="center"/>
          </w:tcPr>
          <w:p w14:paraId="7BBCEE72">
            <w:pPr>
              <w:pStyle w:val="196"/>
            </w:pPr>
            <w:r>
              <w:rPr>
                <w:rFonts w:hint="eastAsia"/>
              </w:rPr>
              <w:t>kg/d</w:t>
            </w:r>
          </w:p>
        </w:tc>
        <w:tc>
          <w:tcPr>
            <w:tcW w:w="574" w:type="pct"/>
            <w:vAlign w:val="center"/>
          </w:tcPr>
          <w:p w14:paraId="1A14858D">
            <w:pPr>
              <w:pStyle w:val="196"/>
            </w:pPr>
            <w:r>
              <w:rPr>
                <w:rFonts w:hint="eastAsia"/>
              </w:rPr>
              <w:t>0.11</w:t>
            </w:r>
          </w:p>
        </w:tc>
        <w:tc>
          <w:tcPr>
            <w:tcW w:w="552" w:type="pct"/>
            <w:vAlign w:val="center"/>
          </w:tcPr>
          <w:p w14:paraId="205428B3">
            <w:pPr>
              <w:pStyle w:val="196"/>
            </w:pPr>
            <w:r>
              <w:rPr>
                <w:rFonts w:hint="eastAsia"/>
              </w:rPr>
              <w:t>/</w:t>
            </w:r>
          </w:p>
        </w:tc>
        <w:tc>
          <w:tcPr>
            <w:tcW w:w="1943" w:type="pct"/>
            <w:vMerge w:val="restart"/>
            <w:vAlign w:val="center"/>
          </w:tcPr>
          <w:p w14:paraId="57AA1086">
            <w:pPr>
              <w:pStyle w:val="196"/>
            </w:pPr>
            <w:r>
              <w:rPr>
                <w:rFonts w:hint="eastAsia"/>
              </w:rPr>
              <w:t>船舶自行带走</w:t>
            </w:r>
          </w:p>
        </w:tc>
      </w:tr>
      <w:tr w14:paraId="3626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2FBB5835">
            <w:pPr>
              <w:pStyle w:val="196"/>
            </w:pPr>
          </w:p>
        </w:tc>
        <w:tc>
          <w:tcPr>
            <w:tcW w:w="538" w:type="pct"/>
            <w:vAlign w:val="center"/>
          </w:tcPr>
          <w:p w14:paraId="4133C198">
            <w:pPr>
              <w:pStyle w:val="196"/>
            </w:pPr>
            <w:r>
              <w:rPr>
                <w:rFonts w:hint="eastAsia"/>
              </w:rPr>
              <w:t>SS</w:t>
            </w:r>
          </w:p>
        </w:tc>
        <w:tc>
          <w:tcPr>
            <w:tcW w:w="565" w:type="pct"/>
            <w:vAlign w:val="center"/>
          </w:tcPr>
          <w:p w14:paraId="7996C3F9">
            <w:pPr>
              <w:pStyle w:val="196"/>
            </w:pPr>
            <w:r>
              <w:rPr>
                <w:rFonts w:hint="eastAsia"/>
              </w:rPr>
              <w:t>kg/d</w:t>
            </w:r>
          </w:p>
        </w:tc>
        <w:tc>
          <w:tcPr>
            <w:tcW w:w="574" w:type="pct"/>
            <w:vAlign w:val="center"/>
          </w:tcPr>
          <w:p w14:paraId="27E92CE8">
            <w:pPr>
              <w:pStyle w:val="196"/>
            </w:pPr>
            <w:r>
              <w:rPr>
                <w:rFonts w:hint="eastAsia"/>
              </w:rPr>
              <w:t>0.09</w:t>
            </w:r>
          </w:p>
        </w:tc>
        <w:tc>
          <w:tcPr>
            <w:tcW w:w="552" w:type="pct"/>
            <w:vAlign w:val="center"/>
          </w:tcPr>
          <w:p w14:paraId="376C8717">
            <w:pPr>
              <w:pStyle w:val="196"/>
            </w:pPr>
            <w:r>
              <w:rPr>
                <w:rFonts w:hint="eastAsia"/>
              </w:rPr>
              <w:t>/</w:t>
            </w:r>
          </w:p>
        </w:tc>
        <w:tc>
          <w:tcPr>
            <w:tcW w:w="0" w:type="auto"/>
            <w:vMerge w:val="continue"/>
            <w:vAlign w:val="center"/>
          </w:tcPr>
          <w:p w14:paraId="598749C8">
            <w:pPr>
              <w:pStyle w:val="196"/>
            </w:pPr>
          </w:p>
        </w:tc>
      </w:tr>
      <w:tr w14:paraId="49CB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7989E2B3">
            <w:pPr>
              <w:pStyle w:val="196"/>
            </w:pPr>
          </w:p>
        </w:tc>
        <w:tc>
          <w:tcPr>
            <w:tcW w:w="538" w:type="pct"/>
            <w:vAlign w:val="center"/>
          </w:tcPr>
          <w:p w14:paraId="39CAEB48">
            <w:pPr>
              <w:pStyle w:val="196"/>
            </w:pPr>
            <w:r>
              <w:rPr>
                <w:rFonts w:hint="eastAsia"/>
              </w:rPr>
              <w:t>石油类</w:t>
            </w:r>
          </w:p>
        </w:tc>
        <w:tc>
          <w:tcPr>
            <w:tcW w:w="565" w:type="pct"/>
            <w:vAlign w:val="center"/>
          </w:tcPr>
          <w:p w14:paraId="38B1058B">
            <w:pPr>
              <w:pStyle w:val="196"/>
            </w:pPr>
            <w:r>
              <w:rPr>
                <w:rFonts w:hint="eastAsia"/>
              </w:rPr>
              <w:t>kg/d</w:t>
            </w:r>
          </w:p>
        </w:tc>
        <w:tc>
          <w:tcPr>
            <w:tcW w:w="574" w:type="pct"/>
            <w:vAlign w:val="center"/>
          </w:tcPr>
          <w:p w14:paraId="7A2E7DE9">
            <w:pPr>
              <w:pStyle w:val="196"/>
            </w:pPr>
            <w:r>
              <w:rPr>
                <w:rFonts w:hint="eastAsia"/>
              </w:rPr>
              <w:t>0.84</w:t>
            </w:r>
          </w:p>
        </w:tc>
        <w:tc>
          <w:tcPr>
            <w:tcW w:w="552" w:type="pct"/>
            <w:vAlign w:val="center"/>
          </w:tcPr>
          <w:p w14:paraId="64A13A5F">
            <w:pPr>
              <w:pStyle w:val="196"/>
            </w:pPr>
            <w:r>
              <w:rPr>
                <w:rFonts w:hint="eastAsia"/>
              </w:rPr>
              <w:t>/</w:t>
            </w:r>
          </w:p>
        </w:tc>
        <w:tc>
          <w:tcPr>
            <w:tcW w:w="0" w:type="auto"/>
            <w:vMerge w:val="continue"/>
            <w:vAlign w:val="center"/>
          </w:tcPr>
          <w:p w14:paraId="1849298D">
            <w:pPr>
              <w:pStyle w:val="196"/>
            </w:pPr>
          </w:p>
        </w:tc>
      </w:tr>
      <w:tr w14:paraId="3DBE4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28" w:type="pct"/>
            <w:vMerge w:val="restart"/>
            <w:vAlign w:val="center"/>
          </w:tcPr>
          <w:p w14:paraId="2B9C4BCA">
            <w:pPr>
              <w:pStyle w:val="196"/>
            </w:pPr>
            <w:r>
              <w:rPr>
                <w:rFonts w:hint="eastAsia"/>
              </w:rPr>
              <w:t>施工船舶生活污水</w:t>
            </w:r>
          </w:p>
        </w:tc>
        <w:tc>
          <w:tcPr>
            <w:tcW w:w="538" w:type="pct"/>
            <w:vAlign w:val="center"/>
          </w:tcPr>
          <w:p w14:paraId="2614589B">
            <w:pPr>
              <w:pStyle w:val="196"/>
            </w:pPr>
            <w:r>
              <w:rPr>
                <w:rFonts w:hint="eastAsia"/>
              </w:rPr>
              <w:t>COD</w:t>
            </w:r>
          </w:p>
        </w:tc>
        <w:tc>
          <w:tcPr>
            <w:tcW w:w="565" w:type="pct"/>
            <w:vAlign w:val="center"/>
          </w:tcPr>
          <w:p w14:paraId="7597EC13">
            <w:pPr>
              <w:pStyle w:val="196"/>
            </w:pPr>
            <w:r>
              <w:rPr>
                <w:rFonts w:hint="eastAsia"/>
              </w:rPr>
              <w:t>kg/d</w:t>
            </w:r>
          </w:p>
        </w:tc>
        <w:tc>
          <w:tcPr>
            <w:tcW w:w="574" w:type="pct"/>
            <w:vAlign w:val="center"/>
          </w:tcPr>
          <w:p w14:paraId="604896D4">
            <w:pPr>
              <w:pStyle w:val="196"/>
            </w:pPr>
            <w:r>
              <w:rPr>
                <w:rFonts w:hint="eastAsia"/>
              </w:rPr>
              <w:t>0.60</w:t>
            </w:r>
          </w:p>
        </w:tc>
        <w:tc>
          <w:tcPr>
            <w:tcW w:w="552" w:type="pct"/>
            <w:vAlign w:val="center"/>
          </w:tcPr>
          <w:p w14:paraId="5BCF1BA8">
            <w:pPr>
              <w:pStyle w:val="196"/>
            </w:pPr>
            <w:r>
              <w:rPr>
                <w:rFonts w:hint="eastAsia"/>
              </w:rPr>
              <w:t>/</w:t>
            </w:r>
          </w:p>
        </w:tc>
        <w:tc>
          <w:tcPr>
            <w:tcW w:w="0" w:type="auto"/>
            <w:vMerge w:val="continue"/>
            <w:vAlign w:val="center"/>
          </w:tcPr>
          <w:p w14:paraId="3364D14D">
            <w:pPr>
              <w:pStyle w:val="196"/>
            </w:pPr>
          </w:p>
        </w:tc>
      </w:tr>
      <w:tr w14:paraId="624D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477FE0A2">
            <w:pPr>
              <w:pStyle w:val="196"/>
            </w:pPr>
          </w:p>
        </w:tc>
        <w:tc>
          <w:tcPr>
            <w:tcW w:w="538" w:type="pct"/>
            <w:vAlign w:val="center"/>
          </w:tcPr>
          <w:p w14:paraId="0FD98497">
            <w:pPr>
              <w:pStyle w:val="196"/>
            </w:pPr>
            <w:r>
              <w:rPr>
                <w:rFonts w:hint="eastAsia"/>
              </w:rPr>
              <w:t>SS</w:t>
            </w:r>
          </w:p>
        </w:tc>
        <w:tc>
          <w:tcPr>
            <w:tcW w:w="565" w:type="pct"/>
            <w:vAlign w:val="center"/>
          </w:tcPr>
          <w:p w14:paraId="26C05140">
            <w:pPr>
              <w:pStyle w:val="196"/>
            </w:pPr>
            <w:r>
              <w:rPr>
                <w:rFonts w:hint="eastAsia"/>
              </w:rPr>
              <w:t>kg/d</w:t>
            </w:r>
          </w:p>
        </w:tc>
        <w:tc>
          <w:tcPr>
            <w:tcW w:w="574" w:type="pct"/>
            <w:vAlign w:val="center"/>
          </w:tcPr>
          <w:p w14:paraId="3AF9C729">
            <w:pPr>
              <w:pStyle w:val="196"/>
            </w:pPr>
            <w:r>
              <w:rPr>
                <w:rFonts w:hint="eastAsia"/>
              </w:rPr>
              <w:t>0.45</w:t>
            </w:r>
          </w:p>
        </w:tc>
        <w:tc>
          <w:tcPr>
            <w:tcW w:w="552" w:type="pct"/>
            <w:vAlign w:val="center"/>
          </w:tcPr>
          <w:p w14:paraId="1B5A519B">
            <w:pPr>
              <w:pStyle w:val="196"/>
            </w:pPr>
            <w:r>
              <w:rPr>
                <w:rFonts w:hint="eastAsia"/>
              </w:rPr>
              <w:t>/</w:t>
            </w:r>
          </w:p>
        </w:tc>
        <w:tc>
          <w:tcPr>
            <w:tcW w:w="0" w:type="auto"/>
            <w:vMerge w:val="continue"/>
            <w:vAlign w:val="center"/>
          </w:tcPr>
          <w:p w14:paraId="72F95563">
            <w:pPr>
              <w:pStyle w:val="196"/>
            </w:pPr>
          </w:p>
        </w:tc>
      </w:tr>
      <w:tr w14:paraId="2460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58CC71B6">
            <w:pPr>
              <w:pStyle w:val="196"/>
            </w:pPr>
          </w:p>
        </w:tc>
        <w:tc>
          <w:tcPr>
            <w:tcW w:w="538" w:type="pct"/>
            <w:vAlign w:val="center"/>
          </w:tcPr>
          <w:p w14:paraId="36333AAB">
            <w:pPr>
              <w:pStyle w:val="196"/>
            </w:pPr>
            <w:r>
              <w:rPr>
                <w:rFonts w:hint="eastAsia"/>
              </w:rPr>
              <w:t>NH</w:t>
            </w:r>
            <w:r>
              <w:rPr>
                <w:rFonts w:hint="eastAsia"/>
                <w:vertAlign w:val="subscript"/>
              </w:rPr>
              <w:t>3</w:t>
            </w:r>
            <w:r>
              <w:rPr>
                <w:rFonts w:hint="eastAsia"/>
              </w:rPr>
              <w:t>-N</w:t>
            </w:r>
          </w:p>
        </w:tc>
        <w:tc>
          <w:tcPr>
            <w:tcW w:w="565" w:type="pct"/>
            <w:vAlign w:val="center"/>
          </w:tcPr>
          <w:p w14:paraId="665E8D02">
            <w:pPr>
              <w:pStyle w:val="196"/>
            </w:pPr>
            <w:r>
              <w:rPr>
                <w:rFonts w:hint="eastAsia"/>
              </w:rPr>
              <w:t>kg/d</w:t>
            </w:r>
          </w:p>
        </w:tc>
        <w:tc>
          <w:tcPr>
            <w:tcW w:w="574" w:type="pct"/>
            <w:vAlign w:val="center"/>
          </w:tcPr>
          <w:p w14:paraId="54546C3A">
            <w:pPr>
              <w:pStyle w:val="196"/>
            </w:pPr>
            <w:r>
              <w:rPr>
                <w:rFonts w:hint="eastAsia"/>
              </w:rPr>
              <w:t>0.06</w:t>
            </w:r>
          </w:p>
        </w:tc>
        <w:tc>
          <w:tcPr>
            <w:tcW w:w="552" w:type="pct"/>
            <w:vAlign w:val="center"/>
          </w:tcPr>
          <w:p w14:paraId="45C8D97E">
            <w:pPr>
              <w:pStyle w:val="196"/>
            </w:pPr>
            <w:r>
              <w:rPr>
                <w:rFonts w:hint="eastAsia"/>
              </w:rPr>
              <w:t>/</w:t>
            </w:r>
          </w:p>
        </w:tc>
        <w:tc>
          <w:tcPr>
            <w:tcW w:w="0" w:type="auto"/>
            <w:vMerge w:val="continue"/>
            <w:vAlign w:val="center"/>
          </w:tcPr>
          <w:p w14:paraId="454C8A3E">
            <w:pPr>
              <w:pStyle w:val="196"/>
            </w:pPr>
          </w:p>
        </w:tc>
      </w:tr>
      <w:tr w14:paraId="568B8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1E77D870">
            <w:pPr>
              <w:pStyle w:val="196"/>
            </w:pPr>
          </w:p>
        </w:tc>
        <w:tc>
          <w:tcPr>
            <w:tcW w:w="538" w:type="pct"/>
            <w:vAlign w:val="center"/>
          </w:tcPr>
          <w:p w14:paraId="76B7156E">
            <w:pPr>
              <w:pStyle w:val="196"/>
            </w:pPr>
            <w:r>
              <w:rPr>
                <w:rFonts w:hint="eastAsia"/>
              </w:rPr>
              <w:t>TN</w:t>
            </w:r>
          </w:p>
        </w:tc>
        <w:tc>
          <w:tcPr>
            <w:tcW w:w="565" w:type="pct"/>
            <w:vAlign w:val="center"/>
          </w:tcPr>
          <w:p w14:paraId="68BE0782">
            <w:pPr>
              <w:pStyle w:val="196"/>
            </w:pPr>
            <w:r>
              <w:rPr>
                <w:rFonts w:hint="eastAsia"/>
              </w:rPr>
              <w:t>kg/d</w:t>
            </w:r>
          </w:p>
        </w:tc>
        <w:tc>
          <w:tcPr>
            <w:tcW w:w="574" w:type="pct"/>
            <w:vAlign w:val="center"/>
          </w:tcPr>
          <w:p w14:paraId="5D32EB74">
            <w:pPr>
              <w:pStyle w:val="196"/>
            </w:pPr>
            <w:r>
              <w:rPr>
                <w:rFonts w:hint="eastAsia"/>
              </w:rPr>
              <w:t>0.08</w:t>
            </w:r>
          </w:p>
        </w:tc>
        <w:tc>
          <w:tcPr>
            <w:tcW w:w="552" w:type="pct"/>
            <w:vAlign w:val="center"/>
          </w:tcPr>
          <w:p w14:paraId="057FAA32">
            <w:pPr>
              <w:pStyle w:val="196"/>
            </w:pPr>
          </w:p>
        </w:tc>
        <w:tc>
          <w:tcPr>
            <w:tcW w:w="0" w:type="auto"/>
            <w:vMerge w:val="continue"/>
            <w:vAlign w:val="center"/>
          </w:tcPr>
          <w:p w14:paraId="0DB0E69B">
            <w:pPr>
              <w:pStyle w:val="196"/>
            </w:pPr>
          </w:p>
        </w:tc>
      </w:tr>
      <w:tr w14:paraId="58C6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4123F3AA">
            <w:pPr>
              <w:pStyle w:val="196"/>
            </w:pPr>
          </w:p>
        </w:tc>
        <w:tc>
          <w:tcPr>
            <w:tcW w:w="538" w:type="pct"/>
            <w:vAlign w:val="center"/>
          </w:tcPr>
          <w:p w14:paraId="1B479A86">
            <w:pPr>
              <w:pStyle w:val="196"/>
            </w:pPr>
            <w:r>
              <w:rPr>
                <w:rFonts w:hint="eastAsia"/>
              </w:rPr>
              <w:t>TP</w:t>
            </w:r>
          </w:p>
        </w:tc>
        <w:tc>
          <w:tcPr>
            <w:tcW w:w="565" w:type="pct"/>
            <w:vAlign w:val="center"/>
          </w:tcPr>
          <w:p w14:paraId="24FFD163">
            <w:pPr>
              <w:pStyle w:val="196"/>
            </w:pPr>
            <w:r>
              <w:rPr>
                <w:rFonts w:hint="eastAsia"/>
              </w:rPr>
              <w:t>kg/d</w:t>
            </w:r>
          </w:p>
        </w:tc>
        <w:tc>
          <w:tcPr>
            <w:tcW w:w="574" w:type="pct"/>
            <w:vAlign w:val="center"/>
          </w:tcPr>
          <w:p w14:paraId="05107A1E">
            <w:pPr>
              <w:pStyle w:val="196"/>
            </w:pPr>
            <w:r>
              <w:rPr>
                <w:rFonts w:hint="eastAsia"/>
              </w:rPr>
              <w:t>0.02</w:t>
            </w:r>
          </w:p>
        </w:tc>
        <w:tc>
          <w:tcPr>
            <w:tcW w:w="552" w:type="pct"/>
            <w:vAlign w:val="center"/>
          </w:tcPr>
          <w:p w14:paraId="64297862">
            <w:pPr>
              <w:pStyle w:val="196"/>
            </w:pPr>
            <w:r>
              <w:rPr>
                <w:rFonts w:hint="eastAsia"/>
              </w:rPr>
              <w:t>/</w:t>
            </w:r>
          </w:p>
        </w:tc>
        <w:tc>
          <w:tcPr>
            <w:tcW w:w="0" w:type="auto"/>
            <w:vMerge w:val="continue"/>
            <w:vAlign w:val="center"/>
          </w:tcPr>
          <w:p w14:paraId="25FC3D3E">
            <w:pPr>
              <w:pStyle w:val="196"/>
            </w:pPr>
          </w:p>
        </w:tc>
      </w:tr>
      <w:tr w14:paraId="2BBD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28" w:type="pct"/>
            <w:vMerge w:val="restart"/>
            <w:vAlign w:val="center"/>
          </w:tcPr>
          <w:p w14:paraId="45D5B108">
            <w:pPr>
              <w:pStyle w:val="196"/>
            </w:pPr>
            <w:r>
              <w:rPr>
                <w:rFonts w:hint="eastAsia"/>
              </w:rPr>
              <w:t>陆域生活污水</w:t>
            </w:r>
          </w:p>
        </w:tc>
        <w:tc>
          <w:tcPr>
            <w:tcW w:w="538" w:type="pct"/>
            <w:vAlign w:val="center"/>
          </w:tcPr>
          <w:p w14:paraId="31F56609">
            <w:pPr>
              <w:pStyle w:val="196"/>
            </w:pPr>
            <w:r>
              <w:rPr>
                <w:rFonts w:hint="eastAsia"/>
              </w:rPr>
              <w:t>COD</w:t>
            </w:r>
          </w:p>
        </w:tc>
        <w:tc>
          <w:tcPr>
            <w:tcW w:w="565" w:type="pct"/>
            <w:vAlign w:val="center"/>
          </w:tcPr>
          <w:p w14:paraId="2E5830DA">
            <w:pPr>
              <w:pStyle w:val="196"/>
            </w:pPr>
            <w:r>
              <w:rPr>
                <w:rFonts w:hint="eastAsia"/>
              </w:rPr>
              <w:t>kg/d</w:t>
            </w:r>
          </w:p>
        </w:tc>
        <w:tc>
          <w:tcPr>
            <w:tcW w:w="574" w:type="pct"/>
            <w:vAlign w:val="center"/>
          </w:tcPr>
          <w:p w14:paraId="0856DCE9">
            <w:pPr>
              <w:pStyle w:val="196"/>
            </w:pPr>
            <w:r>
              <w:rPr>
                <w:rFonts w:hint="eastAsia"/>
              </w:rPr>
              <w:t>1.62</w:t>
            </w:r>
          </w:p>
        </w:tc>
        <w:tc>
          <w:tcPr>
            <w:tcW w:w="552" w:type="pct"/>
            <w:vAlign w:val="center"/>
          </w:tcPr>
          <w:p w14:paraId="07659597">
            <w:pPr>
              <w:pStyle w:val="196"/>
            </w:pPr>
            <w:r>
              <w:rPr>
                <w:rFonts w:hint="eastAsia"/>
              </w:rPr>
              <w:t>/</w:t>
            </w:r>
          </w:p>
        </w:tc>
        <w:tc>
          <w:tcPr>
            <w:tcW w:w="1943" w:type="pct"/>
            <w:vMerge w:val="restart"/>
            <w:vAlign w:val="center"/>
          </w:tcPr>
          <w:p w14:paraId="5F286525">
            <w:pPr>
              <w:pStyle w:val="196"/>
            </w:pPr>
            <w:r>
              <w:rPr>
                <w:rFonts w:hint="eastAsia"/>
              </w:rPr>
              <w:t>陆域施工生活污水依托国能涟水一期热电联产项目施工生活区临时生活污水处理站进行处理，不外排。</w:t>
            </w:r>
          </w:p>
        </w:tc>
      </w:tr>
      <w:tr w14:paraId="70A7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133A153B">
            <w:pPr>
              <w:pStyle w:val="196"/>
            </w:pPr>
          </w:p>
        </w:tc>
        <w:tc>
          <w:tcPr>
            <w:tcW w:w="538" w:type="pct"/>
            <w:vAlign w:val="center"/>
          </w:tcPr>
          <w:p w14:paraId="364D4277">
            <w:pPr>
              <w:pStyle w:val="196"/>
            </w:pPr>
            <w:r>
              <w:rPr>
                <w:rFonts w:hint="eastAsia"/>
              </w:rPr>
              <w:t>SS</w:t>
            </w:r>
          </w:p>
        </w:tc>
        <w:tc>
          <w:tcPr>
            <w:tcW w:w="565" w:type="pct"/>
            <w:vAlign w:val="center"/>
          </w:tcPr>
          <w:p w14:paraId="4CFB9464">
            <w:pPr>
              <w:pStyle w:val="196"/>
            </w:pPr>
            <w:r>
              <w:rPr>
                <w:rFonts w:hint="eastAsia"/>
              </w:rPr>
              <w:t>kg/d</w:t>
            </w:r>
          </w:p>
        </w:tc>
        <w:tc>
          <w:tcPr>
            <w:tcW w:w="574" w:type="pct"/>
            <w:vAlign w:val="center"/>
          </w:tcPr>
          <w:p w14:paraId="6A788CE7">
            <w:pPr>
              <w:pStyle w:val="196"/>
            </w:pPr>
            <w:r>
              <w:rPr>
                <w:rFonts w:hint="eastAsia"/>
              </w:rPr>
              <w:t>1.22</w:t>
            </w:r>
          </w:p>
        </w:tc>
        <w:tc>
          <w:tcPr>
            <w:tcW w:w="552" w:type="pct"/>
            <w:vAlign w:val="center"/>
          </w:tcPr>
          <w:p w14:paraId="2DC26C2F">
            <w:pPr>
              <w:pStyle w:val="196"/>
            </w:pPr>
            <w:r>
              <w:rPr>
                <w:rFonts w:hint="eastAsia"/>
              </w:rPr>
              <w:t>/</w:t>
            </w:r>
          </w:p>
        </w:tc>
        <w:tc>
          <w:tcPr>
            <w:tcW w:w="0" w:type="auto"/>
            <w:vMerge w:val="continue"/>
            <w:vAlign w:val="center"/>
          </w:tcPr>
          <w:p w14:paraId="16BD20FE">
            <w:pPr>
              <w:pStyle w:val="196"/>
            </w:pPr>
          </w:p>
        </w:tc>
      </w:tr>
      <w:tr w14:paraId="3F45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607C907D">
            <w:pPr>
              <w:pStyle w:val="196"/>
            </w:pPr>
          </w:p>
        </w:tc>
        <w:tc>
          <w:tcPr>
            <w:tcW w:w="538" w:type="pct"/>
            <w:vAlign w:val="center"/>
          </w:tcPr>
          <w:p w14:paraId="25C00086">
            <w:pPr>
              <w:pStyle w:val="196"/>
            </w:pPr>
            <w:r>
              <w:rPr>
                <w:rFonts w:hint="eastAsia"/>
              </w:rPr>
              <w:t>NH</w:t>
            </w:r>
            <w:r>
              <w:rPr>
                <w:rFonts w:hint="eastAsia"/>
                <w:vertAlign w:val="subscript"/>
              </w:rPr>
              <w:t>3</w:t>
            </w:r>
            <w:r>
              <w:rPr>
                <w:rFonts w:hint="eastAsia"/>
              </w:rPr>
              <w:t>-N</w:t>
            </w:r>
          </w:p>
        </w:tc>
        <w:tc>
          <w:tcPr>
            <w:tcW w:w="565" w:type="pct"/>
            <w:vAlign w:val="center"/>
          </w:tcPr>
          <w:p w14:paraId="51E0EAD9">
            <w:pPr>
              <w:pStyle w:val="196"/>
            </w:pPr>
            <w:r>
              <w:rPr>
                <w:rFonts w:hint="eastAsia"/>
              </w:rPr>
              <w:t>kg/d</w:t>
            </w:r>
          </w:p>
        </w:tc>
        <w:tc>
          <w:tcPr>
            <w:tcW w:w="574" w:type="pct"/>
            <w:vAlign w:val="center"/>
          </w:tcPr>
          <w:p w14:paraId="3C9E5C53">
            <w:pPr>
              <w:pStyle w:val="196"/>
            </w:pPr>
            <w:r>
              <w:rPr>
                <w:rFonts w:hint="eastAsia"/>
              </w:rPr>
              <w:t>0.16</w:t>
            </w:r>
          </w:p>
        </w:tc>
        <w:tc>
          <w:tcPr>
            <w:tcW w:w="552" w:type="pct"/>
            <w:vAlign w:val="center"/>
          </w:tcPr>
          <w:p w14:paraId="2248BFA9">
            <w:pPr>
              <w:pStyle w:val="196"/>
            </w:pPr>
            <w:r>
              <w:rPr>
                <w:rFonts w:hint="eastAsia"/>
              </w:rPr>
              <w:t>/</w:t>
            </w:r>
          </w:p>
        </w:tc>
        <w:tc>
          <w:tcPr>
            <w:tcW w:w="0" w:type="auto"/>
            <w:vMerge w:val="continue"/>
            <w:vAlign w:val="center"/>
          </w:tcPr>
          <w:p w14:paraId="5BED7243">
            <w:pPr>
              <w:pStyle w:val="196"/>
            </w:pPr>
          </w:p>
        </w:tc>
      </w:tr>
      <w:tr w14:paraId="07DA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6195A3B7">
            <w:pPr>
              <w:pStyle w:val="196"/>
            </w:pPr>
          </w:p>
        </w:tc>
        <w:tc>
          <w:tcPr>
            <w:tcW w:w="538" w:type="pct"/>
            <w:vAlign w:val="center"/>
          </w:tcPr>
          <w:p w14:paraId="44B69BAA">
            <w:pPr>
              <w:pStyle w:val="196"/>
            </w:pPr>
            <w:r>
              <w:rPr>
                <w:rFonts w:hint="eastAsia"/>
              </w:rPr>
              <w:t>TN</w:t>
            </w:r>
          </w:p>
        </w:tc>
        <w:tc>
          <w:tcPr>
            <w:tcW w:w="565" w:type="pct"/>
            <w:vAlign w:val="center"/>
          </w:tcPr>
          <w:p w14:paraId="2C7EB016">
            <w:pPr>
              <w:pStyle w:val="196"/>
            </w:pPr>
            <w:r>
              <w:rPr>
                <w:rFonts w:hint="eastAsia"/>
              </w:rPr>
              <w:t>kg/d</w:t>
            </w:r>
          </w:p>
        </w:tc>
        <w:tc>
          <w:tcPr>
            <w:tcW w:w="574" w:type="pct"/>
            <w:vAlign w:val="center"/>
          </w:tcPr>
          <w:p w14:paraId="133601FA">
            <w:pPr>
              <w:pStyle w:val="196"/>
            </w:pPr>
            <w:r>
              <w:rPr>
                <w:rFonts w:hint="eastAsia"/>
              </w:rPr>
              <w:t>0.20</w:t>
            </w:r>
          </w:p>
        </w:tc>
        <w:tc>
          <w:tcPr>
            <w:tcW w:w="552" w:type="pct"/>
            <w:vAlign w:val="center"/>
          </w:tcPr>
          <w:p w14:paraId="19F6A053">
            <w:pPr>
              <w:pStyle w:val="196"/>
            </w:pPr>
            <w:r>
              <w:rPr>
                <w:rFonts w:hint="eastAsia"/>
              </w:rPr>
              <w:t>/</w:t>
            </w:r>
          </w:p>
        </w:tc>
        <w:tc>
          <w:tcPr>
            <w:tcW w:w="0" w:type="auto"/>
            <w:vMerge w:val="continue"/>
            <w:vAlign w:val="center"/>
          </w:tcPr>
          <w:p w14:paraId="25715517">
            <w:pPr>
              <w:pStyle w:val="196"/>
            </w:pPr>
          </w:p>
        </w:tc>
      </w:tr>
      <w:tr w14:paraId="39E2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52E5E3CF">
            <w:pPr>
              <w:pStyle w:val="196"/>
            </w:pPr>
          </w:p>
        </w:tc>
        <w:tc>
          <w:tcPr>
            <w:tcW w:w="538" w:type="pct"/>
            <w:vAlign w:val="center"/>
          </w:tcPr>
          <w:p w14:paraId="586154FD">
            <w:pPr>
              <w:pStyle w:val="196"/>
            </w:pPr>
            <w:r>
              <w:rPr>
                <w:rFonts w:hint="eastAsia"/>
              </w:rPr>
              <w:t>TP</w:t>
            </w:r>
          </w:p>
        </w:tc>
        <w:tc>
          <w:tcPr>
            <w:tcW w:w="565" w:type="pct"/>
            <w:vAlign w:val="center"/>
          </w:tcPr>
          <w:p w14:paraId="2906511E">
            <w:pPr>
              <w:pStyle w:val="196"/>
            </w:pPr>
            <w:r>
              <w:rPr>
                <w:rFonts w:hint="eastAsia"/>
              </w:rPr>
              <w:t>kg/d</w:t>
            </w:r>
          </w:p>
        </w:tc>
        <w:tc>
          <w:tcPr>
            <w:tcW w:w="574" w:type="pct"/>
            <w:vAlign w:val="center"/>
          </w:tcPr>
          <w:p w14:paraId="7262B241">
            <w:pPr>
              <w:pStyle w:val="196"/>
            </w:pPr>
            <w:r>
              <w:rPr>
                <w:rFonts w:hint="eastAsia"/>
              </w:rPr>
              <w:t>0.04</w:t>
            </w:r>
          </w:p>
        </w:tc>
        <w:tc>
          <w:tcPr>
            <w:tcW w:w="552" w:type="pct"/>
            <w:vAlign w:val="center"/>
          </w:tcPr>
          <w:p w14:paraId="4F5D56F5">
            <w:pPr>
              <w:pStyle w:val="196"/>
            </w:pPr>
            <w:r>
              <w:rPr>
                <w:rFonts w:hint="eastAsia"/>
              </w:rPr>
              <w:t>/</w:t>
            </w:r>
          </w:p>
        </w:tc>
        <w:tc>
          <w:tcPr>
            <w:tcW w:w="0" w:type="auto"/>
            <w:vMerge w:val="continue"/>
            <w:vAlign w:val="center"/>
          </w:tcPr>
          <w:p w14:paraId="4ADDCBD8">
            <w:pPr>
              <w:pStyle w:val="196"/>
            </w:pPr>
          </w:p>
        </w:tc>
      </w:tr>
      <w:tr w14:paraId="49310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28" w:type="pct"/>
            <w:vMerge w:val="restart"/>
            <w:vAlign w:val="center"/>
          </w:tcPr>
          <w:p w14:paraId="2FD8E0D8">
            <w:pPr>
              <w:pStyle w:val="196"/>
            </w:pPr>
            <w:r>
              <w:rPr>
                <w:rFonts w:hint="eastAsia"/>
              </w:rPr>
              <w:t>施工车辆及机械冲洗废水</w:t>
            </w:r>
          </w:p>
        </w:tc>
        <w:tc>
          <w:tcPr>
            <w:tcW w:w="538" w:type="pct"/>
            <w:vAlign w:val="center"/>
          </w:tcPr>
          <w:p w14:paraId="2E367DB6">
            <w:pPr>
              <w:pStyle w:val="196"/>
            </w:pPr>
            <w:r>
              <w:rPr>
                <w:rFonts w:hint="eastAsia"/>
              </w:rPr>
              <w:t>COD</w:t>
            </w:r>
          </w:p>
        </w:tc>
        <w:tc>
          <w:tcPr>
            <w:tcW w:w="565" w:type="pct"/>
            <w:vAlign w:val="center"/>
          </w:tcPr>
          <w:p w14:paraId="7B816E47">
            <w:pPr>
              <w:pStyle w:val="196"/>
            </w:pPr>
            <w:r>
              <w:rPr>
                <w:rFonts w:hint="eastAsia"/>
              </w:rPr>
              <w:t>kg/d</w:t>
            </w:r>
          </w:p>
        </w:tc>
        <w:tc>
          <w:tcPr>
            <w:tcW w:w="574" w:type="pct"/>
            <w:vAlign w:val="center"/>
          </w:tcPr>
          <w:p w14:paraId="2F709EB8">
            <w:pPr>
              <w:pStyle w:val="196"/>
            </w:pPr>
            <w:r>
              <w:rPr>
                <w:rFonts w:hint="eastAsia"/>
              </w:rPr>
              <w:t>1.44</w:t>
            </w:r>
          </w:p>
        </w:tc>
        <w:tc>
          <w:tcPr>
            <w:tcW w:w="552" w:type="pct"/>
            <w:vAlign w:val="center"/>
          </w:tcPr>
          <w:p w14:paraId="0E85B550">
            <w:pPr>
              <w:pStyle w:val="196"/>
            </w:pPr>
            <w:r>
              <w:rPr>
                <w:rFonts w:hint="eastAsia"/>
              </w:rPr>
              <w:t>/</w:t>
            </w:r>
          </w:p>
        </w:tc>
        <w:tc>
          <w:tcPr>
            <w:tcW w:w="1943" w:type="pct"/>
            <w:vMerge w:val="restart"/>
            <w:vAlign w:val="center"/>
          </w:tcPr>
          <w:p w14:paraId="3A8987F1">
            <w:pPr>
              <w:pStyle w:val="196"/>
            </w:pPr>
            <w:r>
              <w:rPr>
                <w:rFonts w:hint="eastAsia"/>
              </w:rPr>
              <w:t>施工车辆及机械冲洗废水经沉淀池预处理后用作场地洒水抑尘，不外排。</w:t>
            </w:r>
          </w:p>
        </w:tc>
      </w:tr>
      <w:tr w14:paraId="6062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78C54188">
            <w:pPr>
              <w:pStyle w:val="196"/>
            </w:pPr>
          </w:p>
        </w:tc>
        <w:tc>
          <w:tcPr>
            <w:tcW w:w="538" w:type="pct"/>
            <w:vAlign w:val="center"/>
          </w:tcPr>
          <w:p w14:paraId="426FEFEC">
            <w:pPr>
              <w:pStyle w:val="196"/>
            </w:pPr>
            <w:r>
              <w:rPr>
                <w:rFonts w:hint="eastAsia"/>
              </w:rPr>
              <w:t>SS</w:t>
            </w:r>
          </w:p>
        </w:tc>
        <w:tc>
          <w:tcPr>
            <w:tcW w:w="565" w:type="pct"/>
            <w:vAlign w:val="center"/>
          </w:tcPr>
          <w:p w14:paraId="5B5411C4">
            <w:pPr>
              <w:pStyle w:val="196"/>
            </w:pPr>
            <w:r>
              <w:rPr>
                <w:rFonts w:hint="eastAsia"/>
              </w:rPr>
              <w:t>kg/d</w:t>
            </w:r>
          </w:p>
        </w:tc>
        <w:tc>
          <w:tcPr>
            <w:tcW w:w="574" w:type="pct"/>
            <w:vAlign w:val="center"/>
          </w:tcPr>
          <w:p w14:paraId="433A6EA9">
            <w:pPr>
              <w:pStyle w:val="196"/>
            </w:pPr>
            <w:r>
              <w:rPr>
                <w:rFonts w:hint="eastAsia"/>
              </w:rPr>
              <w:t>2.88</w:t>
            </w:r>
          </w:p>
        </w:tc>
        <w:tc>
          <w:tcPr>
            <w:tcW w:w="552" w:type="pct"/>
            <w:vAlign w:val="center"/>
          </w:tcPr>
          <w:p w14:paraId="33B416CC">
            <w:pPr>
              <w:pStyle w:val="196"/>
            </w:pPr>
            <w:r>
              <w:rPr>
                <w:rFonts w:hint="eastAsia"/>
              </w:rPr>
              <w:t>/</w:t>
            </w:r>
          </w:p>
        </w:tc>
        <w:tc>
          <w:tcPr>
            <w:tcW w:w="0" w:type="auto"/>
            <w:vMerge w:val="continue"/>
            <w:vAlign w:val="center"/>
          </w:tcPr>
          <w:p w14:paraId="1EDB5BF0">
            <w:pPr>
              <w:pStyle w:val="196"/>
            </w:pPr>
          </w:p>
        </w:tc>
      </w:tr>
      <w:tr w14:paraId="6E0C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Merge w:val="continue"/>
            <w:vAlign w:val="center"/>
          </w:tcPr>
          <w:p w14:paraId="4B30CA1D">
            <w:pPr>
              <w:pStyle w:val="196"/>
            </w:pPr>
          </w:p>
        </w:tc>
        <w:tc>
          <w:tcPr>
            <w:tcW w:w="538" w:type="pct"/>
            <w:vAlign w:val="center"/>
          </w:tcPr>
          <w:p w14:paraId="29C68F6E">
            <w:pPr>
              <w:pStyle w:val="196"/>
            </w:pPr>
            <w:r>
              <w:rPr>
                <w:rFonts w:hint="eastAsia"/>
              </w:rPr>
              <w:t>石油类</w:t>
            </w:r>
          </w:p>
        </w:tc>
        <w:tc>
          <w:tcPr>
            <w:tcW w:w="565" w:type="pct"/>
            <w:vAlign w:val="center"/>
          </w:tcPr>
          <w:p w14:paraId="41794115">
            <w:pPr>
              <w:pStyle w:val="196"/>
            </w:pPr>
            <w:r>
              <w:rPr>
                <w:rFonts w:hint="eastAsia"/>
              </w:rPr>
              <w:t>kg/d</w:t>
            </w:r>
          </w:p>
        </w:tc>
        <w:tc>
          <w:tcPr>
            <w:tcW w:w="574" w:type="pct"/>
            <w:vAlign w:val="center"/>
          </w:tcPr>
          <w:p w14:paraId="63C29F77">
            <w:pPr>
              <w:pStyle w:val="196"/>
            </w:pPr>
            <w:r>
              <w:rPr>
                <w:rFonts w:hint="eastAsia"/>
              </w:rPr>
              <w:t>1.15</w:t>
            </w:r>
          </w:p>
        </w:tc>
        <w:tc>
          <w:tcPr>
            <w:tcW w:w="552" w:type="pct"/>
            <w:vAlign w:val="center"/>
          </w:tcPr>
          <w:p w14:paraId="3C6C7418">
            <w:pPr>
              <w:pStyle w:val="196"/>
            </w:pPr>
            <w:r>
              <w:rPr>
                <w:rFonts w:hint="eastAsia"/>
              </w:rPr>
              <w:t>/</w:t>
            </w:r>
          </w:p>
        </w:tc>
        <w:tc>
          <w:tcPr>
            <w:tcW w:w="0" w:type="auto"/>
            <w:vMerge w:val="continue"/>
            <w:vAlign w:val="center"/>
          </w:tcPr>
          <w:p w14:paraId="27AE8AB9">
            <w:pPr>
              <w:pStyle w:val="196"/>
            </w:pPr>
          </w:p>
        </w:tc>
      </w:tr>
      <w:tr w14:paraId="1DA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0" w:type="auto"/>
            <w:vAlign w:val="center"/>
          </w:tcPr>
          <w:p w14:paraId="04228FDF">
            <w:pPr>
              <w:pStyle w:val="196"/>
            </w:pPr>
            <w:r>
              <w:rPr>
                <w:rFonts w:hint="eastAsia"/>
              </w:rPr>
              <w:t>基坑排水</w:t>
            </w:r>
          </w:p>
        </w:tc>
        <w:tc>
          <w:tcPr>
            <w:tcW w:w="538" w:type="pct"/>
            <w:vAlign w:val="center"/>
          </w:tcPr>
          <w:p w14:paraId="3CF6032D">
            <w:pPr>
              <w:pStyle w:val="196"/>
            </w:pPr>
            <w:r>
              <w:rPr>
                <w:rFonts w:hint="eastAsia"/>
              </w:rPr>
              <w:t>SS</w:t>
            </w:r>
          </w:p>
        </w:tc>
        <w:tc>
          <w:tcPr>
            <w:tcW w:w="565" w:type="pct"/>
            <w:vAlign w:val="center"/>
          </w:tcPr>
          <w:p w14:paraId="44E4B2C9">
            <w:pPr>
              <w:pStyle w:val="196"/>
            </w:pPr>
            <w:r>
              <w:rPr>
                <w:rFonts w:hint="eastAsia"/>
              </w:rPr>
              <w:t>kg/d</w:t>
            </w:r>
          </w:p>
        </w:tc>
        <w:tc>
          <w:tcPr>
            <w:tcW w:w="574" w:type="pct"/>
            <w:vAlign w:val="center"/>
          </w:tcPr>
          <w:p w14:paraId="14AB8FE8">
            <w:pPr>
              <w:pStyle w:val="196"/>
            </w:pPr>
            <w:r>
              <w:rPr>
                <w:rFonts w:hint="eastAsia"/>
              </w:rPr>
              <w:t>0.68</w:t>
            </w:r>
          </w:p>
        </w:tc>
        <w:tc>
          <w:tcPr>
            <w:tcW w:w="552" w:type="pct"/>
            <w:vAlign w:val="center"/>
          </w:tcPr>
          <w:p w14:paraId="14BC6451">
            <w:pPr>
              <w:pStyle w:val="196"/>
            </w:pPr>
            <w:r>
              <w:rPr>
                <w:rFonts w:hint="eastAsia"/>
              </w:rPr>
              <w:t>/</w:t>
            </w:r>
          </w:p>
        </w:tc>
        <w:tc>
          <w:tcPr>
            <w:tcW w:w="0" w:type="auto"/>
            <w:vAlign w:val="center"/>
          </w:tcPr>
          <w:p w14:paraId="1A613146">
            <w:pPr>
              <w:pStyle w:val="196"/>
            </w:pPr>
            <w:r>
              <w:rPr>
                <w:rFonts w:hint="eastAsia"/>
              </w:rPr>
              <w:t>基坑排水采取静置沉淀一段时间待泥沙下沉后再抽排上清液，排至周边沟渠，并控制水位下降速率，避免泥浆水外排</w:t>
            </w:r>
          </w:p>
        </w:tc>
      </w:tr>
    </w:tbl>
    <w:p w14:paraId="734BFB6C">
      <w:pPr>
        <w:pStyle w:val="82"/>
      </w:pPr>
      <w:r>
        <w:rPr>
          <w:rFonts w:hint="eastAsia"/>
        </w:rPr>
        <w:t>噪声污染源强分析</w:t>
      </w:r>
    </w:p>
    <w:p w14:paraId="44F9646E">
      <w:pPr>
        <w:pStyle w:val="93"/>
      </w:pPr>
      <w:r>
        <w:rPr>
          <w:rFonts w:hint="eastAsia"/>
        </w:rPr>
        <w:t>施工机械、船舶和运输车辆的噪声是施工期间的主要噪声源。施工噪声在空气中衰减很快，峰值噪声达100dB（A）的汽车喇叭和船舶汽笛瞬间排放，正常使用的挖掘机、挖土机噪声声源80～90dB（A），其他主要噪声设备</w:t>
      </w:r>
      <w:r>
        <w:rPr>
          <w:rFonts w:hint="eastAsia"/>
          <w:lang w:eastAsia="zh-CN"/>
        </w:rPr>
        <w:t>简表</w:t>
      </w:r>
      <w:r>
        <w:rPr>
          <w:rFonts w:hint="eastAsia"/>
        </w:rPr>
        <w:t>3.7-7。</w:t>
      </w:r>
    </w:p>
    <w:p w14:paraId="2E8EB617">
      <w:pPr>
        <w:pStyle w:val="86"/>
      </w:pPr>
      <w:r>
        <w:rPr>
          <w:rFonts w:hint="eastAsia"/>
        </w:rPr>
        <w:t>施工噪声源强一览表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3"/>
        <w:gridCol w:w="1136"/>
        <w:gridCol w:w="1209"/>
        <w:gridCol w:w="1209"/>
        <w:gridCol w:w="1209"/>
        <w:gridCol w:w="1209"/>
        <w:gridCol w:w="1210"/>
      </w:tblGrid>
      <w:tr w14:paraId="0BD0B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jc w:val="center"/>
        </w:trPr>
        <w:tc>
          <w:tcPr>
            <w:tcW w:w="681" w:type="pct"/>
            <w:vAlign w:val="center"/>
          </w:tcPr>
          <w:p w14:paraId="33EC59F0">
            <w:pPr>
              <w:pStyle w:val="196"/>
            </w:pPr>
            <w:r>
              <w:rPr>
                <w:rFonts w:hint="eastAsia"/>
              </w:rPr>
              <w:t>序号</w:t>
            </w:r>
          </w:p>
        </w:tc>
        <w:tc>
          <w:tcPr>
            <w:tcW w:w="683" w:type="pct"/>
            <w:vAlign w:val="center"/>
          </w:tcPr>
          <w:p w14:paraId="0D430DE7">
            <w:pPr>
              <w:pStyle w:val="196"/>
            </w:pPr>
            <w:r>
              <w:rPr>
                <w:rFonts w:hint="eastAsia"/>
              </w:rPr>
              <w:t>施工机械名称</w:t>
            </w:r>
          </w:p>
        </w:tc>
        <w:tc>
          <w:tcPr>
            <w:tcW w:w="727" w:type="pct"/>
            <w:vAlign w:val="center"/>
          </w:tcPr>
          <w:p w14:paraId="607915DB">
            <w:pPr>
              <w:pStyle w:val="196"/>
            </w:pPr>
            <w:r>
              <w:rPr>
                <w:rFonts w:hint="eastAsia"/>
              </w:rPr>
              <w:t>数量（辆）</w:t>
            </w:r>
          </w:p>
        </w:tc>
        <w:tc>
          <w:tcPr>
            <w:tcW w:w="727" w:type="pct"/>
            <w:vAlign w:val="center"/>
          </w:tcPr>
          <w:p w14:paraId="20486294">
            <w:pPr>
              <w:pStyle w:val="196"/>
            </w:pPr>
            <w:r>
              <w:rPr>
                <w:rFonts w:hint="eastAsia"/>
              </w:rPr>
              <w:t>位置</w:t>
            </w:r>
          </w:p>
        </w:tc>
        <w:tc>
          <w:tcPr>
            <w:tcW w:w="727" w:type="pct"/>
            <w:vAlign w:val="center"/>
          </w:tcPr>
          <w:p w14:paraId="13FA9073">
            <w:pPr>
              <w:pStyle w:val="196"/>
            </w:pPr>
            <w:r>
              <w:rPr>
                <w:rFonts w:hint="eastAsia"/>
              </w:rPr>
              <w:t>声源源强（dB（A））</w:t>
            </w:r>
          </w:p>
        </w:tc>
        <w:tc>
          <w:tcPr>
            <w:tcW w:w="727" w:type="pct"/>
            <w:vAlign w:val="center"/>
          </w:tcPr>
          <w:p w14:paraId="0E844699">
            <w:pPr>
              <w:pStyle w:val="196"/>
            </w:pPr>
            <w:r>
              <w:rPr>
                <w:rFonts w:hint="eastAsia"/>
              </w:rPr>
              <w:t>声源控制措施</w:t>
            </w:r>
          </w:p>
        </w:tc>
        <w:tc>
          <w:tcPr>
            <w:tcW w:w="727" w:type="pct"/>
            <w:vAlign w:val="center"/>
          </w:tcPr>
          <w:p w14:paraId="0395259D">
            <w:pPr>
              <w:pStyle w:val="196"/>
            </w:pPr>
            <w:r>
              <w:rPr>
                <w:rFonts w:hint="eastAsia"/>
              </w:rPr>
              <w:t>运行时段</w:t>
            </w:r>
          </w:p>
        </w:tc>
      </w:tr>
      <w:tr w14:paraId="602C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61F6F3BD">
            <w:pPr>
              <w:pStyle w:val="196"/>
            </w:pPr>
            <w:r>
              <w:rPr>
                <w:rFonts w:hint="eastAsia"/>
              </w:rPr>
              <w:t>1</w:t>
            </w:r>
          </w:p>
        </w:tc>
        <w:tc>
          <w:tcPr>
            <w:tcW w:w="683" w:type="pct"/>
            <w:vAlign w:val="center"/>
          </w:tcPr>
          <w:p w14:paraId="59F18BED">
            <w:pPr>
              <w:pStyle w:val="196"/>
            </w:pPr>
            <w:r>
              <w:rPr>
                <w:rFonts w:hint="eastAsia"/>
              </w:rPr>
              <w:t>载重车</w:t>
            </w:r>
          </w:p>
        </w:tc>
        <w:tc>
          <w:tcPr>
            <w:tcW w:w="727" w:type="pct"/>
            <w:vAlign w:val="center"/>
          </w:tcPr>
          <w:p w14:paraId="2291DD04">
            <w:pPr>
              <w:pStyle w:val="196"/>
            </w:pPr>
            <w:r>
              <w:rPr>
                <w:rFonts w:hint="eastAsia"/>
              </w:rPr>
              <w:t>3</w:t>
            </w:r>
          </w:p>
        </w:tc>
        <w:tc>
          <w:tcPr>
            <w:tcW w:w="727" w:type="pct"/>
            <w:vMerge w:val="restart"/>
            <w:vAlign w:val="center"/>
          </w:tcPr>
          <w:p w14:paraId="50D894BB">
            <w:pPr>
              <w:pStyle w:val="196"/>
            </w:pPr>
            <w:r>
              <w:rPr>
                <w:rFonts w:hint="eastAsia"/>
              </w:rPr>
              <w:t>施工场地内</w:t>
            </w:r>
          </w:p>
        </w:tc>
        <w:tc>
          <w:tcPr>
            <w:tcW w:w="727" w:type="pct"/>
            <w:vAlign w:val="center"/>
          </w:tcPr>
          <w:p w14:paraId="1FCE9F34">
            <w:pPr>
              <w:pStyle w:val="196"/>
            </w:pPr>
            <w:r>
              <w:rPr>
                <w:rFonts w:hint="eastAsia"/>
              </w:rPr>
              <w:t>85</w:t>
            </w:r>
          </w:p>
        </w:tc>
        <w:tc>
          <w:tcPr>
            <w:tcW w:w="727" w:type="pct"/>
            <w:vMerge w:val="restart"/>
            <w:vAlign w:val="center"/>
          </w:tcPr>
          <w:p w14:paraId="54BE5C7D">
            <w:pPr>
              <w:pStyle w:val="196"/>
            </w:pPr>
            <w:r>
              <w:rPr>
                <w:rFonts w:hint="eastAsia"/>
              </w:rPr>
              <w:t>施工围挡</w:t>
            </w:r>
          </w:p>
        </w:tc>
        <w:tc>
          <w:tcPr>
            <w:tcW w:w="727" w:type="pct"/>
            <w:vMerge w:val="restart"/>
            <w:vAlign w:val="center"/>
          </w:tcPr>
          <w:p w14:paraId="25EF1602">
            <w:pPr>
              <w:pStyle w:val="196"/>
            </w:pPr>
            <w:r>
              <w:rPr>
                <w:rFonts w:hint="eastAsia"/>
              </w:rPr>
              <w:t>8</w:t>
            </w:r>
            <w:r>
              <w:rPr>
                <w:rFonts w:hint="eastAsia"/>
                <w:lang w:eastAsia="zh-CN"/>
              </w:rPr>
              <w:t>:</w:t>
            </w:r>
            <w:r>
              <w:rPr>
                <w:rFonts w:hint="eastAsia"/>
              </w:rPr>
              <w:t>00-18</w:t>
            </w:r>
            <w:r>
              <w:rPr>
                <w:rFonts w:hint="eastAsia"/>
                <w:lang w:eastAsia="zh-CN"/>
              </w:rPr>
              <w:t>:</w:t>
            </w:r>
            <w:r>
              <w:rPr>
                <w:rFonts w:hint="eastAsia"/>
              </w:rPr>
              <w:t>00，间歇</w:t>
            </w:r>
          </w:p>
        </w:tc>
      </w:tr>
      <w:tr w14:paraId="03B1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13595BD7">
            <w:pPr>
              <w:pStyle w:val="196"/>
            </w:pPr>
            <w:r>
              <w:rPr>
                <w:rFonts w:hint="eastAsia"/>
              </w:rPr>
              <w:t>2</w:t>
            </w:r>
          </w:p>
        </w:tc>
        <w:tc>
          <w:tcPr>
            <w:tcW w:w="683" w:type="pct"/>
            <w:vAlign w:val="center"/>
          </w:tcPr>
          <w:p w14:paraId="66250A04">
            <w:pPr>
              <w:pStyle w:val="196"/>
            </w:pPr>
            <w:r>
              <w:rPr>
                <w:rFonts w:hint="eastAsia"/>
              </w:rPr>
              <w:t>静压桩机</w:t>
            </w:r>
          </w:p>
        </w:tc>
        <w:tc>
          <w:tcPr>
            <w:tcW w:w="727" w:type="pct"/>
            <w:vAlign w:val="center"/>
          </w:tcPr>
          <w:p w14:paraId="35FE1D29">
            <w:pPr>
              <w:pStyle w:val="196"/>
            </w:pPr>
            <w:r>
              <w:rPr>
                <w:rFonts w:hint="eastAsia"/>
              </w:rPr>
              <w:t>1</w:t>
            </w:r>
          </w:p>
        </w:tc>
        <w:tc>
          <w:tcPr>
            <w:tcW w:w="727" w:type="pct"/>
            <w:vMerge w:val="continue"/>
            <w:vAlign w:val="center"/>
          </w:tcPr>
          <w:p w14:paraId="70B18256">
            <w:pPr>
              <w:pStyle w:val="196"/>
            </w:pPr>
          </w:p>
        </w:tc>
        <w:tc>
          <w:tcPr>
            <w:tcW w:w="727" w:type="pct"/>
            <w:vAlign w:val="center"/>
          </w:tcPr>
          <w:p w14:paraId="64E21247">
            <w:pPr>
              <w:pStyle w:val="196"/>
            </w:pPr>
            <w:r>
              <w:rPr>
                <w:rFonts w:hint="eastAsia"/>
              </w:rPr>
              <w:t>105</w:t>
            </w:r>
          </w:p>
        </w:tc>
        <w:tc>
          <w:tcPr>
            <w:tcW w:w="727" w:type="pct"/>
            <w:vMerge w:val="continue"/>
            <w:vAlign w:val="center"/>
          </w:tcPr>
          <w:p w14:paraId="4FE42381">
            <w:pPr>
              <w:pStyle w:val="196"/>
            </w:pPr>
          </w:p>
        </w:tc>
        <w:tc>
          <w:tcPr>
            <w:tcW w:w="727" w:type="pct"/>
            <w:vMerge w:val="continue"/>
            <w:vAlign w:val="center"/>
          </w:tcPr>
          <w:p w14:paraId="7E32F369">
            <w:pPr>
              <w:pStyle w:val="196"/>
            </w:pPr>
          </w:p>
        </w:tc>
      </w:tr>
      <w:tr w14:paraId="2C46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39027D45">
            <w:pPr>
              <w:pStyle w:val="196"/>
            </w:pPr>
            <w:r>
              <w:rPr>
                <w:rFonts w:hint="eastAsia"/>
              </w:rPr>
              <w:t>3</w:t>
            </w:r>
          </w:p>
        </w:tc>
        <w:tc>
          <w:tcPr>
            <w:tcW w:w="683" w:type="pct"/>
            <w:vAlign w:val="center"/>
          </w:tcPr>
          <w:p w14:paraId="2F8C8D18">
            <w:pPr>
              <w:pStyle w:val="196"/>
            </w:pPr>
            <w:r>
              <w:rPr>
                <w:rFonts w:hint="eastAsia"/>
              </w:rPr>
              <w:t>装载机</w:t>
            </w:r>
          </w:p>
        </w:tc>
        <w:tc>
          <w:tcPr>
            <w:tcW w:w="727" w:type="pct"/>
            <w:vAlign w:val="center"/>
          </w:tcPr>
          <w:p w14:paraId="3E0DA111">
            <w:pPr>
              <w:pStyle w:val="196"/>
            </w:pPr>
            <w:r>
              <w:rPr>
                <w:rFonts w:hint="eastAsia"/>
              </w:rPr>
              <w:t>1</w:t>
            </w:r>
          </w:p>
        </w:tc>
        <w:tc>
          <w:tcPr>
            <w:tcW w:w="727" w:type="pct"/>
            <w:vMerge w:val="continue"/>
            <w:vAlign w:val="center"/>
          </w:tcPr>
          <w:p w14:paraId="2BE8F0BA">
            <w:pPr>
              <w:pStyle w:val="196"/>
            </w:pPr>
          </w:p>
        </w:tc>
        <w:tc>
          <w:tcPr>
            <w:tcW w:w="727" w:type="pct"/>
            <w:vAlign w:val="center"/>
          </w:tcPr>
          <w:p w14:paraId="2267EA76">
            <w:pPr>
              <w:pStyle w:val="196"/>
            </w:pPr>
            <w:r>
              <w:rPr>
                <w:rFonts w:hint="eastAsia"/>
              </w:rPr>
              <w:t>90</w:t>
            </w:r>
          </w:p>
        </w:tc>
        <w:tc>
          <w:tcPr>
            <w:tcW w:w="727" w:type="pct"/>
            <w:vMerge w:val="continue"/>
            <w:vAlign w:val="center"/>
          </w:tcPr>
          <w:p w14:paraId="079A7102">
            <w:pPr>
              <w:pStyle w:val="196"/>
            </w:pPr>
          </w:p>
        </w:tc>
        <w:tc>
          <w:tcPr>
            <w:tcW w:w="727" w:type="pct"/>
            <w:vMerge w:val="continue"/>
            <w:vAlign w:val="center"/>
          </w:tcPr>
          <w:p w14:paraId="4AEE1FC9">
            <w:pPr>
              <w:pStyle w:val="196"/>
            </w:pPr>
          </w:p>
        </w:tc>
      </w:tr>
      <w:tr w14:paraId="655B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1C7EE397">
            <w:pPr>
              <w:pStyle w:val="196"/>
            </w:pPr>
            <w:r>
              <w:rPr>
                <w:rFonts w:hint="eastAsia"/>
              </w:rPr>
              <w:t>4</w:t>
            </w:r>
          </w:p>
        </w:tc>
        <w:tc>
          <w:tcPr>
            <w:tcW w:w="683" w:type="pct"/>
            <w:vAlign w:val="center"/>
          </w:tcPr>
          <w:p w14:paraId="4AEDCFE7">
            <w:pPr>
              <w:pStyle w:val="196"/>
            </w:pPr>
            <w:r>
              <w:rPr>
                <w:rFonts w:hint="eastAsia"/>
              </w:rPr>
              <w:t>推土机</w:t>
            </w:r>
          </w:p>
        </w:tc>
        <w:tc>
          <w:tcPr>
            <w:tcW w:w="727" w:type="pct"/>
            <w:vAlign w:val="center"/>
          </w:tcPr>
          <w:p w14:paraId="204DA5AA">
            <w:pPr>
              <w:pStyle w:val="196"/>
            </w:pPr>
            <w:r>
              <w:rPr>
                <w:rFonts w:hint="eastAsia"/>
              </w:rPr>
              <w:t>1</w:t>
            </w:r>
          </w:p>
        </w:tc>
        <w:tc>
          <w:tcPr>
            <w:tcW w:w="727" w:type="pct"/>
            <w:vMerge w:val="continue"/>
            <w:vAlign w:val="center"/>
          </w:tcPr>
          <w:p w14:paraId="5DD92EF1">
            <w:pPr>
              <w:pStyle w:val="196"/>
            </w:pPr>
          </w:p>
        </w:tc>
        <w:tc>
          <w:tcPr>
            <w:tcW w:w="727" w:type="pct"/>
            <w:vAlign w:val="center"/>
          </w:tcPr>
          <w:p w14:paraId="6FEAB8A0">
            <w:pPr>
              <w:pStyle w:val="196"/>
            </w:pPr>
            <w:r>
              <w:rPr>
                <w:rFonts w:hint="eastAsia"/>
              </w:rPr>
              <w:t>86</w:t>
            </w:r>
          </w:p>
        </w:tc>
        <w:tc>
          <w:tcPr>
            <w:tcW w:w="727" w:type="pct"/>
            <w:vMerge w:val="continue"/>
            <w:vAlign w:val="center"/>
          </w:tcPr>
          <w:p w14:paraId="1AB9D39B">
            <w:pPr>
              <w:pStyle w:val="196"/>
            </w:pPr>
          </w:p>
        </w:tc>
        <w:tc>
          <w:tcPr>
            <w:tcW w:w="727" w:type="pct"/>
            <w:vMerge w:val="continue"/>
            <w:vAlign w:val="center"/>
          </w:tcPr>
          <w:p w14:paraId="65F78FFD">
            <w:pPr>
              <w:pStyle w:val="196"/>
            </w:pPr>
          </w:p>
        </w:tc>
      </w:tr>
      <w:tr w14:paraId="446C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0B6D4AB1">
            <w:pPr>
              <w:pStyle w:val="196"/>
            </w:pPr>
            <w:r>
              <w:rPr>
                <w:rFonts w:hint="eastAsia"/>
              </w:rPr>
              <w:t>5</w:t>
            </w:r>
          </w:p>
        </w:tc>
        <w:tc>
          <w:tcPr>
            <w:tcW w:w="683" w:type="pct"/>
            <w:vAlign w:val="center"/>
          </w:tcPr>
          <w:p w14:paraId="7AD71E8C">
            <w:pPr>
              <w:pStyle w:val="196"/>
            </w:pPr>
            <w:r>
              <w:rPr>
                <w:rFonts w:hint="eastAsia"/>
              </w:rPr>
              <w:t>移动式吊车器</w:t>
            </w:r>
          </w:p>
        </w:tc>
        <w:tc>
          <w:tcPr>
            <w:tcW w:w="727" w:type="pct"/>
            <w:vAlign w:val="center"/>
          </w:tcPr>
          <w:p w14:paraId="29BBCE2E">
            <w:pPr>
              <w:pStyle w:val="196"/>
            </w:pPr>
            <w:r>
              <w:rPr>
                <w:rFonts w:hint="eastAsia"/>
              </w:rPr>
              <w:t>1</w:t>
            </w:r>
          </w:p>
        </w:tc>
        <w:tc>
          <w:tcPr>
            <w:tcW w:w="727" w:type="pct"/>
            <w:vMerge w:val="continue"/>
            <w:vAlign w:val="center"/>
          </w:tcPr>
          <w:p w14:paraId="24E19527">
            <w:pPr>
              <w:pStyle w:val="196"/>
            </w:pPr>
          </w:p>
        </w:tc>
        <w:tc>
          <w:tcPr>
            <w:tcW w:w="727" w:type="pct"/>
            <w:vAlign w:val="center"/>
          </w:tcPr>
          <w:p w14:paraId="7D23B5DB">
            <w:pPr>
              <w:pStyle w:val="196"/>
            </w:pPr>
            <w:r>
              <w:rPr>
                <w:rFonts w:hint="eastAsia"/>
              </w:rPr>
              <w:t>89</w:t>
            </w:r>
          </w:p>
        </w:tc>
        <w:tc>
          <w:tcPr>
            <w:tcW w:w="727" w:type="pct"/>
            <w:vMerge w:val="continue"/>
            <w:vAlign w:val="center"/>
          </w:tcPr>
          <w:p w14:paraId="5E0497B4">
            <w:pPr>
              <w:pStyle w:val="196"/>
            </w:pPr>
          </w:p>
        </w:tc>
        <w:tc>
          <w:tcPr>
            <w:tcW w:w="727" w:type="pct"/>
            <w:vMerge w:val="continue"/>
            <w:vAlign w:val="center"/>
          </w:tcPr>
          <w:p w14:paraId="713CCC0C">
            <w:pPr>
              <w:pStyle w:val="196"/>
            </w:pPr>
          </w:p>
        </w:tc>
      </w:tr>
      <w:tr w14:paraId="1257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681" w:type="pct"/>
            <w:vAlign w:val="center"/>
          </w:tcPr>
          <w:p w14:paraId="219888AF">
            <w:pPr>
              <w:pStyle w:val="196"/>
            </w:pPr>
            <w:r>
              <w:rPr>
                <w:rFonts w:hint="eastAsia"/>
              </w:rPr>
              <w:t>6</w:t>
            </w:r>
          </w:p>
        </w:tc>
        <w:tc>
          <w:tcPr>
            <w:tcW w:w="683" w:type="pct"/>
            <w:vAlign w:val="center"/>
          </w:tcPr>
          <w:p w14:paraId="73C06B73">
            <w:pPr>
              <w:pStyle w:val="196"/>
            </w:pPr>
            <w:r>
              <w:rPr>
                <w:rFonts w:hint="eastAsia"/>
              </w:rPr>
              <w:t>挖掘机</w:t>
            </w:r>
          </w:p>
        </w:tc>
        <w:tc>
          <w:tcPr>
            <w:tcW w:w="727" w:type="pct"/>
            <w:vAlign w:val="center"/>
          </w:tcPr>
          <w:p w14:paraId="37E71EBA">
            <w:pPr>
              <w:pStyle w:val="196"/>
            </w:pPr>
            <w:r>
              <w:rPr>
                <w:rFonts w:hint="eastAsia"/>
              </w:rPr>
              <w:t>2</w:t>
            </w:r>
          </w:p>
        </w:tc>
        <w:tc>
          <w:tcPr>
            <w:tcW w:w="727" w:type="pct"/>
            <w:vMerge w:val="continue"/>
            <w:vAlign w:val="center"/>
          </w:tcPr>
          <w:p w14:paraId="38929A77">
            <w:pPr>
              <w:pStyle w:val="196"/>
            </w:pPr>
          </w:p>
        </w:tc>
        <w:tc>
          <w:tcPr>
            <w:tcW w:w="727" w:type="pct"/>
            <w:vAlign w:val="center"/>
          </w:tcPr>
          <w:p w14:paraId="6B3C9959">
            <w:pPr>
              <w:pStyle w:val="196"/>
            </w:pPr>
            <w:r>
              <w:rPr>
                <w:rFonts w:hint="eastAsia"/>
              </w:rPr>
              <w:t>89</w:t>
            </w:r>
          </w:p>
        </w:tc>
        <w:tc>
          <w:tcPr>
            <w:tcW w:w="727" w:type="pct"/>
            <w:vMerge w:val="continue"/>
            <w:vAlign w:val="center"/>
          </w:tcPr>
          <w:p w14:paraId="0ED3EE89">
            <w:pPr>
              <w:pStyle w:val="196"/>
            </w:pPr>
          </w:p>
        </w:tc>
        <w:tc>
          <w:tcPr>
            <w:tcW w:w="727" w:type="pct"/>
            <w:vMerge w:val="continue"/>
            <w:vAlign w:val="center"/>
          </w:tcPr>
          <w:p w14:paraId="7372B357">
            <w:pPr>
              <w:pStyle w:val="196"/>
            </w:pPr>
          </w:p>
        </w:tc>
      </w:tr>
      <w:tr w14:paraId="3C80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81" w:type="pct"/>
            <w:vAlign w:val="center"/>
          </w:tcPr>
          <w:p w14:paraId="3071CF6E">
            <w:pPr>
              <w:pStyle w:val="196"/>
            </w:pPr>
            <w:r>
              <w:rPr>
                <w:rFonts w:hint="eastAsia"/>
              </w:rPr>
              <w:t>7</w:t>
            </w:r>
          </w:p>
        </w:tc>
        <w:tc>
          <w:tcPr>
            <w:tcW w:w="683" w:type="pct"/>
            <w:vAlign w:val="center"/>
          </w:tcPr>
          <w:p w14:paraId="192F6F41">
            <w:pPr>
              <w:pStyle w:val="196"/>
            </w:pPr>
            <w:r>
              <w:rPr>
                <w:rFonts w:hint="eastAsia"/>
              </w:rPr>
              <w:t>挖泥船</w:t>
            </w:r>
          </w:p>
        </w:tc>
        <w:tc>
          <w:tcPr>
            <w:tcW w:w="727" w:type="pct"/>
            <w:vAlign w:val="center"/>
          </w:tcPr>
          <w:p w14:paraId="4BCBBE3F">
            <w:pPr>
              <w:pStyle w:val="196"/>
            </w:pPr>
            <w:r>
              <w:rPr>
                <w:rFonts w:hint="eastAsia"/>
              </w:rPr>
              <w:t>1</w:t>
            </w:r>
          </w:p>
        </w:tc>
        <w:tc>
          <w:tcPr>
            <w:tcW w:w="727" w:type="pct"/>
            <w:vAlign w:val="center"/>
          </w:tcPr>
          <w:p w14:paraId="624E421D">
            <w:pPr>
              <w:pStyle w:val="196"/>
            </w:pPr>
            <w:r>
              <w:rPr>
                <w:rFonts w:hint="eastAsia"/>
              </w:rPr>
              <w:t>河道疏浚范围内</w:t>
            </w:r>
          </w:p>
        </w:tc>
        <w:tc>
          <w:tcPr>
            <w:tcW w:w="727" w:type="pct"/>
            <w:vAlign w:val="center"/>
          </w:tcPr>
          <w:p w14:paraId="6F4B3A75">
            <w:pPr>
              <w:pStyle w:val="196"/>
            </w:pPr>
            <w:r>
              <w:rPr>
                <w:rFonts w:hint="eastAsia"/>
              </w:rPr>
              <w:t>105</w:t>
            </w:r>
          </w:p>
        </w:tc>
        <w:tc>
          <w:tcPr>
            <w:tcW w:w="727" w:type="pct"/>
            <w:vAlign w:val="center"/>
          </w:tcPr>
          <w:p w14:paraId="340E983C">
            <w:pPr>
              <w:pStyle w:val="196"/>
            </w:pPr>
            <w:r>
              <w:rPr>
                <w:rFonts w:hint="eastAsia"/>
              </w:rPr>
              <w:t>/</w:t>
            </w:r>
          </w:p>
        </w:tc>
        <w:tc>
          <w:tcPr>
            <w:tcW w:w="727" w:type="pct"/>
            <w:vAlign w:val="center"/>
          </w:tcPr>
          <w:p w14:paraId="2EF307D8">
            <w:pPr>
              <w:pStyle w:val="196"/>
            </w:pPr>
            <w:r>
              <w:rPr>
                <w:rFonts w:hint="eastAsia"/>
              </w:rPr>
              <w:t>8</w:t>
            </w:r>
            <w:r>
              <w:rPr>
                <w:rFonts w:hint="eastAsia"/>
                <w:lang w:eastAsia="zh-CN"/>
              </w:rPr>
              <w:t>:</w:t>
            </w:r>
            <w:r>
              <w:rPr>
                <w:rFonts w:hint="eastAsia"/>
              </w:rPr>
              <w:t>00-18</w:t>
            </w:r>
            <w:r>
              <w:rPr>
                <w:rFonts w:hint="eastAsia"/>
                <w:lang w:eastAsia="zh-CN"/>
              </w:rPr>
              <w:t>:</w:t>
            </w:r>
            <w:r>
              <w:rPr>
                <w:rFonts w:hint="eastAsia"/>
              </w:rPr>
              <w:t>00，间歇</w:t>
            </w:r>
          </w:p>
        </w:tc>
      </w:tr>
    </w:tbl>
    <w:p w14:paraId="3239263A">
      <w:pPr>
        <w:pStyle w:val="91"/>
      </w:pPr>
      <w:r>
        <w:rPr>
          <w:rFonts w:hint="eastAsia"/>
        </w:rPr>
        <w:t>注：引自《</w:t>
      </w:r>
      <w:r>
        <w:rPr>
          <w:rFonts w:hint="eastAsia"/>
          <w:lang w:eastAsia="zh-CN"/>
        </w:rPr>
        <w:t>交通运输部</w:t>
      </w:r>
      <w:r>
        <w:rPr>
          <w:rFonts w:hint="eastAsia"/>
        </w:rPr>
        <w:t>环境保护设计规范》实测资料。</w:t>
      </w:r>
    </w:p>
    <w:p w14:paraId="557C4CB2">
      <w:pPr>
        <w:pStyle w:val="82"/>
      </w:pPr>
      <w:r>
        <w:rPr>
          <w:rFonts w:hint="eastAsia"/>
        </w:rPr>
        <w:t>固废污染源强分析</w:t>
      </w:r>
    </w:p>
    <w:p w14:paraId="1C972966">
      <w:pPr>
        <w:pStyle w:val="93"/>
      </w:pPr>
      <w:r>
        <w:rPr>
          <w:rFonts w:hint="eastAsia"/>
        </w:rPr>
        <w:t>施工期固体废物包括施工人员生活垃圾、施工建筑垃圾、弃土和施工废油泥。</w:t>
      </w:r>
    </w:p>
    <w:p w14:paraId="6E1BF4A2">
      <w:pPr>
        <w:pStyle w:val="93"/>
      </w:pPr>
      <w:r>
        <w:rPr>
          <w:rFonts w:hint="eastAsia"/>
        </w:rPr>
        <w:t>（1）施工人员生活垃圾</w:t>
      </w:r>
    </w:p>
    <w:p w14:paraId="4184EF1A">
      <w:pPr>
        <w:pStyle w:val="93"/>
      </w:pPr>
      <w:r>
        <w:rPr>
          <w:rFonts w:hint="eastAsia"/>
        </w:rPr>
        <w:t>本项目施工期间固体废弃物主要是施工垃圾及施工人员产生的生活垃圾。根据《城市生活垃圾产量计算预测方法》（CJ/T106-1999），施工人员生活垃圾发生量按1.0kg/人·d、施工人员30人及工期10个月计，则施工期施工人员生活垃圾发生量约9t。</w:t>
      </w:r>
    </w:p>
    <w:p w14:paraId="23D582DA">
      <w:pPr>
        <w:pStyle w:val="93"/>
      </w:pPr>
      <w:r>
        <w:rPr>
          <w:rFonts w:hint="eastAsia"/>
        </w:rPr>
        <w:t>本项目依托国能涟水一期热电联产项目施工</w:t>
      </w:r>
      <w:r>
        <w:rPr>
          <w:rFonts w:hint="eastAsia"/>
          <w:lang w:eastAsia="zh-CN"/>
        </w:rPr>
        <w:t>用</w:t>
      </w:r>
      <w:r>
        <w:rPr>
          <w:rFonts w:hint="eastAsia"/>
        </w:rPr>
        <w:t>地，不再新设。生活垃圾经垃圾桶收集后由环卫部门定期拖运至垃圾</w:t>
      </w:r>
      <w:r>
        <w:rPr>
          <w:rFonts w:hint="eastAsia"/>
          <w:lang w:eastAsia="zh-CN"/>
        </w:rPr>
        <w:t>处理厂</w:t>
      </w:r>
      <w:r>
        <w:rPr>
          <w:rFonts w:hint="eastAsia"/>
        </w:rPr>
        <w:t>处理。</w:t>
      </w:r>
    </w:p>
    <w:p w14:paraId="5109A6D5">
      <w:pPr>
        <w:pStyle w:val="93"/>
      </w:pPr>
      <w:r>
        <w:rPr>
          <w:rFonts w:hint="eastAsia"/>
        </w:rPr>
        <w:t>（2）施工建筑垃圾</w:t>
      </w:r>
    </w:p>
    <w:p w14:paraId="7A5217B6">
      <w:pPr>
        <w:pStyle w:val="93"/>
      </w:pPr>
      <w:r>
        <w:rPr>
          <w:rFonts w:hint="eastAsia"/>
        </w:rPr>
        <w:t>施工期间将产生一定数量废弃的建筑材料，如砂石、石灰、混凝土、木材、废砖等，类比同规模码头施工，施工建筑垃圾发生量约40t，大部分可以回收利用，剩余不可回收部分应按照相关规定的要求进行处置、管理，送至涟水县指定的建筑垃圾堆放场统一处置。</w:t>
      </w:r>
    </w:p>
    <w:p w14:paraId="3A649542">
      <w:pPr>
        <w:pStyle w:val="93"/>
      </w:pPr>
      <w:r>
        <w:rPr>
          <w:rFonts w:hint="eastAsia"/>
        </w:rPr>
        <w:t>施工期间机械维修产生的少量含油废弃物集中收集后交有资质单位处理。</w:t>
      </w:r>
    </w:p>
    <w:p w14:paraId="3FBECD6F">
      <w:pPr>
        <w:pStyle w:val="93"/>
      </w:pPr>
      <w:r>
        <w:rPr>
          <w:rFonts w:hint="eastAsia"/>
        </w:rPr>
        <w:t>（3）施工取弃土</w:t>
      </w:r>
    </w:p>
    <w:p w14:paraId="15DBE79B">
      <w:pPr>
        <w:pStyle w:val="93"/>
      </w:pPr>
      <w:r>
        <w:rPr>
          <w:rFonts w:hint="eastAsia"/>
        </w:rPr>
        <w:t>根据《关于国能涟水一期热电联产项目水土保持方案的行政许可决定》（淮水许可〔2021〕62号）和《国能涟水一期热电联产项目水土保持方案报告书》，国能涟水一期热电联产项目借方9.10万m</w:t>
      </w:r>
      <w:r>
        <w:rPr>
          <w:rFonts w:hint="eastAsia"/>
          <w:vertAlign w:val="superscript"/>
        </w:rPr>
        <w:t>3</w:t>
      </w:r>
      <w:r>
        <w:rPr>
          <w:rFonts w:hint="eastAsia"/>
        </w:rPr>
        <w:t>（来源于配套码头工程</w:t>
      </w:r>
      <w:r>
        <w:rPr>
          <w:rFonts w:hint="eastAsia"/>
          <w:lang w:eastAsia="zh-CN"/>
        </w:rPr>
        <w:t>及</w:t>
      </w:r>
      <w:r>
        <w:rPr>
          <w:rFonts w:hint="eastAsia"/>
        </w:rPr>
        <w:t>本项目的挖方），本项目回填土方量9.7万m</w:t>
      </w:r>
      <w:r>
        <w:rPr>
          <w:rFonts w:hint="eastAsia"/>
          <w:vertAlign w:val="superscript"/>
        </w:rPr>
        <w:t>3</w:t>
      </w:r>
      <w:r>
        <w:rPr>
          <w:rFonts w:hint="eastAsia"/>
        </w:rPr>
        <w:t>，无弃方产生。</w:t>
      </w:r>
      <w:r>
        <w:rPr>
          <w:rStyle w:val="140"/>
          <w:rFonts w:hint="eastAsia"/>
          <w:color w:val="auto"/>
        </w:rPr>
        <w:t>其中，工程产生的水下方干化后弃方全部用于临时用地恢复，水上方产生的弃方供建设项目填土和护岸、道路地基回填等</w:t>
      </w:r>
      <w:r>
        <w:rPr>
          <w:rFonts w:hint="eastAsia"/>
        </w:rPr>
        <w:t>。</w:t>
      </w:r>
    </w:p>
    <w:p w14:paraId="3050D557">
      <w:pPr>
        <w:pStyle w:val="93"/>
      </w:pPr>
      <w:bookmarkStart w:id="181" w:name="_Hlk181747362"/>
      <w:bookmarkStart w:id="182" w:name="_Hlk181748198"/>
      <w:bookmarkStart w:id="183" w:name="_Hlk181747384"/>
      <w:r>
        <w:rPr>
          <w:rFonts w:hint="eastAsia"/>
        </w:rPr>
        <w:t>（4）施工废油泥、沉淀池污泥、化粪池污泥</w:t>
      </w:r>
    </w:p>
    <w:bookmarkEnd w:id="181"/>
    <w:p w14:paraId="28152EA4">
      <w:pPr>
        <w:pStyle w:val="139"/>
        <w:ind w:firstLine="480"/>
        <w:rPr>
          <w:color w:val="auto"/>
        </w:rPr>
      </w:pPr>
      <w:r>
        <w:rPr>
          <w:rFonts w:hint="eastAsia"/>
          <w:color w:val="auto"/>
        </w:rPr>
        <w:t>施工期废油泥主要是由车辆、机械设备冲洗隔油沉淀处理产生的。本项目产生的化粪池污泥为0.3t，沉淀池污泥0.5t。废油污泥按照施工车辆及机械冲洗废水中石油类浓度80mg/L，隔油效率80%计算，则每天产生废油污泥为</w:t>
      </w:r>
      <w:r>
        <w:rPr>
          <w:color w:val="auto"/>
        </w:rPr>
        <w:t>0.9216</w:t>
      </w:r>
      <w:r>
        <w:rPr>
          <w:rFonts w:hint="eastAsia"/>
          <w:color w:val="auto"/>
        </w:rPr>
        <w:t>kg/d，按照施工期施工车辆及机械冲洗200d计算，则废油污泥产生量为</w:t>
      </w:r>
      <w:r>
        <w:rPr>
          <w:color w:val="auto"/>
        </w:rPr>
        <w:t>0.184</w:t>
      </w:r>
      <w:r>
        <w:rPr>
          <w:rFonts w:hint="eastAsia"/>
          <w:color w:val="auto"/>
        </w:rPr>
        <w:t>t。</w:t>
      </w:r>
      <w:bookmarkEnd w:id="182"/>
    </w:p>
    <w:bookmarkEnd w:id="183"/>
    <w:p w14:paraId="4FAB20B8">
      <w:pPr>
        <w:pStyle w:val="93"/>
      </w:pPr>
      <w:r>
        <w:rPr>
          <w:rFonts w:hint="eastAsia"/>
        </w:rPr>
        <w:t>本项目依托国能涟水一期热电联产项目施工</w:t>
      </w:r>
      <w:r>
        <w:rPr>
          <w:rFonts w:hint="eastAsia"/>
          <w:lang w:eastAsia="zh-CN"/>
        </w:rPr>
        <w:t>用</w:t>
      </w:r>
      <w:r>
        <w:rPr>
          <w:rFonts w:hint="eastAsia"/>
        </w:rPr>
        <w:t>地，不再新设，化粪池污泥收集后交由当地环卫部门处置。本项目依托国能涟水一期热电联产项目临时施工场地内隔油池和沉淀池，不再新设，隔油池污泥交由专业资质单位处置，沉淀池污泥主要为泥沙，就地回填。</w:t>
      </w:r>
    </w:p>
    <w:p w14:paraId="73131632">
      <w:pPr>
        <w:pStyle w:val="93"/>
      </w:pPr>
      <w:r>
        <w:rPr>
          <w:rFonts w:hint="eastAsia"/>
        </w:rPr>
        <w:t>各种垃圾要分类堆放，不得随意弃于现场；工程弃土用于回填。</w:t>
      </w:r>
    </w:p>
    <w:p w14:paraId="3E4776D2">
      <w:pPr>
        <w:pStyle w:val="93"/>
      </w:pPr>
      <w:r>
        <w:rPr>
          <w:rFonts w:hint="eastAsia"/>
        </w:rPr>
        <w:t>施工期固体废物利用处置方式一览表见表3.7-7。</w:t>
      </w:r>
    </w:p>
    <w:p w14:paraId="56A63D77">
      <w:pPr>
        <w:pStyle w:val="86"/>
      </w:pPr>
      <w:r>
        <w:rPr>
          <w:rFonts w:hint="eastAsia"/>
        </w:rPr>
        <w:t>施工期固体废物利用处置方式一览表</w:t>
      </w:r>
    </w:p>
    <w:tbl>
      <w:tblPr>
        <w:tblStyle w:val="38"/>
        <w:tblW w:w="504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28" w:type="dxa"/>
          <w:left w:w="28" w:type="dxa"/>
          <w:bottom w:w="28" w:type="dxa"/>
          <w:right w:w="28" w:type="dxa"/>
        </w:tblCellMar>
      </w:tblPr>
      <w:tblGrid>
        <w:gridCol w:w="609"/>
        <w:gridCol w:w="788"/>
        <w:gridCol w:w="781"/>
        <w:gridCol w:w="1764"/>
        <w:gridCol w:w="1024"/>
        <w:gridCol w:w="849"/>
        <w:gridCol w:w="1983"/>
        <w:gridCol w:w="640"/>
      </w:tblGrid>
      <w:tr w14:paraId="1BD699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tblHeader/>
          <w:jc w:val="center"/>
        </w:trPr>
        <w:tc>
          <w:tcPr>
            <w:tcW w:w="361" w:type="pct"/>
            <w:tcBorders>
              <w:top w:val="single" w:color="auto" w:sz="6" w:space="0"/>
              <w:left w:val="single" w:color="auto" w:sz="6" w:space="0"/>
              <w:bottom w:val="single" w:color="auto" w:sz="4" w:space="0"/>
              <w:right w:val="single" w:color="auto" w:sz="4" w:space="0"/>
            </w:tcBorders>
            <w:vAlign w:val="center"/>
          </w:tcPr>
          <w:p w14:paraId="4290DCA4">
            <w:pPr>
              <w:pStyle w:val="196"/>
              <w:rPr>
                <w:b/>
                <w:bCs/>
              </w:rPr>
            </w:pPr>
            <w:r>
              <w:rPr>
                <w:rFonts w:hint="eastAsia"/>
                <w:b/>
                <w:bCs/>
              </w:rPr>
              <w:t>序号</w:t>
            </w:r>
          </w:p>
        </w:tc>
        <w:tc>
          <w:tcPr>
            <w:tcW w:w="467" w:type="pct"/>
            <w:tcBorders>
              <w:top w:val="single" w:color="auto" w:sz="6" w:space="0"/>
              <w:left w:val="single" w:color="auto" w:sz="4" w:space="0"/>
              <w:bottom w:val="single" w:color="auto" w:sz="4" w:space="0"/>
              <w:right w:val="single" w:color="auto" w:sz="4" w:space="0"/>
            </w:tcBorders>
            <w:vAlign w:val="center"/>
          </w:tcPr>
          <w:p w14:paraId="4A6D5452">
            <w:pPr>
              <w:pStyle w:val="196"/>
              <w:rPr>
                <w:b/>
                <w:bCs/>
              </w:rPr>
            </w:pPr>
            <w:r>
              <w:rPr>
                <w:rFonts w:hint="eastAsia"/>
                <w:b/>
                <w:bCs/>
              </w:rPr>
              <w:t>固废名称</w:t>
            </w:r>
          </w:p>
        </w:tc>
        <w:tc>
          <w:tcPr>
            <w:tcW w:w="463" w:type="pct"/>
            <w:tcBorders>
              <w:top w:val="single" w:color="auto" w:sz="6" w:space="0"/>
              <w:left w:val="single" w:color="auto" w:sz="4" w:space="0"/>
              <w:bottom w:val="single" w:color="auto" w:sz="4" w:space="0"/>
              <w:right w:val="single" w:color="auto" w:sz="4" w:space="0"/>
            </w:tcBorders>
            <w:vAlign w:val="center"/>
          </w:tcPr>
          <w:p w14:paraId="5F48B856">
            <w:pPr>
              <w:pStyle w:val="196"/>
              <w:rPr>
                <w:b/>
                <w:bCs/>
              </w:rPr>
            </w:pPr>
            <w:r>
              <w:rPr>
                <w:rFonts w:hint="eastAsia"/>
                <w:b/>
                <w:bCs/>
              </w:rPr>
              <w:t>产生工序</w:t>
            </w:r>
          </w:p>
        </w:tc>
        <w:tc>
          <w:tcPr>
            <w:tcW w:w="1045" w:type="pct"/>
            <w:tcBorders>
              <w:top w:val="single" w:color="auto" w:sz="6" w:space="0"/>
              <w:left w:val="single" w:color="auto" w:sz="4" w:space="0"/>
              <w:bottom w:val="single" w:color="auto" w:sz="4" w:space="0"/>
              <w:right w:val="single" w:color="auto" w:sz="4" w:space="0"/>
            </w:tcBorders>
            <w:vAlign w:val="center"/>
          </w:tcPr>
          <w:p w14:paraId="03D4A053">
            <w:pPr>
              <w:pStyle w:val="196"/>
              <w:rPr>
                <w:b/>
                <w:bCs/>
              </w:rPr>
            </w:pPr>
            <w:r>
              <w:rPr>
                <w:rFonts w:hint="eastAsia"/>
                <w:b/>
                <w:bCs/>
              </w:rPr>
              <w:t>属性（危险废物、一般工业固体废物或待鉴别）</w:t>
            </w:r>
          </w:p>
        </w:tc>
        <w:tc>
          <w:tcPr>
            <w:tcW w:w="607" w:type="pct"/>
            <w:tcBorders>
              <w:top w:val="single" w:color="auto" w:sz="6" w:space="0"/>
              <w:left w:val="single" w:color="auto" w:sz="4" w:space="0"/>
              <w:bottom w:val="single" w:color="auto" w:sz="4" w:space="0"/>
              <w:right w:val="single" w:color="auto" w:sz="4" w:space="0"/>
            </w:tcBorders>
            <w:vAlign w:val="center"/>
          </w:tcPr>
          <w:p w14:paraId="0F1744E8">
            <w:pPr>
              <w:pStyle w:val="196"/>
              <w:rPr>
                <w:b/>
                <w:bCs/>
              </w:rPr>
            </w:pPr>
            <w:r>
              <w:rPr>
                <w:rFonts w:hint="eastAsia"/>
                <w:b/>
                <w:bCs/>
              </w:rPr>
              <w:t>估算产生量（t/a）</w:t>
            </w:r>
          </w:p>
        </w:tc>
        <w:tc>
          <w:tcPr>
            <w:tcW w:w="503" w:type="pct"/>
            <w:tcBorders>
              <w:top w:val="single" w:color="auto" w:sz="6" w:space="0"/>
              <w:left w:val="single" w:color="auto" w:sz="4" w:space="0"/>
              <w:bottom w:val="single" w:color="auto" w:sz="4" w:space="0"/>
              <w:right w:val="single" w:color="auto" w:sz="4" w:space="0"/>
            </w:tcBorders>
            <w:vAlign w:val="center"/>
          </w:tcPr>
          <w:p w14:paraId="0ABB26F7">
            <w:pPr>
              <w:pStyle w:val="196"/>
              <w:rPr>
                <w:b/>
                <w:bCs/>
              </w:rPr>
            </w:pPr>
            <w:r>
              <w:rPr>
                <w:rFonts w:hint="eastAsia"/>
                <w:b/>
                <w:bCs/>
              </w:rPr>
              <w:t>利用/处置方式</w:t>
            </w:r>
          </w:p>
        </w:tc>
        <w:tc>
          <w:tcPr>
            <w:tcW w:w="1175" w:type="pct"/>
            <w:tcBorders>
              <w:top w:val="single" w:color="auto" w:sz="6" w:space="0"/>
              <w:left w:val="single" w:color="auto" w:sz="4" w:space="0"/>
              <w:bottom w:val="single" w:color="auto" w:sz="4" w:space="0"/>
              <w:right w:val="single" w:color="auto" w:sz="4" w:space="0"/>
            </w:tcBorders>
            <w:vAlign w:val="center"/>
          </w:tcPr>
          <w:p w14:paraId="48D28B6D">
            <w:pPr>
              <w:pStyle w:val="196"/>
              <w:rPr>
                <w:b/>
                <w:bCs/>
              </w:rPr>
            </w:pPr>
            <w:r>
              <w:rPr>
                <w:rFonts w:hint="eastAsia"/>
                <w:b/>
                <w:bCs/>
              </w:rPr>
              <w:t>利用/处置单位</w:t>
            </w:r>
          </w:p>
        </w:tc>
        <w:tc>
          <w:tcPr>
            <w:tcW w:w="380" w:type="pct"/>
            <w:tcBorders>
              <w:top w:val="single" w:color="auto" w:sz="6" w:space="0"/>
              <w:left w:val="single" w:color="auto" w:sz="4" w:space="0"/>
              <w:bottom w:val="single" w:color="auto" w:sz="4" w:space="0"/>
              <w:right w:val="single" w:color="auto" w:sz="6" w:space="0"/>
            </w:tcBorders>
            <w:vAlign w:val="center"/>
          </w:tcPr>
          <w:p w14:paraId="503BA931">
            <w:pPr>
              <w:pStyle w:val="196"/>
              <w:rPr>
                <w:b/>
                <w:bCs/>
              </w:rPr>
            </w:pPr>
            <w:r>
              <w:rPr>
                <w:rFonts w:hint="eastAsia"/>
                <w:b/>
                <w:bCs/>
              </w:rPr>
              <w:t>排放量（t）</w:t>
            </w:r>
          </w:p>
        </w:tc>
      </w:tr>
      <w:tr w14:paraId="562AB03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4" w:space="0"/>
              <w:right w:val="single" w:color="auto" w:sz="4" w:space="0"/>
            </w:tcBorders>
            <w:vAlign w:val="center"/>
          </w:tcPr>
          <w:p w14:paraId="12C83E78">
            <w:pPr>
              <w:pStyle w:val="196"/>
            </w:pPr>
            <w:r>
              <w:rPr>
                <w:rFonts w:hint="eastAsia"/>
              </w:rPr>
              <w:t>1</w:t>
            </w:r>
          </w:p>
        </w:tc>
        <w:tc>
          <w:tcPr>
            <w:tcW w:w="467" w:type="pct"/>
            <w:tcBorders>
              <w:top w:val="single" w:color="auto" w:sz="4" w:space="0"/>
              <w:left w:val="single" w:color="auto" w:sz="4" w:space="0"/>
              <w:bottom w:val="single" w:color="auto" w:sz="4" w:space="0"/>
              <w:right w:val="single" w:color="auto" w:sz="4" w:space="0"/>
            </w:tcBorders>
            <w:vAlign w:val="center"/>
          </w:tcPr>
          <w:p w14:paraId="27113599">
            <w:pPr>
              <w:pStyle w:val="196"/>
            </w:pPr>
            <w:r>
              <w:rPr>
                <w:rFonts w:hint="eastAsia"/>
              </w:rPr>
              <w:t>生活垃圾</w:t>
            </w:r>
          </w:p>
        </w:tc>
        <w:tc>
          <w:tcPr>
            <w:tcW w:w="463" w:type="pct"/>
            <w:tcBorders>
              <w:top w:val="single" w:color="auto" w:sz="4" w:space="0"/>
              <w:left w:val="single" w:color="auto" w:sz="4" w:space="0"/>
              <w:bottom w:val="single" w:color="auto" w:sz="4" w:space="0"/>
              <w:right w:val="single" w:color="auto" w:sz="4" w:space="0"/>
            </w:tcBorders>
            <w:vAlign w:val="center"/>
          </w:tcPr>
          <w:p w14:paraId="5A41E44E">
            <w:pPr>
              <w:pStyle w:val="196"/>
            </w:pPr>
            <w:r>
              <w:rPr>
                <w:rFonts w:hint="eastAsia"/>
              </w:rPr>
              <w:t>施工场地</w:t>
            </w:r>
          </w:p>
        </w:tc>
        <w:tc>
          <w:tcPr>
            <w:tcW w:w="1045" w:type="pct"/>
            <w:tcBorders>
              <w:top w:val="single" w:color="auto" w:sz="4" w:space="0"/>
              <w:left w:val="single" w:color="auto" w:sz="4" w:space="0"/>
              <w:bottom w:val="single" w:color="auto" w:sz="4" w:space="0"/>
              <w:right w:val="single" w:color="auto" w:sz="4" w:space="0"/>
            </w:tcBorders>
            <w:vAlign w:val="center"/>
          </w:tcPr>
          <w:p w14:paraId="2CE0673E">
            <w:pPr>
              <w:pStyle w:val="196"/>
            </w:pPr>
            <w:r>
              <w:rPr>
                <w:rFonts w:hint="eastAsia"/>
              </w:rPr>
              <w:t>一般固废</w:t>
            </w:r>
          </w:p>
        </w:tc>
        <w:tc>
          <w:tcPr>
            <w:tcW w:w="607" w:type="pct"/>
            <w:tcBorders>
              <w:top w:val="single" w:color="auto" w:sz="4" w:space="0"/>
              <w:left w:val="single" w:color="auto" w:sz="4" w:space="0"/>
              <w:bottom w:val="single" w:color="auto" w:sz="4" w:space="0"/>
              <w:right w:val="single" w:color="auto" w:sz="4" w:space="0"/>
            </w:tcBorders>
            <w:vAlign w:val="center"/>
          </w:tcPr>
          <w:p w14:paraId="37E5865F">
            <w:pPr>
              <w:pStyle w:val="196"/>
            </w:pPr>
            <w:r>
              <w:rPr>
                <w:rFonts w:hint="eastAsia"/>
              </w:rPr>
              <w:t>9t</w:t>
            </w:r>
          </w:p>
        </w:tc>
        <w:tc>
          <w:tcPr>
            <w:tcW w:w="503" w:type="pct"/>
            <w:tcBorders>
              <w:top w:val="single" w:color="auto" w:sz="4" w:space="0"/>
              <w:left w:val="single" w:color="auto" w:sz="4" w:space="0"/>
              <w:bottom w:val="single" w:color="auto" w:sz="4" w:space="0"/>
              <w:right w:val="single" w:color="auto" w:sz="4" w:space="0"/>
            </w:tcBorders>
            <w:vAlign w:val="center"/>
          </w:tcPr>
          <w:p w14:paraId="7B60C3F9">
            <w:pPr>
              <w:pStyle w:val="196"/>
            </w:pPr>
            <w:r>
              <w:rPr>
                <w:rFonts w:hint="eastAsia"/>
              </w:rPr>
              <w:t>处置</w:t>
            </w:r>
          </w:p>
        </w:tc>
        <w:tc>
          <w:tcPr>
            <w:tcW w:w="1175" w:type="pct"/>
            <w:vMerge w:val="restart"/>
            <w:tcBorders>
              <w:top w:val="single" w:color="auto" w:sz="4" w:space="0"/>
              <w:left w:val="single" w:color="auto" w:sz="4" w:space="0"/>
              <w:bottom w:val="single" w:color="auto" w:sz="4" w:space="0"/>
              <w:right w:val="single" w:color="auto" w:sz="4" w:space="0"/>
            </w:tcBorders>
            <w:vAlign w:val="center"/>
          </w:tcPr>
          <w:p w14:paraId="4A4B2303">
            <w:pPr>
              <w:pStyle w:val="196"/>
            </w:pPr>
            <w:r>
              <w:rPr>
                <w:rFonts w:hint="eastAsia"/>
              </w:rPr>
              <w:t>依托国能涟水一期热电联产项目施工营地，由环卫部门统一处置</w:t>
            </w:r>
          </w:p>
        </w:tc>
        <w:tc>
          <w:tcPr>
            <w:tcW w:w="380" w:type="pct"/>
            <w:tcBorders>
              <w:top w:val="single" w:color="auto" w:sz="4" w:space="0"/>
              <w:left w:val="single" w:color="auto" w:sz="4" w:space="0"/>
              <w:bottom w:val="single" w:color="auto" w:sz="4" w:space="0"/>
              <w:right w:val="single" w:color="auto" w:sz="6" w:space="0"/>
            </w:tcBorders>
            <w:vAlign w:val="center"/>
          </w:tcPr>
          <w:p w14:paraId="3F8B1829">
            <w:pPr>
              <w:pStyle w:val="196"/>
            </w:pPr>
            <w:r>
              <w:rPr>
                <w:rFonts w:hint="eastAsia"/>
              </w:rPr>
              <w:t>0</w:t>
            </w:r>
          </w:p>
        </w:tc>
      </w:tr>
      <w:tr w14:paraId="30DAB11D">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4" w:space="0"/>
              <w:right w:val="single" w:color="auto" w:sz="4" w:space="0"/>
            </w:tcBorders>
            <w:vAlign w:val="center"/>
          </w:tcPr>
          <w:p w14:paraId="3EB70738">
            <w:pPr>
              <w:pStyle w:val="196"/>
            </w:pPr>
            <w:r>
              <w:rPr>
                <w:rFonts w:hint="eastAsia"/>
              </w:rPr>
              <w:t>2</w:t>
            </w:r>
          </w:p>
        </w:tc>
        <w:tc>
          <w:tcPr>
            <w:tcW w:w="467" w:type="pct"/>
            <w:tcBorders>
              <w:top w:val="single" w:color="auto" w:sz="4" w:space="0"/>
              <w:left w:val="single" w:color="auto" w:sz="4" w:space="0"/>
              <w:bottom w:val="single" w:color="auto" w:sz="4" w:space="0"/>
              <w:right w:val="single" w:color="auto" w:sz="4" w:space="0"/>
            </w:tcBorders>
            <w:vAlign w:val="center"/>
          </w:tcPr>
          <w:p w14:paraId="0E9CD600">
            <w:pPr>
              <w:pStyle w:val="196"/>
            </w:pPr>
            <w:r>
              <w:rPr>
                <w:rFonts w:hint="eastAsia"/>
              </w:rPr>
              <w:t>化粪池污泥</w:t>
            </w:r>
          </w:p>
        </w:tc>
        <w:tc>
          <w:tcPr>
            <w:tcW w:w="463" w:type="pct"/>
            <w:tcBorders>
              <w:top w:val="single" w:color="auto" w:sz="4" w:space="0"/>
              <w:left w:val="single" w:color="auto" w:sz="4" w:space="0"/>
              <w:bottom w:val="single" w:color="auto" w:sz="4" w:space="0"/>
              <w:right w:val="single" w:color="auto" w:sz="4" w:space="0"/>
            </w:tcBorders>
            <w:vAlign w:val="center"/>
          </w:tcPr>
          <w:p w14:paraId="31CA6BA2">
            <w:pPr>
              <w:pStyle w:val="196"/>
            </w:pPr>
            <w:r>
              <w:rPr>
                <w:rFonts w:hint="eastAsia"/>
              </w:rPr>
              <w:t>生活污水处理</w:t>
            </w:r>
          </w:p>
        </w:tc>
        <w:tc>
          <w:tcPr>
            <w:tcW w:w="1045" w:type="pct"/>
            <w:tcBorders>
              <w:top w:val="single" w:color="auto" w:sz="4" w:space="0"/>
              <w:left w:val="single" w:color="auto" w:sz="4" w:space="0"/>
              <w:bottom w:val="single" w:color="auto" w:sz="4" w:space="0"/>
              <w:right w:val="single" w:color="auto" w:sz="4" w:space="0"/>
            </w:tcBorders>
            <w:vAlign w:val="center"/>
          </w:tcPr>
          <w:p w14:paraId="3D8FF114">
            <w:pPr>
              <w:pStyle w:val="196"/>
            </w:pPr>
            <w:r>
              <w:rPr>
                <w:rFonts w:hint="eastAsia"/>
              </w:rPr>
              <w:t>一般固废</w:t>
            </w:r>
          </w:p>
        </w:tc>
        <w:tc>
          <w:tcPr>
            <w:tcW w:w="607" w:type="pct"/>
            <w:tcBorders>
              <w:top w:val="single" w:color="auto" w:sz="4" w:space="0"/>
              <w:left w:val="single" w:color="auto" w:sz="4" w:space="0"/>
              <w:bottom w:val="single" w:color="auto" w:sz="4" w:space="0"/>
              <w:right w:val="single" w:color="auto" w:sz="4" w:space="0"/>
            </w:tcBorders>
            <w:vAlign w:val="center"/>
          </w:tcPr>
          <w:p w14:paraId="56207431">
            <w:pPr>
              <w:pStyle w:val="196"/>
            </w:pPr>
            <w:r>
              <w:rPr>
                <w:rFonts w:hint="eastAsia"/>
              </w:rPr>
              <w:t>0.3</w:t>
            </w:r>
          </w:p>
        </w:tc>
        <w:tc>
          <w:tcPr>
            <w:tcW w:w="503" w:type="pct"/>
            <w:tcBorders>
              <w:top w:val="single" w:color="auto" w:sz="4" w:space="0"/>
              <w:left w:val="single" w:color="auto" w:sz="4" w:space="0"/>
              <w:bottom w:val="single" w:color="auto" w:sz="4" w:space="0"/>
              <w:right w:val="single" w:color="auto" w:sz="4" w:space="0"/>
            </w:tcBorders>
            <w:vAlign w:val="center"/>
          </w:tcPr>
          <w:p w14:paraId="3616532B">
            <w:pPr>
              <w:pStyle w:val="196"/>
            </w:pPr>
            <w:r>
              <w:rPr>
                <w:rFonts w:hint="eastAsia"/>
              </w:rPr>
              <w:t>处置</w:t>
            </w:r>
          </w:p>
        </w:tc>
        <w:tc>
          <w:tcPr>
            <w:tcW w:w="1175" w:type="pct"/>
            <w:vMerge w:val="continue"/>
            <w:tcBorders>
              <w:top w:val="single" w:color="auto" w:sz="4" w:space="0"/>
              <w:left w:val="single" w:color="auto" w:sz="4" w:space="0"/>
              <w:bottom w:val="single" w:color="auto" w:sz="4" w:space="0"/>
              <w:right w:val="single" w:color="auto" w:sz="4" w:space="0"/>
            </w:tcBorders>
            <w:vAlign w:val="center"/>
          </w:tcPr>
          <w:p w14:paraId="11816A85">
            <w:pPr>
              <w:pStyle w:val="196"/>
            </w:pPr>
          </w:p>
        </w:tc>
        <w:tc>
          <w:tcPr>
            <w:tcW w:w="380" w:type="pct"/>
            <w:tcBorders>
              <w:top w:val="single" w:color="auto" w:sz="4" w:space="0"/>
              <w:left w:val="single" w:color="auto" w:sz="4" w:space="0"/>
              <w:bottom w:val="single" w:color="auto" w:sz="4" w:space="0"/>
              <w:right w:val="single" w:color="auto" w:sz="6" w:space="0"/>
            </w:tcBorders>
            <w:vAlign w:val="center"/>
          </w:tcPr>
          <w:p w14:paraId="2CE03840">
            <w:pPr>
              <w:pStyle w:val="196"/>
            </w:pPr>
            <w:r>
              <w:rPr>
                <w:rFonts w:hint="eastAsia"/>
              </w:rPr>
              <w:t>0</w:t>
            </w:r>
          </w:p>
        </w:tc>
      </w:tr>
      <w:tr w14:paraId="31D594C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4" w:space="0"/>
              <w:right w:val="single" w:color="auto" w:sz="4" w:space="0"/>
            </w:tcBorders>
            <w:vAlign w:val="center"/>
          </w:tcPr>
          <w:p w14:paraId="50C97269">
            <w:pPr>
              <w:pStyle w:val="196"/>
            </w:pPr>
            <w:r>
              <w:rPr>
                <w:rFonts w:hint="eastAsia"/>
              </w:rPr>
              <w:t>3</w:t>
            </w:r>
          </w:p>
        </w:tc>
        <w:tc>
          <w:tcPr>
            <w:tcW w:w="467" w:type="pct"/>
            <w:tcBorders>
              <w:top w:val="single" w:color="auto" w:sz="4" w:space="0"/>
              <w:left w:val="single" w:color="auto" w:sz="4" w:space="0"/>
              <w:bottom w:val="single" w:color="auto" w:sz="4" w:space="0"/>
              <w:right w:val="single" w:color="auto" w:sz="4" w:space="0"/>
            </w:tcBorders>
            <w:vAlign w:val="center"/>
          </w:tcPr>
          <w:p w14:paraId="5B370DEB">
            <w:pPr>
              <w:pStyle w:val="196"/>
            </w:pPr>
            <w:r>
              <w:rPr>
                <w:rFonts w:hint="eastAsia"/>
              </w:rPr>
              <w:t>沉淀污泥</w:t>
            </w:r>
          </w:p>
        </w:tc>
        <w:tc>
          <w:tcPr>
            <w:tcW w:w="463" w:type="pct"/>
            <w:tcBorders>
              <w:top w:val="single" w:color="auto" w:sz="4" w:space="0"/>
              <w:left w:val="single" w:color="auto" w:sz="4" w:space="0"/>
              <w:bottom w:val="single" w:color="auto" w:sz="4" w:space="0"/>
              <w:right w:val="single" w:color="auto" w:sz="4" w:space="0"/>
            </w:tcBorders>
            <w:vAlign w:val="center"/>
          </w:tcPr>
          <w:p w14:paraId="6A1DE029">
            <w:pPr>
              <w:pStyle w:val="196"/>
            </w:pPr>
            <w:r>
              <w:rPr>
                <w:rFonts w:hint="eastAsia"/>
              </w:rPr>
              <w:t>施工废水沉淀</w:t>
            </w:r>
          </w:p>
        </w:tc>
        <w:tc>
          <w:tcPr>
            <w:tcW w:w="1045" w:type="pct"/>
            <w:tcBorders>
              <w:top w:val="single" w:color="auto" w:sz="4" w:space="0"/>
              <w:left w:val="single" w:color="auto" w:sz="4" w:space="0"/>
              <w:bottom w:val="single" w:color="auto" w:sz="4" w:space="0"/>
              <w:right w:val="single" w:color="auto" w:sz="4" w:space="0"/>
            </w:tcBorders>
            <w:vAlign w:val="center"/>
          </w:tcPr>
          <w:p w14:paraId="172D8566">
            <w:pPr>
              <w:pStyle w:val="196"/>
            </w:pPr>
            <w:r>
              <w:rPr>
                <w:rFonts w:hint="eastAsia"/>
              </w:rPr>
              <w:t>一般固废</w:t>
            </w:r>
          </w:p>
        </w:tc>
        <w:tc>
          <w:tcPr>
            <w:tcW w:w="607" w:type="pct"/>
            <w:tcBorders>
              <w:top w:val="single" w:color="auto" w:sz="4" w:space="0"/>
              <w:left w:val="single" w:color="auto" w:sz="4" w:space="0"/>
              <w:bottom w:val="single" w:color="auto" w:sz="4" w:space="0"/>
              <w:right w:val="single" w:color="auto" w:sz="4" w:space="0"/>
            </w:tcBorders>
            <w:vAlign w:val="center"/>
          </w:tcPr>
          <w:p w14:paraId="4863613D">
            <w:pPr>
              <w:pStyle w:val="196"/>
            </w:pPr>
            <w:r>
              <w:rPr>
                <w:rFonts w:hint="eastAsia"/>
              </w:rPr>
              <w:t>0.5</w:t>
            </w:r>
          </w:p>
        </w:tc>
        <w:tc>
          <w:tcPr>
            <w:tcW w:w="503" w:type="pct"/>
            <w:tcBorders>
              <w:top w:val="single" w:color="auto" w:sz="4" w:space="0"/>
              <w:left w:val="single" w:color="auto" w:sz="4" w:space="0"/>
              <w:bottom w:val="single" w:color="auto" w:sz="4" w:space="0"/>
              <w:right w:val="single" w:color="auto" w:sz="4" w:space="0"/>
            </w:tcBorders>
            <w:vAlign w:val="center"/>
          </w:tcPr>
          <w:p w14:paraId="27962A11">
            <w:pPr>
              <w:pStyle w:val="196"/>
            </w:pPr>
            <w:r>
              <w:rPr>
                <w:rFonts w:hint="eastAsia"/>
              </w:rPr>
              <w:t>处置</w:t>
            </w:r>
          </w:p>
        </w:tc>
        <w:tc>
          <w:tcPr>
            <w:tcW w:w="1175" w:type="pct"/>
            <w:tcBorders>
              <w:top w:val="single" w:color="auto" w:sz="4" w:space="0"/>
              <w:left w:val="single" w:color="auto" w:sz="4" w:space="0"/>
              <w:bottom w:val="single" w:color="auto" w:sz="4" w:space="0"/>
              <w:right w:val="single" w:color="auto" w:sz="4" w:space="0"/>
            </w:tcBorders>
            <w:vAlign w:val="center"/>
          </w:tcPr>
          <w:p w14:paraId="46D89DE6">
            <w:pPr>
              <w:pStyle w:val="196"/>
            </w:pPr>
            <w:r>
              <w:rPr>
                <w:rFonts w:hint="eastAsia"/>
              </w:rPr>
              <w:t>依托国能涟水一期热电联产项目临时施工场地，就地填埋</w:t>
            </w:r>
          </w:p>
        </w:tc>
        <w:tc>
          <w:tcPr>
            <w:tcW w:w="380" w:type="pct"/>
            <w:tcBorders>
              <w:top w:val="single" w:color="auto" w:sz="4" w:space="0"/>
              <w:left w:val="single" w:color="auto" w:sz="4" w:space="0"/>
              <w:bottom w:val="single" w:color="auto" w:sz="4" w:space="0"/>
              <w:right w:val="single" w:color="auto" w:sz="6" w:space="0"/>
            </w:tcBorders>
            <w:vAlign w:val="center"/>
          </w:tcPr>
          <w:p w14:paraId="7F2E6495">
            <w:pPr>
              <w:pStyle w:val="196"/>
            </w:pPr>
            <w:r>
              <w:rPr>
                <w:rFonts w:hint="eastAsia"/>
              </w:rPr>
              <w:t>0</w:t>
            </w:r>
          </w:p>
        </w:tc>
      </w:tr>
      <w:tr w14:paraId="696D51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4" w:space="0"/>
              <w:right w:val="single" w:color="auto" w:sz="4" w:space="0"/>
            </w:tcBorders>
            <w:vAlign w:val="center"/>
          </w:tcPr>
          <w:p w14:paraId="69B95874">
            <w:pPr>
              <w:pStyle w:val="196"/>
            </w:pPr>
            <w:r>
              <w:rPr>
                <w:rFonts w:hint="eastAsia"/>
              </w:rPr>
              <w:t>4</w:t>
            </w:r>
          </w:p>
        </w:tc>
        <w:tc>
          <w:tcPr>
            <w:tcW w:w="467" w:type="pct"/>
            <w:tcBorders>
              <w:top w:val="single" w:color="auto" w:sz="4" w:space="0"/>
              <w:left w:val="single" w:color="auto" w:sz="4" w:space="0"/>
              <w:bottom w:val="single" w:color="auto" w:sz="4" w:space="0"/>
              <w:right w:val="single" w:color="auto" w:sz="4" w:space="0"/>
            </w:tcBorders>
            <w:vAlign w:val="center"/>
          </w:tcPr>
          <w:p w14:paraId="068342E5">
            <w:pPr>
              <w:pStyle w:val="196"/>
            </w:pPr>
            <w:r>
              <w:rPr>
                <w:rFonts w:hint="eastAsia"/>
              </w:rPr>
              <w:t>废油泥</w:t>
            </w:r>
          </w:p>
        </w:tc>
        <w:tc>
          <w:tcPr>
            <w:tcW w:w="463" w:type="pct"/>
            <w:tcBorders>
              <w:top w:val="single" w:color="auto" w:sz="4" w:space="0"/>
              <w:left w:val="single" w:color="auto" w:sz="4" w:space="0"/>
              <w:bottom w:val="single" w:color="auto" w:sz="4" w:space="0"/>
              <w:right w:val="single" w:color="auto" w:sz="4" w:space="0"/>
            </w:tcBorders>
            <w:vAlign w:val="center"/>
          </w:tcPr>
          <w:p w14:paraId="74A9FC1E">
            <w:pPr>
              <w:pStyle w:val="196"/>
            </w:pPr>
            <w:r>
              <w:rPr>
                <w:rFonts w:hint="eastAsia"/>
              </w:rPr>
              <w:t>施工废水隔油处理</w:t>
            </w:r>
          </w:p>
        </w:tc>
        <w:tc>
          <w:tcPr>
            <w:tcW w:w="1045" w:type="pct"/>
            <w:tcBorders>
              <w:top w:val="single" w:color="auto" w:sz="4" w:space="0"/>
              <w:left w:val="single" w:color="auto" w:sz="4" w:space="0"/>
              <w:bottom w:val="single" w:color="auto" w:sz="4" w:space="0"/>
              <w:right w:val="single" w:color="auto" w:sz="4" w:space="0"/>
            </w:tcBorders>
            <w:vAlign w:val="center"/>
          </w:tcPr>
          <w:p w14:paraId="3839FC31">
            <w:pPr>
              <w:pStyle w:val="196"/>
            </w:pPr>
            <w:r>
              <w:rPr>
                <w:rFonts w:hint="eastAsia"/>
              </w:rPr>
              <w:t>危险废物</w:t>
            </w:r>
          </w:p>
        </w:tc>
        <w:tc>
          <w:tcPr>
            <w:tcW w:w="607" w:type="pct"/>
            <w:tcBorders>
              <w:top w:val="single" w:color="auto" w:sz="4" w:space="0"/>
              <w:left w:val="single" w:color="auto" w:sz="4" w:space="0"/>
              <w:bottom w:val="single" w:color="auto" w:sz="4" w:space="0"/>
              <w:right w:val="single" w:color="auto" w:sz="4" w:space="0"/>
            </w:tcBorders>
            <w:vAlign w:val="center"/>
          </w:tcPr>
          <w:p w14:paraId="238CAFDB">
            <w:pPr>
              <w:pStyle w:val="196"/>
            </w:pPr>
            <w:r>
              <w:rPr>
                <w:rFonts w:hint="eastAsia"/>
              </w:rPr>
              <w:t>0.184</w:t>
            </w:r>
          </w:p>
        </w:tc>
        <w:tc>
          <w:tcPr>
            <w:tcW w:w="503" w:type="pct"/>
            <w:tcBorders>
              <w:top w:val="single" w:color="auto" w:sz="4" w:space="0"/>
              <w:left w:val="single" w:color="auto" w:sz="4" w:space="0"/>
              <w:bottom w:val="single" w:color="auto" w:sz="4" w:space="0"/>
              <w:right w:val="single" w:color="auto" w:sz="4" w:space="0"/>
            </w:tcBorders>
            <w:vAlign w:val="center"/>
          </w:tcPr>
          <w:p w14:paraId="6743260B">
            <w:pPr>
              <w:pStyle w:val="196"/>
            </w:pPr>
            <w:r>
              <w:rPr>
                <w:rFonts w:hint="eastAsia"/>
              </w:rPr>
              <w:t>处置</w:t>
            </w:r>
          </w:p>
        </w:tc>
        <w:tc>
          <w:tcPr>
            <w:tcW w:w="1175" w:type="pct"/>
            <w:tcBorders>
              <w:top w:val="single" w:color="auto" w:sz="4" w:space="0"/>
              <w:left w:val="single" w:color="auto" w:sz="4" w:space="0"/>
              <w:bottom w:val="single" w:color="auto" w:sz="4" w:space="0"/>
              <w:right w:val="single" w:color="auto" w:sz="4" w:space="0"/>
            </w:tcBorders>
            <w:vAlign w:val="center"/>
          </w:tcPr>
          <w:p w14:paraId="16176AC3">
            <w:pPr>
              <w:pStyle w:val="196"/>
            </w:pPr>
            <w:r>
              <w:rPr>
                <w:rFonts w:hint="eastAsia"/>
              </w:rPr>
              <w:t>委托有资质单位统一处置</w:t>
            </w:r>
          </w:p>
        </w:tc>
        <w:tc>
          <w:tcPr>
            <w:tcW w:w="380" w:type="pct"/>
            <w:tcBorders>
              <w:top w:val="single" w:color="auto" w:sz="4" w:space="0"/>
              <w:left w:val="single" w:color="auto" w:sz="4" w:space="0"/>
              <w:bottom w:val="single" w:color="auto" w:sz="4" w:space="0"/>
              <w:right w:val="single" w:color="auto" w:sz="6" w:space="0"/>
            </w:tcBorders>
            <w:vAlign w:val="center"/>
          </w:tcPr>
          <w:p w14:paraId="1B676A7F">
            <w:pPr>
              <w:pStyle w:val="196"/>
            </w:pPr>
            <w:r>
              <w:rPr>
                <w:rFonts w:hint="eastAsia"/>
              </w:rPr>
              <w:t>0</w:t>
            </w:r>
          </w:p>
        </w:tc>
      </w:tr>
      <w:tr w14:paraId="5FA3B1B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4" w:space="0"/>
              <w:right w:val="single" w:color="auto" w:sz="4" w:space="0"/>
            </w:tcBorders>
            <w:vAlign w:val="center"/>
          </w:tcPr>
          <w:p w14:paraId="21E3DF0D">
            <w:pPr>
              <w:pStyle w:val="196"/>
            </w:pPr>
            <w:r>
              <w:rPr>
                <w:rFonts w:hint="eastAsia"/>
              </w:rPr>
              <w:t>5</w:t>
            </w:r>
          </w:p>
        </w:tc>
        <w:tc>
          <w:tcPr>
            <w:tcW w:w="467" w:type="pct"/>
            <w:tcBorders>
              <w:top w:val="single" w:color="auto" w:sz="4" w:space="0"/>
              <w:left w:val="single" w:color="auto" w:sz="4" w:space="0"/>
              <w:bottom w:val="single" w:color="auto" w:sz="4" w:space="0"/>
              <w:right w:val="single" w:color="auto" w:sz="4" w:space="0"/>
            </w:tcBorders>
            <w:vAlign w:val="center"/>
          </w:tcPr>
          <w:p w14:paraId="3DF0B0D7">
            <w:pPr>
              <w:pStyle w:val="196"/>
            </w:pPr>
            <w:r>
              <w:rPr>
                <w:rFonts w:hint="eastAsia"/>
              </w:rPr>
              <w:t>施工建筑垃圾</w:t>
            </w:r>
          </w:p>
        </w:tc>
        <w:tc>
          <w:tcPr>
            <w:tcW w:w="463" w:type="pct"/>
            <w:tcBorders>
              <w:top w:val="single" w:color="auto" w:sz="4" w:space="0"/>
              <w:left w:val="single" w:color="auto" w:sz="4" w:space="0"/>
              <w:bottom w:val="single" w:color="auto" w:sz="4" w:space="0"/>
              <w:right w:val="single" w:color="auto" w:sz="4" w:space="0"/>
            </w:tcBorders>
            <w:vAlign w:val="center"/>
          </w:tcPr>
          <w:p w14:paraId="55BD0E02">
            <w:pPr>
              <w:pStyle w:val="196"/>
            </w:pPr>
            <w:r>
              <w:rPr>
                <w:rFonts w:hint="eastAsia"/>
              </w:rPr>
              <w:t>施工过程</w:t>
            </w:r>
          </w:p>
        </w:tc>
        <w:tc>
          <w:tcPr>
            <w:tcW w:w="1045" w:type="pct"/>
            <w:tcBorders>
              <w:top w:val="single" w:color="auto" w:sz="4" w:space="0"/>
              <w:left w:val="single" w:color="auto" w:sz="4" w:space="0"/>
              <w:bottom w:val="single" w:color="auto" w:sz="4" w:space="0"/>
              <w:right w:val="single" w:color="auto" w:sz="4" w:space="0"/>
            </w:tcBorders>
            <w:vAlign w:val="center"/>
          </w:tcPr>
          <w:p w14:paraId="50CF3DC4">
            <w:pPr>
              <w:pStyle w:val="196"/>
            </w:pPr>
            <w:r>
              <w:rPr>
                <w:rFonts w:hint="eastAsia"/>
              </w:rPr>
              <w:t>一般固废</w:t>
            </w:r>
          </w:p>
        </w:tc>
        <w:tc>
          <w:tcPr>
            <w:tcW w:w="607" w:type="pct"/>
            <w:tcBorders>
              <w:top w:val="single" w:color="auto" w:sz="4" w:space="0"/>
              <w:left w:val="single" w:color="auto" w:sz="4" w:space="0"/>
              <w:bottom w:val="single" w:color="auto" w:sz="4" w:space="0"/>
              <w:right w:val="single" w:color="auto" w:sz="4" w:space="0"/>
            </w:tcBorders>
            <w:vAlign w:val="center"/>
          </w:tcPr>
          <w:p w14:paraId="39815647">
            <w:pPr>
              <w:pStyle w:val="196"/>
            </w:pPr>
            <w:r>
              <w:rPr>
                <w:rFonts w:hint="eastAsia"/>
              </w:rPr>
              <w:t>40</w:t>
            </w:r>
          </w:p>
        </w:tc>
        <w:tc>
          <w:tcPr>
            <w:tcW w:w="503" w:type="pct"/>
            <w:tcBorders>
              <w:top w:val="single" w:color="auto" w:sz="4" w:space="0"/>
              <w:left w:val="single" w:color="auto" w:sz="4" w:space="0"/>
              <w:bottom w:val="single" w:color="auto" w:sz="4" w:space="0"/>
              <w:right w:val="single" w:color="auto" w:sz="4" w:space="0"/>
            </w:tcBorders>
            <w:vAlign w:val="center"/>
          </w:tcPr>
          <w:p w14:paraId="31D7C5F9">
            <w:pPr>
              <w:pStyle w:val="196"/>
            </w:pPr>
            <w:r>
              <w:rPr>
                <w:rFonts w:hint="eastAsia"/>
              </w:rPr>
              <w:t>回收利用</w:t>
            </w:r>
          </w:p>
        </w:tc>
        <w:tc>
          <w:tcPr>
            <w:tcW w:w="1175" w:type="pct"/>
            <w:tcBorders>
              <w:top w:val="single" w:color="auto" w:sz="4" w:space="0"/>
              <w:left w:val="single" w:color="auto" w:sz="4" w:space="0"/>
              <w:bottom w:val="single" w:color="auto" w:sz="4" w:space="0"/>
              <w:right w:val="single" w:color="auto" w:sz="4" w:space="0"/>
            </w:tcBorders>
            <w:vAlign w:val="center"/>
          </w:tcPr>
          <w:p w14:paraId="3DD2B5AD">
            <w:pPr>
              <w:pStyle w:val="196"/>
            </w:pPr>
            <w:r>
              <w:rPr>
                <w:rFonts w:hint="eastAsia"/>
              </w:rPr>
              <w:t>市政公司</w:t>
            </w:r>
          </w:p>
        </w:tc>
        <w:tc>
          <w:tcPr>
            <w:tcW w:w="380" w:type="pct"/>
            <w:tcBorders>
              <w:top w:val="single" w:color="auto" w:sz="4" w:space="0"/>
              <w:left w:val="single" w:color="auto" w:sz="4" w:space="0"/>
              <w:bottom w:val="single" w:color="auto" w:sz="4" w:space="0"/>
              <w:right w:val="single" w:color="auto" w:sz="6" w:space="0"/>
            </w:tcBorders>
            <w:vAlign w:val="center"/>
          </w:tcPr>
          <w:p w14:paraId="57908DFB">
            <w:pPr>
              <w:pStyle w:val="196"/>
            </w:pPr>
            <w:r>
              <w:rPr>
                <w:rFonts w:hint="eastAsia"/>
              </w:rPr>
              <w:t>0</w:t>
            </w:r>
          </w:p>
        </w:tc>
      </w:tr>
      <w:tr w14:paraId="351036B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28" w:type="dxa"/>
            <w:left w:w="28" w:type="dxa"/>
            <w:bottom w:w="28" w:type="dxa"/>
            <w:right w:w="28" w:type="dxa"/>
          </w:tblCellMar>
        </w:tblPrEx>
        <w:trPr>
          <w:trHeight w:val="20" w:hRule="atLeast"/>
          <w:jc w:val="center"/>
        </w:trPr>
        <w:tc>
          <w:tcPr>
            <w:tcW w:w="361" w:type="pct"/>
            <w:tcBorders>
              <w:top w:val="single" w:color="auto" w:sz="4" w:space="0"/>
              <w:left w:val="single" w:color="auto" w:sz="6" w:space="0"/>
              <w:bottom w:val="single" w:color="auto" w:sz="6" w:space="0"/>
              <w:right w:val="single" w:color="auto" w:sz="4" w:space="0"/>
            </w:tcBorders>
            <w:vAlign w:val="center"/>
          </w:tcPr>
          <w:p w14:paraId="25E6C4E1">
            <w:pPr>
              <w:pStyle w:val="196"/>
            </w:pPr>
            <w:r>
              <w:rPr>
                <w:rFonts w:hint="eastAsia"/>
              </w:rPr>
              <w:t>6</w:t>
            </w:r>
          </w:p>
        </w:tc>
        <w:tc>
          <w:tcPr>
            <w:tcW w:w="467" w:type="pct"/>
            <w:tcBorders>
              <w:top w:val="single" w:color="auto" w:sz="4" w:space="0"/>
              <w:left w:val="single" w:color="auto" w:sz="4" w:space="0"/>
              <w:bottom w:val="single" w:color="auto" w:sz="6" w:space="0"/>
              <w:right w:val="single" w:color="auto" w:sz="4" w:space="0"/>
            </w:tcBorders>
            <w:vAlign w:val="center"/>
          </w:tcPr>
          <w:p w14:paraId="211BB312">
            <w:pPr>
              <w:pStyle w:val="196"/>
            </w:pPr>
            <w:r>
              <w:rPr>
                <w:rFonts w:hint="eastAsia"/>
              </w:rPr>
              <w:t>工程弃土</w:t>
            </w:r>
          </w:p>
        </w:tc>
        <w:tc>
          <w:tcPr>
            <w:tcW w:w="463" w:type="pct"/>
            <w:tcBorders>
              <w:top w:val="single" w:color="auto" w:sz="4" w:space="0"/>
              <w:left w:val="single" w:color="auto" w:sz="4" w:space="0"/>
              <w:bottom w:val="single" w:color="auto" w:sz="6" w:space="0"/>
              <w:right w:val="single" w:color="auto" w:sz="4" w:space="0"/>
            </w:tcBorders>
            <w:vAlign w:val="center"/>
          </w:tcPr>
          <w:p w14:paraId="3EB19062">
            <w:pPr>
              <w:pStyle w:val="196"/>
            </w:pPr>
            <w:r>
              <w:rPr>
                <w:rFonts w:hint="eastAsia"/>
              </w:rPr>
              <w:t>施工过程</w:t>
            </w:r>
          </w:p>
        </w:tc>
        <w:tc>
          <w:tcPr>
            <w:tcW w:w="1045" w:type="pct"/>
            <w:tcBorders>
              <w:top w:val="single" w:color="auto" w:sz="4" w:space="0"/>
              <w:left w:val="single" w:color="auto" w:sz="4" w:space="0"/>
              <w:bottom w:val="single" w:color="auto" w:sz="6" w:space="0"/>
              <w:right w:val="single" w:color="auto" w:sz="4" w:space="0"/>
            </w:tcBorders>
            <w:vAlign w:val="center"/>
          </w:tcPr>
          <w:p w14:paraId="3CFCC715">
            <w:pPr>
              <w:pStyle w:val="196"/>
            </w:pPr>
            <w:r>
              <w:rPr>
                <w:rFonts w:hint="eastAsia"/>
              </w:rPr>
              <w:t>一般固废</w:t>
            </w:r>
          </w:p>
        </w:tc>
        <w:tc>
          <w:tcPr>
            <w:tcW w:w="607" w:type="pct"/>
            <w:tcBorders>
              <w:top w:val="single" w:color="auto" w:sz="4" w:space="0"/>
              <w:left w:val="single" w:color="auto" w:sz="4" w:space="0"/>
              <w:bottom w:val="single" w:color="auto" w:sz="6" w:space="0"/>
              <w:right w:val="single" w:color="auto" w:sz="4" w:space="0"/>
            </w:tcBorders>
            <w:vAlign w:val="center"/>
          </w:tcPr>
          <w:p w14:paraId="486E5568">
            <w:pPr>
              <w:pStyle w:val="196"/>
            </w:pPr>
            <w:r>
              <w:rPr>
                <w:rFonts w:hint="eastAsia"/>
              </w:rPr>
              <w:t>18.8万m</w:t>
            </w:r>
            <w:r>
              <w:rPr>
                <w:rFonts w:hint="eastAsia"/>
                <w:vertAlign w:val="superscript"/>
              </w:rPr>
              <w:t>3</w:t>
            </w:r>
          </w:p>
        </w:tc>
        <w:tc>
          <w:tcPr>
            <w:tcW w:w="503" w:type="pct"/>
            <w:tcBorders>
              <w:top w:val="single" w:color="auto" w:sz="4" w:space="0"/>
              <w:left w:val="single" w:color="auto" w:sz="4" w:space="0"/>
              <w:bottom w:val="single" w:color="auto" w:sz="6" w:space="0"/>
              <w:right w:val="single" w:color="auto" w:sz="4" w:space="0"/>
            </w:tcBorders>
            <w:vAlign w:val="center"/>
          </w:tcPr>
          <w:p w14:paraId="4BCF5C62">
            <w:pPr>
              <w:pStyle w:val="196"/>
            </w:pPr>
            <w:r>
              <w:rPr>
                <w:rFonts w:hint="eastAsia"/>
              </w:rPr>
              <w:t>用于回填或场地平整</w:t>
            </w:r>
          </w:p>
        </w:tc>
        <w:tc>
          <w:tcPr>
            <w:tcW w:w="1175" w:type="pct"/>
            <w:tcBorders>
              <w:top w:val="single" w:color="auto" w:sz="4" w:space="0"/>
              <w:left w:val="single" w:color="auto" w:sz="4" w:space="0"/>
              <w:bottom w:val="single" w:color="auto" w:sz="6" w:space="0"/>
              <w:right w:val="single" w:color="auto" w:sz="4" w:space="0"/>
            </w:tcBorders>
            <w:vAlign w:val="center"/>
          </w:tcPr>
          <w:p w14:paraId="6D180121">
            <w:pPr>
              <w:pStyle w:val="196"/>
            </w:pPr>
            <w:r>
              <w:rPr>
                <w:rFonts w:hint="eastAsia"/>
              </w:rPr>
              <w:t>用于国能涟水一期热电联产项目场地平整及本项目回填</w:t>
            </w:r>
          </w:p>
        </w:tc>
        <w:tc>
          <w:tcPr>
            <w:tcW w:w="380" w:type="pct"/>
            <w:tcBorders>
              <w:top w:val="single" w:color="auto" w:sz="4" w:space="0"/>
              <w:left w:val="single" w:color="auto" w:sz="4" w:space="0"/>
              <w:bottom w:val="single" w:color="auto" w:sz="6" w:space="0"/>
              <w:right w:val="single" w:color="auto" w:sz="6" w:space="0"/>
            </w:tcBorders>
            <w:vAlign w:val="center"/>
          </w:tcPr>
          <w:p w14:paraId="4CF02D8C">
            <w:pPr>
              <w:pStyle w:val="196"/>
            </w:pPr>
            <w:r>
              <w:rPr>
                <w:rFonts w:hint="eastAsia"/>
              </w:rPr>
              <w:t>0</w:t>
            </w:r>
          </w:p>
        </w:tc>
      </w:tr>
    </w:tbl>
    <w:p w14:paraId="4A0EEE2E">
      <w:pPr>
        <w:pStyle w:val="82"/>
      </w:pPr>
      <w:r>
        <w:rPr>
          <w:rFonts w:hint="eastAsia"/>
        </w:rPr>
        <w:t>生态环境</w:t>
      </w:r>
    </w:p>
    <w:p w14:paraId="39D4384C">
      <w:pPr>
        <w:pStyle w:val="93"/>
        <w:ind w:left="2" w:leftChars="1"/>
      </w:pPr>
      <w:bookmarkStart w:id="184" w:name="_Toc17146"/>
      <w:bookmarkEnd w:id="184"/>
      <w:r>
        <w:rPr>
          <w:rFonts w:hint="eastAsia"/>
        </w:rPr>
        <w:t>1、陆域生态</w:t>
      </w:r>
    </w:p>
    <w:p w14:paraId="1D80906E">
      <w:pPr>
        <w:pStyle w:val="93"/>
        <w:ind w:left="2" w:leftChars="1"/>
      </w:pPr>
      <w:r>
        <w:rPr>
          <w:rFonts w:hint="eastAsia"/>
        </w:rPr>
        <w:t>本工程位于淮安市涟水县朱码街道高台村内，本项目陆域占地</w:t>
      </w:r>
      <w:r>
        <w:t>9584</w:t>
      </w:r>
      <w:r>
        <w:rPr>
          <w:rFonts w:hint="eastAsia"/>
        </w:rPr>
        <w:t>m</w:t>
      </w:r>
      <w:r>
        <w:rPr>
          <w:rFonts w:hint="eastAsia"/>
          <w:vertAlign w:val="superscript"/>
        </w:rPr>
        <w:t>2</w:t>
      </w:r>
      <w:r>
        <w:rPr>
          <w:rFonts w:hint="eastAsia"/>
        </w:rPr>
        <w:t>，项目占地原有主要为农用地，目前占地范围内已完成拆迁工作。</w:t>
      </w:r>
    </w:p>
    <w:p w14:paraId="6831971D">
      <w:pPr>
        <w:pStyle w:val="93"/>
        <w:ind w:left="2" w:leftChars="1"/>
      </w:pPr>
      <w:r>
        <w:rPr>
          <w:rFonts w:hint="eastAsia"/>
        </w:rPr>
        <w:t>本工程的建设施工会造成部分陆域生态环境损失，主要包括堤外少量自然生长的杂草以及一些树木。</w:t>
      </w:r>
    </w:p>
    <w:p w14:paraId="517F147E">
      <w:pPr>
        <w:pStyle w:val="93"/>
        <w:ind w:left="2" w:leftChars="1"/>
      </w:pPr>
      <w:r>
        <w:rPr>
          <w:rFonts w:hint="eastAsia"/>
        </w:rPr>
        <w:t>根据本工程施工特点，工程建设对项目区水土流失影响属于人为活动的影响，施工过程中，人为活动将使地表结构被破坏，在降雨、地表径流等自然因子的综合影响下，导致项目区水土流失剧烈增加。</w:t>
      </w:r>
      <w:bookmarkStart w:id="185" w:name="_Toc13795"/>
      <w:bookmarkEnd w:id="185"/>
    </w:p>
    <w:p w14:paraId="13420144">
      <w:pPr>
        <w:pStyle w:val="93"/>
        <w:ind w:left="2" w:leftChars="1"/>
      </w:pPr>
      <w:r>
        <w:rPr>
          <w:rFonts w:hint="eastAsia"/>
        </w:rPr>
        <w:t>2、水生生态</w:t>
      </w:r>
    </w:p>
    <w:p w14:paraId="663738DC">
      <w:pPr>
        <w:pStyle w:val="93"/>
        <w:ind w:left="2" w:leftChars="1"/>
      </w:pPr>
      <w:r>
        <w:rPr>
          <w:rFonts w:hint="eastAsia"/>
        </w:rPr>
        <w:t>（1）施工期水工建筑和疏浚工程附近悬浮物增加，水体透明度下降，浮游动植物数量将有所减少，随着施工结束，该影响将会消失；施工对底栖动物生境和鱼卵仔鱼损失影响较大；施工期噪声及废渣、废水等产生的临时性水质污染对鱼类繁殖、觅食等有一定影响，工程抛石、船舶航行等增加鱼类伤亡</w:t>
      </w:r>
      <w:r>
        <w:rPr>
          <w:rFonts w:hint="eastAsia"/>
          <w:lang w:eastAsia="zh-CN"/>
        </w:rPr>
        <w:t>概率</w:t>
      </w:r>
      <w:r>
        <w:rPr>
          <w:rFonts w:hint="eastAsia"/>
        </w:rPr>
        <w:t>；工程施工对产沉、粘性卵鱼类也有一定的不利影响。</w:t>
      </w:r>
    </w:p>
    <w:p w14:paraId="6F8D41BC">
      <w:pPr>
        <w:pStyle w:val="93"/>
        <w:ind w:left="2" w:leftChars="1"/>
      </w:pPr>
      <w:r>
        <w:rPr>
          <w:rFonts w:hint="eastAsia"/>
        </w:rPr>
        <w:t>（2）本项目施工作业的水域附近不存在水产养殖区、水生生物敏感区。施工河段无珍稀鱼类保护区，施工期间，对鱼类的影响主要包括施工船舶机械噪声、水下作业</w:t>
      </w:r>
      <w:r>
        <w:rPr>
          <w:rFonts w:hint="eastAsia"/>
          <w:lang w:eastAsia="zh-CN"/>
        </w:rPr>
        <w:t>噪声</w:t>
      </w:r>
      <w:r>
        <w:rPr>
          <w:rFonts w:hint="eastAsia"/>
        </w:rPr>
        <w:t>和水下施工作业悬浮物。噪声污染会在一定程度上影响各种鱼类在该河段的游走方向和分布。码头前沿水工构筑物水下施工将造成局部水体悬浮浓度增加，施工船舶舱底油污水和生活污水，施工机械噪声等，对施工区域水生生境的影响。</w:t>
      </w:r>
    </w:p>
    <w:p w14:paraId="191FC621">
      <w:pPr>
        <w:pStyle w:val="80"/>
      </w:pPr>
      <w:bookmarkStart w:id="186" w:name="_Toc14554"/>
      <w:bookmarkEnd w:id="186"/>
      <w:bookmarkStart w:id="187" w:name="_Toc182171815"/>
      <w:r>
        <w:rPr>
          <w:rFonts w:hint="eastAsia"/>
        </w:rPr>
        <w:t>营运期污染源强</w:t>
      </w:r>
      <w:bookmarkEnd w:id="187"/>
    </w:p>
    <w:p w14:paraId="7300AB23">
      <w:pPr>
        <w:pStyle w:val="82"/>
      </w:pPr>
      <w:bookmarkStart w:id="188" w:name="_Hlk181747538"/>
      <w:bookmarkStart w:id="189" w:name="_Hlk181747582"/>
      <w:r>
        <w:rPr>
          <w:rFonts w:hint="eastAsia"/>
        </w:rPr>
        <w:t>废气源强分析</w:t>
      </w:r>
    </w:p>
    <w:bookmarkEnd w:id="188"/>
    <w:p w14:paraId="7BB26508">
      <w:pPr>
        <w:pStyle w:val="93"/>
      </w:pPr>
      <w:r>
        <w:rPr>
          <w:rFonts w:hint="eastAsia"/>
        </w:rPr>
        <w:t>本码头主要运输煤炭，码</w:t>
      </w:r>
      <w:r>
        <w:rPr>
          <w:rFonts w:hint="eastAsia"/>
          <w:lang w:eastAsia="zh-CN"/>
        </w:rPr>
        <w:t>头地</w:t>
      </w:r>
      <w:r>
        <w:rPr>
          <w:rFonts w:hint="eastAsia"/>
        </w:rPr>
        <w:t>面不设置临时堆场，煤炭储存依托后方电厂封闭式煤场。因此营运期影响大气质量的主要为船舶停靠水域下卸作业产生粉尘和船舶废气等。</w:t>
      </w:r>
    </w:p>
    <w:p w14:paraId="00272565">
      <w:pPr>
        <w:ind w:firstLine="482"/>
        <w:rPr>
          <w:b/>
        </w:rPr>
      </w:pPr>
      <w:r>
        <w:rPr>
          <w:rFonts w:hint="eastAsia"/>
          <w:b/>
        </w:rPr>
        <w:t>（1）颗粒物粒径分布</w:t>
      </w:r>
    </w:p>
    <w:p w14:paraId="4928B166">
      <w:pPr>
        <w:pStyle w:val="139"/>
        <w:ind w:firstLine="480"/>
        <w:rPr>
          <w:color w:val="auto"/>
        </w:rPr>
      </w:pPr>
      <w:r>
        <w:rPr>
          <w:rFonts w:hint="eastAsia"/>
          <w:color w:val="auto"/>
        </w:rPr>
        <w:t>本项目吞吐货种为煤炭。参考天津大学张晋恺等人对港口散货堆场起尘规律的研究，对上百种煤尘粒径进行了检验，典型煤炭粒径分布如表3.8-1 所示。本次评价以4种典型煤炭粒径分布的平均值，分析其粒径百分比并进行无组织颗粒物中TSP、PM</w:t>
      </w:r>
      <w:r>
        <w:rPr>
          <w:rFonts w:hint="eastAsia"/>
          <w:color w:val="auto"/>
          <w:vertAlign w:val="subscript"/>
        </w:rPr>
        <w:t>10</w:t>
      </w:r>
      <w:r>
        <w:rPr>
          <w:rFonts w:hint="eastAsia"/>
          <w:color w:val="auto"/>
        </w:rPr>
        <w:t>和 PM</w:t>
      </w:r>
      <w:r>
        <w:rPr>
          <w:rFonts w:hint="eastAsia"/>
          <w:color w:val="auto"/>
          <w:vertAlign w:val="subscript"/>
        </w:rPr>
        <w:t>2.5</w:t>
      </w:r>
      <w:r>
        <w:rPr>
          <w:rFonts w:hint="eastAsia"/>
          <w:color w:val="auto"/>
        </w:rPr>
        <w:t>的源强分析。</w:t>
      </w:r>
    </w:p>
    <w:p w14:paraId="6A82944E">
      <w:pPr>
        <w:pStyle w:val="86"/>
      </w:pPr>
      <w:bookmarkStart w:id="190" w:name="OLE_LINK21"/>
      <w:r>
        <w:rPr>
          <w:rFonts w:hint="eastAsia"/>
        </w:rPr>
        <w:t>煤炭的粒径分布（单位： % ）</w:t>
      </w:r>
    </w:p>
    <w:tbl>
      <w:tblPr>
        <w:tblStyle w:val="39"/>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690"/>
        <w:gridCol w:w="690"/>
        <w:gridCol w:w="691"/>
        <w:gridCol w:w="691"/>
        <w:gridCol w:w="691"/>
        <w:gridCol w:w="691"/>
        <w:gridCol w:w="691"/>
        <w:gridCol w:w="691"/>
        <w:gridCol w:w="692"/>
        <w:gridCol w:w="692"/>
        <w:gridCol w:w="695"/>
      </w:tblGrid>
      <w:tr w14:paraId="001C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30A60895">
            <w:pPr>
              <w:pStyle w:val="218"/>
              <w:rPr>
                <w:color w:val="auto"/>
              </w:rPr>
            </w:pPr>
            <w:r>
              <w:rPr>
                <w:rFonts w:hint="eastAsia"/>
                <w:color w:val="auto"/>
              </w:rPr>
              <w:t>粒径≥(</w:t>
            </w:r>
            <w:r>
              <w:rPr>
                <w:rFonts w:cs="Times New Roman"/>
                <w:color w:val="auto"/>
              </w:rPr>
              <w:t>μ</w:t>
            </w:r>
            <w:r>
              <w:rPr>
                <w:rFonts w:hint="eastAsia"/>
                <w:color w:val="auto"/>
              </w:rPr>
              <w:t>m)</w:t>
            </w:r>
          </w:p>
        </w:tc>
        <w:tc>
          <w:tcPr>
            <w:tcW w:w="690" w:type="dxa"/>
            <w:vAlign w:val="center"/>
          </w:tcPr>
          <w:p w14:paraId="6CA401A9">
            <w:pPr>
              <w:pStyle w:val="218"/>
              <w:rPr>
                <w:color w:val="auto"/>
              </w:rPr>
            </w:pPr>
            <w:r>
              <w:rPr>
                <w:rFonts w:hint="eastAsia"/>
                <w:color w:val="auto"/>
              </w:rPr>
              <w:t>125-75</w:t>
            </w:r>
          </w:p>
        </w:tc>
        <w:tc>
          <w:tcPr>
            <w:tcW w:w="690" w:type="dxa"/>
            <w:vAlign w:val="center"/>
          </w:tcPr>
          <w:p w14:paraId="6AE09FD0">
            <w:pPr>
              <w:pStyle w:val="218"/>
              <w:rPr>
                <w:color w:val="auto"/>
              </w:rPr>
            </w:pPr>
            <w:r>
              <w:rPr>
                <w:rFonts w:hint="eastAsia"/>
                <w:color w:val="auto"/>
              </w:rPr>
              <w:t>75-45</w:t>
            </w:r>
          </w:p>
        </w:tc>
        <w:tc>
          <w:tcPr>
            <w:tcW w:w="691" w:type="dxa"/>
            <w:vAlign w:val="center"/>
          </w:tcPr>
          <w:p w14:paraId="465FCC4C">
            <w:pPr>
              <w:pStyle w:val="218"/>
              <w:rPr>
                <w:color w:val="auto"/>
              </w:rPr>
            </w:pPr>
            <w:r>
              <w:rPr>
                <w:rFonts w:hint="eastAsia"/>
                <w:color w:val="auto"/>
              </w:rPr>
              <w:t>45-28</w:t>
            </w:r>
          </w:p>
        </w:tc>
        <w:tc>
          <w:tcPr>
            <w:tcW w:w="691" w:type="dxa"/>
            <w:vAlign w:val="center"/>
          </w:tcPr>
          <w:p w14:paraId="642D6270">
            <w:pPr>
              <w:pStyle w:val="218"/>
              <w:rPr>
                <w:color w:val="auto"/>
              </w:rPr>
            </w:pPr>
            <w:r>
              <w:rPr>
                <w:rFonts w:hint="eastAsia"/>
                <w:color w:val="auto"/>
              </w:rPr>
              <w:t>28-10</w:t>
            </w:r>
          </w:p>
        </w:tc>
        <w:tc>
          <w:tcPr>
            <w:tcW w:w="691" w:type="dxa"/>
            <w:vAlign w:val="center"/>
          </w:tcPr>
          <w:p w14:paraId="3C2652EE">
            <w:pPr>
              <w:pStyle w:val="218"/>
              <w:rPr>
                <w:color w:val="auto"/>
              </w:rPr>
            </w:pPr>
            <w:r>
              <w:rPr>
                <w:rFonts w:hint="eastAsia"/>
                <w:color w:val="auto"/>
              </w:rPr>
              <w:t>10-7.5</w:t>
            </w:r>
          </w:p>
        </w:tc>
        <w:tc>
          <w:tcPr>
            <w:tcW w:w="691" w:type="dxa"/>
            <w:vAlign w:val="center"/>
          </w:tcPr>
          <w:p w14:paraId="2548520C">
            <w:pPr>
              <w:pStyle w:val="218"/>
              <w:rPr>
                <w:color w:val="auto"/>
              </w:rPr>
            </w:pPr>
            <w:r>
              <w:rPr>
                <w:rFonts w:hint="eastAsia"/>
                <w:color w:val="auto"/>
              </w:rPr>
              <w:t>7.5-5</w:t>
            </w:r>
          </w:p>
        </w:tc>
        <w:tc>
          <w:tcPr>
            <w:tcW w:w="691" w:type="dxa"/>
            <w:vAlign w:val="center"/>
          </w:tcPr>
          <w:p w14:paraId="62806B2D">
            <w:pPr>
              <w:pStyle w:val="218"/>
              <w:rPr>
                <w:color w:val="auto"/>
              </w:rPr>
            </w:pPr>
            <w:r>
              <w:rPr>
                <w:rFonts w:hint="eastAsia"/>
                <w:color w:val="auto"/>
              </w:rPr>
              <w:t>5-2.5</w:t>
            </w:r>
          </w:p>
        </w:tc>
        <w:tc>
          <w:tcPr>
            <w:tcW w:w="691" w:type="dxa"/>
            <w:vAlign w:val="center"/>
          </w:tcPr>
          <w:p w14:paraId="739C8EDC">
            <w:pPr>
              <w:pStyle w:val="218"/>
              <w:rPr>
                <w:color w:val="auto"/>
              </w:rPr>
            </w:pPr>
            <w:r>
              <w:rPr>
                <w:rFonts w:hint="eastAsia"/>
                <w:color w:val="auto"/>
              </w:rPr>
              <w:t>﹤</w:t>
            </w:r>
            <w:r>
              <w:rPr>
                <w:color w:val="auto"/>
              </w:rPr>
              <w:t>2.5</w:t>
            </w:r>
          </w:p>
        </w:tc>
        <w:tc>
          <w:tcPr>
            <w:tcW w:w="692" w:type="dxa"/>
            <w:vMerge w:val="restart"/>
            <w:vAlign w:val="center"/>
          </w:tcPr>
          <w:p w14:paraId="5821953E">
            <w:pPr>
              <w:pStyle w:val="218"/>
              <w:rPr>
                <w:color w:val="auto"/>
              </w:rPr>
            </w:pPr>
            <w:r>
              <w:rPr>
                <w:rFonts w:hint="eastAsia"/>
                <w:color w:val="auto"/>
              </w:rPr>
              <w:t>TSP累计频率</w:t>
            </w:r>
          </w:p>
        </w:tc>
        <w:tc>
          <w:tcPr>
            <w:tcW w:w="692" w:type="dxa"/>
            <w:vMerge w:val="restart"/>
            <w:vAlign w:val="center"/>
          </w:tcPr>
          <w:p w14:paraId="1B67472A">
            <w:pPr>
              <w:pStyle w:val="218"/>
              <w:rPr>
                <w:color w:val="auto"/>
              </w:rPr>
            </w:pPr>
            <w:r>
              <w:rPr>
                <w:color w:val="auto"/>
              </w:rPr>
              <w:t>PM</w:t>
            </w:r>
            <w:r>
              <w:rPr>
                <w:color w:val="auto"/>
                <w:vertAlign w:val="subscript"/>
              </w:rPr>
              <w:t>10</w:t>
            </w:r>
            <w:r>
              <w:rPr>
                <w:rFonts w:hint="eastAsia"/>
                <w:color w:val="auto"/>
              </w:rPr>
              <w:t>累计频率</w:t>
            </w:r>
          </w:p>
        </w:tc>
        <w:tc>
          <w:tcPr>
            <w:tcW w:w="695" w:type="dxa"/>
            <w:vMerge w:val="restart"/>
            <w:vAlign w:val="center"/>
          </w:tcPr>
          <w:p w14:paraId="6421CF5A">
            <w:pPr>
              <w:pStyle w:val="218"/>
              <w:rPr>
                <w:color w:val="auto"/>
              </w:rPr>
            </w:pPr>
            <w:r>
              <w:rPr>
                <w:color w:val="auto"/>
              </w:rPr>
              <w:t>PM</w:t>
            </w:r>
            <w:r>
              <w:rPr>
                <w:color w:val="auto"/>
                <w:vertAlign w:val="subscript"/>
              </w:rPr>
              <w:t>2.5</w:t>
            </w:r>
            <w:r>
              <w:rPr>
                <w:rFonts w:hint="eastAsia"/>
                <w:color w:val="auto"/>
              </w:rPr>
              <w:t>累计频率</w:t>
            </w:r>
          </w:p>
        </w:tc>
      </w:tr>
      <w:tr w14:paraId="75F1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6430C348">
            <w:pPr>
              <w:pStyle w:val="218"/>
              <w:rPr>
                <w:color w:val="auto"/>
              </w:rPr>
            </w:pPr>
            <w:r>
              <w:rPr>
                <w:rFonts w:hint="eastAsia"/>
                <w:color w:val="auto"/>
              </w:rPr>
              <w:t>中值粒径</w:t>
            </w:r>
            <w:r>
              <w:rPr>
                <w:rFonts w:hint="eastAsia"/>
                <w:color w:val="auto"/>
                <w:lang w:eastAsia="zh-CN"/>
              </w:rPr>
              <w:t>（</w:t>
            </w:r>
            <w:r>
              <w:rPr>
                <w:rFonts w:cs="Times New Roman"/>
                <w:color w:val="auto"/>
              </w:rPr>
              <w:t>μ</w:t>
            </w:r>
            <w:r>
              <w:rPr>
                <w:rFonts w:hint="eastAsia"/>
                <w:color w:val="auto"/>
              </w:rPr>
              <w:t>m</w:t>
            </w:r>
            <w:r>
              <w:rPr>
                <w:rFonts w:hint="eastAsia"/>
                <w:color w:val="auto"/>
                <w:lang w:eastAsia="zh-CN"/>
              </w:rPr>
              <w:t>）</w:t>
            </w:r>
          </w:p>
        </w:tc>
        <w:tc>
          <w:tcPr>
            <w:tcW w:w="690" w:type="dxa"/>
            <w:vAlign w:val="center"/>
          </w:tcPr>
          <w:p w14:paraId="3DC08B7B">
            <w:pPr>
              <w:pStyle w:val="218"/>
              <w:rPr>
                <w:color w:val="auto"/>
              </w:rPr>
            </w:pPr>
            <w:r>
              <w:rPr>
                <w:rFonts w:hint="eastAsia"/>
                <w:color w:val="auto"/>
              </w:rPr>
              <w:t>100</w:t>
            </w:r>
          </w:p>
        </w:tc>
        <w:tc>
          <w:tcPr>
            <w:tcW w:w="690" w:type="dxa"/>
            <w:vAlign w:val="center"/>
          </w:tcPr>
          <w:p w14:paraId="1EB3CC3F">
            <w:pPr>
              <w:pStyle w:val="218"/>
              <w:rPr>
                <w:color w:val="auto"/>
              </w:rPr>
            </w:pPr>
            <w:r>
              <w:rPr>
                <w:rFonts w:hint="eastAsia"/>
                <w:color w:val="auto"/>
              </w:rPr>
              <w:t>60</w:t>
            </w:r>
          </w:p>
        </w:tc>
        <w:tc>
          <w:tcPr>
            <w:tcW w:w="691" w:type="dxa"/>
            <w:vAlign w:val="center"/>
          </w:tcPr>
          <w:p w14:paraId="72AF4934">
            <w:pPr>
              <w:pStyle w:val="218"/>
              <w:rPr>
                <w:color w:val="auto"/>
              </w:rPr>
            </w:pPr>
            <w:r>
              <w:rPr>
                <w:rFonts w:hint="eastAsia"/>
                <w:color w:val="auto"/>
              </w:rPr>
              <w:t>36.5</w:t>
            </w:r>
          </w:p>
        </w:tc>
        <w:tc>
          <w:tcPr>
            <w:tcW w:w="691" w:type="dxa"/>
            <w:vAlign w:val="center"/>
          </w:tcPr>
          <w:p w14:paraId="49983232">
            <w:pPr>
              <w:pStyle w:val="218"/>
              <w:rPr>
                <w:color w:val="auto"/>
              </w:rPr>
            </w:pPr>
            <w:r>
              <w:rPr>
                <w:rFonts w:hint="eastAsia"/>
                <w:color w:val="auto"/>
              </w:rPr>
              <w:t>19</w:t>
            </w:r>
          </w:p>
        </w:tc>
        <w:tc>
          <w:tcPr>
            <w:tcW w:w="691" w:type="dxa"/>
            <w:vAlign w:val="center"/>
          </w:tcPr>
          <w:p w14:paraId="6ECA8DFD">
            <w:pPr>
              <w:pStyle w:val="218"/>
              <w:rPr>
                <w:color w:val="auto"/>
              </w:rPr>
            </w:pPr>
            <w:r>
              <w:rPr>
                <w:rFonts w:hint="eastAsia"/>
                <w:color w:val="auto"/>
              </w:rPr>
              <w:t>8.75</w:t>
            </w:r>
          </w:p>
        </w:tc>
        <w:tc>
          <w:tcPr>
            <w:tcW w:w="691" w:type="dxa"/>
            <w:vAlign w:val="center"/>
          </w:tcPr>
          <w:p w14:paraId="6BB61D57">
            <w:pPr>
              <w:pStyle w:val="218"/>
              <w:rPr>
                <w:color w:val="auto"/>
              </w:rPr>
            </w:pPr>
            <w:r>
              <w:rPr>
                <w:rFonts w:hint="eastAsia"/>
                <w:color w:val="auto"/>
              </w:rPr>
              <w:t>6.25</w:t>
            </w:r>
          </w:p>
        </w:tc>
        <w:tc>
          <w:tcPr>
            <w:tcW w:w="691" w:type="dxa"/>
            <w:vAlign w:val="center"/>
          </w:tcPr>
          <w:p w14:paraId="44908B51">
            <w:pPr>
              <w:pStyle w:val="218"/>
              <w:rPr>
                <w:color w:val="auto"/>
              </w:rPr>
            </w:pPr>
            <w:r>
              <w:rPr>
                <w:rFonts w:hint="eastAsia"/>
                <w:color w:val="auto"/>
              </w:rPr>
              <w:t>3.75</w:t>
            </w:r>
          </w:p>
        </w:tc>
        <w:tc>
          <w:tcPr>
            <w:tcW w:w="691" w:type="dxa"/>
            <w:vAlign w:val="center"/>
          </w:tcPr>
          <w:p w14:paraId="783D6DE0">
            <w:pPr>
              <w:pStyle w:val="218"/>
              <w:rPr>
                <w:color w:val="auto"/>
              </w:rPr>
            </w:pPr>
            <w:r>
              <w:rPr>
                <w:rFonts w:hint="eastAsia"/>
                <w:color w:val="auto"/>
              </w:rPr>
              <w:t>2.5</w:t>
            </w:r>
          </w:p>
        </w:tc>
        <w:tc>
          <w:tcPr>
            <w:tcW w:w="692" w:type="dxa"/>
            <w:vMerge w:val="continue"/>
            <w:vAlign w:val="center"/>
          </w:tcPr>
          <w:p w14:paraId="67AD2734">
            <w:pPr>
              <w:pStyle w:val="218"/>
              <w:rPr>
                <w:color w:val="auto"/>
              </w:rPr>
            </w:pPr>
          </w:p>
        </w:tc>
        <w:tc>
          <w:tcPr>
            <w:tcW w:w="692" w:type="dxa"/>
            <w:vMerge w:val="continue"/>
            <w:vAlign w:val="center"/>
          </w:tcPr>
          <w:p w14:paraId="78C5E767">
            <w:pPr>
              <w:pStyle w:val="218"/>
              <w:rPr>
                <w:color w:val="auto"/>
              </w:rPr>
            </w:pPr>
          </w:p>
        </w:tc>
        <w:tc>
          <w:tcPr>
            <w:tcW w:w="695" w:type="dxa"/>
            <w:vMerge w:val="continue"/>
            <w:vAlign w:val="center"/>
          </w:tcPr>
          <w:p w14:paraId="5B4B61BD">
            <w:pPr>
              <w:pStyle w:val="218"/>
              <w:rPr>
                <w:color w:val="auto"/>
              </w:rPr>
            </w:pPr>
          </w:p>
        </w:tc>
      </w:tr>
      <w:tr w14:paraId="0F68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49AE2211">
            <w:pPr>
              <w:pStyle w:val="218"/>
              <w:rPr>
                <w:color w:val="auto"/>
              </w:rPr>
            </w:pPr>
            <w:r>
              <w:rPr>
                <w:rFonts w:hint="eastAsia"/>
                <w:color w:val="auto"/>
              </w:rPr>
              <w:t>平混6#</w:t>
            </w:r>
          </w:p>
        </w:tc>
        <w:tc>
          <w:tcPr>
            <w:tcW w:w="690" w:type="dxa"/>
            <w:vAlign w:val="center"/>
          </w:tcPr>
          <w:p w14:paraId="385DCFE7">
            <w:pPr>
              <w:pStyle w:val="218"/>
              <w:rPr>
                <w:color w:val="auto"/>
              </w:rPr>
            </w:pPr>
            <w:r>
              <w:rPr>
                <w:rFonts w:hint="eastAsia"/>
                <w:color w:val="auto"/>
              </w:rPr>
              <w:t>0.73</w:t>
            </w:r>
          </w:p>
        </w:tc>
        <w:tc>
          <w:tcPr>
            <w:tcW w:w="690" w:type="dxa"/>
            <w:vAlign w:val="center"/>
          </w:tcPr>
          <w:p w14:paraId="01FD8FB6">
            <w:pPr>
              <w:pStyle w:val="218"/>
              <w:rPr>
                <w:color w:val="auto"/>
              </w:rPr>
            </w:pPr>
            <w:r>
              <w:rPr>
                <w:rFonts w:hint="eastAsia"/>
                <w:color w:val="auto"/>
              </w:rPr>
              <w:t>0.62</w:t>
            </w:r>
          </w:p>
        </w:tc>
        <w:tc>
          <w:tcPr>
            <w:tcW w:w="691" w:type="dxa"/>
            <w:vAlign w:val="center"/>
          </w:tcPr>
          <w:p w14:paraId="777EF4D5">
            <w:pPr>
              <w:pStyle w:val="218"/>
              <w:rPr>
                <w:color w:val="auto"/>
              </w:rPr>
            </w:pPr>
            <w:r>
              <w:rPr>
                <w:rFonts w:hint="eastAsia"/>
                <w:color w:val="auto"/>
              </w:rPr>
              <w:t>0.34</w:t>
            </w:r>
          </w:p>
        </w:tc>
        <w:tc>
          <w:tcPr>
            <w:tcW w:w="691" w:type="dxa"/>
            <w:vAlign w:val="center"/>
          </w:tcPr>
          <w:p w14:paraId="5C8386AA">
            <w:pPr>
              <w:pStyle w:val="218"/>
              <w:rPr>
                <w:color w:val="auto"/>
              </w:rPr>
            </w:pPr>
            <w:r>
              <w:rPr>
                <w:rFonts w:hint="eastAsia"/>
                <w:color w:val="auto"/>
              </w:rPr>
              <w:t>0.44</w:t>
            </w:r>
          </w:p>
        </w:tc>
        <w:tc>
          <w:tcPr>
            <w:tcW w:w="691" w:type="dxa"/>
            <w:vAlign w:val="center"/>
          </w:tcPr>
          <w:p w14:paraId="3CD21F45">
            <w:pPr>
              <w:pStyle w:val="218"/>
              <w:rPr>
                <w:color w:val="auto"/>
              </w:rPr>
            </w:pPr>
            <w:r>
              <w:rPr>
                <w:rFonts w:hint="eastAsia"/>
                <w:color w:val="auto"/>
              </w:rPr>
              <w:t>0.09</w:t>
            </w:r>
          </w:p>
        </w:tc>
        <w:tc>
          <w:tcPr>
            <w:tcW w:w="691" w:type="dxa"/>
            <w:vAlign w:val="center"/>
          </w:tcPr>
          <w:p w14:paraId="6406690A">
            <w:pPr>
              <w:pStyle w:val="218"/>
              <w:rPr>
                <w:color w:val="auto"/>
              </w:rPr>
            </w:pPr>
            <w:r>
              <w:rPr>
                <w:rFonts w:hint="eastAsia"/>
                <w:color w:val="auto"/>
              </w:rPr>
              <w:t>0.1</w:t>
            </w:r>
          </w:p>
        </w:tc>
        <w:tc>
          <w:tcPr>
            <w:tcW w:w="691" w:type="dxa"/>
            <w:vAlign w:val="center"/>
          </w:tcPr>
          <w:p w14:paraId="64F88FB4">
            <w:pPr>
              <w:pStyle w:val="218"/>
              <w:rPr>
                <w:color w:val="auto"/>
              </w:rPr>
            </w:pPr>
            <w:r>
              <w:rPr>
                <w:rFonts w:hint="eastAsia"/>
                <w:color w:val="auto"/>
              </w:rPr>
              <w:t>0.11</w:t>
            </w:r>
          </w:p>
        </w:tc>
        <w:tc>
          <w:tcPr>
            <w:tcW w:w="691" w:type="dxa"/>
            <w:vAlign w:val="center"/>
          </w:tcPr>
          <w:p w14:paraId="2EADDBE3">
            <w:pPr>
              <w:pStyle w:val="218"/>
              <w:rPr>
                <w:color w:val="auto"/>
              </w:rPr>
            </w:pPr>
            <w:r>
              <w:rPr>
                <w:rFonts w:hint="eastAsia"/>
                <w:color w:val="auto"/>
              </w:rPr>
              <w:t>0.06</w:t>
            </w:r>
          </w:p>
        </w:tc>
        <w:tc>
          <w:tcPr>
            <w:tcW w:w="692" w:type="dxa"/>
            <w:vAlign w:val="center"/>
          </w:tcPr>
          <w:p w14:paraId="5ED951BB">
            <w:pPr>
              <w:pStyle w:val="218"/>
              <w:rPr>
                <w:color w:val="auto"/>
              </w:rPr>
            </w:pPr>
            <w:r>
              <w:rPr>
                <w:rFonts w:hint="eastAsia"/>
                <w:color w:val="auto"/>
              </w:rPr>
              <w:t>2.49</w:t>
            </w:r>
          </w:p>
        </w:tc>
        <w:tc>
          <w:tcPr>
            <w:tcW w:w="692" w:type="dxa"/>
            <w:vAlign w:val="center"/>
          </w:tcPr>
          <w:p w14:paraId="52214A99">
            <w:pPr>
              <w:pStyle w:val="218"/>
              <w:rPr>
                <w:color w:val="auto"/>
              </w:rPr>
            </w:pPr>
            <w:r>
              <w:rPr>
                <w:rFonts w:hint="eastAsia"/>
                <w:color w:val="auto"/>
              </w:rPr>
              <w:t>0.36</w:t>
            </w:r>
          </w:p>
        </w:tc>
        <w:tc>
          <w:tcPr>
            <w:tcW w:w="695" w:type="dxa"/>
            <w:vAlign w:val="center"/>
          </w:tcPr>
          <w:p w14:paraId="6237BD5A">
            <w:pPr>
              <w:pStyle w:val="218"/>
              <w:rPr>
                <w:color w:val="auto"/>
              </w:rPr>
            </w:pPr>
            <w:r>
              <w:rPr>
                <w:rFonts w:hint="eastAsia"/>
                <w:color w:val="auto"/>
              </w:rPr>
              <w:t>0.06</w:t>
            </w:r>
          </w:p>
        </w:tc>
      </w:tr>
      <w:tr w14:paraId="6F6B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245B5597">
            <w:pPr>
              <w:pStyle w:val="218"/>
              <w:rPr>
                <w:color w:val="auto"/>
              </w:rPr>
            </w:pPr>
            <w:r>
              <w:rPr>
                <w:rFonts w:hint="eastAsia"/>
                <w:color w:val="auto"/>
              </w:rPr>
              <w:t>平混2#</w:t>
            </w:r>
          </w:p>
        </w:tc>
        <w:tc>
          <w:tcPr>
            <w:tcW w:w="690" w:type="dxa"/>
            <w:vAlign w:val="center"/>
          </w:tcPr>
          <w:p w14:paraId="5EEF40A5">
            <w:pPr>
              <w:pStyle w:val="218"/>
              <w:rPr>
                <w:color w:val="auto"/>
              </w:rPr>
            </w:pPr>
            <w:r>
              <w:rPr>
                <w:rFonts w:hint="eastAsia"/>
                <w:color w:val="auto"/>
              </w:rPr>
              <w:t>2.31</w:t>
            </w:r>
          </w:p>
        </w:tc>
        <w:tc>
          <w:tcPr>
            <w:tcW w:w="690" w:type="dxa"/>
            <w:vAlign w:val="center"/>
          </w:tcPr>
          <w:p w14:paraId="1B8FDC06">
            <w:pPr>
              <w:pStyle w:val="218"/>
              <w:rPr>
                <w:color w:val="auto"/>
              </w:rPr>
            </w:pPr>
            <w:r>
              <w:rPr>
                <w:rFonts w:hint="eastAsia"/>
                <w:color w:val="auto"/>
              </w:rPr>
              <w:t>1.88</w:t>
            </w:r>
          </w:p>
        </w:tc>
        <w:tc>
          <w:tcPr>
            <w:tcW w:w="691" w:type="dxa"/>
            <w:vAlign w:val="center"/>
          </w:tcPr>
          <w:p w14:paraId="78F8A319">
            <w:pPr>
              <w:pStyle w:val="218"/>
              <w:rPr>
                <w:color w:val="auto"/>
              </w:rPr>
            </w:pPr>
            <w:r>
              <w:rPr>
                <w:rFonts w:hint="eastAsia"/>
                <w:color w:val="auto"/>
              </w:rPr>
              <w:t>1.25</w:t>
            </w:r>
          </w:p>
        </w:tc>
        <w:tc>
          <w:tcPr>
            <w:tcW w:w="691" w:type="dxa"/>
            <w:vAlign w:val="center"/>
          </w:tcPr>
          <w:p w14:paraId="7595FCE0">
            <w:pPr>
              <w:pStyle w:val="218"/>
              <w:rPr>
                <w:color w:val="auto"/>
              </w:rPr>
            </w:pPr>
            <w:r>
              <w:rPr>
                <w:rFonts w:hint="eastAsia"/>
                <w:color w:val="auto"/>
              </w:rPr>
              <w:t>1.68</w:t>
            </w:r>
          </w:p>
        </w:tc>
        <w:tc>
          <w:tcPr>
            <w:tcW w:w="691" w:type="dxa"/>
            <w:vAlign w:val="center"/>
          </w:tcPr>
          <w:p w14:paraId="161314E3">
            <w:pPr>
              <w:pStyle w:val="218"/>
              <w:rPr>
                <w:color w:val="auto"/>
              </w:rPr>
            </w:pPr>
            <w:r>
              <w:rPr>
                <w:rFonts w:hint="eastAsia"/>
                <w:color w:val="auto"/>
              </w:rPr>
              <w:t>0.35</w:t>
            </w:r>
          </w:p>
        </w:tc>
        <w:tc>
          <w:tcPr>
            <w:tcW w:w="691" w:type="dxa"/>
            <w:vAlign w:val="center"/>
          </w:tcPr>
          <w:p w14:paraId="75151783">
            <w:pPr>
              <w:pStyle w:val="218"/>
              <w:rPr>
                <w:color w:val="auto"/>
              </w:rPr>
            </w:pPr>
            <w:r>
              <w:rPr>
                <w:rFonts w:hint="eastAsia"/>
                <w:color w:val="auto"/>
              </w:rPr>
              <w:t>0.43</w:t>
            </w:r>
          </w:p>
        </w:tc>
        <w:tc>
          <w:tcPr>
            <w:tcW w:w="691" w:type="dxa"/>
            <w:vAlign w:val="center"/>
          </w:tcPr>
          <w:p w14:paraId="4533EEA1">
            <w:pPr>
              <w:pStyle w:val="218"/>
              <w:rPr>
                <w:color w:val="auto"/>
              </w:rPr>
            </w:pPr>
            <w:r>
              <w:rPr>
                <w:rFonts w:hint="eastAsia"/>
                <w:color w:val="auto"/>
              </w:rPr>
              <w:t>0.56</w:t>
            </w:r>
          </w:p>
        </w:tc>
        <w:tc>
          <w:tcPr>
            <w:tcW w:w="691" w:type="dxa"/>
            <w:vAlign w:val="center"/>
          </w:tcPr>
          <w:p w14:paraId="74568202">
            <w:pPr>
              <w:pStyle w:val="218"/>
              <w:rPr>
                <w:color w:val="auto"/>
              </w:rPr>
            </w:pPr>
            <w:r>
              <w:rPr>
                <w:rFonts w:hint="eastAsia"/>
                <w:color w:val="auto"/>
              </w:rPr>
              <w:t>0.40</w:t>
            </w:r>
          </w:p>
        </w:tc>
        <w:tc>
          <w:tcPr>
            <w:tcW w:w="692" w:type="dxa"/>
            <w:vAlign w:val="center"/>
          </w:tcPr>
          <w:p w14:paraId="35C679AB">
            <w:pPr>
              <w:pStyle w:val="218"/>
              <w:rPr>
                <w:color w:val="auto"/>
              </w:rPr>
            </w:pPr>
            <w:r>
              <w:rPr>
                <w:rFonts w:hint="eastAsia"/>
                <w:color w:val="auto"/>
              </w:rPr>
              <w:t>8.86</w:t>
            </w:r>
          </w:p>
        </w:tc>
        <w:tc>
          <w:tcPr>
            <w:tcW w:w="692" w:type="dxa"/>
            <w:vAlign w:val="center"/>
          </w:tcPr>
          <w:p w14:paraId="1A36612D">
            <w:pPr>
              <w:pStyle w:val="218"/>
              <w:rPr>
                <w:color w:val="auto"/>
              </w:rPr>
            </w:pPr>
            <w:r>
              <w:rPr>
                <w:rFonts w:hint="eastAsia"/>
                <w:color w:val="auto"/>
              </w:rPr>
              <w:t>1.74</w:t>
            </w:r>
          </w:p>
        </w:tc>
        <w:tc>
          <w:tcPr>
            <w:tcW w:w="695" w:type="dxa"/>
            <w:vAlign w:val="center"/>
          </w:tcPr>
          <w:p w14:paraId="333ABCD6">
            <w:pPr>
              <w:pStyle w:val="218"/>
              <w:rPr>
                <w:color w:val="auto"/>
              </w:rPr>
            </w:pPr>
            <w:r>
              <w:rPr>
                <w:rFonts w:hint="eastAsia"/>
                <w:color w:val="auto"/>
              </w:rPr>
              <w:t>0.4</w:t>
            </w:r>
          </w:p>
        </w:tc>
      </w:tr>
      <w:tr w14:paraId="3B73B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7DD5F118">
            <w:pPr>
              <w:pStyle w:val="218"/>
              <w:rPr>
                <w:color w:val="auto"/>
              </w:rPr>
            </w:pPr>
            <w:r>
              <w:rPr>
                <w:rFonts w:hint="eastAsia"/>
                <w:color w:val="auto"/>
              </w:rPr>
              <w:t>沫煤1#</w:t>
            </w:r>
          </w:p>
        </w:tc>
        <w:tc>
          <w:tcPr>
            <w:tcW w:w="690" w:type="dxa"/>
            <w:vAlign w:val="center"/>
          </w:tcPr>
          <w:p w14:paraId="138F13A4">
            <w:pPr>
              <w:pStyle w:val="218"/>
              <w:rPr>
                <w:color w:val="auto"/>
              </w:rPr>
            </w:pPr>
            <w:r>
              <w:rPr>
                <w:rFonts w:hint="eastAsia"/>
                <w:color w:val="auto"/>
              </w:rPr>
              <w:t>2.97</w:t>
            </w:r>
          </w:p>
        </w:tc>
        <w:tc>
          <w:tcPr>
            <w:tcW w:w="690" w:type="dxa"/>
            <w:vAlign w:val="center"/>
          </w:tcPr>
          <w:p w14:paraId="72F14009">
            <w:pPr>
              <w:pStyle w:val="218"/>
              <w:rPr>
                <w:color w:val="auto"/>
              </w:rPr>
            </w:pPr>
            <w:r>
              <w:rPr>
                <w:rFonts w:hint="eastAsia"/>
                <w:color w:val="auto"/>
              </w:rPr>
              <w:t>3.05</w:t>
            </w:r>
          </w:p>
        </w:tc>
        <w:tc>
          <w:tcPr>
            <w:tcW w:w="691" w:type="dxa"/>
            <w:vAlign w:val="center"/>
          </w:tcPr>
          <w:p w14:paraId="2C3281B9">
            <w:pPr>
              <w:pStyle w:val="218"/>
              <w:rPr>
                <w:color w:val="auto"/>
              </w:rPr>
            </w:pPr>
            <w:r>
              <w:rPr>
                <w:rFonts w:hint="eastAsia"/>
                <w:color w:val="auto"/>
              </w:rPr>
              <w:t>2.77</w:t>
            </w:r>
          </w:p>
        </w:tc>
        <w:tc>
          <w:tcPr>
            <w:tcW w:w="691" w:type="dxa"/>
            <w:vAlign w:val="center"/>
          </w:tcPr>
          <w:p w14:paraId="28A751C7">
            <w:pPr>
              <w:pStyle w:val="218"/>
              <w:rPr>
                <w:color w:val="auto"/>
              </w:rPr>
            </w:pPr>
            <w:r>
              <w:rPr>
                <w:rFonts w:hint="eastAsia"/>
                <w:color w:val="auto"/>
              </w:rPr>
              <w:t>4.89</w:t>
            </w:r>
          </w:p>
        </w:tc>
        <w:tc>
          <w:tcPr>
            <w:tcW w:w="691" w:type="dxa"/>
            <w:vAlign w:val="center"/>
          </w:tcPr>
          <w:p w14:paraId="35F90248">
            <w:pPr>
              <w:pStyle w:val="218"/>
              <w:rPr>
                <w:color w:val="auto"/>
              </w:rPr>
            </w:pPr>
            <w:r>
              <w:rPr>
                <w:rFonts w:hint="eastAsia"/>
                <w:color w:val="auto"/>
              </w:rPr>
              <w:t>0.97</w:t>
            </w:r>
          </w:p>
        </w:tc>
        <w:tc>
          <w:tcPr>
            <w:tcW w:w="691" w:type="dxa"/>
            <w:vAlign w:val="center"/>
          </w:tcPr>
          <w:p w14:paraId="2CD94678">
            <w:pPr>
              <w:pStyle w:val="218"/>
              <w:rPr>
                <w:color w:val="auto"/>
              </w:rPr>
            </w:pPr>
            <w:r>
              <w:rPr>
                <w:rFonts w:hint="eastAsia"/>
                <w:color w:val="auto"/>
              </w:rPr>
              <w:t>1.09</w:t>
            </w:r>
          </w:p>
        </w:tc>
        <w:tc>
          <w:tcPr>
            <w:tcW w:w="691" w:type="dxa"/>
            <w:vAlign w:val="center"/>
          </w:tcPr>
          <w:p w14:paraId="267139EB">
            <w:pPr>
              <w:pStyle w:val="218"/>
              <w:rPr>
                <w:color w:val="auto"/>
              </w:rPr>
            </w:pPr>
            <w:r>
              <w:rPr>
                <w:rFonts w:hint="eastAsia"/>
                <w:color w:val="auto"/>
              </w:rPr>
              <w:t>1.22</w:t>
            </w:r>
          </w:p>
        </w:tc>
        <w:tc>
          <w:tcPr>
            <w:tcW w:w="691" w:type="dxa"/>
            <w:vAlign w:val="center"/>
          </w:tcPr>
          <w:p w14:paraId="60C7BB6B">
            <w:pPr>
              <w:pStyle w:val="218"/>
              <w:rPr>
                <w:color w:val="auto"/>
              </w:rPr>
            </w:pPr>
            <w:r>
              <w:rPr>
                <w:rFonts w:hint="eastAsia"/>
                <w:color w:val="auto"/>
              </w:rPr>
              <w:t>0.81</w:t>
            </w:r>
          </w:p>
        </w:tc>
        <w:tc>
          <w:tcPr>
            <w:tcW w:w="692" w:type="dxa"/>
            <w:vAlign w:val="center"/>
          </w:tcPr>
          <w:p w14:paraId="696DE9E9">
            <w:pPr>
              <w:pStyle w:val="218"/>
              <w:rPr>
                <w:color w:val="auto"/>
              </w:rPr>
            </w:pPr>
            <w:r>
              <w:rPr>
                <w:rFonts w:hint="eastAsia"/>
                <w:color w:val="auto"/>
              </w:rPr>
              <w:t>17.77</w:t>
            </w:r>
          </w:p>
        </w:tc>
        <w:tc>
          <w:tcPr>
            <w:tcW w:w="692" w:type="dxa"/>
            <w:vAlign w:val="center"/>
          </w:tcPr>
          <w:p w14:paraId="38B37B04">
            <w:pPr>
              <w:pStyle w:val="218"/>
              <w:rPr>
                <w:color w:val="auto"/>
              </w:rPr>
            </w:pPr>
            <w:r>
              <w:rPr>
                <w:rFonts w:hint="eastAsia"/>
                <w:color w:val="auto"/>
              </w:rPr>
              <w:t>4.09</w:t>
            </w:r>
          </w:p>
        </w:tc>
        <w:tc>
          <w:tcPr>
            <w:tcW w:w="695" w:type="dxa"/>
            <w:vAlign w:val="center"/>
          </w:tcPr>
          <w:p w14:paraId="58832D75">
            <w:pPr>
              <w:pStyle w:val="218"/>
              <w:rPr>
                <w:color w:val="auto"/>
              </w:rPr>
            </w:pPr>
            <w:r>
              <w:rPr>
                <w:rFonts w:hint="eastAsia"/>
                <w:color w:val="auto"/>
              </w:rPr>
              <w:t>0.81</w:t>
            </w:r>
          </w:p>
        </w:tc>
      </w:tr>
      <w:tr w14:paraId="72DF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610C7A78">
            <w:pPr>
              <w:pStyle w:val="218"/>
              <w:rPr>
                <w:color w:val="auto"/>
              </w:rPr>
            </w:pPr>
            <w:r>
              <w:rPr>
                <w:rFonts w:hint="eastAsia"/>
                <w:color w:val="auto"/>
              </w:rPr>
              <w:t>沫煤2#</w:t>
            </w:r>
          </w:p>
        </w:tc>
        <w:tc>
          <w:tcPr>
            <w:tcW w:w="690" w:type="dxa"/>
            <w:vAlign w:val="center"/>
          </w:tcPr>
          <w:p w14:paraId="36C32D47">
            <w:pPr>
              <w:pStyle w:val="218"/>
              <w:rPr>
                <w:color w:val="auto"/>
              </w:rPr>
            </w:pPr>
            <w:r>
              <w:rPr>
                <w:rFonts w:hint="eastAsia"/>
                <w:color w:val="auto"/>
              </w:rPr>
              <w:t>5.77</w:t>
            </w:r>
          </w:p>
        </w:tc>
        <w:tc>
          <w:tcPr>
            <w:tcW w:w="690" w:type="dxa"/>
            <w:vAlign w:val="center"/>
          </w:tcPr>
          <w:p w14:paraId="78ACD4E8">
            <w:pPr>
              <w:pStyle w:val="218"/>
              <w:rPr>
                <w:color w:val="auto"/>
              </w:rPr>
            </w:pPr>
            <w:r>
              <w:rPr>
                <w:rFonts w:hint="eastAsia"/>
                <w:color w:val="auto"/>
              </w:rPr>
              <w:t>3.55</w:t>
            </w:r>
          </w:p>
        </w:tc>
        <w:tc>
          <w:tcPr>
            <w:tcW w:w="691" w:type="dxa"/>
            <w:vAlign w:val="center"/>
          </w:tcPr>
          <w:p w14:paraId="1970B980">
            <w:pPr>
              <w:pStyle w:val="218"/>
              <w:rPr>
                <w:color w:val="auto"/>
              </w:rPr>
            </w:pPr>
            <w:r>
              <w:rPr>
                <w:rFonts w:hint="eastAsia"/>
                <w:color w:val="auto"/>
              </w:rPr>
              <w:t>1.57</w:t>
            </w:r>
          </w:p>
        </w:tc>
        <w:tc>
          <w:tcPr>
            <w:tcW w:w="691" w:type="dxa"/>
            <w:vAlign w:val="center"/>
          </w:tcPr>
          <w:p w14:paraId="148928A9">
            <w:pPr>
              <w:pStyle w:val="218"/>
              <w:rPr>
                <w:color w:val="auto"/>
              </w:rPr>
            </w:pPr>
            <w:r>
              <w:rPr>
                <w:rFonts w:hint="eastAsia"/>
                <w:color w:val="auto"/>
              </w:rPr>
              <w:t>1.82</w:t>
            </w:r>
          </w:p>
        </w:tc>
        <w:tc>
          <w:tcPr>
            <w:tcW w:w="691" w:type="dxa"/>
            <w:vAlign w:val="center"/>
          </w:tcPr>
          <w:p w14:paraId="6CE9A7F8">
            <w:pPr>
              <w:pStyle w:val="218"/>
              <w:rPr>
                <w:color w:val="auto"/>
              </w:rPr>
            </w:pPr>
            <w:r>
              <w:rPr>
                <w:rFonts w:hint="eastAsia"/>
                <w:color w:val="auto"/>
              </w:rPr>
              <w:t>0.44</w:t>
            </w:r>
          </w:p>
        </w:tc>
        <w:tc>
          <w:tcPr>
            <w:tcW w:w="691" w:type="dxa"/>
            <w:vAlign w:val="center"/>
          </w:tcPr>
          <w:p w14:paraId="5ADDC75C">
            <w:pPr>
              <w:pStyle w:val="218"/>
              <w:rPr>
                <w:color w:val="auto"/>
              </w:rPr>
            </w:pPr>
            <w:r>
              <w:rPr>
                <w:rFonts w:hint="eastAsia"/>
                <w:color w:val="auto"/>
              </w:rPr>
              <w:t>0.60</w:t>
            </w:r>
          </w:p>
        </w:tc>
        <w:tc>
          <w:tcPr>
            <w:tcW w:w="691" w:type="dxa"/>
            <w:vAlign w:val="center"/>
          </w:tcPr>
          <w:p w14:paraId="0935EE6A">
            <w:pPr>
              <w:pStyle w:val="218"/>
              <w:rPr>
                <w:color w:val="auto"/>
              </w:rPr>
            </w:pPr>
            <w:r>
              <w:rPr>
                <w:rFonts w:hint="eastAsia"/>
                <w:color w:val="auto"/>
              </w:rPr>
              <w:t>0.86</w:t>
            </w:r>
          </w:p>
        </w:tc>
        <w:tc>
          <w:tcPr>
            <w:tcW w:w="691" w:type="dxa"/>
            <w:vAlign w:val="center"/>
          </w:tcPr>
          <w:p w14:paraId="750811C0">
            <w:pPr>
              <w:pStyle w:val="218"/>
              <w:rPr>
                <w:color w:val="auto"/>
              </w:rPr>
            </w:pPr>
            <w:r>
              <w:rPr>
                <w:rFonts w:hint="eastAsia"/>
                <w:color w:val="auto"/>
              </w:rPr>
              <w:t>0.57</w:t>
            </w:r>
          </w:p>
        </w:tc>
        <w:tc>
          <w:tcPr>
            <w:tcW w:w="692" w:type="dxa"/>
            <w:vAlign w:val="center"/>
          </w:tcPr>
          <w:p w14:paraId="519DEA43">
            <w:pPr>
              <w:pStyle w:val="218"/>
              <w:rPr>
                <w:color w:val="auto"/>
              </w:rPr>
            </w:pPr>
            <w:r>
              <w:rPr>
                <w:rFonts w:hint="eastAsia"/>
                <w:color w:val="auto"/>
              </w:rPr>
              <w:t>15.18</w:t>
            </w:r>
          </w:p>
        </w:tc>
        <w:tc>
          <w:tcPr>
            <w:tcW w:w="692" w:type="dxa"/>
            <w:vAlign w:val="center"/>
          </w:tcPr>
          <w:p w14:paraId="3230DB64">
            <w:pPr>
              <w:pStyle w:val="218"/>
              <w:rPr>
                <w:color w:val="auto"/>
              </w:rPr>
            </w:pPr>
            <w:r>
              <w:rPr>
                <w:rFonts w:hint="eastAsia"/>
                <w:color w:val="auto"/>
              </w:rPr>
              <w:t>2.47</w:t>
            </w:r>
          </w:p>
        </w:tc>
        <w:tc>
          <w:tcPr>
            <w:tcW w:w="695" w:type="dxa"/>
            <w:vAlign w:val="center"/>
          </w:tcPr>
          <w:p w14:paraId="175D5702">
            <w:pPr>
              <w:pStyle w:val="218"/>
              <w:rPr>
                <w:color w:val="auto"/>
              </w:rPr>
            </w:pPr>
            <w:r>
              <w:rPr>
                <w:rFonts w:hint="eastAsia"/>
                <w:color w:val="auto"/>
              </w:rPr>
              <w:t>0.57</w:t>
            </w:r>
          </w:p>
        </w:tc>
      </w:tr>
      <w:tr w14:paraId="7196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4" w:type="dxa"/>
            <w:vAlign w:val="center"/>
          </w:tcPr>
          <w:p w14:paraId="09F28D4E">
            <w:pPr>
              <w:pStyle w:val="218"/>
              <w:rPr>
                <w:color w:val="auto"/>
              </w:rPr>
            </w:pPr>
            <w:r>
              <w:rPr>
                <w:rFonts w:hint="eastAsia"/>
                <w:color w:val="auto"/>
              </w:rPr>
              <w:t>平均粒径（煤炭）/频率</w:t>
            </w:r>
          </w:p>
        </w:tc>
        <w:tc>
          <w:tcPr>
            <w:tcW w:w="690" w:type="dxa"/>
            <w:vAlign w:val="center"/>
          </w:tcPr>
          <w:p w14:paraId="3923971E">
            <w:pPr>
              <w:pStyle w:val="218"/>
              <w:rPr>
                <w:color w:val="auto"/>
              </w:rPr>
            </w:pPr>
            <w:r>
              <w:rPr>
                <w:color w:val="auto"/>
              </w:rPr>
              <w:t>2.95</w:t>
            </w:r>
          </w:p>
        </w:tc>
        <w:tc>
          <w:tcPr>
            <w:tcW w:w="690" w:type="dxa"/>
            <w:vAlign w:val="center"/>
          </w:tcPr>
          <w:p w14:paraId="25693311">
            <w:pPr>
              <w:pStyle w:val="218"/>
              <w:rPr>
                <w:color w:val="auto"/>
              </w:rPr>
            </w:pPr>
            <w:r>
              <w:rPr>
                <w:color w:val="auto"/>
              </w:rPr>
              <w:t>2.28</w:t>
            </w:r>
          </w:p>
        </w:tc>
        <w:tc>
          <w:tcPr>
            <w:tcW w:w="691" w:type="dxa"/>
            <w:vAlign w:val="center"/>
          </w:tcPr>
          <w:p w14:paraId="4FD8CC7F">
            <w:pPr>
              <w:pStyle w:val="218"/>
              <w:rPr>
                <w:color w:val="auto"/>
              </w:rPr>
            </w:pPr>
            <w:r>
              <w:rPr>
                <w:color w:val="auto"/>
              </w:rPr>
              <w:t>1.48</w:t>
            </w:r>
          </w:p>
        </w:tc>
        <w:tc>
          <w:tcPr>
            <w:tcW w:w="691" w:type="dxa"/>
            <w:vAlign w:val="center"/>
          </w:tcPr>
          <w:p w14:paraId="4B29FC41">
            <w:pPr>
              <w:pStyle w:val="218"/>
              <w:rPr>
                <w:color w:val="auto"/>
              </w:rPr>
            </w:pPr>
            <w:r>
              <w:rPr>
                <w:color w:val="auto"/>
              </w:rPr>
              <w:t>2.21</w:t>
            </w:r>
          </w:p>
        </w:tc>
        <w:tc>
          <w:tcPr>
            <w:tcW w:w="691" w:type="dxa"/>
            <w:vAlign w:val="center"/>
          </w:tcPr>
          <w:p w14:paraId="24BF1478">
            <w:pPr>
              <w:pStyle w:val="218"/>
              <w:rPr>
                <w:color w:val="auto"/>
              </w:rPr>
            </w:pPr>
            <w:r>
              <w:rPr>
                <w:color w:val="auto"/>
              </w:rPr>
              <w:t>0.46</w:t>
            </w:r>
          </w:p>
        </w:tc>
        <w:tc>
          <w:tcPr>
            <w:tcW w:w="691" w:type="dxa"/>
            <w:vAlign w:val="center"/>
          </w:tcPr>
          <w:p w14:paraId="518104AD">
            <w:pPr>
              <w:pStyle w:val="218"/>
              <w:rPr>
                <w:color w:val="auto"/>
              </w:rPr>
            </w:pPr>
            <w:r>
              <w:rPr>
                <w:color w:val="auto"/>
              </w:rPr>
              <w:t>0.56</w:t>
            </w:r>
          </w:p>
        </w:tc>
        <w:tc>
          <w:tcPr>
            <w:tcW w:w="691" w:type="dxa"/>
            <w:vAlign w:val="center"/>
          </w:tcPr>
          <w:p w14:paraId="5D9D4CD1">
            <w:pPr>
              <w:pStyle w:val="218"/>
              <w:rPr>
                <w:color w:val="auto"/>
              </w:rPr>
            </w:pPr>
            <w:r>
              <w:rPr>
                <w:color w:val="auto"/>
              </w:rPr>
              <w:t>0.69</w:t>
            </w:r>
          </w:p>
        </w:tc>
        <w:tc>
          <w:tcPr>
            <w:tcW w:w="691" w:type="dxa"/>
            <w:vAlign w:val="center"/>
          </w:tcPr>
          <w:p w14:paraId="7698E44F">
            <w:pPr>
              <w:pStyle w:val="218"/>
              <w:rPr>
                <w:color w:val="auto"/>
              </w:rPr>
            </w:pPr>
            <w:r>
              <w:rPr>
                <w:color w:val="auto"/>
              </w:rPr>
              <w:t>0.46</w:t>
            </w:r>
          </w:p>
        </w:tc>
        <w:tc>
          <w:tcPr>
            <w:tcW w:w="692" w:type="dxa"/>
            <w:vAlign w:val="center"/>
          </w:tcPr>
          <w:p w14:paraId="627BAA9A">
            <w:pPr>
              <w:pStyle w:val="218"/>
              <w:rPr>
                <w:b/>
                <w:bCs/>
                <w:color w:val="auto"/>
              </w:rPr>
            </w:pPr>
            <w:r>
              <w:rPr>
                <w:b/>
                <w:bCs/>
                <w:color w:val="auto"/>
              </w:rPr>
              <w:t>11.08</w:t>
            </w:r>
          </w:p>
        </w:tc>
        <w:tc>
          <w:tcPr>
            <w:tcW w:w="692" w:type="dxa"/>
            <w:vAlign w:val="center"/>
          </w:tcPr>
          <w:p w14:paraId="3D4CB22F">
            <w:pPr>
              <w:pStyle w:val="218"/>
              <w:rPr>
                <w:b/>
                <w:bCs/>
                <w:color w:val="auto"/>
              </w:rPr>
            </w:pPr>
            <w:r>
              <w:rPr>
                <w:b/>
                <w:bCs/>
                <w:color w:val="auto"/>
              </w:rPr>
              <w:t>2.17</w:t>
            </w:r>
          </w:p>
        </w:tc>
        <w:tc>
          <w:tcPr>
            <w:tcW w:w="695" w:type="dxa"/>
            <w:vAlign w:val="center"/>
          </w:tcPr>
          <w:p w14:paraId="425C7F8E">
            <w:pPr>
              <w:pStyle w:val="218"/>
              <w:rPr>
                <w:b/>
                <w:bCs/>
                <w:color w:val="auto"/>
              </w:rPr>
            </w:pPr>
            <w:r>
              <w:rPr>
                <w:b/>
                <w:bCs/>
                <w:color w:val="auto"/>
              </w:rPr>
              <w:t>0.46</w:t>
            </w:r>
          </w:p>
        </w:tc>
      </w:tr>
      <w:bookmarkEnd w:id="190"/>
    </w:tbl>
    <w:p w14:paraId="37C8A693">
      <w:pPr>
        <w:ind w:firstLine="482"/>
        <w:rPr>
          <w:b/>
        </w:rPr>
      </w:pPr>
      <w:bookmarkStart w:id="191" w:name="OLE_LINK18"/>
      <w:r>
        <w:rPr>
          <w:rFonts w:hint="eastAsia"/>
          <w:b/>
        </w:rPr>
        <w:t>（2）动态（卸船作业）粉尘起尘量</w:t>
      </w:r>
    </w:p>
    <w:p w14:paraId="27AB238E">
      <w:pPr>
        <w:pStyle w:val="139"/>
        <w:ind w:firstLine="480"/>
        <w:rPr>
          <w:color w:val="auto"/>
        </w:rPr>
      </w:pPr>
      <w:r>
        <w:rPr>
          <w:rFonts w:hint="eastAsia"/>
          <w:color w:val="auto"/>
        </w:rPr>
        <w:t>目前码头项目尚无专门的污染源强核算指南。2020年2月28日，生态环境部发布了《排污许可证申请与核发技术规范 码头》（HJ1107-2020），对码头无组织颗粒物排污许可量提出了相应的计算方法，2021年5月1日，交通运输部发布《水运工程建设项目环境影响评价指南》（JTS/T 105-1-2021），其中，3.3.4 节规定了港口码头的大气环境污染物计算方法。本次评价综合考虑了两种计算方法，以两种计算方法中的较大值作为正常排放工程的大气污染物源强。</w:t>
      </w:r>
    </w:p>
    <w:p w14:paraId="6B7FC35E">
      <w:pPr>
        <w:pStyle w:val="139"/>
        <w:ind w:firstLine="480"/>
        <w:rPr>
          <w:color w:val="auto"/>
        </w:rPr>
      </w:pPr>
      <w:r>
        <w:rPr>
          <w:rFonts w:hint="eastAsia"/>
          <w:color w:val="auto"/>
        </w:rPr>
        <w:t>①依据《排污许可证申请与核发技术规范 码头》（HJ 1107-2020）</w:t>
      </w:r>
    </w:p>
    <w:p w14:paraId="1F76E39D">
      <w:pPr>
        <w:pStyle w:val="139"/>
        <w:ind w:firstLine="480"/>
        <w:rPr>
          <w:color w:val="auto"/>
        </w:rPr>
      </w:pPr>
      <w:r>
        <w:rPr>
          <w:rFonts w:hint="eastAsia"/>
          <w:color w:val="auto"/>
        </w:rPr>
        <w:t>计算根据《排污许可证申请与核发技术规范 码头》（HJ 1107-2020），干散货码头在装船和卸船过程中，不同的作业方式与粉尘污染控制措施，其无组织颗粒物的排放计算公式如下：</w:t>
      </w:r>
    </w:p>
    <w:p w14:paraId="2F06B841">
      <w:pPr>
        <w:pStyle w:val="93"/>
      </w:pPr>
      <w:r>
        <w:drawing>
          <wp:inline distT="0" distB="0" distL="0" distR="0">
            <wp:extent cx="3326765" cy="262255"/>
            <wp:effectExtent l="0" t="0" r="6985" b="4445"/>
            <wp:docPr id="1932979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9427" name="图片 1"/>
                    <pic:cNvPicPr>
                      <a:picLocks noChangeAspect="1"/>
                    </pic:cNvPicPr>
                  </pic:nvPicPr>
                  <pic:blipFill>
                    <a:blip r:embed="rId49"/>
                    <a:stretch>
                      <a:fillRect/>
                    </a:stretch>
                  </pic:blipFill>
                  <pic:spPr>
                    <a:xfrm>
                      <a:off x="0" y="0"/>
                      <a:ext cx="3327375" cy="262465"/>
                    </a:xfrm>
                    <a:prstGeom prst="rect">
                      <a:avLst/>
                    </a:prstGeom>
                  </pic:spPr>
                </pic:pic>
              </a:graphicData>
            </a:graphic>
          </wp:inline>
        </w:drawing>
      </w:r>
    </w:p>
    <w:p w14:paraId="2FD774A0">
      <w:pPr>
        <w:pStyle w:val="139"/>
        <w:ind w:firstLine="480"/>
        <w:rPr>
          <w:color w:val="auto"/>
        </w:rPr>
      </w:pPr>
      <w:r>
        <w:rPr>
          <w:rFonts w:hint="eastAsia"/>
          <w:color w:val="auto"/>
        </w:rPr>
        <w:t>R为第i个泊位生产单元或第j个堆场生产单元或第k个</w:t>
      </w:r>
      <w:r>
        <w:rPr>
          <w:rFonts w:hint="eastAsia"/>
          <w:color w:val="auto"/>
          <w:lang w:eastAsia="zh-CN"/>
        </w:rPr>
        <w:t>运输</w:t>
      </w:r>
      <w:r>
        <w:rPr>
          <w:rFonts w:hint="eastAsia"/>
          <w:color w:val="auto"/>
        </w:rPr>
        <w:t>系统生产单元下不同生产工艺的年设计生产能力或堆场年周转量，t；</w:t>
      </w:r>
    </w:p>
    <w:p w14:paraId="77A1DDE3">
      <w:pPr>
        <w:pStyle w:val="139"/>
        <w:ind w:firstLine="480"/>
        <w:rPr>
          <w:color w:val="auto"/>
        </w:rPr>
      </w:pPr>
      <w:r>
        <w:rPr>
          <w:rFonts w:hint="eastAsia"/>
          <w:color w:val="auto"/>
        </w:rPr>
        <w:t>G为第i个泊位生产单元或第j个堆场生产单元或第k个</w:t>
      </w:r>
      <w:r>
        <w:rPr>
          <w:rFonts w:hint="eastAsia"/>
          <w:color w:val="auto"/>
          <w:lang w:eastAsia="zh-CN"/>
        </w:rPr>
        <w:t>运输</w:t>
      </w:r>
      <w:r>
        <w:rPr>
          <w:rFonts w:hint="eastAsia"/>
          <w:color w:val="auto"/>
        </w:rPr>
        <w:t>系统生产单元下不同生产工艺的颗粒物无组织排放绩效值，kg/t，具体取值见表3.8-3。</w:t>
      </w:r>
    </w:p>
    <w:p w14:paraId="17CA3D69">
      <w:pPr>
        <w:pStyle w:val="139"/>
        <w:ind w:firstLine="480"/>
        <w:rPr>
          <w:color w:val="auto"/>
        </w:rPr>
      </w:pPr>
      <w:r>
        <w:rPr>
          <w:rFonts w:hint="eastAsia"/>
          <w:color w:val="auto"/>
        </w:rPr>
        <w:t>β为货类起尘调节系数，无量纲，取值见表3.8-2。</w:t>
      </w:r>
    </w:p>
    <w:p w14:paraId="44A2A702">
      <w:pPr>
        <w:pStyle w:val="86"/>
      </w:pPr>
      <w:bookmarkStart w:id="192" w:name="_Hlk181747639"/>
      <w:r>
        <w:rPr>
          <w:rFonts w:hint="eastAsia"/>
        </w:rPr>
        <w:t>货类起尘调节系数取值表</w:t>
      </w:r>
    </w:p>
    <w:bookmarkEnd w:id="192"/>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7"/>
        <w:gridCol w:w="4148"/>
      </w:tblGrid>
      <w:tr w14:paraId="6CDF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2EEDC49B">
            <w:pPr>
              <w:pStyle w:val="218"/>
              <w:rPr>
                <w:b/>
                <w:bCs/>
                <w:color w:val="auto"/>
              </w:rPr>
            </w:pPr>
            <w:r>
              <w:rPr>
                <w:rFonts w:hint="eastAsia"/>
                <w:b/>
                <w:bCs/>
                <w:color w:val="auto"/>
              </w:rPr>
              <w:t>货类</w:t>
            </w:r>
          </w:p>
        </w:tc>
        <w:tc>
          <w:tcPr>
            <w:tcW w:w="4148" w:type="dxa"/>
          </w:tcPr>
          <w:p w14:paraId="729C2FB8">
            <w:pPr>
              <w:pStyle w:val="218"/>
              <w:rPr>
                <w:b/>
                <w:bCs/>
                <w:color w:val="auto"/>
              </w:rPr>
            </w:pPr>
            <w:r>
              <w:rPr>
                <w:rFonts w:hint="eastAsia"/>
                <w:b/>
                <w:bCs/>
                <w:color w:val="auto"/>
              </w:rPr>
              <w:t>系数值</w:t>
            </w:r>
          </w:p>
        </w:tc>
      </w:tr>
      <w:tr w14:paraId="49E3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shd w:val="clear" w:color="auto" w:fill="BEBEBE" w:themeFill="background1" w:themeFillShade="BF"/>
          </w:tcPr>
          <w:p w14:paraId="587C685A">
            <w:pPr>
              <w:pStyle w:val="218"/>
              <w:rPr>
                <w:color w:val="auto"/>
              </w:rPr>
            </w:pPr>
            <w:r>
              <w:rPr>
                <w:rFonts w:hint="eastAsia"/>
                <w:color w:val="auto"/>
              </w:rPr>
              <w:t>煤炭</w:t>
            </w:r>
          </w:p>
        </w:tc>
        <w:tc>
          <w:tcPr>
            <w:tcW w:w="4148" w:type="dxa"/>
            <w:shd w:val="clear" w:color="auto" w:fill="BEBEBE" w:themeFill="background1" w:themeFillShade="BF"/>
          </w:tcPr>
          <w:p w14:paraId="37BC3251">
            <w:pPr>
              <w:pStyle w:val="218"/>
              <w:rPr>
                <w:color w:val="auto"/>
              </w:rPr>
            </w:pPr>
            <w:r>
              <w:rPr>
                <w:rFonts w:hint="eastAsia"/>
                <w:color w:val="auto"/>
              </w:rPr>
              <w:t>1.0</w:t>
            </w:r>
          </w:p>
        </w:tc>
      </w:tr>
      <w:tr w14:paraId="14B0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28E7DE94">
            <w:pPr>
              <w:pStyle w:val="218"/>
              <w:rPr>
                <w:color w:val="auto"/>
              </w:rPr>
            </w:pPr>
            <w:r>
              <w:rPr>
                <w:rFonts w:hint="eastAsia"/>
                <w:color w:val="auto"/>
              </w:rPr>
              <w:t>金属矿石</w:t>
            </w:r>
          </w:p>
        </w:tc>
        <w:tc>
          <w:tcPr>
            <w:tcW w:w="4148" w:type="dxa"/>
          </w:tcPr>
          <w:p w14:paraId="625291CE">
            <w:pPr>
              <w:pStyle w:val="218"/>
              <w:rPr>
                <w:color w:val="auto"/>
              </w:rPr>
            </w:pPr>
            <w:r>
              <w:rPr>
                <w:rFonts w:hint="eastAsia"/>
                <w:color w:val="auto"/>
              </w:rPr>
              <w:t>1.27</w:t>
            </w:r>
          </w:p>
        </w:tc>
      </w:tr>
      <w:tr w14:paraId="1775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5083D523">
            <w:pPr>
              <w:pStyle w:val="218"/>
              <w:rPr>
                <w:color w:val="auto"/>
              </w:rPr>
            </w:pPr>
            <w:r>
              <w:rPr>
                <w:rFonts w:hint="eastAsia"/>
                <w:color w:val="auto"/>
              </w:rPr>
              <w:t>非金属矿石</w:t>
            </w:r>
          </w:p>
        </w:tc>
        <w:tc>
          <w:tcPr>
            <w:tcW w:w="4148" w:type="dxa"/>
          </w:tcPr>
          <w:p w14:paraId="6C947C66">
            <w:pPr>
              <w:pStyle w:val="218"/>
              <w:rPr>
                <w:color w:val="auto"/>
              </w:rPr>
            </w:pPr>
            <w:r>
              <w:rPr>
                <w:rFonts w:hint="eastAsia"/>
                <w:color w:val="auto"/>
              </w:rPr>
              <w:t>0.4</w:t>
            </w:r>
          </w:p>
        </w:tc>
      </w:tr>
      <w:tr w14:paraId="4713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098B8B37">
            <w:pPr>
              <w:pStyle w:val="218"/>
              <w:rPr>
                <w:color w:val="auto"/>
              </w:rPr>
            </w:pPr>
            <w:r>
              <w:rPr>
                <w:rFonts w:hint="eastAsia"/>
                <w:color w:val="auto"/>
              </w:rPr>
              <w:t>水泥</w:t>
            </w:r>
          </w:p>
        </w:tc>
        <w:tc>
          <w:tcPr>
            <w:tcW w:w="4148" w:type="dxa"/>
          </w:tcPr>
          <w:p w14:paraId="49687314">
            <w:pPr>
              <w:pStyle w:val="218"/>
              <w:rPr>
                <w:color w:val="auto"/>
              </w:rPr>
            </w:pPr>
            <w:r>
              <w:rPr>
                <w:rFonts w:hint="eastAsia"/>
                <w:color w:val="auto"/>
              </w:rPr>
              <w:t>1.04</w:t>
            </w:r>
          </w:p>
        </w:tc>
      </w:tr>
      <w:tr w14:paraId="3CF4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57C6B3E9">
            <w:pPr>
              <w:pStyle w:val="218"/>
              <w:rPr>
                <w:color w:val="auto"/>
              </w:rPr>
            </w:pPr>
            <w:r>
              <w:rPr>
                <w:rFonts w:hint="eastAsia"/>
                <w:color w:val="auto"/>
              </w:rPr>
              <w:t>粮食</w:t>
            </w:r>
          </w:p>
        </w:tc>
        <w:tc>
          <w:tcPr>
            <w:tcW w:w="4148" w:type="dxa"/>
          </w:tcPr>
          <w:p w14:paraId="7CF0CCFB">
            <w:pPr>
              <w:pStyle w:val="218"/>
              <w:rPr>
                <w:color w:val="auto"/>
              </w:rPr>
            </w:pPr>
            <w:r>
              <w:rPr>
                <w:rFonts w:hint="eastAsia"/>
                <w:color w:val="auto"/>
              </w:rPr>
              <w:t>0.1</w:t>
            </w:r>
          </w:p>
        </w:tc>
      </w:tr>
      <w:tr w14:paraId="3166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Pr>
          <w:p w14:paraId="10232333">
            <w:pPr>
              <w:pStyle w:val="218"/>
              <w:rPr>
                <w:color w:val="auto"/>
              </w:rPr>
            </w:pPr>
            <w:r>
              <w:rPr>
                <w:rFonts w:hint="eastAsia"/>
                <w:color w:val="auto"/>
              </w:rPr>
              <w:t>矿建材料及其他</w:t>
            </w:r>
          </w:p>
        </w:tc>
        <w:tc>
          <w:tcPr>
            <w:tcW w:w="4148" w:type="dxa"/>
          </w:tcPr>
          <w:p w14:paraId="2F0A18D2">
            <w:pPr>
              <w:pStyle w:val="218"/>
              <w:rPr>
                <w:color w:val="auto"/>
              </w:rPr>
            </w:pPr>
            <w:r>
              <w:rPr>
                <w:rFonts w:hint="eastAsia"/>
                <w:color w:val="auto"/>
              </w:rPr>
              <w:t>0.6</w:t>
            </w:r>
          </w:p>
        </w:tc>
      </w:tr>
    </w:tbl>
    <w:p w14:paraId="56954156">
      <w:pPr>
        <w:pStyle w:val="86"/>
      </w:pPr>
      <w:bookmarkStart w:id="193" w:name="_Hlk181747657"/>
      <w:r>
        <w:rPr>
          <w:rFonts w:hint="eastAsia"/>
        </w:rPr>
        <w:t>专业化干散货码头（煤炭、矿石）排污单位颗粒物排污系数表</w:t>
      </w:r>
    </w:p>
    <w:bookmarkEnd w:id="193"/>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992"/>
        <w:gridCol w:w="5103"/>
        <w:gridCol w:w="1354"/>
      </w:tblGrid>
      <w:tr w14:paraId="62ED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46" w:type="dxa"/>
            <w:vAlign w:val="center"/>
          </w:tcPr>
          <w:p w14:paraId="36F8592F">
            <w:pPr>
              <w:pStyle w:val="218"/>
              <w:rPr>
                <w:b/>
                <w:bCs/>
                <w:color w:val="auto"/>
              </w:rPr>
            </w:pPr>
            <w:r>
              <w:rPr>
                <w:rFonts w:hint="eastAsia"/>
                <w:b/>
                <w:bCs/>
                <w:color w:val="auto"/>
              </w:rPr>
              <w:t>主要生产单元</w:t>
            </w:r>
          </w:p>
        </w:tc>
        <w:tc>
          <w:tcPr>
            <w:tcW w:w="992" w:type="dxa"/>
            <w:vAlign w:val="center"/>
          </w:tcPr>
          <w:p w14:paraId="70822ADA">
            <w:pPr>
              <w:pStyle w:val="218"/>
              <w:rPr>
                <w:b/>
                <w:bCs/>
                <w:color w:val="auto"/>
              </w:rPr>
            </w:pPr>
            <w:r>
              <w:rPr>
                <w:rFonts w:hint="eastAsia"/>
                <w:b/>
                <w:bCs/>
                <w:color w:val="auto"/>
              </w:rPr>
              <w:t>主要工艺</w:t>
            </w:r>
          </w:p>
        </w:tc>
        <w:tc>
          <w:tcPr>
            <w:tcW w:w="5103" w:type="dxa"/>
            <w:vAlign w:val="center"/>
          </w:tcPr>
          <w:p w14:paraId="4CB2D1AC">
            <w:pPr>
              <w:pStyle w:val="218"/>
              <w:rPr>
                <w:b/>
                <w:bCs/>
                <w:color w:val="auto"/>
              </w:rPr>
            </w:pPr>
            <w:r>
              <w:rPr>
                <w:rFonts w:hint="eastAsia"/>
                <w:b/>
                <w:bCs/>
                <w:color w:val="auto"/>
              </w:rPr>
              <w:t>不同作业方式与粉尘污染控制措施</w:t>
            </w:r>
          </w:p>
        </w:tc>
        <w:tc>
          <w:tcPr>
            <w:tcW w:w="1354" w:type="dxa"/>
            <w:vAlign w:val="center"/>
          </w:tcPr>
          <w:p w14:paraId="0322A3A8">
            <w:pPr>
              <w:pStyle w:val="218"/>
              <w:rPr>
                <w:b/>
                <w:bCs/>
                <w:color w:val="auto"/>
              </w:rPr>
            </w:pPr>
            <w:r>
              <w:rPr>
                <w:rFonts w:hint="eastAsia"/>
                <w:b/>
                <w:bCs/>
                <w:color w:val="auto"/>
              </w:rPr>
              <w:t>排污系数（kg/t）</w:t>
            </w:r>
          </w:p>
        </w:tc>
      </w:tr>
      <w:tr w14:paraId="19DD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restart"/>
            <w:vAlign w:val="center"/>
          </w:tcPr>
          <w:p w14:paraId="3C300D76">
            <w:pPr>
              <w:pStyle w:val="218"/>
              <w:rPr>
                <w:color w:val="auto"/>
              </w:rPr>
            </w:pPr>
            <w:r>
              <w:rPr>
                <w:rFonts w:hint="eastAsia"/>
                <w:color w:val="auto"/>
              </w:rPr>
              <w:t>泊位</w:t>
            </w:r>
          </w:p>
        </w:tc>
        <w:tc>
          <w:tcPr>
            <w:tcW w:w="992" w:type="dxa"/>
            <w:vMerge w:val="restart"/>
            <w:vAlign w:val="center"/>
          </w:tcPr>
          <w:p w14:paraId="1A8149A7">
            <w:pPr>
              <w:pStyle w:val="218"/>
              <w:rPr>
                <w:color w:val="auto"/>
              </w:rPr>
            </w:pPr>
            <w:r>
              <w:rPr>
                <w:rFonts w:hint="eastAsia"/>
                <w:color w:val="auto"/>
              </w:rPr>
              <w:t>卸船</w:t>
            </w:r>
          </w:p>
        </w:tc>
        <w:tc>
          <w:tcPr>
            <w:tcW w:w="5103" w:type="dxa"/>
            <w:vAlign w:val="center"/>
          </w:tcPr>
          <w:p w14:paraId="6CF340B7">
            <w:pPr>
              <w:pStyle w:val="218"/>
              <w:jc w:val="both"/>
              <w:rPr>
                <w:color w:val="auto"/>
              </w:rPr>
            </w:pPr>
            <w:r>
              <w:rPr>
                <w:rFonts w:hint="eastAsia"/>
                <w:color w:val="auto"/>
              </w:rPr>
              <w:t>污染控制措施满足或整体优于以下措施要求：</w:t>
            </w:r>
          </w:p>
          <w:p w14:paraId="4B069D66">
            <w:pPr>
              <w:pStyle w:val="218"/>
              <w:jc w:val="both"/>
              <w:rPr>
                <w:color w:val="auto"/>
              </w:rPr>
            </w:pPr>
            <w:r>
              <w:rPr>
                <w:rFonts w:hint="eastAsia"/>
                <w:color w:val="auto"/>
              </w:rPr>
              <w:t>1）采用链斗式、斗轮式、螺旋式等卸船机；</w:t>
            </w:r>
          </w:p>
          <w:p w14:paraId="57D121B4">
            <w:pPr>
              <w:pStyle w:val="218"/>
              <w:jc w:val="both"/>
              <w:rPr>
                <w:color w:val="auto"/>
              </w:rPr>
            </w:pPr>
            <w:r>
              <w:rPr>
                <w:rFonts w:hint="eastAsia"/>
                <w:color w:val="auto"/>
              </w:rPr>
              <w:t>2）卸船机采取防泄漏措施；</w:t>
            </w:r>
          </w:p>
          <w:p w14:paraId="0D06D374">
            <w:pPr>
              <w:pStyle w:val="218"/>
              <w:jc w:val="both"/>
              <w:rPr>
                <w:color w:val="auto"/>
              </w:rPr>
            </w:pPr>
            <w:r>
              <w:rPr>
                <w:rFonts w:hint="eastAsia"/>
                <w:color w:val="auto"/>
              </w:rPr>
              <w:t>3）</w:t>
            </w:r>
            <w:r>
              <w:rPr>
                <w:rFonts w:hint="eastAsia"/>
                <w:b/>
                <w:bCs/>
                <w:color w:val="auto"/>
              </w:rPr>
              <w:t>卸船机皮带头部设置密闭罩</w:t>
            </w:r>
            <w:r>
              <w:rPr>
                <w:rFonts w:hint="eastAsia"/>
                <w:b/>
                <w:bCs/>
                <w:color w:val="auto"/>
                <w:lang w:eastAsia="zh-CN"/>
              </w:rPr>
              <w:t>，</w:t>
            </w:r>
            <w:r>
              <w:rPr>
                <w:rFonts w:hint="eastAsia"/>
                <w:b/>
                <w:bCs/>
                <w:color w:val="auto"/>
              </w:rPr>
              <w:t>在物料转运处设置导料槽、密闭罩和防尘帘</w:t>
            </w:r>
            <w:r>
              <w:rPr>
                <w:rFonts w:hint="eastAsia"/>
                <w:color w:val="auto"/>
              </w:rPr>
              <w:t>；</w:t>
            </w:r>
          </w:p>
          <w:p w14:paraId="59EAD38B">
            <w:pPr>
              <w:pStyle w:val="218"/>
              <w:jc w:val="both"/>
              <w:rPr>
                <w:color w:val="auto"/>
              </w:rPr>
            </w:pPr>
            <w:r>
              <w:rPr>
                <w:rFonts w:hint="eastAsia"/>
                <w:color w:val="auto"/>
              </w:rPr>
              <w:t>4）在接料斗上口和向码头皮带机供料的导料槽处设置喷嘴组；</w:t>
            </w:r>
          </w:p>
          <w:p w14:paraId="20C26380">
            <w:pPr>
              <w:pStyle w:val="218"/>
              <w:jc w:val="both"/>
              <w:rPr>
                <w:color w:val="auto"/>
              </w:rPr>
            </w:pPr>
            <w:r>
              <w:rPr>
                <w:rFonts w:hint="eastAsia"/>
                <w:color w:val="auto"/>
              </w:rPr>
              <w:t>5）</w:t>
            </w:r>
            <w:r>
              <w:rPr>
                <w:rFonts w:hint="eastAsia"/>
                <w:b/>
                <w:bCs/>
                <w:color w:val="auto"/>
              </w:rPr>
              <w:t>卸船机行走段皮带机设置挡风板，其他区域皮带机采用防护罩或廊道予以封闭</w:t>
            </w:r>
            <w:r>
              <w:rPr>
                <w:rFonts w:hint="eastAsia"/>
                <w:color w:val="auto"/>
              </w:rPr>
              <w:t>；</w:t>
            </w:r>
          </w:p>
          <w:p w14:paraId="5C6FDD78">
            <w:pPr>
              <w:pStyle w:val="218"/>
              <w:jc w:val="both"/>
              <w:rPr>
                <w:color w:val="auto"/>
              </w:rPr>
            </w:pPr>
            <w:r>
              <w:rPr>
                <w:rFonts w:hint="eastAsia"/>
                <w:color w:val="auto"/>
              </w:rPr>
              <w:t>6）有防冻要求的地区，湿式抑尘系统采取电伴热等保温防冻措施。</w:t>
            </w:r>
          </w:p>
        </w:tc>
        <w:tc>
          <w:tcPr>
            <w:tcW w:w="1354" w:type="dxa"/>
            <w:vAlign w:val="center"/>
          </w:tcPr>
          <w:p w14:paraId="4A9038BB">
            <w:pPr>
              <w:pStyle w:val="218"/>
              <w:rPr>
                <w:color w:val="auto"/>
              </w:rPr>
            </w:pPr>
            <w:r>
              <w:rPr>
                <w:color w:val="auto"/>
              </w:rPr>
              <w:t>0.01158</w:t>
            </w:r>
          </w:p>
        </w:tc>
      </w:tr>
      <w:tr w14:paraId="11BE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59D094A6">
            <w:pPr>
              <w:pStyle w:val="218"/>
              <w:rPr>
                <w:color w:val="auto"/>
              </w:rPr>
            </w:pPr>
          </w:p>
        </w:tc>
        <w:tc>
          <w:tcPr>
            <w:tcW w:w="992" w:type="dxa"/>
            <w:vMerge w:val="continue"/>
            <w:vAlign w:val="center"/>
          </w:tcPr>
          <w:p w14:paraId="31E382F1">
            <w:pPr>
              <w:pStyle w:val="218"/>
              <w:rPr>
                <w:color w:val="auto"/>
              </w:rPr>
            </w:pPr>
          </w:p>
        </w:tc>
        <w:tc>
          <w:tcPr>
            <w:tcW w:w="5103" w:type="dxa"/>
            <w:shd w:val="clear" w:color="auto" w:fill="BEBEBE" w:themeFill="background1" w:themeFillShade="BF"/>
            <w:vAlign w:val="center"/>
          </w:tcPr>
          <w:p w14:paraId="00231AD7">
            <w:pPr>
              <w:pStyle w:val="218"/>
              <w:jc w:val="both"/>
              <w:rPr>
                <w:color w:val="auto"/>
              </w:rPr>
            </w:pPr>
            <w:r>
              <w:rPr>
                <w:rFonts w:hint="eastAsia"/>
                <w:color w:val="auto"/>
              </w:rPr>
              <w:t>污染控制措施优于以下措施，但劣于上述措施。</w:t>
            </w:r>
          </w:p>
        </w:tc>
        <w:tc>
          <w:tcPr>
            <w:tcW w:w="1354" w:type="dxa"/>
            <w:shd w:val="clear" w:color="auto" w:fill="BEBEBE" w:themeFill="background1" w:themeFillShade="BF"/>
            <w:vAlign w:val="center"/>
          </w:tcPr>
          <w:p w14:paraId="5DC961ED">
            <w:pPr>
              <w:pStyle w:val="218"/>
              <w:rPr>
                <w:color w:val="auto"/>
              </w:rPr>
            </w:pPr>
            <w:r>
              <w:rPr>
                <w:rFonts w:hint="eastAsia"/>
                <w:color w:val="auto"/>
              </w:rPr>
              <w:t>0.02994</w:t>
            </w:r>
          </w:p>
        </w:tc>
      </w:tr>
      <w:tr w14:paraId="390D8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5A2513E8">
            <w:pPr>
              <w:pStyle w:val="218"/>
              <w:rPr>
                <w:color w:val="auto"/>
              </w:rPr>
            </w:pPr>
          </w:p>
        </w:tc>
        <w:tc>
          <w:tcPr>
            <w:tcW w:w="992" w:type="dxa"/>
            <w:vMerge w:val="continue"/>
            <w:vAlign w:val="center"/>
          </w:tcPr>
          <w:p w14:paraId="5B798A70">
            <w:pPr>
              <w:pStyle w:val="218"/>
              <w:rPr>
                <w:color w:val="auto"/>
              </w:rPr>
            </w:pPr>
          </w:p>
        </w:tc>
        <w:tc>
          <w:tcPr>
            <w:tcW w:w="5103" w:type="dxa"/>
            <w:vAlign w:val="center"/>
          </w:tcPr>
          <w:p w14:paraId="60C0DEC0">
            <w:pPr>
              <w:pStyle w:val="218"/>
              <w:jc w:val="both"/>
              <w:rPr>
                <w:color w:val="auto"/>
              </w:rPr>
            </w:pPr>
            <w:r>
              <w:rPr>
                <w:rFonts w:hint="eastAsia"/>
                <w:color w:val="auto"/>
              </w:rPr>
              <w:t>1）</w:t>
            </w:r>
            <w:r>
              <w:rPr>
                <w:rFonts w:hint="eastAsia"/>
                <w:b/>
                <w:bCs/>
                <w:color w:val="auto"/>
              </w:rPr>
              <w:t>采用桥式、门座式等抓斗卸船机</w:t>
            </w:r>
            <w:r>
              <w:rPr>
                <w:rFonts w:hint="eastAsia"/>
                <w:color w:val="auto"/>
              </w:rPr>
              <w:t>；</w:t>
            </w:r>
          </w:p>
          <w:p w14:paraId="622E5373">
            <w:pPr>
              <w:pStyle w:val="218"/>
              <w:jc w:val="both"/>
              <w:rPr>
                <w:color w:val="auto"/>
              </w:rPr>
            </w:pPr>
            <w:r>
              <w:rPr>
                <w:rFonts w:hint="eastAsia"/>
                <w:color w:val="auto"/>
              </w:rPr>
              <w:t>2）</w:t>
            </w:r>
            <w:r>
              <w:rPr>
                <w:rFonts w:hint="eastAsia"/>
                <w:b/>
                <w:bCs/>
                <w:color w:val="auto"/>
              </w:rPr>
              <w:t>卸船机采取防泄漏措施</w:t>
            </w:r>
            <w:r>
              <w:rPr>
                <w:rFonts w:hint="eastAsia"/>
                <w:color w:val="auto"/>
              </w:rPr>
              <w:t>；</w:t>
            </w:r>
          </w:p>
          <w:p w14:paraId="26444B9B">
            <w:pPr>
              <w:pStyle w:val="218"/>
              <w:jc w:val="both"/>
              <w:rPr>
                <w:color w:val="auto"/>
              </w:rPr>
            </w:pPr>
            <w:r>
              <w:rPr>
                <w:rFonts w:hint="eastAsia"/>
                <w:color w:val="auto"/>
              </w:rPr>
              <w:t>3）采用射雾器等设施对码头前沿卸船机卸料、装车作业实施喷雾或洒水抑尘。</w:t>
            </w:r>
          </w:p>
        </w:tc>
        <w:tc>
          <w:tcPr>
            <w:tcW w:w="1354" w:type="dxa"/>
            <w:vAlign w:val="center"/>
          </w:tcPr>
          <w:p w14:paraId="25153135">
            <w:pPr>
              <w:pStyle w:val="218"/>
              <w:rPr>
                <w:color w:val="auto"/>
              </w:rPr>
            </w:pPr>
            <w:r>
              <w:rPr>
                <w:color w:val="auto"/>
              </w:rPr>
              <w:t>0.04059</w:t>
            </w:r>
          </w:p>
        </w:tc>
      </w:tr>
      <w:tr w14:paraId="4D7D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Merge w:val="continue"/>
            <w:vAlign w:val="center"/>
          </w:tcPr>
          <w:p w14:paraId="56B6833D">
            <w:pPr>
              <w:pStyle w:val="218"/>
              <w:rPr>
                <w:color w:val="auto"/>
              </w:rPr>
            </w:pPr>
          </w:p>
        </w:tc>
        <w:tc>
          <w:tcPr>
            <w:tcW w:w="992" w:type="dxa"/>
            <w:vMerge w:val="continue"/>
            <w:vAlign w:val="center"/>
          </w:tcPr>
          <w:p w14:paraId="32D59F7E">
            <w:pPr>
              <w:pStyle w:val="218"/>
              <w:rPr>
                <w:color w:val="auto"/>
              </w:rPr>
            </w:pPr>
          </w:p>
        </w:tc>
        <w:tc>
          <w:tcPr>
            <w:tcW w:w="5103" w:type="dxa"/>
            <w:vAlign w:val="center"/>
          </w:tcPr>
          <w:p w14:paraId="48546091">
            <w:pPr>
              <w:pStyle w:val="218"/>
              <w:jc w:val="both"/>
              <w:rPr>
                <w:color w:val="auto"/>
              </w:rPr>
            </w:pPr>
            <w:r>
              <w:rPr>
                <w:rFonts w:hint="eastAsia"/>
                <w:color w:val="auto"/>
              </w:rPr>
              <w:t>控制措施整体劣于上述措施。</w:t>
            </w:r>
          </w:p>
        </w:tc>
        <w:tc>
          <w:tcPr>
            <w:tcW w:w="1354" w:type="dxa"/>
            <w:vAlign w:val="center"/>
          </w:tcPr>
          <w:p w14:paraId="68097291">
            <w:pPr>
              <w:pStyle w:val="218"/>
              <w:rPr>
                <w:color w:val="auto"/>
              </w:rPr>
            </w:pPr>
            <w:r>
              <w:rPr>
                <w:rFonts w:hint="eastAsia"/>
                <w:color w:val="auto"/>
              </w:rPr>
              <w:t>0.04890</w:t>
            </w:r>
          </w:p>
        </w:tc>
      </w:tr>
    </w:tbl>
    <w:p w14:paraId="4F9BBB5B">
      <w:pPr>
        <w:pStyle w:val="139"/>
        <w:ind w:firstLine="480"/>
        <w:rPr>
          <w:color w:val="auto"/>
        </w:rPr>
      </w:pPr>
      <w:r>
        <w:rPr>
          <w:rFonts w:hint="eastAsia"/>
          <w:color w:val="auto"/>
        </w:rPr>
        <w:t>根据工程方案分析，本项目采用桥式抓斗卸船机，卸船机采取防泄漏措施，卸船机皮带头部设置密闭罩</w:t>
      </w:r>
      <w:r>
        <w:rPr>
          <w:rFonts w:hint="eastAsia"/>
          <w:color w:val="auto"/>
          <w:lang w:eastAsia="zh-CN"/>
        </w:rPr>
        <w:t>，</w:t>
      </w:r>
      <w:r>
        <w:rPr>
          <w:rFonts w:hint="eastAsia"/>
          <w:color w:val="auto"/>
        </w:rPr>
        <w:t>在物料转运处设置导料槽、密闭罩和防尘帘，卸船机行走段皮带机设置挡风板，其他区域皮带机采用防护罩或廊道予以封闭。本工程码头卸船工艺排污系数选取0.02994kg/t，则按照上述系数计算本项目作业许可排放量见表3.8-4。</w:t>
      </w:r>
    </w:p>
    <w:p w14:paraId="246F7CE9">
      <w:pPr>
        <w:pStyle w:val="86"/>
      </w:pPr>
      <w:r>
        <w:rPr>
          <w:rFonts w:hint="eastAsia"/>
        </w:rPr>
        <w:t>本工程大气污染物许可排放量</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794"/>
        <w:gridCol w:w="794"/>
        <w:gridCol w:w="803"/>
        <w:gridCol w:w="794"/>
        <w:gridCol w:w="963"/>
        <w:gridCol w:w="891"/>
        <w:gridCol w:w="846"/>
        <w:gridCol w:w="846"/>
        <w:gridCol w:w="846"/>
      </w:tblGrid>
      <w:tr w14:paraId="5F4C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93" w:type="dxa"/>
            <w:vAlign w:val="center"/>
          </w:tcPr>
          <w:p w14:paraId="6417AADE">
            <w:pPr>
              <w:pStyle w:val="218"/>
              <w:rPr>
                <w:color w:val="auto"/>
              </w:rPr>
            </w:pPr>
            <w:bookmarkStart w:id="194" w:name="OLE_LINK19"/>
            <w:r>
              <w:rPr>
                <w:rFonts w:hint="eastAsia"/>
                <w:color w:val="auto"/>
              </w:rPr>
              <w:t>主要生产单元</w:t>
            </w:r>
          </w:p>
        </w:tc>
        <w:tc>
          <w:tcPr>
            <w:tcW w:w="794" w:type="dxa"/>
            <w:vAlign w:val="center"/>
          </w:tcPr>
          <w:p w14:paraId="7B02F7A3">
            <w:pPr>
              <w:pStyle w:val="218"/>
              <w:rPr>
                <w:color w:val="auto"/>
              </w:rPr>
            </w:pPr>
            <w:r>
              <w:rPr>
                <w:rFonts w:hint="eastAsia"/>
                <w:color w:val="auto"/>
              </w:rPr>
              <w:t>货种</w:t>
            </w:r>
          </w:p>
        </w:tc>
        <w:tc>
          <w:tcPr>
            <w:tcW w:w="794" w:type="dxa"/>
            <w:vAlign w:val="center"/>
          </w:tcPr>
          <w:p w14:paraId="3BE3251F">
            <w:pPr>
              <w:pStyle w:val="218"/>
              <w:rPr>
                <w:color w:val="auto"/>
              </w:rPr>
            </w:pPr>
            <w:r>
              <w:rPr>
                <w:rFonts w:hint="eastAsia"/>
                <w:color w:val="auto"/>
              </w:rPr>
              <w:t>主要工艺</w:t>
            </w:r>
          </w:p>
        </w:tc>
        <w:tc>
          <w:tcPr>
            <w:tcW w:w="803" w:type="dxa"/>
            <w:vAlign w:val="center"/>
          </w:tcPr>
          <w:p w14:paraId="1413E850">
            <w:pPr>
              <w:pStyle w:val="218"/>
              <w:rPr>
                <w:color w:val="auto"/>
              </w:rPr>
            </w:pPr>
            <w:r>
              <w:rPr>
                <w:rFonts w:hint="eastAsia"/>
                <w:color w:val="auto"/>
              </w:rPr>
              <w:t>吞吐量</w:t>
            </w:r>
            <w:r>
              <w:rPr>
                <w:rFonts w:hint="eastAsia"/>
                <w:color w:val="auto"/>
                <w:lang w:eastAsia="zh-CN"/>
              </w:rPr>
              <w:t>（</w:t>
            </w:r>
            <w:r>
              <w:rPr>
                <w:rFonts w:hint="eastAsia"/>
                <w:color w:val="auto"/>
              </w:rPr>
              <w:t>万t/a</w:t>
            </w:r>
            <w:r>
              <w:rPr>
                <w:rFonts w:hint="eastAsia"/>
                <w:color w:val="auto"/>
                <w:lang w:eastAsia="zh-CN"/>
              </w:rPr>
              <w:t>）</w:t>
            </w:r>
          </w:p>
        </w:tc>
        <w:tc>
          <w:tcPr>
            <w:tcW w:w="794" w:type="dxa"/>
            <w:vAlign w:val="center"/>
          </w:tcPr>
          <w:p w14:paraId="5AC3F491">
            <w:pPr>
              <w:pStyle w:val="218"/>
              <w:rPr>
                <w:color w:val="auto"/>
              </w:rPr>
            </w:pPr>
            <w:r>
              <w:rPr>
                <w:rFonts w:hint="eastAsia"/>
                <w:color w:val="auto"/>
              </w:rPr>
              <w:t>调节系数</w:t>
            </w:r>
          </w:p>
        </w:tc>
        <w:tc>
          <w:tcPr>
            <w:tcW w:w="963" w:type="dxa"/>
            <w:vAlign w:val="center"/>
          </w:tcPr>
          <w:p w14:paraId="2A8A3EA9">
            <w:pPr>
              <w:pStyle w:val="218"/>
              <w:rPr>
                <w:color w:val="auto"/>
              </w:rPr>
            </w:pPr>
            <w:r>
              <w:rPr>
                <w:rFonts w:hint="eastAsia"/>
                <w:color w:val="auto"/>
              </w:rPr>
              <w:t>颗粒物排放系数（kg/t）</w:t>
            </w:r>
          </w:p>
        </w:tc>
        <w:tc>
          <w:tcPr>
            <w:tcW w:w="891" w:type="dxa"/>
            <w:vAlign w:val="center"/>
          </w:tcPr>
          <w:p w14:paraId="1492A706">
            <w:pPr>
              <w:pStyle w:val="218"/>
              <w:rPr>
                <w:color w:val="auto"/>
              </w:rPr>
            </w:pPr>
            <w:r>
              <w:rPr>
                <w:rFonts w:hint="eastAsia"/>
                <w:color w:val="auto"/>
              </w:rPr>
              <w:t>颗粒物排放量</w:t>
            </w:r>
            <w:r>
              <w:rPr>
                <w:rFonts w:hint="eastAsia"/>
                <w:color w:val="auto"/>
                <w:lang w:eastAsia="zh-CN"/>
              </w:rPr>
              <w:t>（</w:t>
            </w:r>
            <w:r>
              <w:rPr>
                <w:color w:val="auto"/>
              </w:rPr>
              <w:t>t/a</w:t>
            </w:r>
            <w:r>
              <w:rPr>
                <w:rFonts w:hint="eastAsia"/>
                <w:color w:val="auto"/>
                <w:lang w:eastAsia="zh-CN"/>
              </w:rPr>
              <w:t>）</w:t>
            </w:r>
          </w:p>
        </w:tc>
        <w:tc>
          <w:tcPr>
            <w:tcW w:w="827" w:type="dxa"/>
            <w:vAlign w:val="center"/>
          </w:tcPr>
          <w:p w14:paraId="591E4B8C">
            <w:pPr>
              <w:pStyle w:val="218"/>
              <w:rPr>
                <w:color w:val="auto"/>
                <w:lang w:val="fr-FR"/>
              </w:rPr>
            </w:pPr>
            <w:r>
              <w:rPr>
                <w:rFonts w:hint="eastAsia"/>
                <w:color w:val="auto"/>
                <w:lang w:val="fr-FR"/>
              </w:rPr>
              <w:t>TSP</w:t>
            </w:r>
            <w:r>
              <w:rPr>
                <w:rFonts w:hint="eastAsia"/>
                <w:color w:val="auto"/>
              </w:rPr>
              <w:t>排放量</w:t>
            </w:r>
            <w:r>
              <w:rPr>
                <w:rFonts w:hint="eastAsia"/>
                <w:color w:val="auto"/>
                <w:lang w:eastAsia="zh-CN"/>
              </w:rPr>
              <w:t>（</w:t>
            </w:r>
            <w:r>
              <w:rPr>
                <w:color w:val="auto"/>
                <w:lang w:val="fr-FR"/>
              </w:rPr>
              <w:t>t/a</w:t>
            </w:r>
            <w:r>
              <w:rPr>
                <w:rFonts w:hint="eastAsia"/>
                <w:color w:val="auto"/>
                <w:lang w:val="fr-FR" w:eastAsia="zh-CN"/>
              </w:rPr>
              <w:t>）</w:t>
            </w:r>
          </w:p>
        </w:tc>
        <w:tc>
          <w:tcPr>
            <w:tcW w:w="818" w:type="dxa"/>
            <w:vAlign w:val="center"/>
          </w:tcPr>
          <w:p w14:paraId="7A4526CD">
            <w:pPr>
              <w:pStyle w:val="218"/>
              <w:rPr>
                <w:color w:val="auto"/>
              </w:rPr>
            </w:pPr>
            <w:r>
              <w:rPr>
                <w:rFonts w:hint="eastAsia"/>
                <w:color w:val="auto"/>
                <w:lang w:val="fr-FR"/>
              </w:rPr>
              <w:t>PM</w:t>
            </w:r>
            <w:r>
              <w:rPr>
                <w:rFonts w:hint="eastAsia"/>
                <w:color w:val="auto"/>
                <w:vertAlign w:val="subscript"/>
                <w:lang w:val="fr-FR"/>
              </w:rPr>
              <w:t>10</w:t>
            </w:r>
            <w:r>
              <w:rPr>
                <w:rFonts w:hint="eastAsia"/>
                <w:color w:val="auto"/>
              </w:rPr>
              <w:t>排放量</w:t>
            </w:r>
            <w:r>
              <w:rPr>
                <w:rFonts w:hint="eastAsia"/>
                <w:color w:val="auto"/>
                <w:lang w:eastAsia="zh-CN"/>
              </w:rPr>
              <w:t>（</w:t>
            </w:r>
            <w:r>
              <w:rPr>
                <w:rFonts w:hint="eastAsia"/>
                <w:color w:val="auto"/>
              </w:rPr>
              <w:t>t/a</w:t>
            </w:r>
            <w:r>
              <w:rPr>
                <w:rFonts w:hint="eastAsia"/>
                <w:color w:val="auto"/>
                <w:lang w:eastAsia="zh-CN"/>
              </w:rPr>
              <w:t>）</w:t>
            </w:r>
          </w:p>
        </w:tc>
        <w:tc>
          <w:tcPr>
            <w:tcW w:w="818" w:type="dxa"/>
            <w:vAlign w:val="center"/>
          </w:tcPr>
          <w:p w14:paraId="49EE8AB9">
            <w:pPr>
              <w:pStyle w:val="218"/>
              <w:rPr>
                <w:color w:val="auto"/>
              </w:rPr>
            </w:pPr>
            <w:r>
              <w:rPr>
                <w:rFonts w:hint="eastAsia"/>
                <w:color w:val="auto"/>
              </w:rPr>
              <w:t>PM</w:t>
            </w:r>
            <w:r>
              <w:rPr>
                <w:rFonts w:hint="eastAsia"/>
                <w:color w:val="auto"/>
                <w:vertAlign w:val="subscript"/>
              </w:rPr>
              <w:t>2.5</w:t>
            </w:r>
            <w:r>
              <w:rPr>
                <w:rFonts w:hint="eastAsia"/>
                <w:color w:val="auto"/>
              </w:rPr>
              <w:t>排放量</w:t>
            </w:r>
            <w:r>
              <w:rPr>
                <w:rFonts w:hint="eastAsia"/>
                <w:color w:val="auto"/>
                <w:lang w:eastAsia="zh-CN"/>
              </w:rPr>
              <w:t>（</w:t>
            </w:r>
            <w:r>
              <w:rPr>
                <w:color w:val="auto"/>
              </w:rPr>
              <w:t>t/a</w:t>
            </w:r>
            <w:r>
              <w:rPr>
                <w:rFonts w:hint="eastAsia"/>
                <w:color w:val="auto"/>
                <w:lang w:eastAsia="zh-CN"/>
              </w:rPr>
              <w:t>）</w:t>
            </w:r>
          </w:p>
        </w:tc>
      </w:tr>
      <w:tr w14:paraId="1BBD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dxa"/>
            <w:vAlign w:val="center"/>
          </w:tcPr>
          <w:p w14:paraId="1A7A39AD">
            <w:pPr>
              <w:pStyle w:val="218"/>
              <w:rPr>
                <w:color w:val="auto"/>
              </w:rPr>
            </w:pPr>
            <w:r>
              <w:rPr>
                <w:rFonts w:hint="eastAsia"/>
                <w:color w:val="auto"/>
              </w:rPr>
              <w:t>码头泊位处</w:t>
            </w:r>
          </w:p>
        </w:tc>
        <w:tc>
          <w:tcPr>
            <w:tcW w:w="794" w:type="dxa"/>
            <w:vAlign w:val="center"/>
          </w:tcPr>
          <w:p w14:paraId="5E0359D1">
            <w:pPr>
              <w:pStyle w:val="218"/>
              <w:rPr>
                <w:color w:val="auto"/>
              </w:rPr>
            </w:pPr>
            <w:r>
              <w:rPr>
                <w:rFonts w:hint="eastAsia"/>
                <w:color w:val="auto"/>
              </w:rPr>
              <w:t>煤炭</w:t>
            </w:r>
          </w:p>
        </w:tc>
        <w:tc>
          <w:tcPr>
            <w:tcW w:w="794" w:type="dxa"/>
            <w:vAlign w:val="center"/>
          </w:tcPr>
          <w:p w14:paraId="41999B11">
            <w:pPr>
              <w:pStyle w:val="218"/>
              <w:rPr>
                <w:color w:val="auto"/>
              </w:rPr>
            </w:pPr>
            <w:r>
              <w:rPr>
                <w:rFonts w:hint="eastAsia"/>
                <w:color w:val="auto"/>
              </w:rPr>
              <w:t>卸船</w:t>
            </w:r>
          </w:p>
        </w:tc>
        <w:tc>
          <w:tcPr>
            <w:tcW w:w="803" w:type="dxa"/>
            <w:vAlign w:val="center"/>
          </w:tcPr>
          <w:p w14:paraId="3CDEA37B">
            <w:pPr>
              <w:pStyle w:val="218"/>
              <w:rPr>
                <w:color w:val="auto"/>
              </w:rPr>
            </w:pPr>
            <w:r>
              <w:rPr>
                <w:rFonts w:eastAsia="等线" w:cs="Times New Roman"/>
                <w:color w:val="auto"/>
              </w:rPr>
              <w:t>112</w:t>
            </w:r>
          </w:p>
        </w:tc>
        <w:tc>
          <w:tcPr>
            <w:tcW w:w="794" w:type="dxa"/>
            <w:vAlign w:val="center"/>
          </w:tcPr>
          <w:p w14:paraId="44328A63">
            <w:pPr>
              <w:pStyle w:val="218"/>
              <w:rPr>
                <w:color w:val="auto"/>
              </w:rPr>
            </w:pPr>
            <w:r>
              <w:rPr>
                <w:rFonts w:eastAsia="等线" w:cs="Times New Roman"/>
                <w:color w:val="auto"/>
              </w:rPr>
              <w:t>1</w:t>
            </w:r>
          </w:p>
        </w:tc>
        <w:tc>
          <w:tcPr>
            <w:tcW w:w="963" w:type="dxa"/>
            <w:vAlign w:val="center"/>
          </w:tcPr>
          <w:p w14:paraId="61F3D699">
            <w:pPr>
              <w:pStyle w:val="218"/>
              <w:rPr>
                <w:color w:val="auto"/>
              </w:rPr>
            </w:pPr>
            <w:r>
              <w:rPr>
                <w:rFonts w:eastAsia="等线" w:cs="Times New Roman"/>
                <w:color w:val="auto"/>
              </w:rPr>
              <w:t>0.02994</w:t>
            </w:r>
          </w:p>
        </w:tc>
        <w:tc>
          <w:tcPr>
            <w:tcW w:w="891" w:type="dxa"/>
            <w:vAlign w:val="center"/>
          </w:tcPr>
          <w:p w14:paraId="627C953B">
            <w:pPr>
              <w:pStyle w:val="218"/>
              <w:rPr>
                <w:color w:val="auto"/>
              </w:rPr>
            </w:pPr>
            <w:r>
              <w:rPr>
                <w:rFonts w:eastAsia="等线" w:cs="Times New Roman"/>
                <w:color w:val="auto"/>
              </w:rPr>
              <w:t>33.533</w:t>
            </w:r>
          </w:p>
        </w:tc>
        <w:tc>
          <w:tcPr>
            <w:tcW w:w="827" w:type="dxa"/>
            <w:vAlign w:val="center"/>
          </w:tcPr>
          <w:p w14:paraId="6075D69E">
            <w:pPr>
              <w:pStyle w:val="218"/>
              <w:rPr>
                <w:color w:val="auto"/>
              </w:rPr>
            </w:pPr>
            <w:r>
              <w:rPr>
                <w:rFonts w:eastAsia="等线" w:cs="Times New Roman"/>
                <w:color w:val="auto"/>
              </w:rPr>
              <w:t>3.715</w:t>
            </w:r>
          </w:p>
        </w:tc>
        <w:tc>
          <w:tcPr>
            <w:tcW w:w="818" w:type="dxa"/>
            <w:vAlign w:val="center"/>
          </w:tcPr>
          <w:p w14:paraId="23B7519A">
            <w:pPr>
              <w:pStyle w:val="218"/>
              <w:rPr>
                <w:color w:val="auto"/>
              </w:rPr>
            </w:pPr>
            <w:r>
              <w:rPr>
                <w:rFonts w:eastAsia="等线" w:cs="Times New Roman"/>
                <w:color w:val="auto"/>
              </w:rPr>
              <w:t>0.728</w:t>
            </w:r>
          </w:p>
        </w:tc>
        <w:tc>
          <w:tcPr>
            <w:tcW w:w="818" w:type="dxa"/>
            <w:vAlign w:val="center"/>
          </w:tcPr>
          <w:p w14:paraId="4AC2517E">
            <w:pPr>
              <w:pStyle w:val="218"/>
              <w:rPr>
                <w:color w:val="auto"/>
              </w:rPr>
            </w:pPr>
            <w:r>
              <w:rPr>
                <w:rFonts w:eastAsia="等线" w:cs="Times New Roman"/>
                <w:color w:val="auto"/>
              </w:rPr>
              <w:t>0.154</w:t>
            </w:r>
          </w:p>
        </w:tc>
      </w:tr>
      <w:bookmarkEnd w:id="194"/>
    </w:tbl>
    <w:p w14:paraId="444FEF40">
      <w:pPr>
        <w:pStyle w:val="139"/>
        <w:ind w:firstLine="480"/>
        <w:rPr>
          <w:color w:val="auto"/>
        </w:rPr>
      </w:pPr>
    </w:p>
    <w:p w14:paraId="184296D9">
      <w:pPr>
        <w:pStyle w:val="139"/>
        <w:ind w:firstLine="480"/>
        <w:rPr>
          <w:color w:val="auto"/>
        </w:rPr>
      </w:pPr>
      <w:r>
        <w:rPr>
          <w:rFonts w:hint="eastAsia"/>
          <w:color w:val="auto"/>
        </w:rPr>
        <w:t>②依据《水运工程建设项目环境影响评价指南》（JTS/T 105-2021）计算</w:t>
      </w:r>
    </w:p>
    <w:bookmarkEnd w:id="191"/>
    <w:p w14:paraId="1C9B201B">
      <w:pPr>
        <w:pStyle w:val="139"/>
        <w:ind w:firstLine="480"/>
        <w:rPr>
          <w:color w:val="auto"/>
        </w:rPr>
      </w:pPr>
      <w:r>
        <w:rPr>
          <w:rFonts w:hint="eastAsia"/>
          <w:color w:val="auto"/>
        </w:rPr>
        <w:t>码头卸料起尘的计算模式根据《水运工程建设项目环境影响评价指南》（JTS/T105-2021）（P</w:t>
      </w:r>
      <w:r>
        <w:rPr>
          <w:color w:val="auto"/>
        </w:rPr>
        <w:t>11</w:t>
      </w:r>
      <w:r>
        <w:rPr>
          <w:rFonts w:hint="eastAsia"/>
          <w:color w:val="auto"/>
        </w:rPr>
        <w:t>）中的公式计算，详见下式。</w:t>
      </w:r>
    </w:p>
    <w:p w14:paraId="062B7EE8">
      <w:pPr>
        <w:ind w:firstLine="480"/>
      </w:pPr>
      <w:r>
        <w:rPr>
          <w:rFonts w:hint="eastAsia"/>
        </w:rPr>
        <w:drawing>
          <wp:inline distT="0" distB="0" distL="0" distR="0">
            <wp:extent cx="3657600" cy="477520"/>
            <wp:effectExtent l="0" t="0" r="0" b="0"/>
            <wp:docPr id="203500559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005593" name="图片 2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702562" cy="483604"/>
                    </a:xfrm>
                    <a:prstGeom prst="rect">
                      <a:avLst/>
                    </a:prstGeom>
                    <a:noFill/>
                    <a:ln>
                      <a:noFill/>
                    </a:ln>
                  </pic:spPr>
                </pic:pic>
              </a:graphicData>
            </a:graphic>
          </wp:inline>
        </w:drawing>
      </w:r>
      <w:r>
        <w:rPr>
          <w:rFonts w:hint="eastAsia"/>
        </w:rPr>
        <w:t xml:space="preserve"> </w:t>
      </w:r>
    </w:p>
    <w:p w14:paraId="4DB04E9E">
      <w:pPr>
        <w:ind w:firstLine="480"/>
      </w:pPr>
      <w:r>
        <w:rPr>
          <w:rFonts w:hint="eastAsia"/>
        </w:rPr>
        <w:t>式中：</w:t>
      </w:r>
    </w:p>
    <w:p w14:paraId="7FC4D00C">
      <w:pPr>
        <w:ind w:firstLine="480"/>
      </w:pPr>
      <w:r>
        <w:rPr>
          <w:rFonts w:hint="eastAsia"/>
        </w:rPr>
        <w:t>Q——作业起尘量，kg</w:t>
      </w:r>
      <w:r>
        <w:t>/</w:t>
      </w:r>
      <w:r>
        <w:rPr>
          <w:rFonts w:hint="eastAsia"/>
        </w:rPr>
        <w:t>h；</w:t>
      </w:r>
    </w:p>
    <w:p w14:paraId="3C6E5598">
      <w:pPr>
        <w:pStyle w:val="93"/>
      </w:pPr>
      <w:r>
        <w:rPr>
          <w:rFonts w:cs="Times New Roman"/>
        </w:rPr>
        <w:t>α</w:t>
      </w:r>
      <w:r>
        <w:rPr>
          <w:rFonts w:hint="eastAsia"/>
        </w:rPr>
        <w:t>——散货类型调节系数，根据《</w:t>
      </w:r>
      <w:bookmarkStart w:id="195" w:name="OLE_LINK11"/>
      <w:r>
        <w:rPr>
          <w:rFonts w:hint="eastAsia"/>
        </w:rPr>
        <w:t>水运工程建设项目环境影响评价指南</w:t>
      </w:r>
      <w:bookmarkEnd w:id="195"/>
      <w:r>
        <w:rPr>
          <w:rFonts w:hint="eastAsia"/>
        </w:rPr>
        <w:t>》（JTS/T105-2021）中表3.3.4-1内容，见下表3.8-5，原煤α取0.8；</w:t>
      </w:r>
    </w:p>
    <w:p w14:paraId="6FD67E29">
      <w:pPr>
        <w:pStyle w:val="93"/>
      </w:pPr>
      <w:r>
        <w:rPr>
          <w:rFonts w:hint="eastAsia"/>
        </w:rPr>
        <w:t>β——作业方式系数，堆装（船）时，β=1，取料时，β=2；本项目卸煤采用桥式抓斗卸船机将煤炭运输至输送带上，β取值为2；</w:t>
      </w:r>
    </w:p>
    <w:p w14:paraId="12B2D1D9">
      <w:pPr>
        <w:pStyle w:val="93"/>
      </w:pPr>
      <w:r>
        <w:rPr>
          <w:rFonts w:hint="eastAsia"/>
        </w:rPr>
        <w:t>H——作业落差，m，本项目卸煤作业严格控制卸煤</w:t>
      </w:r>
      <w:r>
        <w:rPr>
          <w:rStyle w:val="140"/>
          <w:rFonts w:hint="eastAsia"/>
          <w:color w:val="auto"/>
        </w:rPr>
        <w:t>高度，本次评价落差取1m</w:t>
      </w:r>
      <w:r>
        <w:rPr>
          <w:rFonts w:hint="eastAsia"/>
        </w:rPr>
        <w:t>；</w:t>
      </w:r>
    </w:p>
    <w:p w14:paraId="71293B7C">
      <w:pPr>
        <w:pStyle w:val="93"/>
      </w:pPr>
      <w:r>
        <w:rPr>
          <w:rFonts w:hint="eastAsia"/>
        </w:rPr>
        <w:t>ω</w:t>
      </w:r>
      <w:r>
        <w:rPr>
          <w:rFonts w:hint="eastAsia"/>
          <w:vertAlign w:val="subscript"/>
        </w:rPr>
        <w:t>2</w:t>
      </w:r>
      <w:r>
        <w:rPr>
          <w:rFonts w:hint="eastAsia"/>
        </w:rPr>
        <w:t>—水分作业系数，与散货性质有关，取0.40~0.45，本项目按最不利影响取值，取0.40；</w:t>
      </w:r>
    </w:p>
    <w:p w14:paraId="55DBF317">
      <w:pPr>
        <w:pStyle w:val="93"/>
      </w:pPr>
      <w:r>
        <w:rPr>
          <w:rFonts w:hint="eastAsia"/>
        </w:rPr>
        <w:t>ω</w:t>
      </w:r>
      <w:r>
        <w:rPr>
          <w:rFonts w:hint="eastAsia"/>
          <w:vertAlign w:val="subscript"/>
        </w:rPr>
        <w:t>0</w:t>
      </w:r>
      <w:r>
        <w:rPr>
          <w:rFonts w:hint="eastAsia"/>
        </w:rPr>
        <w:t>—水分作用效果临界值，即含水率高于此值时水分作用效果增加不明显，与散货性质有关，煤炭的ω</w:t>
      </w:r>
      <w:r>
        <w:rPr>
          <w:rFonts w:hint="eastAsia"/>
          <w:vertAlign w:val="subscript"/>
        </w:rPr>
        <w:t>0</w:t>
      </w:r>
      <w:r>
        <w:rPr>
          <w:rFonts w:hint="eastAsia"/>
        </w:rPr>
        <w:t>值取6%；</w:t>
      </w:r>
    </w:p>
    <w:p w14:paraId="72099AAF">
      <w:pPr>
        <w:pStyle w:val="93"/>
      </w:pPr>
      <w:r>
        <w:rPr>
          <w:rFonts w:hint="eastAsia"/>
        </w:rPr>
        <w:t>ω—含水率（%），根据国能涟水一期热电联产项目煤</w:t>
      </w:r>
      <w:r>
        <w:rPr>
          <w:rFonts w:hint="eastAsia"/>
          <w:lang w:val="en-US"/>
        </w:rPr>
        <w:t>质</w:t>
      </w:r>
      <w:r>
        <w:rPr>
          <w:rFonts w:hint="eastAsia"/>
        </w:rPr>
        <w:t>分析报告（见附件11），本项目煤炭含水率为10.6%；</w:t>
      </w:r>
    </w:p>
    <w:p w14:paraId="758029E6">
      <w:pPr>
        <w:pStyle w:val="139"/>
        <w:ind w:firstLine="480"/>
        <w:rPr>
          <w:color w:val="auto"/>
        </w:rPr>
      </w:pPr>
      <w:r>
        <w:rPr>
          <w:rFonts w:hint="eastAsia"/>
          <w:color w:val="auto"/>
        </w:rPr>
        <w:t>Y—作业效率（t/h），根据可行性研究报告中对本项目设计单艘代表船型实际装载800t综合卸船作业时间5.2h计算，单台桥式抓斗卸船机</w:t>
      </w:r>
      <w:bookmarkStart w:id="196" w:name="OLE_LINK20"/>
      <w:r>
        <w:rPr>
          <w:rFonts w:hint="eastAsia"/>
          <w:color w:val="auto"/>
        </w:rPr>
        <w:t>作业效率为154t/h</w:t>
      </w:r>
      <w:bookmarkEnd w:id="196"/>
      <w:r>
        <w:rPr>
          <w:rFonts w:hint="eastAsia"/>
          <w:color w:val="auto"/>
        </w:rPr>
        <w:t xml:space="preserve">，2台卸船机作业效率为308t/h； </w:t>
      </w:r>
    </w:p>
    <w:p w14:paraId="50D46659">
      <w:pPr>
        <w:pStyle w:val="93"/>
      </w:pPr>
      <w:r>
        <w:rPr>
          <w:rFonts w:hint="eastAsia"/>
        </w:rPr>
        <w:t>v</w:t>
      </w:r>
      <w:r>
        <w:rPr>
          <w:rFonts w:hint="eastAsia"/>
          <w:vertAlign w:val="subscript"/>
        </w:rPr>
        <w:t>2</w:t>
      </w:r>
      <w:r>
        <w:rPr>
          <w:rFonts w:hint="eastAsia"/>
        </w:rPr>
        <w:t>—作业起尘量达到最大起尘量50%时的风速（m/s），一般v</w:t>
      </w:r>
      <w:r>
        <w:rPr>
          <w:rFonts w:hint="eastAsia"/>
          <w:vertAlign w:val="subscript"/>
        </w:rPr>
        <w:t>2</w:t>
      </w:r>
      <w:r>
        <w:rPr>
          <w:rFonts w:hint="eastAsia"/>
        </w:rPr>
        <w:t>取1</w:t>
      </w:r>
      <w:r>
        <w:t>6</w:t>
      </w:r>
      <w:r>
        <w:rPr>
          <w:rFonts w:hint="eastAsia"/>
        </w:rPr>
        <w:t>m/s；</w:t>
      </w:r>
    </w:p>
    <w:p w14:paraId="7F673FAB">
      <w:pPr>
        <w:pStyle w:val="93"/>
      </w:pPr>
      <w:r>
        <w:rPr>
          <w:rFonts w:hint="eastAsia"/>
        </w:rPr>
        <w:t>U—风速（m/s），涟水县多年平均风速为2.7m/s；</w:t>
      </w:r>
    </w:p>
    <w:bookmarkEnd w:id="189"/>
    <w:p w14:paraId="37026D12">
      <w:pPr>
        <w:pStyle w:val="86"/>
      </w:pPr>
      <w:bookmarkStart w:id="197" w:name="_Hlk181747721"/>
      <w:r>
        <w:rPr>
          <w:rFonts w:hint="eastAsia"/>
        </w:rPr>
        <w:t>货物类型起尘调节系数</w:t>
      </w:r>
    </w:p>
    <w:bookmarkEnd w:id="197"/>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835"/>
        <w:gridCol w:w="1185"/>
        <w:gridCol w:w="1185"/>
        <w:gridCol w:w="1186"/>
        <w:gridCol w:w="1186"/>
        <w:gridCol w:w="1186"/>
      </w:tblGrid>
      <w:tr w14:paraId="3D6D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tcBorders>
              <w:top w:val="single" w:color="auto" w:sz="4" w:space="0"/>
              <w:left w:val="single" w:color="auto" w:sz="4" w:space="0"/>
              <w:bottom w:val="single" w:color="auto" w:sz="4" w:space="0"/>
              <w:right w:val="single" w:color="auto" w:sz="4" w:space="0"/>
            </w:tcBorders>
            <w:vAlign w:val="center"/>
          </w:tcPr>
          <w:p w14:paraId="731F1F62">
            <w:pPr>
              <w:pStyle w:val="196"/>
            </w:pPr>
            <w:bookmarkStart w:id="198" w:name="_Hlk181747738"/>
            <w:r>
              <w:rPr>
                <w:rFonts w:hint="eastAsia"/>
              </w:rPr>
              <w:t>标准类型</w:t>
            </w:r>
          </w:p>
        </w:tc>
        <w:tc>
          <w:tcPr>
            <w:tcW w:w="835" w:type="dxa"/>
            <w:tcBorders>
              <w:top w:val="single" w:color="auto" w:sz="4" w:space="0"/>
              <w:left w:val="single" w:color="auto" w:sz="4" w:space="0"/>
              <w:bottom w:val="single" w:color="auto" w:sz="4" w:space="0"/>
              <w:right w:val="single" w:color="auto" w:sz="4" w:space="0"/>
            </w:tcBorders>
            <w:vAlign w:val="center"/>
          </w:tcPr>
          <w:p w14:paraId="0C03D642">
            <w:pPr>
              <w:pStyle w:val="196"/>
            </w:pPr>
            <w:r>
              <w:rPr>
                <w:rFonts w:hint="eastAsia"/>
              </w:rPr>
              <w:t>矿粉</w:t>
            </w:r>
          </w:p>
        </w:tc>
        <w:tc>
          <w:tcPr>
            <w:tcW w:w="1185" w:type="dxa"/>
            <w:tcBorders>
              <w:top w:val="single" w:color="auto" w:sz="4" w:space="0"/>
              <w:left w:val="single" w:color="auto" w:sz="4" w:space="0"/>
              <w:bottom w:val="single" w:color="auto" w:sz="4" w:space="0"/>
              <w:right w:val="single" w:color="auto" w:sz="4" w:space="0"/>
            </w:tcBorders>
            <w:vAlign w:val="center"/>
          </w:tcPr>
          <w:p w14:paraId="0A3F6BEF">
            <w:pPr>
              <w:pStyle w:val="196"/>
            </w:pPr>
            <w:r>
              <w:rPr>
                <w:rFonts w:hint="eastAsia"/>
              </w:rPr>
              <w:t>球团矿</w:t>
            </w:r>
          </w:p>
        </w:tc>
        <w:tc>
          <w:tcPr>
            <w:tcW w:w="1185" w:type="dxa"/>
            <w:tcBorders>
              <w:top w:val="single" w:color="auto" w:sz="4" w:space="0"/>
              <w:left w:val="single" w:color="auto" w:sz="4" w:space="0"/>
              <w:bottom w:val="single" w:color="auto" w:sz="4" w:space="0"/>
              <w:right w:val="single" w:color="auto" w:sz="4" w:space="0"/>
            </w:tcBorders>
            <w:vAlign w:val="center"/>
          </w:tcPr>
          <w:p w14:paraId="3E1C6E04">
            <w:pPr>
              <w:pStyle w:val="196"/>
            </w:pPr>
            <w:r>
              <w:rPr>
                <w:rFonts w:hint="eastAsia"/>
              </w:rPr>
              <w:t>精煤类</w:t>
            </w:r>
          </w:p>
        </w:tc>
        <w:tc>
          <w:tcPr>
            <w:tcW w:w="1186" w:type="dxa"/>
            <w:tcBorders>
              <w:top w:val="single" w:color="auto" w:sz="4" w:space="0"/>
              <w:left w:val="single" w:color="auto" w:sz="4" w:space="0"/>
              <w:bottom w:val="single" w:color="auto" w:sz="4" w:space="0"/>
              <w:right w:val="single" w:color="auto" w:sz="4" w:space="0"/>
            </w:tcBorders>
            <w:vAlign w:val="center"/>
          </w:tcPr>
          <w:p w14:paraId="63B56026">
            <w:pPr>
              <w:pStyle w:val="196"/>
            </w:pPr>
            <w:r>
              <w:rPr>
                <w:rFonts w:hint="eastAsia"/>
              </w:rPr>
              <w:t>大矿类</w:t>
            </w:r>
          </w:p>
        </w:tc>
        <w:tc>
          <w:tcPr>
            <w:tcW w:w="1186" w:type="dxa"/>
            <w:tcBorders>
              <w:top w:val="single" w:color="auto" w:sz="4" w:space="0"/>
              <w:left w:val="single" w:color="auto" w:sz="4" w:space="0"/>
              <w:bottom w:val="single" w:color="auto" w:sz="4" w:space="0"/>
              <w:right w:val="single" w:color="auto" w:sz="4" w:space="0"/>
            </w:tcBorders>
            <w:vAlign w:val="center"/>
          </w:tcPr>
          <w:p w14:paraId="403683B2">
            <w:pPr>
              <w:pStyle w:val="196"/>
            </w:pPr>
            <w:r>
              <w:rPr>
                <w:rFonts w:hint="eastAsia"/>
              </w:rPr>
              <w:t>原煤类</w:t>
            </w:r>
          </w:p>
        </w:tc>
        <w:tc>
          <w:tcPr>
            <w:tcW w:w="1186" w:type="dxa"/>
            <w:tcBorders>
              <w:top w:val="single" w:color="auto" w:sz="4" w:space="0"/>
              <w:left w:val="single" w:color="auto" w:sz="4" w:space="0"/>
              <w:bottom w:val="single" w:color="auto" w:sz="4" w:space="0"/>
              <w:right w:val="single" w:color="auto" w:sz="4" w:space="0"/>
            </w:tcBorders>
            <w:vAlign w:val="center"/>
          </w:tcPr>
          <w:p w14:paraId="0667211A">
            <w:pPr>
              <w:pStyle w:val="196"/>
            </w:pPr>
            <w:r>
              <w:rPr>
                <w:rFonts w:hint="eastAsia"/>
              </w:rPr>
              <w:t>水洗类</w:t>
            </w:r>
          </w:p>
        </w:tc>
      </w:tr>
      <w:tr w14:paraId="50E2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tcBorders>
              <w:top w:val="single" w:color="auto" w:sz="4" w:space="0"/>
              <w:left w:val="single" w:color="auto" w:sz="4" w:space="0"/>
              <w:bottom w:val="single" w:color="auto" w:sz="4" w:space="0"/>
              <w:right w:val="single" w:color="auto" w:sz="4" w:space="0"/>
            </w:tcBorders>
            <w:vAlign w:val="center"/>
          </w:tcPr>
          <w:p w14:paraId="3305CEE9">
            <w:pPr>
              <w:pStyle w:val="196"/>
            </w:pPr>
            <w:r>
              <w:rPr>
                <w:rFonts w:hint="eastAsia"/>
              </w:rPr>
              <w:t>起尘调节系数</w:t>
            </w:r>
          </w:p>
        </w:tc>
        <w:tc>
          <w:tcPr>
            <w:tcW w:w="835" w:type="dxa"/>
            <w:tcBorders>
              <w:top w:val="single" w:color="auto" w:sz="4" w:space="0"/>
              <w:left w:val="single" w:color="auto" w:sz="4" w:space="0"/>
              <w:bottom w:val="single" w:color="auto" w:sz="4" w:space="0"/>
              <w:right w:val="single" w:color="auto" w:sz="4" w:space="0"/>
            </w:tcBorders>
            <w:vAlign w:val="center"/>
          </w:tcPr>
          <w:p w14:paraId="00DFA0DB">
            <w:pPr>
              <w:pStyle w:val="196"/>
            </w:pPr>
            <w:r>
              <w:rPr>
                <w:rFonts w:hint="eastAsia"/>
              </w:rPr>
              <w:t>1.6</w:t>
            </w:r>
          </w:p>
        </w:tc>
        <w:tc>
          <w:tcPr>
            <w:tcW w:w="1185" w:type="dxa"/>
            <w:tcBorders>
              <w:top w:val="single" w:color="auto" w:sz="4" w:space="0"/>
              <w:left w:val="single" w:color="auto" w:sz="4" w:space="0"/>
              <w:bottom w:val="single" w:color="auto" w:sz="4" w:space="0"/>
              <w:right w:val="single" w:color="auto" w:sz="4" w:space="0"/>
            </w:tcBorders>
            <w:vAlign w:val="center"/>
          </w:tcPr>
          <w:p w14:paraId="1E2AADBA">
            <w:pPr>
              <w:pStyle w:val="196"/>
            </w:pPr>
            <w:r>
              <w:rPr>
                <w:rFonts w:hint="eastAsia"/>
              </w:rPr>
              <w:t>0.6</w:t>
            </w:r>
          </w:p>
        </w:tc>
        <w:tc>
          <w:tcPr>
            <w:tcW w:w="1185" w:type="dxa"/>
            <w:tcBorders>
              <w:top w:val="single" w:color="auto" w:sz="4" w:space="0"/>
              <w:left w:val="single" w:color="auto" w:sz="4" w:space="0"/>
              <w:bottom w:val="single" w:color="auto" w:sz="4" w:space="0"/>
              <w:right w:val="single" w:color="auto" w:sz="4" w:space="0"/>
            </w:tcBorders>
            <w:vAlign w:val="center"/>
          </w:tcPr>
          <w:p w14:paraId="66578CF0">
            <w:pPr>
              <w:pStyle w:val="196"/>
            </w:pPr>
            <w:r>
              <w:rPr>
                <w:rFonts w:hint="eastAsia"/>
              </w:rPr>
              <w:t>1.2</w:t>
            </w:r>
          </w:p>
        </w:tc>
        <w:tc>
          <w:tcPr>
            <w:tcW w:w="1186" w:type="dxa"/>
            <w:tcBorders>
              <w:top w:val="single" w:color="auto" w:sz="4" w:space="0"/>
              <w:left w:val="single" w:color="auto" w:sz="4" w:space="0"/>
              <w:bottom w:val="single" w:color="auto" w:sz="4" w:space="0"/>
              <w:right w:val="single" w:color="auto" w:sz="4" w:space="0"/>
            </w:tcBorders>
            <w:vAlign w:val="center"/>
          </w:tcPr>
          <w:p w14:paraId="47C6CCC2">
            <w:pPr>
              <w:pStyle w:val="196"/>
            </w:pPr>
            <w:r>
              <w:rPr>
                <w:rFonts w:hint="eastAsia"/>
              </w:rPr>
              <w:t>1.1</w:t>
            </w:r>
          </w:p>
        </w:tc>
        <w:tc>
          <w:tcPr>
            <w:tcW w:w="1186" w:type="dxa"/>
            <w:tcBorders>
              <w:top w:val="single" w:color="auto" w:sz="4" w:space="0"/>
              <w:left w:val="single" w:color="auto" w:sz="4" w:space="0"/>
              <w:bottom w:val="single" w:color="auto" w:sz="4" w:space="0"/>
              <w:right w:val="single" w:color="auto" w:sz="4" w:space="0"/>
            </w:tcBorders>
            <w:vAlign w:val="center"/>
          </w:tcPr>
          <w:p w14:paraId="30AA107C">
            <w:pPr>
              <w:pStyle w:val="196"/>
            </w:pPr>
            <w:r>
              <w:rPr>
                <w:rFonts w:hint="eastAsia"/>
              </w:rPr>
              <w:t>0.8</w:t>
            </w:r>
          </w:p>
        </w:tc>
        <w:tc>
          <w:tcPr>
            <w:tcW w:w="1186" w:type="dxa"/>
            <w:tcBorders>
              <w:top w:val="single" w:color="auto" w:sz="4" w:space="0"/>
              <w:left w:val="single" w:color="auto" w:sz="4" w:space="0"/>
              <w:bottom w:val="single" w:color="auto" w:sz="4" w:space="0"/>
              <w:right w:val="single" w:color="auto" w:sz="4" w:space="0"/>
            </w:tcBorders>
            <w:vAlign w:val="center"/>
          </w:tcPr>
          <w:p w14:paraId="07472F01">
            <w:pPr>
              <w:pStyle w:val="196"/>
            </w:pPr>
            <w:r>
              <w:rPr>
                <w:rFonts w:hint="eastAsia"/>
              </w:rPr>
              <w:t>0.6</w:t>
            </w:r>
          </w:p>
        </w:tc>
      </w:tr>
      <w:bookmarkEnd w:id="198"/>
    </w:tbl>
    <w:p w14:paraId="6199630C">
      <w:pPr>
        <w:pStyle w:val="139"/>
        <w:ind w:firstLine="480"/>
        <w:rPr>
          <w:color w:val="auto"/>
        </w:rPr>
      </w:pPr>
      <w:bookmarkStart w:id="199" w:name="_Hlk181747748"/>
      <w:r>
        <w:rPr>
          <w:rFonts w:hint="eastAsia"/>
          <w:color w:val="auto"/>
        </w:rPr>
        <w:t>按照上述公式计算本项目码头卸船作业粉尘产生量见表3.8-6。</w:t>
      </w:r>
      <w:bookmarkEnd w:id="199"/>
    </w:p>
    <w:p w14:paraId="782FB37D">
      <w:pPr>
        <w:pStyle w:val="139"/>
        <w:ind w:firstLine="480"/>
        <w:rPr>
          <w:color w:val="auto"/>
        </w:rPr>
        <w:sectPr>
          <w:pgSz w:w="11905" w:h="16838"/>
          <w:pgMar w:top="1440" w:right="1800" w:bottom="1440" w:left="1800" w:header="851" w:footer="992" w:gutter="0"/>
          <w:cols w:space="720" w:num="1"/>
          <w:docGrid w:type="lines" w:linePitch="332" w:charSpace="0"/>
        </w:sectPr>
      </w:pPr>
    </w:p>
    <w:p w14:paraId="5479A0CB">
      <w:pPr>
        <w:pStyle w:val="86"/>
      </w:pPr>
      <w:bookmarkStart w:id="200" w:name="_Hlk181747758"/>
      <w:r>
        <w:rPr>
          <w:rFonts w:hint="eastAsia"/>
        </w:rPr>
        <w:t>码头卸料作业起尘量</w:t>
      </w:r>
    </w:p>
    <w:bookmarkEnd w:id="200"/>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746"/>
        <w:gridCol w:w="522"/>
        <w:gridCol w:w="635"/>
        <w:gridCol w:w="632"/>
        <w:gridCol w:w="632"/>
        <w:gridCol w:w="632"/>
        <w:gridCol w:w="632"/>
        <w:gridCol w:w="632"/>
        <w:gridCol w:w="967"/>
        <w:gridCol w:w="967"/>
        <w:gridCol w:w="1049"/>
        <w:gridCol w:w="899"/>
        <w:gridCol w:w="899"/>
        <w:gridCol w:w="887"/>
        <w:gridCol w:w="882"/>
        <w:gridCol w:w="873"/>
        <w:gridCol w:w="856"/>
      </w:tblGrid>
      <w:tr w14:paraId="09F2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294" w:type="pct"/>
            <w:vMerge w:val="restart"/>
            <w:shd w:val="clear" w:color="auto" w:fill="auto"/>
            <w:vAlign w:val="center"/>
          </w:tcPr>
          <w:p w14:paraId="591A78FE">
            <w:pPr>
              <w:spacing w:line="240" w:lineRule="auto"/>
              <w:ind w:firstLine="0" w:firstLineChars="0"/>
              <w:jc w:val="center"/>
              <w:rPr>
                <w:rFonts w:hint="eastAsia" w:ascii="宋体" w:hAnsi="宋体" w:eastAsia="宋体" w:cs="宋体"/>
                <w:b/>
                <w:bCs/>
                <w:kern w:val="0"/>
                <w:sz w:val="21"/>
              </w:rPr>
            </w:pPr>
            <w:bookmarkStart w:id="201" w:name="_Hlk181747787"/>
            <w:r>
              <w:rPr>
                <w:rFonts w:hint="eastAsia" w:ascii="宋体" w:hAnsi="宋体" w:eastAsia="宋体" w:cs="宋体"/>
                <w:b/>
                <w:bCs/>
                <w:kern w:val="0"/>
                <w:sz w:val="21"/>
              </w:rPr>
              <w:t>货种类型</w:t>
            </w:r>
          </w:p>
        </w:tc>
        <w:tc>
          <w:tcPr>
            <w:tcW w:w="263" w:type="pct"/>
            <w:vMerge w:val="restart"/>
            <w:vAlign w:val="center"/>
          </w:tcPr>
          <w:p w14:paraId="461299F8">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作业类型</w:t>
            </w:r>
          </w:p>
        </w:tc>
        <w:tc>
          <w:tcPr>
            <w:tcW w:w="184" w:type="pct"/>
            <w:vMerge w:val="restart"/>
            <w:shd w:val="clear" w:color="auto" w:fill="auto"/>
            <w:vAlign w:val="center"/>
          </w:tcPr>
          <w:p w14:paraId="67A07BAB">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α</w:t>
            </w:r>
          </w:p>
        </w:tc>
        <w:tc>
          <w:tcPr>
            <w:tcW w:w="224" w:type="pct"/>
            <w:vMerge w:val="restart"/>
            <w:shd w:val="clear" w:color="auto" w:fill="auto"/>
            <w:vAlign w:val="center"/>
          </w:tcPr>
          <w:p w14:paraId="12B52F5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β</w:t>
            </w:r>
          </w:p>
        </w:tc>
        <w:tc>
          <w:tcPr>
            <w:tcW w:w="223" w:type="pct"/>
            <w:shd w:val="clear" w:color="auto" w:fill="auto"/>
            <w:vAlign w:val="center"/>
          </w:tcPr>
          <w:p w14:paraId="4BE58C0C">
            <w:pPr>
              <w:spacing w:line="240" w:lineRule="auto"/>
              <w:ind w:firstLine="0" w:firstLineChars="0"/>
              <w:jc w:val="center"/>
              <w:rPr>
                <w:rFonts w:eastAsia="等线" w:cs="Times New Roman"/>
                <w:b/>
                <w:bCs/>
                <w:kern w:val="0"/>
                <w:sz w:val="21"/>
              </w:rPr>
            </w:pPr>
            <w:r>
              <w:rPr>
                <w:rFonts w:eastAsia="等线" w:cs="Times New Roman"/>
                <w:b/>
                <w:bCs/>
                <w:kern w:val="0"/>
                <w:sz w:val="21"/>
              </w:rPr>
              <w:t>H</w:t>
            </w:r>
          </w:p>
        </w:tc>
        <w:tc>
          <w:tcPr>
            <w:tcW w:w="223" w:type="pct"/>
            <w:vMerge w:val="restart"/>
            <w:shd w:val="clear" w:color="auto" w:fill="auto"/>
            <w:vAlign w:val="center"/>
          </w:tcPr>
          <w:p w14:paraId="403A7CBB">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ω</w:t>
            </w:r>
            <w:r>
              <w:rPr>
                <w:rFonts w:eastAsia="宋体" w:cs="Times New Roman"/>
                <w:b/>
                <w:bCs/>
                <w:kern w:val="0"/>
                <w:sz w:val="21"/>
                <w:vertAlign w:val="subscript"/>
              </w:rPr>
              <w:t>2</w:t>
            </w:r>
          </w:p>
        </w:tc>
        <w:tc>
          <w:tcPr>
            <w:tcW w:w="223" w:type="pct"/>
            <w:shd w:val="clear" w:color="auto" w:fill="auto"/>
            <w:vAlign w:val="center"/>
          </w:tcPr>
          <w:p w14:paraId="1ECFD9A4">
            <w:pPr>
              <w:spacing w:line="240" w:lineRule="auto"/>
              <w:ind w:firstLine="0" w:firstLineChars="0"/>
              <w:jc w:val="center"/>
              <w:rPr>
                <w:rFonts w:hint="eastAsia" w:ascii="宋体" w:hAnsi="宋体" w:eastAsia="宋体" w:cs="宋体"/>
                <w:b/>
                <w:bCs/>
                <w:kern w:val="0"/>
                <w:sz w:val="21"/>
              </w:rPr>
            </w:pPr>
            <w:r>
              <w:rPr>
                <w:rFonts w:ascii="Calibri" w:hAnsi="Calibri" w:eastAsia="宋体" w:cs="Calibri"/>
                <w:b/>
                <w:bCs/>
                <w:kern w:val="0"/>
                <w:sz w:val="21"/>
              </w:rPr>
              <w:t>ω</w:t>
            </w:r>
            <w:r>
              <w:rPr>
                <w:rFonts w:eastAsia="宋体" w:cs="Times New Roman"/>
                <w:b/>
                <w:bCs/>
                <w:kern w:val="0"/>
                <w:sz w:val="21"/>
                <w:vertAlign w:val="subscript"/>
              </w:rPr>
              <w:t>0</w:t>
            </w:r>
          </w:p>
        </w:tc>
        <w:tc>
          <w:tcPr>
            <w:tcW w:w="223" w:type="pct"/>
            <w:shd w:val="clear" w:color="auto" w:fill="auto"/>
            <w:vAlign w:val="center"/>
          </w:tcPr>
          <w:p w14:paraId="26DD3BE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ω</w:t>
            </w:r>
          </w:p>
        </w:tc>
        <w:tc>
          <w:tcPr>
            <w:tcW w:w="223" w:type="pct"/>
            <w:shd w:val="clear" w:color="auto" w:fill="auto"/>
            <w:vAlign w:val="center"/>
          </w:tcPr>
          <w:p w14:paraId="104FBFCC">
            <w:pPr>
              <w:spacing w:line="240" w:lineRule="auto"/>
              <w:ind w:firstLine="0" w:firstLineChars="0"/>
              <w:jc w:val="center"/>
              <w:rPr>
                <w:rFonts w:eastAsia="等线" w:cs="Times New Roman"/>
                <w:b/>
                <w:bCs/>
                <w:kern w:val="0"/>
                <w:sz w:val="21"/>
              </w:rPr>
            </w:pPr>
            <w:r>
              <w:rPr>
                <w:rFonts w:eastAsia="等线" w:cs="Times New Roman"/>
                <w:b/>
                <w:bCs/>
                <w:kern w:val="0"/>
                <w:sz w:val="21"/>
              </w:rPr>
              <w:t>Y</w:t>
            </w:r>
          </w:p>
        </w:tc>
        <w:tc>
          <w:tcPr>
            <w:tcW w:w="341" w:type="pct"/>
            <w:shd w:val="clear" w:color="auto" w:fill="auto"/>
            <w:vAlign w:val="center"/>
          </w:tcPr>
          <w:p w14:paraId="5E7DB565">
            <w:pPr>
              <w:spacing w:line="240" w:lineRule="auto"/>
              <w:ind w:firstLine="0" w:firstLineChars="0"/>
              <w:jc w:val="center"/>
              <w:rPr>
                <w:rFonts w:eastAsia="等线" w:cs="Times New Roman"/>
                <w:b/>
                <w:bCs/>
                <w:kern w:val="0"/>
                <w:sz w:val="21"/>
              </w:rPr>
            </w:pPr>
            <w:r>
              <w:rPr>
                <w:rFonts w:eastAsia="等线" w:cs="Times New Roman"/>
                <w:b/>
                <w:bCs/>
                <w:kern w:val="0"/>
                <w:sz w:val="21"/>
              </w:rPr>
              <w:t>v</w:t>
            </w:r>
            <w:r>
              <w:rPr>
                <w:rFonts w:eastAsia="等线" w:cs="Times New Roman"/>
                <w:b/>
                <w:bCs/>
                <w:kern w:val="0"/>
                <w:sz w:val="21"/>
                <w:vertAlign w:val="subscript"/>
              </w:rPr>
              <w:t>2</w:t>
            </w:r>
          </w:p>
        </w:tc>
        <w:tc>
          <w:tcPr>
            <w:tcW w:w="341" w:type="pct"/>
            <w:shd w:val="clear" w:color="auto" w:fill="auto"/>
            <w:vAlign w:val="center"/>
          </w:tcPr>
          <w:p w14:paraId="17A4DE0D">
            <w:pPr>
              <w:spacing w:line="240" w:lineRule="auto"/>
              <w:ind w:firstLine="0" w:firstLineChars="0"/>
              <w:jc w:val="center"/>
              <w:rPr>
                <w:rFonts w:eastAsia="等线" w:cs="Times New Roman"/>
                <w:b/>
                <w:bCs/>
                <w:kern w:val="0"/>
                <w:sz w:val="21"/>
              </w:rPr>
            </w:pPr>
            <w:r>
              <w:rPr>
                <w:rFonts w:eastAsia="等线" w:cs="Times New Roman"/>
                <w:b/>
                <w:bCs/>
                <w:kern w:val="0"/>
                <w:sz w:val="21"/>
              </w:rPr>
              <w:t>U</w:t>
            </w:r>
          </w:p>
        </w:tc>
        <w:tc>
          <w:tcPr>
            <w:tcW w:w="370" w:type="pct"/>
            <w:shd w:val="clear" w:color="auto" w:fill="auto"/>
            <w:vAlign w:val="center"/>
          </w:tcPr>
          <w:p w14:paraId="2AE763F4">
            <w:pPr>
              <w:spacing w:line="240" w:lineRule="auto"/>
              <w:ind w:firstLine="0" w:firstLineChars="0"/>
              <w:jc w:val="center"/>
              <w:rPr>
                <w:rFonts w:eastAsia="等线" w:cs="Times New Roman"/>
                <w:b/>
                <w:bCs/>
                <w:kern w:val="0"/>
                <w:sz w:val="21"/>
              </w:rPr>
            </w:pPr>
            <w:r>
              <w:rPr>
                <w:rFonts w:eastAsia="等线" w:cs="Times New Roman"/>
                <w:b/>
                <w:bCs/>
                <w:kern w:val="0"/>
                <w:sz w:val="21"/>
              </w:rPr>
              <w:t>Q</w:t>
            </w:r>
            <w:r>
              <w:rPr>
                <w:rFonts w:hint="eastAsia" w:ascii="宋体" w:hAnsi="宋体" w:eastAsia="宋体" w:cs="Times New Roman"/>
                <w:b/>
                <w:bCs/>
                <w:kern w:val="0"/>
                <w:sz w:val="21"/>
                <w:vertAlign w:val="subscript"/>
              </w:rPr>
              <w:t>起尘量</w:t>
            </w:r>
          </w:p>
        </w:tc>
        <w:tc>
          <w:tcPr>
            <w:tcW w:w="634" w:type="pct"/>
            <w:gridSpan w:val="2"/>
            <w:vAlign w:val="center"/>
          </w:tcPr>
          <w:p w14:paraId="45D90072">
            <w:pPr>
              <w:spacing w:line="240" w:lineRule="auto"/>
              <w:ind w:firstLine="0" w:firstLineChars="0"/>
              <w:jc w:val="center"/>
              <w:rPr>
                <w:rFonts w:eastAsia="宋体" w:cs="Times New Roman"/>
                <w:b/>
                <w:bCs/>
                <w:kern w:val="0"/>
                <w:sz w:val="21"/>
              </w:rPr>
            </w:pPr>
            <w:r>
              <w:rPr>
                <w:rFonts w:eastAsia="宋体" w:cs="Times New Roman"/>
                <w:b/>
                <w:bCs/>
                <w:sz w:val="21"/>
              </w:rPr>
              <w:t>TSP 排放量</w:t>
            </w:r>
          </w:p>
        </w:tc>
        <w:tc>
          <w:tcPr>
            <w:tcW w:w="624" w:type="pct"/>
            <w:gridSpan w:val="2"/>
            <w:vAlign w:val="center"/>
          </w:tcPr>
          <w:p w14:paraId="3C249AA5">
            <w:pPr>
              <w:spacing w:line="240" w:lineRule="auto"/>
              <w:ind w:firstLine="0" w:firstLineChars="0"/>
              <w:jc w:val="center"/>
              <w:rPr>
                <w:rFonts w:eastAsia="宋体" w:cs="Times New Roman"/>
                <w:b/>
                <w:bCs/>
                <w:kern w:val="0"/>
                <w:sz w:val="21"/>
              </w:rPr>
            </w:pPr>
            <w:r>
              <w:rPr>
                <w:rFonts w:eastAsia="宋体" w:cs="Times New Roman"/>
                <w:b/>
                <w:bCs/>
                <w:sz w:val="21"/>
              </w:rPr>
              <w:t>PM</w:t>
            </w:r>
            <w:r>
              <w:rPr>
                <w:rFonts w:eastAsia="宋体" w:cs="Times New Roman"/>
                <w:b/>
                <w:bCs/>
                <w:sz w:val="21"/>
                <w:vertAlign w:val="subscript"/>
              </w:rPr>
              <w:t>10</w:t>
            </w:r>
            <w:r>
              <w:rPr>
                <w:rFonts w:eastAsia="宋体" w:cs="Times New Roman"/>
                <w:b/>
                <w:bCs/>
                <w:sz w:val="21"/>
              </w:rPr>
              <w:t>排放量</w:t>
            </w:r>
          </w:p>
        </w:tc>
        <w:tc>
          <w:tcPr>
            <w:tcW w:w="610" w:type="pct"/>
            <w:gridSpan w:val="2"/>
            <w:vAlign w:val="center"/>
          </w:tcPr>
          <w:p w14:paraId="68BE7C1A">
            <w:pPr>
              <w:spacing w:line="240" w:lineRule="auto"/>
              <w:ind w:firstLine="0" w:firstLineChars="0"/>
              <w:jc w:val="center"/>
              <w:rPr>
                <w:rFonts w:eastAsia="宋体" w:cs="Times New Roman"/>
                <w:b/>
                <w:bCs/>
                <w:kern w:val="0"/>
                <w:sz w:val="21"/>
              </w:rPr>
            </w:pPr>
            <w:r>
              <w:rPr>
                <w:rFonts w:eastAsia="宋体" w:cs="Times New Roman"/>
                <w:b/>
                <w:bCs/>
                <w:sz w:val="21"/>
              </w:rPr>
              <w:t>PM</w:t>
            </w:r>
            <w:r>
              <w:rPr>
                <w:rFonts w:eastAsia="宋体" w:cs="Times New Roman"/>
                <w:b/>
                <w:bCs/>
                <w:sz w:val="21"/>
                <w:vertAlign w:val="subscript"/>
              </w:rPr>
              <w:t>2.5</w:t>
            </w:r>
            <w:r>
              <w:rPr>
                <w:rFonts w:eastAsia="宋体" w:cs="Times New Roman"/>
                <w:b/>
                <w:bCs/>
                <w:sz w:val="21"/>
              </w:rPr>
              <w:t>排放量</w:t>
            </w:r>
          </w:p>
        </w:tc>
      </w:tr>
      <w:tr w14:paraId="0681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4" w:type="pct"/>
            <w:vMerge w:val="continue"/>
            <w:shd w:val="clear" w:color="auto" w:fill="auto"/>
            <w:vAlign w:val="center"/>
          </w:tcPr>
          <w:p w14:paraId="5F62556C">
            <w:pPr>
              <w:spacing w:line="240" w:lineRule="auto"/>
              <w:ind w:firstLine="0" w:firstLineChars="0"/>
              <w:jc w:val="center"/>
              <w:rPr>
                <w:rFonts w:hint="eastAsia" w:ascii="宋体" w:hAnsi="宋体" w:eastAsia="宋体" w:cs="宋体"/>
                <w:b/>
                <w:bCs/>
                <w:kern w:val="0"/>
                <w:sz w:val="21"/>
              </w:rPr>
            </w:pPr>
          </w:p>
        </w:tc>
        <w:tc>
          <w:tcPr>
            <w:tcW w:w="263" w:type="pct"/>
            <w:vMerge w:val="continue"/>
            <w:vAlign w:val="center"/>
          </w:tcPr>
          <w:p w14:paraId="5A73E893">
            <w:pPr>
              <w:spacing w:line="240" w:lineRule="auto"/>
              <w:ind w:firstLine="0" w:firstLineChars="0"/>
              <w:jc w:val="center"/>
              <w:rPr>
                <w:rFonts w:hint="eastAsia" w:ascii="宋体" w:hAnsi="宋体" w:eastAsia="宋体" w:cs="宋体"/>
                <w:b/>
                <w:bCs/>
                <w:kern w:val="0"/>
                <w:sz w:val="21"/>
              </w:rPr>
            </w:pPr>
          </w:p>
        </w:tc>
        <w:tc>
          <w:tcPr>
            <w:tcW w:w="184" w:type="pct"/>
            <w:vMerge w:val="continue"/>
            <w:shd w:val="clear" w:color="auto" w:fill="auto"/>
            <w:vAlign w:val="center"/>
          </w:tcPr>
          <w:p w14:paraId="2BAE2F2A">
            <w:pPr>
              <w:spacing w:line="240" w:lineRule="auto"/>
              <w:ind w:firstLine="0" w:firstLineChars="0"/>
              <w:jc w:val="center"/>
              <w:rPr>
                <w:rFonts w:hint="eastAsia" w:ascii="宋体" w:hAnsi="宋体" w:eastAsia="宋体" w:cs="宋体"/>
                <w:b/>
                <w:bCs/>
                <w:kern w:val="0"/>
                <w:sz w:val="21"/>
              </w:rPr>
            </w:pPr>
          </w:p>
        </w:tc>
        <w:tc>
          <w:tcPr>
            <w:tcW w:w="224" w:type="pct"/>
            <w:vMerge w:val="continue"/>
            <w:shd w:val="clear" w:color="auto" w:fill="auto"/>
            <w:vAlign w:val="center"/>
          </w:tcPr>
          <w:p w14:paraId="545416FA">
            <w:pPr>
              <w:spacing w:line="240" w:lineRule="auto"/>
              <w:ind w:firstLine="0" w:firstLineChars="0"/>
              <w:jc w:val="center"/>
              <w:rPr>
                <w:rFonts w:hint="eastAsia" w:ascii="宋体" w:hAnsi="宋体" w:eastAsia="宋体" w:cs="宋体"/>
                <w:b/>
                <w:bCs/>
                <w:kern w:val="0"/>
                <w:sz w:val="21"/>
              </w:rPr>
            </w:pPr>
          </w:p>
        </w:tc>
        <w:tc>
          <w:tcPr>
            <w:tcW w:w="223" w:type="pct"/>
            <w:shd w:val="clear" w:color="auto" w:fill="auto"/>
            <w:vAlign w:val="center"/>
          </w:tcPr>
          <w:p w14:paraId="390261EB">
            <w:pPr>
              <w:spacing w:line="240" w:lineRule="auto"/>
              <w:ind w:firstLine="0" w:firstLineChars="0"/>
              <w:jc w:val="center"/>
              <w:rPr>
                <w:rFonts w:eastAsia="等线" w:cs="Times New Roman"/>
                <w:b/>
                <w:bCs/>
                <w:kern w:val="0"/>
                <w:sz w:val="21"/>
              </w:rPr>
            </w:pPr>
            <w:r>
              <w:rPr>
                <w:rFonts w:eastAsia="等线" w:cs="Times New Roman"/>
                <w:b/>
                <w:bCs/>
                <w:kern w:val="0"/>
                <w:sz w:val="21"/>
              </w:rPr>
              <w:t>m</w:t>
            </w:r>
          </w:p>
        </w:tc>
        <w:tc>
          <w:tcPr>
            <w:tcW w:w="223" w:type="pct"/>
            <w:vMerge w:val="continue"/>
            <w:shd w:val="clear" w:color="auto" w:fill="auto"/>
            <w:vAlign w:val="center"/>
          </w:tcPr>
          <w:p w14:paraId="2B7339D5">
            <w:pPr>
              <w:spacing w:line="240" w:lineRule="auto"/>
              <w:ind w:firstLine="0" w:firstLineChars="0"/>
              <w:jc w:val="center"/>
              <w:rPr>
                <w:rFonts w:hint="eastAsia" w:ascii="宋体" w:hAnsi="宋体" w:eastAsia="宋体" w:cs="宋体"/>
                <w:b/>
                <w:bCs/>
                <w:kern w:val="0"/>
                <w:sz w:val="21"/>
              </w:rPr>
            </w:pPr>
          </w:p>
        </w:tc>
        <w:tc>
          <w:tcPr>
            <w:tcW w:w="223" w:type="pct"/>
            <w:shd w:val="clear" w:color="auto" w:fill="auto"/>
            <w:vAlign w:val="center"/>
          </w:tcPr>
          <w:p w14:paraId="7E7E6276">
            <w:pPr>
              <w:spacing w:line="240" w:lineRule="auto"/>
              <w:ind w:firstLine="0" w:firstLineChars="0"/>
              <w:jc w:val="center"/>
              <w:rPr>
                <w:rFonts w:ascii="Calibri" w:hAnsi="Calibri" w:eastAsia="宋体" w:cs="Calibri"/>
                <w:b/>
                <w:bCs/>
                <w:kern w:val="0"/>
                <w:sz w:val="21"/>
              </w:rPr>
            </w:pPr>
            <w:r>
              <w:rPr>
                <w:rFonts w:hint="eastAsia" w:eastAsia="宋体" w:cs="Times New Roman"/>
                <w:b/>
                <w:bCs/>
                <w:kern w:val="0"/>
                <w:sz w:val="21"/>
              </w:rPr>
              <w:t>%</w:t>
            </w:r>
          </w:p>
        </w:tc>
        <w:tc>
          <w:tcPr>
            <w:tcW w:w="223" w:type="pct"/>
            <w:shd w:val="clear" w:color="auto" w:fill="auto"/>
            <w:vAlign w:val="center"/>
          </w:tcPr>
          <w:p w14:paraId="51945103">
            <w:pPr>
              <w:spacing w:line="240" w:lineRule="auto"/>
              <w:ind w:firstLine="0" w:firstLineChars="0"/>
              <w:jc w:val="center"/>
              <w:rPr>
                <w:rFonts w:hint="eastAsia" w:ascii="宋体" w:hAnsi="宋体" w:eastAsia="宋体" w:cs="宋体"/>
                <w:b/>
                <w:bCs/>
                <w:kern w:val="0"/>
                <w:sz w:val="21"/>
              </w:rPr>
            </w:pPr>
            <w:r>
              <w:rPr>
                <w:rFonts w:eastAsia="宋体" w:cs="Times New Roman"/>
                <w:b/>
                <w:bCs/>
                <w:kern w:val="0"/>
                <w:sz w:val="21"/>
              </w:rPr>
              <w:t>%</w:t>
            </w:r>
          </w:p>
        </w:tc>
        <w:tc>
          <w:tcPr>
            <w:tcW w:w="223" w:type="pct"/>
            <w:shd w:val="clear" w:color="auto" w:fill="auto"/>
            <w:vAlign w:val="center"/>
          </w:tcPr>
          <w:p w14:paraId="41F4BB94">
            <w:pPr>
              <w:spacing w:line="240" w:lineRule="auto"/>
              <w:ind w:firstLine="0" w:firstLineChars="0"/>
              <w:jc w:val="center"/>
              <w:rPr>
                <w:rFonts w:eastAsia="等线" w:cs="Times New Roman"/>
                <w:b/>
                <w:bCs/>
                <w:kern w:val="0"/>
                <w:sz w:val="21"/>
              </w:rPr>
            </w:pPr>
            <w:r>
              <w:rPr>
                <w:rFonts w:eastAsia="等线" w:cs="Times New Roman"/>
                <w:b/>
                <w:bCs/>
                <w:kern w:val="0"/>
                <w:sz w:val="21"/>
              </w:rPr>
              <w:t>t/h</w:t>
            </w:r>
          </w:p>
        </w:tc>
        <w:tc>
          <w:tcPr>
            <w:tcW w:w="341" w:type="pct"/>
            <w:shd w:val="clear" w:color="auto" w:fill="auto"/>
            <w:vAlign w:val="center"/>
          </w:tcPr>
          <w:p w14:paraId="64CCEE49">
            <w:pPr>
              <w:spacing w:line="240" w:lineRule="auto"/>
              <w:ind w:firstLine="0" w:firstLineChars="0"/>
              <w:jc w:val="center"/>
              <w:rPr>
                <w:rFonts w:eastAsia="等线" w:cs="Times New Roman"/>
                <w:b/>
                <w:bCs/>
                <w:kern w:val="0"/>
                <w:sz w:val="21"/>
              </w:rPr>
            </w:pPr>
            <w:r>
              <w:rPr>
                <w:rFonts w:eastAsia="等线" w:cs="Times New Roman"/>
                <w:b/>
                <w:bCs/>
                <w:kern w:val="0"/>
                <w:sz w:val="21"/>
              </w:rPr>
              <w:t>m/s</w:t>
            </w:r>
          </w:p>
        </w:tc>
        <w:tc>
          <w:tcPr>
            <w:tcW w:w="341" w:type="pct"/>
            <w:shd w:val="clear" w:color="auto" w:fill="auto"/>
            <w:vAlign w:val="center"/>
          </w:tcPr>
          <w:p w14:paraId="24DE5856">
            <w:pPr>
              <w:spacing w:line="240" w:lineRule="auto"/>
              <w:ind w:firstLine="0" w:firstLineChars="0"/>
              <w:jc w:val="center"/>
              <w:rPr>
                <w:rFonts w:eastAsia="等线" w:cs="Times New Roman"/>
                <w:b/>
                <w:bCs/>
                <w:kern w:val="0"/>
                <w:sz w:val="21"/>
              </w:rPr>
            </w:pPr>
            <w:r>
              <w:rPr>
                <w:rFonts w:eastAsia="等线" w:cs="Times New Roman"/>
                <w:b/>
                <w:bCs/>
                <w:kern w:val="0"/>
                <w:sz w:val="21"/>
              </w:rPr>
              <w:t>m/s</w:t>
            </w:r>
          </w:p>
        </w:tc>
        <w:tc>
          <w:tcPr>
            <w:tcW w:w="370" w:type="pct"/>
            <w:shd w:val="clear" w:color="auto" w:fill="auto"/>
            <w:vAlign w:val="center"/>
          </w:tcPr>
          <w:p w14:paraId="00EFB1B7">
            <w:pPr>
              <w:spacing w:line="240" w:lineRule="auto"/>
              <w:ind w:firstLine="0" w:firstLineChars="0"/>
              <w:jc w:val="center"/>
              <w:rPr>
                <w:rFonts w:eastAsia="等线" w:cs="Times New Roman"/>
                <w:b/>
                <w:bCs/>
                <w:kern w:val="0"/>
                <w:sz w:val="21"/>
              </w:rPr>
            </w:pPr>
            <w:r>
              <w:rPr>
                <w:rFonts w:eastAsia="等线" w:cs="Times New Roman"/>
                <w:b/>
                <w:bCs/>
                <w:kern w:val="0"/>
                <w:sz w:val="21"/>
              </w:rPr>
              <w:t>kg/h</w:t>
            </w:r>
          </w:p>
        </w:tc>
        <w:tc>
          <w:tcPr>
            <w:tcW w:w="317" w:type="pct"/>
            <w:vAlign w:val="center"/>
          </w:tcPr>
          <w:p w14:paraId="20A8AFD4">
            <w:pPr>
              <w:spacing w:line="240" w:lineRule="auto"/>
              <w:ind w:firstLine="0" w:firstLineChars="0"/>
              <w:jc w:val="center"/>
              <w:rPr>
                <w:rFonts w:eastAsia="等线" w:cs="Times New Roman"/>
                <w:b/>
                <w:bCs/>
                <w:kern w:val="0"/>
                <w:sz w:val="21"/>
              </w:rPr>
            </w:pPr>
            <w:r>
              <w:rPr>
                <w:rFonts w:eastAsia="等线" w:cs="Times New Roman"/>
                <w:b/>
                <w:bCs/>
                <w:sz w:val="21"/>
              </w:rPr>
              <w:t>kg/h</w:t>
            </w:r>
          </w:p>
        </w:tc>
        <w:tc>
          <w:tcPr>
            <w:tcW w:w="317" w:type="pct"/>
            <w:vAlign w:val="center"/>
          </w:tcPr>
          <w:p w14:paraId="716CF252">
            <w:pPr>
              <w:spacing w:line="240" w:lineRule="auto"/>
              <w:ind w:firstLine="0" w:firstLineChars="0"/>
              <w:jc w:val="center"/>
              <w:rPr>
                <w:rFonts w:eastAsia="等线" w:cs="Times New Roman"/>
                <w:b/>
                <w:bCs/>
                <w:kern w:val="0"/>
                <w:sz w:val="21"/>
              </w:rPr>
            </w:pPr>
            <w:r>
              <w:rPr>
                <w:rFonts w:eastAsia="等线" w:cs="Times New Roman"/>
                <w:b/>
                <w:bCs/>
                <w:sz w:val="21"/>
              </w:rPr>
              <w:t>t/a</w:t>
            </w:r>
          </w:p>
        </w:tc>
        <w:tc>
          <w:tcPr>
            <w:tcW w:w="313" w:type="pct"/>
            <w:vAlign w:val="center"/>
          </w:tcPr>
          <w:p w14:paraId="72DB561D">
            <w:pPr>
              <w:spacing w:line="240" w:lineRule="auto"/>
              <w:ind w:firstLine="0" w:firstLineChars="0"/>
              <w:jc w:val="center"/>
              <w:rPr>
                <w:rFonts w:eastAsia="等线" w:cs="Times New Roman"/>
                <w:b/>
                <w:bCs/>
                <w:kern w:val="0"/>
                <w:sz w:val="21"/>
              </w:rPr>
            </w:pPr>
            <w:r>
              <w:rPr>
                <w:rFonts w:eastAsia="等线" w:cs="Times New Roman"/>
                <w:b/>
                <w:bCs/>
                <w:sz w:val="21"/>
              </w:rPr>
              <w:t>kg/h</w:t>
            </w:r>
          </w:p>
        </w:tc>
        <w:tc>
          <w:tcPr>
            <w:tcW w:w="311" w:type="pct"/>
            <w:vAlign w:val="center"/>
          </w:tcPr>
          <w:p w14:paraId="310C3014">
            <w:pPr>
              <w:spacing w:line="240" w:lineRule="auto"/>
              <w:ind w:firstLine="0" w:firstLineChars="0"/>
              <w:jc w:val="center"/>
              <w:rPr>
                <w:rFonts w:eastAsia="等线" w:cs="Times New Roman"/>
                <w:b/>
                <w:bCs/>
                <w:kern w:val="0"/>
                <w:sz w:val="21"/>
              </w:rPr>
            </w:pPr>
            <w:r>
              <w:rPr>
                <w:rFonts w:eastAsia="等线" w:cs="Times New Roman"/>
                <w:b/>
                <w:bCs/>
                <w:sz w:val="21"/>
              </w:rPr>
              <w:t>t/a</w:t>
            </w:r>
          </w:p>
        </w:tc>
        <w:tc>
          <w:tcPr>
            <w:tcW w:w="308" w:type="pct"/>
            <w:vAlign w:val="center"/>
          </w:tcPr>
          <w:p w14:paraId="73893DD2">
            <w:pPr>
              <w:spacing w:line="240" w:lineRule="auto"/>
              <w:ind w:firstLine="0" w:firstLineChars="0"/>
              <w:jc w:val="center"/>
              <w:rPr>
                <w:rFonts w:eastAsia="等线" w:cs="Times New Roman"/>
                <w:b/>
                <w:bCs/>
                <w:kern w:val="0"/>
                <w:sz w:val="21"/>
              </w:rPr>
            </w:pPr>
            <w:r>
              <w:rPr>
                <w:rFonts w:eastAsia="等线" w:cs="Times New Roman"/>
                <w:b/>
                <w:bCs/>
                <w:sz w:val="21"/>
              </w:rPr>
              <w:t>kg/h</w:t>
            </w:r>
          </w:p>
        </w:tc>
        <w:tc>
          <w:tcPr>
            <w:tcW w:w="302" w:type="pct"/>
            <w:vAlign w:val="center"/>
          </w:tcPr>
          <w:p w14:paraId="5348B729">
            <w:pPr>
              <w:spacing w:line="240" w:lineRule="auto"/>
              <w:ind w:firstLine="0" w:firstLineChars="0"/>
              <w:jc w:val="center"/>
              <w:rPr>
                <w:rFonts w:eastAsia="等线" w:cs="Times New Roman"/>
                <w:b/>
                <w:bCs/>
                <w:kern w:val="0"/>
                <w:sz w:val="21"/>
              </w:rPr>
            </w:pPr>
            <w:r>
              <w:rPr>
                <w:rFonts w:eastAsia="等线" w:cs="Times New Roman"/>
                <w:b/>
                <w:bCs/>
                <w:sz w:val="21"/>
              </w:rPr>
              <w:t>t/a</w:t>
            </w:r>
          </w:p>
        </w:tc>
      </w:tr>
      <w:tr w14:paraId="7206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94" w:type="pct"/>
            <w:shd w:val="clear" w:color="auto" w:fill="auto"/>
            <w:vAlign w:val="center"/>
          </w:tcPr>
          <w:p w14:paraId="2EEF274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煤炭</w:t>
            </w:r>
          </w:p>
        </w:tc>
        <w:tc>
          <w:tcPr>
            <w:tcW w:w="263" w:type="pct"/>
            <w:vAlign w:val="center"/>
          </w:tcPr>
          <w:p w14:paraId="4CEA36B0">
            <w:pPr>
              <w:spacing w:line="240" w:lineRule="auto"/>
              <w:ind w:firstLine="0" w:firstLineChars="0"/>
              <w:jc w:val="center"/>
              <w:rPr>
                <w:rFonts w:eastAsia="等线" w:cs="Times New Roman"/>
                <w:kern w:val="0"/>
                <w:sz w:val="21"/>
              </w:rPr>
            </w:pPr>
            <w:r>
              <w:rPr>
                <w:rFonts w:hint="eastAsia" w:eastAsia="等线" w:cs="Times New Roman"/>
                <w:kern w:val="0"/>
                <w:sz w:val="21"/>
              </w:rPr>
              <w:t>卸船</w:t>
            </w:r>
          </w:p>
        </w:tc>
        <w:tc>
          <w:tcPr>
            <w:tcW w:w="184" w:type="pct"/>
            <w:shd w:val="clear" w:color="auto" w:fill="auto"/>
            <w:vAlign w:val="center"/>
          </w:tcPr>
          <w:p w14:paraId="27C1E0E0">
            <w:pPr>
              <w:spacing w:line="240" w:lineRule="auto"/>
              <w:ind w:firstLine="0" w:firstLineChars="0"/>
              <w:jc w:val="center"/>
              <w:rPr>
                <w:rFonts w:eastAsia="等线" w:cs="Times New Roman"/>
                <w:kern w:val="0"/>
                <w:sz w:val="21"/>
              </w:rPr>
            </w:pPr>
            <w:r>
              <w:rPr>
                <w:rFonts w:eastAsia="等线" w:cs="Times New Roman"/>
                <w:kern w:val="0"/>
                <w:sz w:val="21"/>
              </w:rPr>
              <w:t>0.8</w:t>
            </w:r>
          </w:p>
        </w:tc>
        <w:tc>
          <w:tcPr>
            <w:tcW w:w="224" w:type="pct"/>
            <w:shd w:val="clear" w:color="auto" w:fill="auto"/>
            <w:vAlign w:val="center"/>
          </w:tcPr>
          <w:p w14:paraId="53DCB94E">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223" w:type="pct"/>
            <w:shd w:val="clear" w:color="auto" w:fill="auto"/>
            <w:vAlign w:val="center"/>
          </w:tcPr>
          <w:p w14:paraId="55BDCD8F">
            <w:pPr>
              <w:spacing w:line="240" w:lineRule="auto"/>
              <w:ind w:firstLine="0" w:firstLineChars="0"/>
              <w:jc w:val="center"/>
              <w:rPr>
                <w:rFonts w:eastAsia="等线" w:cs="Times New Roman"/>
                <w:kern w:val="0"/>
                <w:sz w:val="21"/>
              </w:rPr>
            </w:pPr>
            <w:r>
              <w:rPr>
                <w:rFonts w:hint="eastAsia" w:eastAsia="等线" w:cs="Times New Roman"/>
                <w:kern w:val="0"/>
                <w:sz w:val="21"/>
              </w:rPr>
              <w:t>1</w:t>
            </w:r>
          </w:p>
        </w:tc>
        <w:tc>
          <w:tcPr>
            <w:tcW w:w="223" w:type="pct"/>
            <w:shd w:val="clear" w:color="auto" w:fill="auto"/>
            <w:vAlign w:val="center"/>
          </w:tcPr>
          <w:p w14:paraId="6D83DA30">
            <w:pPr>
              <w:spacing w:line="240" w:lineRule="auto"/>
              <w:ind w:firstLine="0" w:firstLineChars="0"/>
              <w:jc w:val="center"/>
              <w:rPr>
                <w:rFonts w:eastAsia="等线" w:cs="Times New Roman"/>
                <w:kern w:val="0"/>
                <w:sz w:val="21"/>
              </w:rPr>
            </w:pPr>
            <w:r>
              <w:rPr>
                <w:rFonts w:eastAsia="等线" w:cs="Times New Roman"/>
                <w:kern w:val="0"/>
                <w:sz w:val="21"/>
              </w:rPr>
              <w:t>0.4</w:t>
            </w:r>
          </w:p>
        </w:tc>
        <w:tc>
          <w:tcPr>
            <w:tcW w:w="223" w:type="pct"/>
            <w:shd w:val="clear" w:color="auto" w:fill="auto"/>
            <w:vAlign w:val="center"/>
          </w:tcPr>
          <w:p w14:paraId="76564B36">
            <w:pPr>
              <w:spacing w:line="240" w:lineRule="auto"/>
              <w:ind w:firstLine="0" w:firstLineChars="0"/>
              <w:jc w:val="center"/>
              <w:rPr>
                <w:rFonts w:eastAsia="等线" w:cs="Times New Roman"/>
                <w:kern w:val="0"/>
                <w:sz w:val="21"/>
              </w:rPr>
            </w:pPr>
            <w:r>
              <w:rPr>
                <w:rFonts w:eastAsia="等线" w:cs="Times New Roman"/>
                <w:kern w:val="0"/>
                <w:sz w:val="21"/>
              </w:rPr>
              <w:t>6</w:t>
            </w:r>
          </w:p>
        </w:tc>
        <w:tc>
          <w:tcPr>
            <w:tcW w:w="223" w:type="pct"/>
            <w:shd w:val="clear" w:color="auto" w:fill="auto"/>
            <w:vAlign w:val="center"/>
          </w:tcPr>
          <w:p w14:paraId="6790467C">
            <w:pPr>
              <w:spacing w:line="240" w:lineRule="auto"/>
              <w:ind w:firstLine="0" w:firstLineChars="0"/>
              <w:jc w:val="center"/>
              <w:rPr>
                <w:rFonts w:eastAsia="等线" w:cs="Times New Roman"/>
                <w:kern w:val="0"/>
                <w:sz w:val="21"/>
              </w:rPr>
            </w:pPr>
            <w:r>
              <w:rPr>
                <w:rFonts w:eastAsia="等线" w:cs="Times New Roman"/>
                <w:kern w:val="0"/>
                <w:sz w:val="21"/>
              </w:rPr>
              <w:t>10</w:t>
            </w:r>
            <w:r>
              <w:rPr>
                <w:rFonts w:hint="eastAsia" w:eastAsia="等线" w:cs="Times New Roman"/>
                <w:kern w:val="0"/>
                <w:sz w:val="21"/>
              </w:rPr>
              <w:t>.6</w:t>
            </w:r>
          </w:p>
        </w:tc>
        <w:tc>
          <w:tcPr>
            <w:tcW w:w="223" w:type="pct"/>
            <w:shd w:val="clear" w:color="auto" w:fill="auto"/>
            <w:vAlign w:val="center"/>
          </w:tcPr>
          <w:p w14:paraId="24ECE43B">
            <w:pPr>
              <w:spacing w:line="240" w:lineRule="auto"/>
              <w:ind w:firstLine="0" w:firstLineChars="0"/>
              <w:jc w:val="center"/>
              <w:rPr>
                <w:rFonts w:eastAsia="等线" w:cs="Times New Roman"/>
                <w:kern w:val="0"/>
                <w:sz w:val="21"/>
              </w:rPr>
            </w:pPr>
            <w:r>
              <w:rPr>
                <w:rFonts w:hint="eastAsia" w:eastAsia="等线" w:cs="Times New Roman"/>
                <w:kern w:val="0"/>
                <w:sz w:val="21"/>
              </w:rPr>
              <w:t>308</w:t>
            </w:r>
          </w:p>
        </w:tc>
        <w:tc>
          <w:tcPr>
            <w:tcW w:w="341" w:type="pct"/>
            <w:shd w:val="clear" w:color="auto" w:fill="auto"/>
            <w:vAlign w:val="center"/>
          </w:tcPr>
          <w:p w14:paraId="2EFC7577">
            <w:pPr>
              <w:spacing w:line="240" w:lineRule="auto"/>
              <w:ind w:firstLine="0" w:firstLineChars="0"/>
              <w:jc w:val="center"/>
              <w:rPr>
                <w:rFonts w:eastAsia="等线" w:cs="Times New Roman"/>
                <w:kern w:val="0"/>
                <w:sz w:val="21"/>
              </w:rPr>
            </w:pPr>
            <w:r>
              <w:rPr>
                <w:rFonts w:eastAsia="等线" w:cs="Times New Roman"/>
                <w:kern w:val="0"/>
                <w:sz w:val="21"/>
              </w:rPr>
              <w:t>16</w:t>
            </w:r>
          </w:p>
        </w:tc>
        <w:tc>
          <w:tcPr>
            <w:tcW w:w="341" w:type="pct"/>
            <w:shd w:val="clear" w:color="auto" w:fill="auto"/>
            <w:vAlign w:val="center"/>
          </w:tcPr>
          <w:p w14:paraId="26331B64">
            <w:pPr>
              <w:spacing w:line="240" w:lineRule="auto"/>
              <w:ind w:firstLine="0" w:firstLineChars="0"/>
              <w:jc w:val="center"/>
              <w:rPr>
                <w:rFonts w:eastAsia="等线" w:cs="Times New Roman"/>
                <w:kern w:val="0"/>
                <w:sz w:val="21"/>
              </w:rPr>
            </w:pPr>
            <w:r>
              <w:rPr>
                <w:rFonts w:hint="eastAsia" w:eastAsia="等线" w:cs="Times New Roman"/>
                <w:kern w:val="0"/>
                <w:sz w:val="21"/>
              </w:rPr>
              <w:t>2.7</w:t>
            </w:r>
          </w:p>
        </w:tc>
        <w:tc>
          <w:tcPr>
            <w:tcW w:w="370" w:type="pct"/>
            <w:shd w:val="clear" w:color="auto" w:fill="auto"/>
            <w:vAlign w:val="center"/>
          </w:tcPr>
          <w:p w14:paraId="11AE97E8">
            <w:pPr>
              <w:spacing w:line="240" w:lineRule="auto"/>
              <w:ind w:firstLine="0" w:firstLineChars="0"/>
              <w:jc w:val="center"/>
              <w:rPr>
                <w:rFonts w:eastAsia="等线" w:cs="Times New Roman"/>
                <w:kern w:val="0"/>
                <w:sz w:val="21"/>
              </w:rPr>
            </w:pPr>
            <w:r>
              <w:rPr>
                <w:rFonts w:hint="eastAsia" w:eastAsia="等线" w:cs="Times New Roman"/>
                <w:kern w:val="0"/>
                <w:sz w:val="21"/>
              </w:rPr>
              <w:t>2.72</w:t>
            </w:r>
          </w:p>
        </w:tc>
        <w:tc>
          <w:tcPr>
            <w:tcW w:w="317" w:type="pct"/>
            <w:vAlign w:val="center"/>
          </w:tcPr>
          <w:p w14:paraId="5550D4B3">
            <w:pPr>
              <w:spacing w:line="240" w:lineRule="auto"/>
              <w:ind w:firstLine="0" w:firstLineChars="0"/>
              <w:jc w:val="center"/>
              <w:rPr>
                <w:rFonts w:eastAsia="等线" w:cs="Times New Roman"/>
                <w:kern w:val="0"/>
                <w:sz w:val="21"/>
              </w:rPr>
            </w:pPr>
            <w:r>
              <w:rPr>
                <w:rFonts w:hint="eastAsia" w:eastAsia="等线" w:cs="Times New Roman"/>
                <w:sz w:val="21"/>
              </w:rPr>
              <w:t>0.30</w:t>
            </w:r>
          </w:p>
        </w:tc>
        <w:tc>
          <w:tcPr>
            <w:tcW w:w="317" w:type="pct"/>
            <w:vAlign w:val="center"/>
          </w:tcPr>
          <w:p w14:paraId="3B72D6CD">
            <w:pPr>
              <w:spacing w:line="240" w:lineRule="auto"/>
              <w:ind w:firstLine="0" w:firstLineChars="0"/>
              <w:jc w:val="center"/>
              <w:rPr>
                <w:rFonts w:eastAsia="等线" w:cs="Times New Roman"/>
                <w:kern w:val="0"/>
                <w:sz w:val="21"/>
              </w:rPr>
            </w:pPr>
            <w:r>
              <w:rPr>
                <w:rFonts w:eastAsia="等线" w:cs="Times New Roman"/>
                <w:sz w:val="21"/>
              </w:rPr>
              <w:t>1.09</w:t>
            </w:r>
          </w:p>
        </w:tc>
        <w:tc>
          <w:tcPr>
            <w:tcW w:w="313" w:type="pct"/>
            <w:vAlign w:val="center"/>
          </w:tcPr>
          <w:p w14:paraId="4774A246">
            <w:pPr>
              <w:spacing w:line="240" w:lineRule="auto"/>
              <w:ind w:firstLine="0" w:firstLineChars="0"/>
              <w:jc w:val="center"/>
              <w:rPr>
                <w:rFonts w:eastAsia="等线" w:cs="Times New Roman"/>
                <w:kern w:val="0"/>
                <w:sz w:val="21"/>
              </w:rPr>
            </w:pPr>
            <w:r>
              <w:rPr>
                <w:rFonts w:hint="eastAsia" w:eastAsia="等线" w:cs="Times New Roman"/>
                <w:sz w:val="21"/>
              </w:rPr>
              <w:t>0.059</w:t>
            </w:r>
          </w:p>
        </w:tc>
        <w:tc>
          <w:tcPr>
            <w:tcW w:w="311" w:type="pct"/>
            <w:vAlign w:val="center"/>
          </w:tcPr>
          <w:p w14:paraId="19FC5A26">
            <w:pPr>
              <w:spacing w:line="240" w:lineRule="auto"/>
              <w:ind w:firstLine="0" w:firstLineChars="0"/>
              <w:jc w:val="center"/>
              <w:rPr>
                <w:rFonts w:eastAsia="等线" w:cs="Times New Roman"/>
                <w:kern w:val="0"/>
                <w:sz w:val="21"/>
              </w:rPr>
            </w:pPr>
            <w:r>
              <w:rPr>
                <w:rFonts w:eastAsia="等线" w:cs="Times New Roman"/>
                <w:sz w:val="21"/>
              </w:rPr>
              <w:t>0.21</w:t>
            </w:r>
          </w:p>
        </w:tc>
        <w:tc>
          <w:tcPr>
            <w:tcW w:w="308" w:type="pct"/>
            <w:vAlign w:val="center"/>
          </w:tcPr>
          <w:p w14:paraId="1FB052CC">
            <w:pPr>
              <w:spacing w:line="240" w:lineRule="auto"/>
              <w:ind w:firstLine="0" w:firstLineChars="0"/>
              <w:jc w:val="center"/>
              <w:rPr>
                <w:rFonts w:eastAsia="等线" w:cs="Times New Roman"/>
                <w:kern w:val="0"/>
                <w:sz w:val="21"/>
              </w:rPr>
            </w:pPr>
            <w:r>
              <w:rPr>
                <w:rFonts w:hint="eastAsia" w:eastAsia="等线" w:cs="Times New Roman"/>
                <w:sz w:val="21"/>
              </w:rPr>
              <w:t>0.013</w:t>
            </w:r>
          </w:p>
        </w:tc>
        <w:tc>
          <w:tcPr>
            <w:tcW w:w="302" w:type="pct"/>
            <w:vAlign w:val="center"/>
          </w:tcPr>
          <w:p w14:paraId="5F68EDCB">
            <w:pPr>
              <w:spacing w:line="240" w:lineRule="auto"/>
              <w:ind w:firstLine="0" w:firstLineChars="0"/>
              <w:jc w:val="center"/>
              <w:rPr>
                <w:rFonts w:eastAsia="等线" w:cs="Times New Roman"/>
                <w:kern w:val="0"/>
                <w:sz w:val="21"/>
              </w:rPr>
            </w:pPr>
            <w:r>
              <w:rPr>
                <w:rFonts w:eastAsia="等线" w:cs="Times New Roman"/>
                <w:sz w:val="21"/>
              </w:rPr>
              <w:t>0.045</w:t>
            </w:r>
          </w:p>
        </w:tc>
      </w:tr>
      <w:bookmarkEnd w:id="201"/>
    </w:tbl>
    <w:p w14:paraId="5D21E826">
      <w:pPr>
        <w:pStyle w:val="91"/>
      </w:pPr>
      <w:bookmarkStart w:id="202" w:name="_Hlk181747830"/>
      <w:r>
        <w:rPr>
          <w:szCs w:val="20"/>
        </w:rPr>
        <w:tab/>
      </w:r>
      <w:r>
        <w:rPr>
          <w:rFonts w:hint="eastAsia"/>
        </w:rPr>
        <w:t>备注：1、本项目在大风条件下停止作业。</w:t>
      </w:r>
    </w:p>
    <w:p w14:paraId="78D3EC4B">
      <w:pPr>
        <w:pStyle w:val="91"/>
        <w:ind w:firstLine="632" w:firstLineChars="300"/>
      </w:pPr>
      <w:r>
        <w:rPr>
          <w:rFonts w:hint="eastAsia"/>
        </w:rPr>
        <w:t>2、按照两台卸船机设计综合作业率为308t/h，全年卸船作业时间为</w:t>
      </w:r>
      <w:r>
        <w:t>3636</w:t>
      </w:r>
      <w:r>
        <w:rPr>
          <w:rFonts w:hint="eastAsia"/>
        </w:rPr>
        <w:t>h。</w:t>
      </w:r>
    </w:p>
    <w:bookmarkEnd w:id="202"/>
    <w:p w14:paraId="3F1A37DF">
      <w:pPr>
        <w:tabs>
          <w:tab w:val="left" w:pos="4918"/>
        </w:tabs>
        <w:ind w:firstLine="480"/>
        <w:rPr>
          <w:kern w:val="0"/>
          <w:szCs w:val="20"/>
          <w:lang w:val="zh-CN"/>
        </w:rPr>
      </w:pPr>
    </w:p>
    <w:p w14:paraId="34E64493">
      <w:pPr>
        <w:tabs>
          <w:tab w:val="left" w:pos="4918"/>
        </w:tabs>
        <w:ind w:firstLine="480"/>
        <w:rPr>
          <w:lang w:val="zh-CN"/>
        </w:rPr>
        <w:sectPr>
          <w:pgSz w:w="16838" w:h="11905" w:orient="landscape"/>
          <w:pgMar w:top="1800" w:right="1440" w:bottom="1800" w:left="1440" w:header="851" w:footer="992" w:gutter="0"/>
          <w:cols w:space="720" w:num="1"/>
          <w:docGrid w:type="lines" w:linePitch="332" w:charSpace="0"/>
        </w:sectPr>
      </w:pPr>
      <w:r>
        <w:rPr>
          <w:lang w:val="zh-CN"/>
        </w:rPr>
        <w:tab/>
      </w:r>
    </w:p>
    <w:p w14:paraId="652708E0">
      <w:pPr>
        <w:pStyle w:val="139"/>
        <w:ind w:firstLine="480"/>
        <w:rPr>
          <w:color w:val="auto"/>
        </w:rPr>
      </w:pPr>
      <w:bookmarkStart w:id="203" w:name="_Hlk181747899"/>
      <w:r>
        <w:rPr>
          <w:rFonts w:hint="eastAsia"/>
          <w:color w:val="auto"/>
        </w:rPr>
        <w:t>③两种计算方法码头装卸废气大气污染物排放情况对比</w:t>
      </w:r>
    </w:p>
    <w:p w14:paraId="258C71F0">
      <w:pPr>
        <w:pStyle w:val="139"/>
        <w:ind w:firstLine="480"/>
        <w:rPr>
          <w:color w:val="auto"/>
        </w:rPr>
      </w:pPr>
      <w:r>
        <w:rPr>
          <w:rFonts w:hint="eastAsia"/>
          <w:color w:val="auto"/>
        </w:rPr>
        <w:t>两种计算方法码头装卸废气大气污染物排放情况对比见表3.8-7。</w:t>
      </w:r>
    </w:p>
    <w:p w14:paraId="17FBC1A2">
      <w:pPr>
        <w:pStyle w:val="86"/>
      </w:pPr>
      <w:r>
        <w:rPr>
          <w:rFonts w:hint="eastAsia"/>
        </w:rPr>
        <w:t>码头卸船废气大气污染物排放情况汇总</w:t>
      </w:r>
    </w:p>
    <w:tbl>
      <w:tblPr>
        <w:tblStyle w:val="39"/>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3131"/>
        <w:gridCol w:w="1382"/>
        <w:gridCol w:w="1383"/>
        <w:gridCol w:w="1383"/>
      </w:tblGrid>
      <w:tr w14:paraId="5DBB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040153B">
            <w:pPr>
              <w:pStyle w:val="218"/>
              <w:rPr>
                <w:color w:val="auto"/>
              </w:rPr>
            </w:pPr>
            <w:r>
              <w:rPr>
                <w:rFonts w:hint="eastAsia"/>
                <w:color w:val="auto"/>
              </w:rPr>
              <w:t>主要工艺</w:t>
            </w:r>
          </w:p>
        </w:tc>
        <w:tc>
          <w:tcPr>
            <w:tcW w:w="3131" w:type="dxa"/>
            <w:vAlign w:val="center"/>
          </w:tcPr>
          <w:p w14:paraId="257B46CF">
            <w:pPr>
              <w:pStyle w:val="218"/>
              <w:rPr>
                <w:color w:val="auto"/>
              </w:rPr>
            </w:pPr>
            <w:r>
              <w:rPr>
                <w:rFonts w:hint="eastAsia"/>
                <w:color w:val="auto"/>
              </w:rPr>
              <w:t>计算方法依据</w:t>
            </w:r>
          </w:p>
        </w:tc>
        <w:tc>
          <w:tcPr>
            <w:tcW w:w="1382" w:type="dxa"/>
            <w:vAlign w:val="center"/>
          </w:tcPr>
          <w:p w14:paraId="05584CE4">
            <w:pPr>
              <w:pStyle w:val="218"/>
              <w:rPr>
                <w:color w:val="auto"/>
              </w:rPr>
            </w:pPr>
            <w:r>
              <w:rPr>
                <w:rFonts w:hint="eastAsia"/>
                <w:color w:val="auto"/>
              </w:rPr>
              <w:t>TSP排放量</w:t>
            </w:r>
            <w:r>
              <w:rPr>
                <w:rFonts w:hint="eastAsia"/>
                <w:color w:val="auto"/>
                <w:lang w:eastAsia="zh-CN"/>
              </w:rPr>
              <w:t>（</w:t>
            </w:r>
            <w:r>
              <w:rPr>
                <w:color w:val="auto"/>
                <w:lang w:val="fr-FR"/>
              </w:rPr>
              <w:t>t/a</w:t>
            </w:r>
            <w:r>
              <w:rPr>
                <w:rFonts w:hint="eastAsia"/>
                <w:color w:val="auto"/>
                <w:lang w:val="fr-FR" w:eastAsia="zh-CN"/>
              </w:rPr>
              <w:t>）</w:t>
            </w:r>
          </w:p>
        </w:tc>
        <w:tc>
          <w:tcPr>
            <w:tcW w:w="1383" w:type="dxa"/>
            <w:vAlign w:val="center"/>
          </w:tcPr>
          <w:p w14:paraId="278A8A91">
            <w:pPr>
              <w:pStyle w:val="218"/>
              <w:rPr>
                <w:color w:val="auto"/>
                <w:lang w:val="fr-FR"/>
              </w:rPr>
            </w:pPr>
            <w:r>
              <w:rPr>
                <w:rFonts w:hint="eastAsia"/>
                <w:color w:val="auto"/>
                <w:lang w:val="fr-FR"/>
              </w:rPr>
              <w:t>PM</w:t>
            </w:r>
            <w:r>
              <w:rPr>
                <w:rFonts w:hint="eastAsia"/>
                <w:color w:val="auto"/>
                <w:vertAlign w:val="subscript"/>
                <w:lang w:val="fr-FR"/>
              </w:rPr>
              <w:t>10</w:t>
            </w:r>
            <w:r>
              <w:rPr>
                <w:rFonts w:hint="eastAsia"/>
                <w:color w:val="auto"/>
              </w:rPr>
              <w:t>排放量</w:t>
            </w:r>
            <w:r>
              <w:rPr>
                <w:rFonts w:hint="eastAsia"/>
                <w:color w:val="auto"/>
                <w:lang w:eastAsia="zh-CN"/>
              </w:rPr>
              <w:t>（</w:t>
            </w:r>
            <w:r>
              <w:rPr>
                <w:color w:val="auto"/>
                <w:lang w:val="fr-FR"/>
              </w:rPr>
              <w:t>t/a</w:t>
            </w:r>
            <w:r>
              <w:rPr>
                <w:rFonts w:hint="eastAsia"/>
                <w:color w:val="auto"/>
                <w:lang w:val="fr-FR" w:eastAsia="zh-CN"/>
              </w:rPr>
              <w:t>）</w:t>
            </w:r>
          </w:p>
        </w:tc>
        <w:tc>
          <w:tcPr>
            <w:tcW w:w="1383" w:type="dxa"/>
            <w:vAlign w:val="center"/>
          </w:tcPr>
          <w:p w14:paraId="08F297F3">
            <w:pPr>
              <w:pStyle w:val="218"/>
              <w:rPr>
                <w:color w:val="auto"/>
                <w:lang w:val="fr-FR"/>
              </w:rPr>
            </w:pPr>
            <w:r>
              <w:rPr>
                <w:rFonts w:hint="eastAsia"/>
                <w:color w:val="auto"/>
                <w:lang w:val="fr-FR"/>
              </w:rPr>
              <w:t>PM</w:t>
            </w:r>
            <w:r>
              <w:rPr>
                <w:rFonts w:hint="eastAsia"/>
                <w:color w:val="auto"/>
                <w:vertAlign w:val="subscript"/>
                <w:lang w:val="fr-FR"/>
              </w:rPr>
              <w:t>2.5</w:t>
            </w:r>
            <w:r>
              <w:rPr>
                <w:rFonts w:hint="eastAsia"/>
                <w:color w:val="auto"/>
              </w:rPr>
              <w:t>排放量</w:t>
            </w:r>
            <w:r>
              <w:rPr>
                <w:rFonts w:hint="eastAsia"/>
                <w:color w:val="auto"/>
                <w:lang w:eastAsia="zh-CN"/>
              </w:rPr>
              <w:t>（</w:t>
            </w:r>
            <w:r>
              <w:rPr>
                <w:rFonts w:hint="eastAsia"/>
                <w:color w:val="auto"/>
              </w:rPr>
              <w:t>t/a</w:t>
            </w:r>
            <w:r>
              <w:rPr>
                <w:rFonts w:hint="eastAsia"/>
                <w:color w:val="auto"/>
                <w:lang w:eastAsia="zh-CN"/>
              </w:rPr>
              <w:t>）</w:t>
            </w:r>
          </w:p>
        </w:tc>
      </w:tr>
      <w:tr w14:paraId="2F79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restart"/>
            <w:vAlign w:val="center"/>
          </w:tcPr>
          <w:p w14:paraId="0D688B21">
            <w:pPr>
              <w:pStyle w:val="218"/>
              <w:rPr>
                <w:color w:val="auto"/>
              </w:rPr>
            </w:pPr>
            <w:r>
              <w:rPr>
                <w:rFonts w:hint="eastAsia"/>
                <w:color w:val="auto"/>
              </w:rPr>
              <w:t>卸船</w:t>
            </w:r>
          </w:p>
        </w:tc>
        <w:tc>
          <w:tcPr>
            <w:tcW w:w="3131" w:type="dxa"/>
            <w:vAlign w:val="center"/>
          </w:tcPr>
          <w:p w14:paraId="7EAE1972">
            <w:pPr>
              <w:pStyle w:val="218"/>
              <w:rPr>
                <w:color w:val="auto"/>
              </w:rPr>
            </w:pPr>
            <w:r>
              <w:rPr>
                <w:rFonts w:hint="eastAsia"/>
                <w:color w:val="auto"/>
              </w:rPr>
              <w:t>《排污许可证申请与核发技术规范 码头》</w:t>
            </w:r>
          </w:p>
        </w:tc>
        <w:tc>
          <w:tcPr>
            <w:tcW w:w="1382" w:type="dxa"/>
            <w:vAlign w:val="center"/>
          </w:tcPr>
          <w:p w14:paraId="78132DE9">
            <w:pPr>
              <w:pStyle w:val="218"/>
              <w:rPr>
                <w:color w:val="auto"/>
              </w:rPr>
            </w:pPr>
            <w:r>
              <w:rPr>
                <w:rFonts w:eastAsia="等线" w:cs="Times New Roman"/>
                <w:color w:val="auto"/>
              </w:rPr>
              <w:t>3.72</w:t>
            </w:r>
          </w:p>
        </w:tc>
        <w:tc>
          <w:tcPr>
            <w:tcW w:w="1383" w:type="dxa"/>
            <w:vAlign w:val="center"/>
          </w:tcPr>
          <w:p w14:paraId="12D53B75">
            <w:pPr>
              <w:pStyle w:val="218"/>
              <w:rPr>
                <w:color w:val="auto"/>
              </w:rPr>
            </w:pPr>
            <w:r>
              <w:rPr>
                <w:rFonts w:eastAsia="等线" w:cs="Times New Roman"/>
                <w:color w:val="auto"/>
              </w:rPr>
              <w:t>0.73</w:t>
            </w:r>
          </w:p>
        </w:tc>
        <w:tc>
          <w:tcPr>
            <w:tcW w:w="1383" w:type="dxa"/>
            <w:vAlign w:val="center"/>
          </w:tcPr>
          <w:p w14:paraId="1956BC11">
            <w:pPr>
              <w:pStyle w:val="218"/>
              <w:rPr>
                <w:color w:val="auto"/>
              </w:rPr>
            </w:pPr>
            <w:r>
              <w:rPr>
                <w:rFonts w:eastAsia="等线" w:cs="Times New Roman"/>
                <w:color w:val="auto"/>
              </w:rPr>
              <w:t>0.15</w:t>
            </w:r>
          </w:p>
        </w:tc>
      </w:tr>
      <w:tr w14:paraId="374B6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Merge w:val="continue"/>
            <w:vAlign w:val="center"/>
          </w:tcPr>
          <w:p w14:paraId="66176A04">
            <w:pPr>
              <w:pStyle w:val="218"/>
              <w:rPr>
                <w:color w:val="auto"/>
              </w:rPr>
            </w:pPr>
          </w:p>
        </w:tc>
        <w:tc>
          <w:tcPr>
            <w:tcW w:w="3131" w:type="dxa"/>
            <w:vAlign w:val="center"/>
          </w:tcPr>
          <w:p w14:paraId="2B4B18BC">
            <w:pPr>
              <w:pStyle w:val="218"/>
              <w:rPr>
                <w:color w:val="auto"/>
              </w:rPr>
            </w:pPr>
            <w:r>
              <w:rPr>
                <w:rFonts w:hint="eastAsia"/>
                <w:color w:val="auto"/>
              </w:rPr>
              <w:t>《水运工程建设项目环境影响评价指南》</w:t>
            </w:r>
          </w:p>
        </w:tc>
        <w:tc>
          <w:tcPr>
            <w:tcW w:w="1382" w:type="dxa"/>
            <w:vAlign w:val="center"/>
          </w:tcPr>
          <w:p w14:paraId="7B00B2BE">
            <w:pPr>
              <w:pStyle w:val="218"/>
              <w:rPr>
                <w:color w:val="auto"/>
              </w:rPr>
            </w:pPr>
            <w:r>
              <w:rPr>
                <w:rFonts w:eastAsia="等线" w:cs="Times New Roman"/>
                <w:color w:val="auto"/>
              </w:rPr>
              <w:t>1.09</w:t>
            </w:r>
          </w:p>
        </w:tc>
        <w:tc>
          <w:tcPr>
            <w:tcW w:w="1383" w:type="dxa"/>
            <w:vAlign w:val="center"/>
          </w:tcPr>
          <w:p w14:paraId="64D62A0B">
            <w:pPr>
              <w:pStyle w:val="218"/>
              <w:rPr>
                <w:color w:val="auto"/>
              </w:rPr>
            </w:pPr>
            <w:r>
              <w:rPr>
                <w:rFonts w:eastAsia="等线" w:cs="Times New Roman"/>
                <w:color w:val="auto"/>
              </w:rPr>
              <w:t>0.21</w:t>
            </w:r>
          </w:p>
        </w:tc>
        <w:tc>
          <w:tcPr>
            <w:tcW w:w="1383" w:type="dxa"/>
            <w:vAlign w:val="center"/>
          </w:tcPr>
          <w:p w14:paraId="0717CE21">
            <w:pPr>
              <w:pStyle w:val="218"/>
              <w:rPr>
                <w:color w:val="auto"/>
              </w:rPr>
            </w:pPr>
            <w:r>
              <w:rPr>
                <w:rFonts w:eastAsia="等线" w:cs="Times New Roman"/>
                <w:color w:val="auto"/>
              </w:rPr>
              <w:t>0.045</w:t>
            </w:r>
          </w:p>
        </w:tc>
      </w:tr>
    </w:tbl>
    <w:p w14:paraId="635C91F7">
      <w:pPr>
        <w:pStyle w:val="139"/>
        <w:ind w:firstLine="480"/>
        <w:rPr>
          <w:color w:val="auto"/>
        </w:rPr>
      </w:pPr>
      <w:r>
        <w:rPr>
          <w:rFonts w:hint="eastAsia"/>
          <w:color w:val="auto"/>
        </w:rPr>
        <w:t>对比以上两种大气污染物排放量的计算结果可以看出，依据《排污许可证申请与核发技术规范 码头》和《水运工程建设项目环境影响评价指南》和计算得到的TSP排放量分别为3.72t/a和1.09t/a，结果差别较大，可能是由于本项目煤炭含水率较高，按照水运工程指南中公式核算，起尘较小的原因。本次评价选取较大值3.72t/a为码头装卸无组织颗粒物许可排放量，对应的特征污染物PM</w:t>
      </w:r>
      <w:r>
        <w:rPr>
          <w:rFonts w:hint="eastAsia"/>
          <w:color w:val="auto"/>
          <w:vertAlign w:val="subscript"/>
        </w:rPr>
        <w:t>10</w:t>
      </w:r>
      <w:r>
        <w:rPr>
          <w:rFonts w:hint="eastAsia"/>
          <w:color w:val="auto"/>
        </w:rPr>
        <w:t>和PM</w:t>
      </w:r>
      <w:r>
        <w:rPr>
          <w:rFonts w:hint="eastAsia"/>
          <w:color w:val="auto"/>
          <w:vertAlign w:val="subscript"/>
        </w:rPr>
        <w:t>2.5</w:t>
      </w:r>
      <w:r>
        <w:rPr>
          <w:rFonts w:hint="eastAsia"/>
          <w:color w:val="auto"/>
        </w:rPr>
        <w:t>排放量分别为0.73t/a和0.15t/a。</w:t>
      </w:r>
    </w:p>
    <w:bookmarkEnd w:id="203"/>
    <w:p w14:paraId="65635054">
      <w:pPr>
        <w:pStyle w:val="139"/>
        <w:ind w:firstLine="480"/>
        <w:rPr>
          <w:color w:val="auto"/>
        </w:rPr>
      </w:pPr>
      <w:bookmarkStart w:id="204" w:name="_Hlk181747963"/>
      <w:r>
        <w:rPr>
          <w:rFonts w:hint="eastAsia"/>
          <w:color w:val="auto"/>
        </w:rPr>
        <w:t>营运期煤炭卸船作业主要采用抓斗式卸船机，在作业最后由于煤炭量较少，需要清仓机辅助桥式抓斗卸船机进行煤炭清仓卸船，码头清仓过程产生清仓粉尘，属于码头装卸起尘，该部分粉尘量已计入码头卸船起尘量中，不再重复计算。</w:t>
      </w:r>
    </w:p>
    <w:bookmarkEnd w:id="204"/>
    <w:p w14:paraId="7B4B0637">
      <w:pPr>
        <w:ind w:firstLine="482"/>
        <w:rPr>
          <w:b/>
        </w:rPr>
      </w:pPr>
      <w:r>
        <w:rPr>
          <w:rFonts w:hint="eastAsia"/>
          <w:b/>
        </w:rPr>
        <w:t>（2）船舶废气</w:t>
      </w:r>
    </w:p>
    <w:p w14:paraId="083A7015">
      <w:pPr>
        <w:pStyle w:val="93"/>
        <w:rPr>
          <w:lang w:val="en-US"/>
        </w:rPr>
      </w:pPr>
      <w:r>
        <w:rPr>
          <w:lang w:val="en-US"/>
        </w:rPr>
        <w:t>本项目采用码头岸电系统代替船舶辅机为停靠的船舶提供能源，可避免辅机工作时的废气污染，仅在船舶靠岸和驶离码头时产生少量的船舶尾气，船舶主机为柴油机，尾气主要污染指标为</w:t>
      </w:r>
      <w:r>
        <w:rPr>
          <w:rFonts w:hint="eastAsia"/>
          <w:lang w:val="en-US"/>
        </w:rPr>
        <w:t>SO</w:t>
      </w:r>
      <w:r>
        <w:rPr>
          <w:rFonts w:hint="eastAsia"/>
          <w:vertAlign w:val="subscript"/>
          <w:lang w:val="en-US"/>
        </w:rPr>
        <w:t>2</w:t>
      </w:r>
      <w:r>
        <w:rPr>
          <w:lang w:val="en-US"/>
        </w:rPr>
        <w:t>、NOx。船舶废气排放量采用英国劳氏船级社推荐的方法，即每1kW·h耗油量平均231g，考虑代表船型</w:t>
      </w:r>
      <w:r>
        <w:rPr>
          <w:rFonts w:hint="eastAsia"/>
          <w:lang w:val="en-US"/>
        </w:rPr>
        <w:t>1000</w:t>
      </w:r>
      <w:r>
        <w:rPr>
          <w:lang w:val="en-US"/>
        </w:rPr>
        <w:t>吨主机功率为</w:t>
      </w:r>
      <w:r>
        <w:rPr>
          <w:rFonts w:hint="eastAsia"/>
          <w:lang w:val="en-US"/>
        </w:rPr>
        <w:t>218</w:t>
      </w:r>
      <w:r>
        <w:rPr>
          <w:lang w:val="en-US"/>
        </w:rPr>
        <w:t>kW。每艘货船装载货量约</w:t>
      </w:r>
      <w:r>
        <w:rPr>
          <w:rFonts w:hint="eastAsia"/>
          <w:lang w:val="en-US"/>
        </w:rPr>
        <w:t>100</w:t>
      </w:r>
      <w:r>
        <w:rPr>
          <w:lang w:val="en-US"/>
        </w:rPr>
        <w:t>0t，本项目码头年转运量为112万吨，则货船年泊港次数约为1120次，船舶靠岸和驶出时间均以0.25h/次计，则船舶尾气排放时间共计560小时。项目所在区域为开阔地区，废气污染物易排放，船舶尾气对周边影响较小。</w:t>
      </w:r>
    </w:p>
    <w:p w14:paraId="44EA9219">
      <w:pPr>
        <w:pStyle w:val="93"/>
        <w:rPr>
          <w:lang w:val="en-US"/>
        </w:rPr>
      </w:pPr>
      <w:r>
        <w:rPr>
          <w:lang w:val="en-US"/>
        </w:rPr>
        <w:t>根据《环境统计手册》</w:t>
      </w:r>
      <w:r>
        <w:rPr>
          <w:rFonts w:hint="eastAsia"/>
          <w:lang w:val="en-US"/>
        </w:rPr>
        <w:t>（</w:t>
      </w:r>
      <w:r>
        <w:rPr>
          <w:lang w:val="en-US"/>
        </w:rPr>
        <w:t>四川科学技术出版社</w:t>
      </w:r>
      <w:r>
        <w:rPr>
          <w:rFonts w:hint="eastAsia"/>
          <w:lang w:val="en-US"/>
        </w:rPr>
        <w:t>）</w:t>
      </w:r>
      <w:r>
        <w:rPr>
          <w:lang w:val="en-US"/>
        </w:rPr>
        <w:t>，可知废气中</w:t>
      </w:r>
      <w:r>
        <w:rPr>
          <w:rFonts w:hint="eastAsia"/>
          <w:lang w:val="en-US"/>
        </w:rPr>
        <w:t>SO</w:t>
      </w:r>
      <w:r>
        <w:rPr>
          <w:rFonts w:hint="eastAsia"/>
          <w:vertAlign w:val="subscript"/>
          <w:lang w:val="en-US"/>
        </w:rPr>
        <w:t>2</w:t>
      </w:r>
      <w:r>
        <w:rPr>
          <w:lang w:val="en-US"/>
        </w:rPr>
        <w:t>和NOx排放量计算公式为：</w:t>
      </w:r>
    </w:p>
    <w:p w14:paraId="75F392F5">
      <w:pPr>
        <w:pStyle w:val="93"/>
        <w:rPr>
          <w:lang w:val="en-US"/>
        </w:rPr>
      </w:pPr>
      <w:r>
        <w:rPr>
          <w:lang w:val="en-US"/>
        </w:rPr>
        <w:t>G</w:t>
      </w:r>
      <w:r>
        <w:rPr>
          <w:rFonts w:hint="eastAsia"/>
          <w:vertAlign w:val="subscript"/>
          <w:lang w:val="en-US"/>
        </w:rPr>
        <w:t>SO2</w:t>
      </w:r>
      <w:r>
        <w:rPr>
          <w:lang w:val="en-US"/>
        </w:rPr>
        <w:t>=2000×B×S</w:t>
      </w:r>
    </w:p>
    <w:p w14:paraId="1C59C4F5">
      <w:pPr>
        <w:pStyle w:val="93"/>
        <w:rPr>
          <w:lang w:val="en-US"/>
        </w:rPr>
      </w:pPr>
      <w:r>
        <w:rPr>
          <w:lang w:val="en-US"/>
        </w:rPr>
        <w:t>G</w:t>
      </w:r>
      <w:r>
        <w:rPr>
          <w:vertAlign w:val="subscript"/>
          <w:lang w:val="en-US"/>
        </w:rPr>
        <w:t>NOx</w:t>
      </w:r>
      <w:r>
        <w:rPr>
          <w:lang w:val="en-US"/>
        </w:rPr>
        <w:t>=1630×B×(N×0.4+0.000938)</w:t>
      </w:r>
    </w:p>
    <w:p w14:paraId="3AE59989">
      <w:pPr>
        <w:pStyle w:val="93"/>
        <w:rPr>
          <w:lang w:val="en-US"/>
        </w:rPr>
      </w:pPr>
      <w:r>
        <w:rPr>
          <w:lang w:val="en-US"/>
        </w:rPr>
        <w:t>式中：G</w:t>
      </w:r>
      <w:r>
        <w:rPr>
          <w:rFonts w:hint="eastAsia"/>
          <w:vertAlign w:val="subscript"/>
          <w:lang w:val="en-US"/>
        </w:rPr>
        <w:t>SO2</w:t>
      </w:r>
      <w:r>
        <w:rPr>
          <w:lang w:val="en-US"/>
        </w:rPr>
        <w:t>—</w:t>
      </w:r>
      <w:r>
        <w:rPr>
          <w:rFonts w:hint="eastAsia"/>
          <w:lang w:val="en-US"/>
        </w:rPr>
        <w:t>SO</w:t>
      </w:r>
      <w:r>
        <w:rPr>
          <w:rFonts w:hint="eastAsia"/>
          <w:vertAlign w:val="subscript"/>
          <w:lang w:val="en-US"/>
        </w:rPr>
        <w:t>2</w:t>
      </w:r>
      <w:r>
        <w:rPr>
          <w:lang w:val="en-US"/>
        </w:rPr>
        <w:t>废气量，kg/a；</w:t>
      </w:r>
    </w:p>
    <w:p w14:paraId="153FEEE5">
      <w:pPr>
        <w:pStyle w:val="93"/>
        <w:rPr>
          <w:lang w:val="en-US"/>
        </w:rPr>
      </w:pPr>
      <w:r>
        <w:rPr>
          <w:lang w:val="en-US"/>
        </w:rPr>
        <w:t>B—耗油量，t/a；</w:t>
      </w:r>
    </w:p>
    <w:p w14:paraId="50BC7DAA">
      <w:pPr>
        <w:pStyle w:val="93"/>
        <w:rPr>
          <w:lang w:val="en-US"/>
        </w:rPr>
      </w:pPr>
      <w:r>
        <w:rPr>
          <w:lang w:val="en-US"/>
        </w:rPr>
        <w:t>S—含硫率，硫含量小于10mg/kg，取10</w:t>
      </w:r>
      <w:r>
        <w:rPr>
          <w:vertAlign w:val="superscript"/>
          <w:lang w:val="en-US"/>
        </w:rPr>
        <w:t>-5</w:t>
      </w:r>
      <w:r>
        <w:rPr>
          <w:lang w:val="en-US"/>
        </w:rPr>
        <w:t>；</w:t>
      </w:r>
    </w:p>
    <w:p w14:paraId="6A2DBE9E">
      <w:pPr>
        <w:pStyle w:val="93"/>
        <w:rPr>
          <w:lang w:val="en-US"/>
        </w:rPr>
      </w:pPr>
      <w:r>
        <w:rPr>
          <w:lang w:val="en-US"/>
        </w:rPr>
        <w:t>G</w:t>
      </w:r>
      <w:r>
        <w:rPr>
          <w:vertAlign w:val="subscript"/>
          <w:lang w:val="en-US"/>
        </w:rPr>
        <w:t>NOx</w:t>
      </w:r>
      <w:r>
        <w:rPr>
          <w:lang w:val="en-US"/>
        </w:rPr>
        <w:t>—NOx废气量，kg/a；</w:t>
      </w:r>
    </w:p>
    <w:p w14:paraId="77F6A7C2">
      <w:pPr>
        <w:pStyle w:val="93"/>
        <w:rPr>
          <w:lang w:val="en-US"/>
        </w:rPr>
      </w:pPr>
      <w:r>
        <w:rPr>
          <w:lang w:val="en-US"/>
        </w:rPr>
        <w:t>N—含氮率，取0.14%。</w:t>
      </w:r>
    </w:p>
    <w:p w14:paraId="4C8EC10D">
      <w:pPr>
        <w:pStyle w:val="93"/>
        <w:rPr>
          <w:lang w:val="en-US"/>
        </w:rPr>
      </w:pPr>
      <w:r>
        <w:rPr>
          <w:lang w:val="en-US"/>
        </w:rPr>
        <w:t>通过计算可得，船舶尾气中</w:t>
      </w:r>
      <w:r>
        <w:rPr>
          <w:rFonts w:hint="eastAsia"/>
          <w:lang w:val="en-US"/>
        </w:rPr>
        <w:t>SO</w:t>
      </w:r>
      <w:r>
        <w:rPr>
          <w:rFonts w:hint="eastAsia"/>
          <w:vertAlign w:val="subscript"/>
          <w:lang w:val="en-US"/>
        </w:rPr>
        <w:t>2</w:t>
      </w:r>
      <w:r>
        <w:rPr>
          <w:lang w:val="en-US"/>
        </w:rPr>
        <w:t>和NOx的产生量分别为</w:t>
      </w:r>
      <w:r>
        <w:rPr>
          <w:rFonts w:hint="eastAsia"/>
          <w:lang w:val="en-US"/>
        </w:rPr>
        <w:t>0.000</w:t>
      </w:r>
      <w:r>
        <w:rPr>
          <w:lang w:val="en-US"/>
        </w:rPr>
        <w:t>56t/a、</w:t>
      </w:r>
      <w:r>
        <w:rPr>
          <w:rFonts w:hint="eastAsia"/>
          <w:lang w:val="en-US"/>
        </w:rPr>
        <w:t>0.</w:t>
      </w:r>
      <w:r>
        <w:rPr>
          <w:lang w:val="en-US"/>
        </w:rPr>
        <w:t>046t/a，均为无组织排放。</w:t>
      </w:r>
      <w:r>
        <w:rPr>
          <w:rFonts w:hint="eastAsia"/>
          <w:lang w:val="en-US"/>
        </w:rPr>
        <w:t>SO</w:t>
      </w:r>
      <w:r>
        <w:rPr>
          <w:rFonts w:hint="eastAsia"/>
          <w:vertAlign w:val="subscript"/>
          <w:lang w:val="en-US"/>
        </w:rPr>
        <w:t>2</w:t>
      </w:r>
      <w:r>
        <w:rPr>
          <w:lang w:val="en-US"/>
        </w:rPr>
        <w:t>和NO</w:t>
      </w:r>
      <w:r>
        <w:rPr>
          <w:vertAlign w:val="subscript"/>
          <w:lang w:val="en-US"/>
        </w:rPr>
        <w:t>X</w:t>
      </w:r>
      <w:r>
        <w:rPr>
          <w:lang w:val="en-US"/>
        </w:rPr>
        <w:t>排放速率分别为</w:t>
      </w:r>
      <w:r>
        <w:rPr>
          <w:rFonts w:hint="eastAsia"/>
          <w:lang w:val="en-US"/>
        </w:rPr>
        <w:t>0.00</w:t>
      </w:r>
      <w:r>
        <w:rPr>
          <w:lang w:val="en-US"/>
        </w:rPr>
        <w:t>10kg/h、</w:t>
      </w:r>
      <w:r>
        <w:rPr>
          <w:rFonts w:hint="eastAsia"/>
          <w:lang w:val="en-US"/>
        </w:rPr>
        <w:t>0.</w:t>
      </w:r>
      <w:r>
        <w:rPr>
          <w:lang w:val="en-US"/>
        </w:rPr>
        <w:t>083kg/h，</w:t>
      </w:r>
      <w:r>
        <w:rPr>
          <w:rFonts w:hint="eastAsia"/>
          <w:lang w:val="en-US"/>
        </w:rPr>
        <w:t>氮氧化物排放量满足《船舶发动机排气污染物排放限值及测量方法</w:t>
      </w:r>
      <w:r>
        <w:rPr>
          <w:rFonts w:hint="eastAsia"/>
          <w:lang w:val="en-US" w:eastAsia="zh-CN"/>
        </w:rPr>
        <w:t>（</w:t>
      </w:r>
      <w:r>
        <w:rPr>
          <w:rFonts w:hint="eastAsia"/>
          <w:lang w:val="en-US"/>
        </w:rPr>
        <w:t>中国第一、二阶段</w:t>
      </w:r>
      <w:r>
        <w:rPr>
          <w:rFonts w:hint="eastAsia"/>
          <w:lang w:val="en-US" w:eastAsia="zh-CN"/>
        </w:rPr>
        <w:t>）</w:t>
      </w:r>
      <w:r>
        <w:rPr>
          <w:rFonts w:hint="eastAsia"/>
          <w:lang w:val="en-US"/>
        </w:rPr>
        <w:t>》中的要求</w:t>
      </w:r>
      <w:r>
        <w:rPr>
          <w:lang w:val="en-US"/>
        </w:rPr>
        <w:t>，排放情况见表3.8-</w:t>
      </w:r>
      <w:r>
        <w:rPr>
          <w:rFonts w:hint="eastAsia"/>
          <w:lang w:val="en-US"/>
        </w:rPr>
        <w:t>8</w:t>
      </w:r>
      <w:r>
        <w:rPr>
          <w:lang w:val="en-US"/>
        </w:rPr>
        <w:t>。</w:t>
      </w:r>
    </w:p>
    <w:p w14:paraId="1B90E811">
      <w:pPr>
        <w:pStyle w:val="86"/>
      </w:pPr>
      <w:r>
        <w:t>船舶尾气排放情况</w:t>
      </w:r>
    </w:p>
    <w:tbl>
      <w:tblPr>
        <w:tblStyle w:val="38"/>
        <w:tblW w:w="8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506"/>
        <w:gridCol w:w="1079"/>
        <w:gridCol w:w="1057"/>
        <w:gridCol w:w="1652"/>
        <w:gridCol w:w="1366"/>
      </w:tblGrid>
      <w:tr w14:paraId="4FAD4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556" w:type="dxa"/>
            <w:shd w:val="clear" w:color="auto" w:fill="auto"/>
            <w:vAlign w:val="center"/>
          </w:tcPr>
          <w:p w14:paraId="21238D9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污染源</w:t>
            </w:r>
          </w:p>
        </w:tc>
        <w:tc>
          <w:tcPr>
            <w:tcW w:w="1506" w:type="dxa"/>
            <w:shd w:val="clear" w:color="auto" w:fill="auto"/>
            <w:vAlign w:val="center"/>
          </w:tcPr>
          <w:p w14:paraId="6BFAF91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工作状态</w:t>
            </w:r>
          </w:p>
        </w:tc>
        <w:tc>
          <w:tcPr>
            <w:tcW w:w="1079" w:type="dxa"/>
            <w:shd w:val="clear" w:color="auto" w:fill="auto"/>
            <w:vAlign w:val="center"/>
          </w:tcPr>
          <w:p w14:paraId="1634075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耗油量（</w:t>
            </w:r>
            <w:r>
              <w:rPr>
                <w:rFonts w:eastAsia="宋体" w:cs="Times New Roman"/>
                <w:kern w:val="0"/>
                <w:sz w:val="21"/>
              </w:rPr>
              <w:t>t/a</w:t>
            </w:r>
            <w:r>
              <w:rPr>
                <w:rFonts w:hint="eastAsia" w:ascii="宋体" w:hAnsi="宋体" w:eastAsia="宋体" w:cs="宋体"/>
                <w:kern w:val="0"/>
                <w:sz w:val="21"/>
              </w:rPr>
              <w:t>）</w:t>
            </w:r>
          </w:p>
        </w:tc>
        <w:tc>
          <w:tcPr>
            <w:tcW w:w="1057" w:type="dxa"/>
            <w:shd w:val="clear" w:color="auto" w:fill="auto"/>
            <w:vAlign w:val="center"/>
          </w:tcPr>
          <w:p w14:paraId="650B19E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污染物</w:t>
            </w:r>
          </w:p>
        </w:tc>
        <w:tc>
          <w:tcPr>
            <w:tcW w:w="1652" w:type="dxa"/>
            <w:shd w:val="clear" w:color="auto" w:fill="auto"/>
            <w:vAlign w:val="center"/>
          </w:tcPr>
          <w:p w14:paraId="75ECB52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排放量（</w:t>
            </w:r>
            <w:r>
              <w:rPr>
                <w:rFonts w:eastAsia="宋体" w:cs="Times New Roman"/>
                <w:kern w:val="0"/>
                <w:sz w:val="21"/>
              </w:rPr>
              <w:t>t/a</w:t>
            </w:r>
            <w:r>
              <w:rPr>
                <w:rFonts w:hint="eastAsia" w:ascii="宋体" w:hAnsi="宋体" w:eastAsia="宋体" w:cs="宋体"/>
                <w:kern w:val="0"/>
                <w:sz w:val="21"/>
              </w:rPr>
              <w:t>）</w:t>
            </w:r>
          </w:p>
        </w:tc>
        <w:tc>
          <w:tcPr>
            <w:tcW w:w="1366" w:type="dxa"/>
            <w:shd w:val="clear" w:color="auto" w:fill="auto"/>
            <w:vAlign w:val="center"/>
          </w:tcPr>
          <w:p w14:paraId="14EFD43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排放速率（</w:t>
            </w:r>
            <w:r>
              <w:rPr>
                <w:rFonts w:eastAsia="宋体" w:cs="Times New Roman"/>
                <w:kern w:val="0"/>
                <w:sz w:val="21"/>
              </w:rPr>
              <w:t>kg/h</w:t>
            </w:r>
            <w:r>
              <w:rPr>
                <w:rFonts w:hint="eastAsia" w:ascii="宋体" w:hAnsi="宋体" w:eastAsia="宋体" w:cs="宋体"/>
                <w:kern w:val="0"/>
                <w:sz w:val="21"/>
              </w:rPr>
              <w:t>）</w:t>
            </w:r>
          </w:p>
        </w:tc>
      </w:tr>
      <w:tr w14:paraId="6C6B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556" w:type="dxa"/>
            <w:vMerge w:val="restart"/>
            <w:shd w:val="clear" w:color="auto" w:fill="auto"/>
            <w:vAlign w:val="center"/>
          </w:tcPr>
          <w:p w14:paraId="451013E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船舶尾气</w:t>
            </w:r>
          </w:p>
        </w:tc>
        <w:tc>
          <w:tcPr>
            <w:tcW w:w="1506" w:type="dxa"/>
            <w:vMerge w:val="restart"/>
            <w:shd w:val="clear" w:color="auto" w:fill="auto"/>
            <w:vAlign w:val="center"/>
          </w:tcPr>
          <w:p w14:paraId="14D8506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主机工作</w:t>
            </w:r>
          </w:p>
        </w:tc>
        <w:tc>
          <w:tcPr>
            <w:tcW w:w="1079" w:type="dxa"/>
            <w:vMerge w:val="restart"/>
            <w:shd w:val="clear" w:color="auto" w:fill="auto"/>
            <w:vAlign w:val="center"/>
          </w:tcPr>
          <w:p w14:paraId="499022FB">
            <w:pPr>
              <w:spacing w:line="240" w:lineRule="auto"/>
              <w:ind w:firstLine="0" w:firstLineChars="0"/>
              <w:jc w:val="center"/>
              <w:rPr>
                <w:rFonts w:eastAsia="等线" w:cs="Times New Roman"/>
                <w:kern w:val="0"/>
                <w:sz w:val="21"/>
              </w:rPr>
            </w:pPr>
            <w:r>
              <w:rPr>
                <w:rFonts w:eastAsia="等线" w:cs="Times New Roman"/>
                <w:kern w:val="0"/>
                <w:sz w:val="21"/>
              </w:rPr>
              <w:t>28.20</w:t>
            </w:r>
          </w:p>
        </w:tc>
        <w:tc>
          <w:tcPr>
            <w:tcW w:w="1057" w:type="dxa"/>
            <w:shd w:val="clear" w:color="auto" w:fill="auto"/>
            <w:vAlign w:val="center"/>
          </w:tcPr>
          <w:p w14:paraId="399AC230">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1652" w:type="dxa"/>
            <w:shd w:val="clear" w:color="auto" w:fill="auto"/>
            <w:vAlign w:val="center"/>
          </w:tcPr>
          <w:p w14:paraId="01187E76">
            <w:pPr>
              <w:spacing w:line="240" w:lineRule="auto"/>
              <w:ind w:firstLine="0" w:firstLineChars="0"/>
              <w:jc w:val="center"/>
              <w:rPr>
                <w:rFonts w:eastAsia="等线" w:cs="Times New Roman"/>
                <w:kern w:val="0"/>
                <w:sz w:val="21"/>
              </w:rPr>
            </w:pPr>
            <w:r>
              <w:rPr>
                <w:rFonts w:eastAsia="等线" w:cs="Times New Roman"/>
                <w:kern w:val="0"/>
                <w:sz w:val="21"/>
              </w:rPr>
              <w:t>0.00056</w:t>
            </w:r>
          </w:p>
        </w:tc>
        <w:tc>
          <w:tcPr>
            <w:tcW w:w="1366" w:type="dxa"/>
            <w:shd w:val="clear" w:color="auto" w:fill="auto"/>
            <w:vAlign w:val="center"/>
          </w:tcPr>
          <w:p w14:paraId="23B8323C">
            <w:pPr>
              <w:spacing w:line="240" w:lineRule="auto"/>
              <w:ind w:firstLine="0" w:firstLineChars="0"/>
              <w:jc w:val="center"/>
              <w:rPr>
                <w:rFonts w:eastAsia="等线" w:cs="Times New Roman"/>
                <w:kern w:val="0"/>
                <w:sz w:val="21"/>
              </w:rPr>
            </w:pPr>
            <w:r>
              <w:rPr>
                <w:rFonts w:eastAsia="等线" w:cs="Times New Roman"/>
                <w:kern w:val="0"/>
                <w:sz w:val="21"/>
              </w:rPr>
              <w:t>0.0010</w:t>
            </w:r>
          </w:p>
        </w:tc>
      </w:tr>
      <w:tr w14:paraId="3EEF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556" w:type="dxa"/>
            <w:vMerge w:val="continue"/>
            <w:vAlign w:val="center"/>
          </w:tcPr>
          <w:p w14:paraId="052BD70A">
            <w:pPr>
              <w:spacing w:line="240" w:lineRule="auto"/>
              <w:ind w:firstLine="0" w:firstLineChars="0"/>
              <w:rPr>
                <w:rFonts w:hint="eastAsia" w:ascii="宋体" w:hAnsi="宋体" w:eastAsia="宋体" w:cs="宋体"/>
                <w:kern w:val="0"/>
                <w:sz w:val="21"/>
              </w:rPr>
            </w:pPr>
          </w:p>
        </w:tc>
        <w:tc>
          <w:tcPr>
            <w:tcW w:w="1506" w:type="dxa"/>
            <w:vMerge w:val="continue"/>
            <w:vAlign w:val="center"/>
          </w:tcPr>
          <w:p w14:paraId="7DE55C57">
            <w:pPr>
              <w:spacing w:line="240" w:lineRule="auto"/>
              <w:ind w:firstLine="0" w:firstLineChars="0"/>
              <w:rPr>
                <w:rFonts w:hint="eastAsia" w:ascii="宋体" w:hAnsi="宋体" w:eastAsia="宋体" w:cs="宋体"/>
                <w:kern w:val="0"/>
                <w:sz w:val="21"/>
              </w:rPr>
            </w:pPr>
          </w:p>
        </w:tc>
        <w:tc>
          <w:tcPr>
            <w:tcW w:w="1079" w:type="dxa"/>
            <w:vMerge w:val="continue"/>
            <w:vAlign w:val="center"/>
          </w:tcPr>
          <w:p w14:paraId="63148145">
            <w:pPr>
              <w:spacing w:line="240" w:lineRule="auto"/>
              <w:ind w:firstLine="0" w:firstLineChars="0"/>
              <w:rPr>
                <w:rFonts w:eastAsia="等线" w:cs="Times New Roman"/>
                <w:kern w:val="0"/>
                <w:sz w:val="21"/>
              </w:rPr>
            </w:pPr>
          </w:p>
        </w:tc>
        <w:tc>
          <w:tcPr>
            <w:tcW w:w="1057" w:type="dxa"/>
            <w:shd w:val="clear" w:color="auto" w:fill="auto"/>
            <w:vAlign w:val="center"/>
          </w:tcPr>
          <w:p w14:paraId="24B02416">
            <w:pPr>
              <w:spacing w:line="240" w:lineRule="auto"/>
              <w:ind w:firstLine="0" w:firstLineChars="0"/>
              <w:jc w:val="center"/>
              <w:rPr>
                <w:rFonts w:eastAsia="等线" w:cs="Times New Roman"/>
                <w:kern w:val="0"/>
                <w:sz w:val="21"/>
              </w:rPr>
            </w:pPr>
            <w:r>
              <w:rPr>
                <w:rFonts w:eastAsia="等线" w:cs="Times New Roman"/>
                <w:kern w:val="0"/>
                <w:sz w:val="21"/>
              </w:rPr>
              <w:t>NOx</w:t>
            </w:r>
          </w:p>
        </w:tc>
        <w:tc>
          <w:tcPr>
            <w:tcW w:w="1652" w:type="dxa"/>
            <w:shd w:val="clear" w:color="auto" w:fill="auto"/>
            <w:vAlign w:val="center"/>
          </w:tcPr>
          <w:p w14:paraId="146528AD">
            <w:pPr>
              <w:spacing w:line="240" w:lineRule="auto"/>
              <w:ind w:firstLine="0" w:firstLineChars="0"/>
              <w:jc w:val="center"/>
              <w:rPr>
                <w:rFonts w:eastAsia="等线" w:cs="Times New Roman"/>
                <w:kern w:val="0"/>
                <w:sz w:val="21"/>
              </w:rPr>
            </w:pPr>
            <w:r>
              <w:rPr>
                <w:rFonts w:eastAsia="等线" w:cs="Times New Roman"/>
                <w:kern w:val="0"/>
                <w:sz w:val="21"/>
              </w:rPr>
              <w:t>0.046</w:t>
            </w:r>
          </w:p>
        </w:tc>
        <w:tc>
          <w:tcPr>
            <w:tcW w:w="1366" w:type="dxa"/>
            <w:shd w:val="clear" w:color="auto" w:fill="auto"/>
            <w:vAlign w:val="center"/>
          </w:tcPr>
          <w:p w14:paraId="07D62FAC">
            <w:pPr>
              <w:spacing w:line="240" w:lineRule="auto"/>
              <w:ind w:firstLine="0" w:firstLineChars="0"/>
              <w:jc w:val="center"/>
              <w:rPr>
                <w:rFonts w:eastAsia="等线" w:cs="Times New Roman"/>
                <w:kern w:val="0"/>
                <w:sz w:val="21"/>
              </w:rPr>
            </w:pPr>
            <w:r>
              <w:rPr>
                <w:rFonts w:eastAsia="等线" w:cs="Times New Roman"/>
                <w:kern w:val="0"/>
                <w:sz w:val="21"/>
              </w:rPr>
              <w:t>0.082</w:t>
            </w:r>
          </w:p>
        </w:tc>
      </w:tr>
    </w:tbl>
    <w:p w14:paraId="04A10655">
      <w:pPr>
        <w:ind w:firstLine="482"/>
        <w:rPr>
          <w:b/>
        </w:rPr>
      </w:pPr>
      <w:r>
        <w:rPr>
          <w:rFonts w:hint="eastAsia"/>
          <w:b/>
        </w:rPr>
        <w:t>（4）非正常排放大气污染物源强分析</w:t>
      </w:r>
    </w:p>
    <w:p w14:paraId="307C9118">
      <w:pPr>
        <w:pStyle w:val="93"/>
      </w:pPr>
      <w:r>
        <w:rPr>
          <w:rFonts w:hint="eastAsia"/>
        </w:rPr>
        <w:t>本项目大气污染源非正常排放是洒水措施失效的情形。未洒水时大气非正常排放源强（即不采取大气环保措施的粉尘产生量）按照下卸产生粉尘考虑，计算公式与正常工况的粉尘源强计算公式相同。未洒水时粉尘量</w:t>
      </w:r>
      <w:r>
        <w:t>5.44</w:t>
      </w:r>
      <w:r>
        <w:rPr>
          <w:rFonts w:hint="eastAsia"/>
        </w:rPr>
        <w:t>kg/h。</w:t>
      </w:r>
    </w:p>
    <w:p w14:paraId="35D7119F">
      <w:pPr>
        <w:pStyle w:val="82"/>
      </w:pPr>
      <w:r>
        <w:rPr>
          <w:rFonts w:hint="eastAsia"/>
        </w:rPr>
        <w:t>废水源强分析</w:t>
      </w:r>
    </w:p>
    <w:p w14:paraId="16CBDAAE">
      <w:pPr>
        <w:pStyle w:val="93"/>
      </w:pPr>
      <w:r>
        <w:rPr>
          <w:rFonts w:hint="eastAsia"/>
        </w:rPr>
        <w:t>拟建码头营运期废水包括：船舶舱底油污水、船舶生活污水、陆域生活污水、初期雨水、码头及中转站冲洗废水、洒水抑尘废水、车辆和装卸机械冲洗废水和机修废水等。</w:t>
      </w:r>
    </w:p>
    <w:p w14:paraId="2590F77D">
      <w:pPr>
        <w:pStyle w:val="93"/>
        <w:ind w:firstLine="482"/>
        <w:rPr>
          <w:b/>
          <w:bCs/>
        </w:rPr>
      </w:pPr>
      <w:r>
        <w:rPr>
          <w:rFonts w:hint="eastAsia"/>
          <w:b/>
          <w:bCs/>
        </w:rPr>
        <w:t>1、船舶污水</w:t>
      </w:r>
    </w:p>
    <w:p w14:paraId="45734BAE">
      <w:pPr>
        <w:pStyle w:val="93"/>
      </w:pPr>
      <w:r>
        <w:rPr>
          <w:rFonts w:hint="eastAsia"/>
        </w:rPr>
        <w:t>（1）船舶舱底油污水</w:t>
      </w:r>
    </w:p>
    <w:p w14:paraId="732B20CF">
      <w:pPr>
        <w:pStyle w:val="93"/>
      </w:pPr>
      <w:r>
        <w:rPr>
          <w:rFonts w:hint="eastAsia"/>
        </w:rPr>
        <w:t>根据《水运工程环境保护设计规范》（JTS 149-2018），船舶舱底油污水发生量在无实测资料时，可按规范中表4.2.4确定。本项目设计代表船型为1000吨级散货船。具体数值详见表3.8-9。</w:t>
      </w:r>
    </w:p>
    <w:p w14:paraId="589693CB">
      <w:pPr>
        <w:pStyle w:val="86"/>
      </w:pPr>
      <w:r>
        <w:rPr>
          <w:rFonts w:hint="eastAsia"/>
        </w:rPr>
        <w:t>舶舱底油污水水量</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4"/>
        <w:gridCol w:w="4347"/>
      </w:tblGrid>
      <w:tr w14:paraId="1F6D4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49" w:type="pct"/>
            <w:vAlign w:val="center"/>
          </w:tcPr>
          <w:p w14:paraId="23B0B07C">
            <w:pPr>
              <w:pStyle w:val="196"/>
            </w:pPr>
            <w:r>
              <w:rPr>
                <w:rFonts w:hint="eastAsia"/>
              </w:rPr>
              <w:t>船舶吨级DWT</w:t>
            </w:r>
          </w:p>
          <w:p w14:paraId="4C6F4170">
            <w:pPr>
              <w:pStyle w:val="196"/>
            </w:pPr>
            <w:r>
              <w:rPr>
                <w:rFonts w:hint="eastAsia"/>
                <w:lang w:eastAsia="zh-CN"/>
              </w:rPr>
              <w:t>(</w:t>
            </w:r>
            <w:r>
              <w:rPr>
                <w:rFonts w:hint="eastAsia"/>
              </w:rPr>
              <w:t>t</w:t>
            </w:r>
            <w:r>
              <w:rPr>
                <w:rFonts w:hint="eastAsia"/>
                <w:lang w:eastAsia="zh-CN"/>
              </w:rPr>
              <w:t>)</w:t>
            </w:r>
          </w:p>
        </w:tc>
        <w:tc>
          <w:tcPr>
            <w:tcW w:w="2550" w:type="pct"/>
            <w:vAlign w:val="center"/>
          </w:tcPr>
          <w:p w14:paraId="632E4EF6">
            <w:pPr>
              <w:pStyle w:val="196"/>
            </w:pPr>
            <w:r>
              <w:rPr>
                <w:rFonts w:hint="eastAsia"/>
              </w:rPr>
              <w:t>舱底油污水产生量</w:t>
            </w:r>
          </w:p>
          <w:p w14:paraId="02981514">
            <w:pPr>
              <w:pStyle w:val="196"/>
            </w:pPr>
            <w:r>
              <w:rPr>
                <w:rFonts w:hint="eastAsia"/>
              </w:rPr>
              <w:t>（t/d·艘）</w:t>
            </w:r>
          </w:p>
        </w:tc>
      </w:tr>
      <w:tr w14:paraId="60523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9" w:type="pct"/>
            <w:vAlign w:val="center"/>
          </w:tcPr>
          <w:p w14:paraId="3F637B02">
            <w:pPr>
              <w:pStyle w:val="196"/>
            </w:pPr>
            <w:r>
              <w:rPr>
                <w:rFonts w:hint="eastAsia"/>
              </w:rPr>
              <w:t>500-1000</w:t>
            </w:r>
          </w:p>
        </w:tc>
        <w:tc>
          <w:tcPr>
            <w:tcW w:w="2550" w:type="pct"/>
            <w:vAlign w:val="center"/>
          </w:tcPr>
          <w:p w14:paraId="6672E1ED">
            <w:pPr>
              <w:pStyle w:val="196"/>
            </w:pPr>
            <w:r>
              <w:rPr>
                <w:rFonts w:hint="eastAsia"/>
              </w:rPr>
              <w:t>0.14-0.27</w:t>
            </w:r>
          </w:p>
        </w:tc>
      </w:tr>
      <w:tr w14:paraId="504C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49" w:type="pct"/>
            <w:vAlign w:val="center"/>
          </w:tcPr>
          <w:p w14:paraId="4D3B88AE">
            <w:pPr>
              <w:pStyle w:val="196"/>
            </w:pPr>
            <w:r>
              <w:rPr>
                <w:rFonts w:hint="eastAsia"/>
              </w:rPr>
              <w:t>1000-3000</w:t>
            </w:r>
          </w:p>
        </w:tc>
        <w:tc>
          <w:tcPr>
            <w:tcW w:w="2550" w:type="pct"/>
            <w:vAlign w:val="center"/>
          </w:tcPr>
          <w:p w14:paraId="7FF760E3">
            <w:pPr>
              <w:pStyle w:val="196"/>
            </w:pPr>
            <w:r>
              <w:rPr>
                <w:rFonts w:hint="eastAsia"/>
              </w:rPr>
              <w:t>0.27-0.81</w:t>
            </w:r>
          </w:p>
        </w:tc>
      </w:tr>
    </w:tbl>
    <w:p w14:paraId="2DF947CF">
      <w:pPr>
        <w:pStyle w:val="93"/>
      </w:pPr>
      <w:r>
        <w:rPr>
          <w:rFonts w:hint="eastAsia"/>
        </w:rPr>
        <w:t>根据上表采用内插法得到本项目1000吨级船的舱底油污水产生量为0.27t/d·艘。本项目码头设计年吞吐量为112万吨，因此估算到港艘次为1120艘/年。船舶平均在港停留时间评价按0.5d计算，估算本项目全年舱底油污水发生量为151.2t/a，船舶舱底油污水污染物产生源强详见表3.8-10和3.8-11。</w:t>
      </w:r>
    </w:p>
    <w:p w14:paraId="4F448CE4">
      <w:pPr>
        <w:pStyle w:val="86"/>
      </w:pPr>
      <w:r>
        <w:rPr>
          <w:rFonts w:hint="eastAsia"/>
        </w:rPr>
        <w:t>本项目</w:t>
      </w:r>
      <w:bookmarkStart w:id="205" w:name="OLE_LINK16"/>
      <w:r>
        <w:rPr>
          <w:rFonts w:hint="eastAsia"/>
        </w:rPr>
        <w:t>船舶舱底油污水水量</w:t>
      </w:r>
      <w:bookmarkEnd w:id="205"/>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8"/>
        <w:gridCol w:w="1324"/>
        <w:gridCol w:w="2371"/>
        <w:gridCol w:w="2548"/>
      </w:tblGrid>
      <w:tr w14:paraId="46350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Align w:val="center"/>
          </w:tcPr>
          <w:p w14:paraId="13DDE59E">
            <w:pPr>
              <w:pStyle w:val="196"/>
            </w:pPr>
            <w:r>
              <w:rPr>
                <w:rFonts w:hint="eastAsia"/>
              </w:rPr>
              <w:t>船舶吨级DWT（t）</w:t>
            </w:r>
          </w:p>
        </w:tc>
        <w:tc>
          <w:tcPr>
            <w:tcW w:w="777" w:type="pct"/>
            <w:vAlign w:val="center"/>
          </w:tcPr>
          <w:p w14:paraId="42BE8942">
            <w:pPr>
              <w:pStyle w:val="196"/>
            </w:pPr>
            <w:r>
              <w:rPr>
                <w:rFonts w:hint="eastAsia"/>
              </w:rPr>
              <w:t>艘次（艘）</w:t>
            </w:r>
          </w:p>
        </w:tc>
        <w:tc>
          <w:tcPr>
            <w:tcW w:w="1391" w:type="pct"/>
            <w:vAlign w:val="center"/>
          </w:tcPr>
          <w:p w14:paraId="22A47EEC">
            <w:pPr>
              <w:pStyle w:val="196"/>
            </w:pPr>
            <w:r>
              <w:rPr>
                <w:rFonts w:hint="eastAsia"/>
              </w:rPr>
              <w:t>舱底油污水产生量（t/d·艘）</w:t>
            </w:r>
          </w:p>
        </w:tc>
        <w:tc>
          <w:tcPr>
            <w:tcW w:w="1495" w:type="pct"/>
            <w:vAlign w:val="center"/>
          </w:tcPr>
          <w:p w14:paraId="1BA5E453">
            <w:pPr>
              <w:pStyle w:val="196"/>
            </w:pPr>
            <w:r>
              <w:rPr>
                <w:rFonts w:hint="eastAsia"/>
              </w:rPr>
              <w:t>舱底油污水产生量（t/a）</w:t>
            </w:r>
          </w:p>
        </w:tc>
      </w:tr>
      <w:tr w14:paraId="0664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7" w:type="pct"/>
            <w:vAlign w:val="center"/>
          </w:tcPr>
          <w:p w14:paraId="7C59C723">
            <w:pPr>
              <w:pStyle w:val="196"/>
            </w:pPr>
            <w:r>
              <w:rPr>
                <w:rFonts w:hint="eastAsia"/>
              </w:rPr>
              <w:t>1000</w:t>
            </w:r>
          </w:p>
        </w:tc>
        <w:tc>
          <w:tcPr>
            <w:tcW w:w="777" w:type="pct"/>
            <w:vAlign w:val="center"/>
          </w:tcPr>
          <w:p w14:paraId="1B397324">
            <w:pPr>
              <w:pStyle w:val="196"/>
            </w:pPr>
            <w:r>
              <w:rPr>
                <w:rFonts w:hint="eastAsia"/>
              </w:rPr>
              <w:t>1120</w:t>
            </w:r>
          </w:p>
        </w:tc>
        <w:tc>
          <w:tcPr>
            <w:tcW w:w="1391" w:type="pct"/>
            <w:vAlign w:val="center"/>
          </w:tcPr>
          <w:p w14:paraId="0602F570">
            <w:pPr>
              <w:pStyle w:val="196"/>
            </w:pPr>
            <w:r>
              <w:rPr>
                <w:rFonts w:hint="eastAsia"/>
              </w:rPr>
              <w:t>0.27</w:t>
            </w:r>
          </w:p>
        </w:tc>
        <w:tc>
          <w:tcPr>
            <w:tcW w:w="1495" w:type="pct"/>
            <w:vAlign w:val="center"/>
          </w:tcPr>
          <w:p w14:paraId="3A8E767F">
            <w:pPr>
              <w:pStyle w:val="196"/>
            </w:pPr>
            <w:r>
              <w:rPr>
                <w:rFonts w:hint="eastAsia"/>
              </w:rPr>
              <w:t>151.2</w:t>
            </w:r>
          </w:p>
        </w:tc>
      </w:tr>
    </w:tbl>
    <w:p w14:paraId="5FF80494">
      <w:pPr>
        <w:pStyle w:val="86"/>
      </w:pPr>
      <w:r>
        <w:rPr>
          <w:rFonts w:hint="eastAsia"/>
        </w:rPr>
        <w:t>船舶舱底油污水污染物产生量</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6"/>
        <w:gridCol w:w="1151"/>
        <w:gridCol w:w="1284"/>
        <w:gridCol w:w="1099"/>
        <w:gridCol w:w="994"/>
        <w:gridCol w:w="961"/>
        <w:gridCol w:w="994"/>
        <w:gridCol w:w="851"/>
      </w:tblGrid>
      <w:tr w14:paraId="02E6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Merge w:val="restart"/>
            <w:vAlign w:val="center"/>
          </w:tcPr>
          <w:p w14:paraId="48D49B60">
            <w:pPr>
              <w:pStyle w:val="196"/>
            </w:pPr>
            <w:r>
              <w:rPr>
                <w:rFonts w:hint="eastAsia"/>
              </w:rPr>
              <w:t>种类</w:t>
            </w:r>
          </w:p>
        </w:tc>
        <w:tc>
          <w:tcPr>
            <w:tcW w:w="692" w:type="pct"/>
            <w:vMerge w:val="restart"/>
            <w:vAlign w:val="center"/>
          </w:tcPr>
          <w:p w14:paraId="1F598426">
            <w:pPr>
              <w:pStyle w:val="196"/>
            </w:pPr>
            <w:r>
              <w:rPr>
                <w:rFonts w:hint="eastAsia"/>
              </w:rPr>
              <w:t>废水量</w:t>
            </w:r>
          </w:p>
          <w:p w14:paraId="482F6A37">
            <w:pPr>
              <w:pStyle w:val="196"/>
            </w:pPr>
            <w:r>
              <w:rPr>
                <w:rFonts w:hint="eastAsia"/>
                <w:lang w:eastAsia="zh-CN"/>
              </w:rPr>
              <w:t>(</w:t>
            </w:r>
            <w:r>
              <w:rPr>
                <w:rFonts w:hint="eastAsia"/>
              </w:rPr>
              <w:t>t/a</w:t>
            </w:r>
            <w:r>
              <w:rPr>
                <w:rFonts w:hint="eastAsia"/>
                <w:lang w:eastAsia="zh-CN"/>
              </w:rPr>
              <w:t>)</w:t>
            </w:r>
          </w:p>
        </w:tc>
        <w:tc>
          <w:tcPr>
            <w:tcW w:w="1433" w:type="pct"/>
            <w:gridSpan w:val="2"/>
            <w:vAlign w:val="center"/>
          </w:tcPr>
          <w:p w14:paraId="5E0A9399">
            <w:pPr>
              <w:pStyle w:val="196"/>
            </w:pPr>
            <w:r>
              <w:rPr>
                <w:rFonts w:hint="eastAsia"/>
              </w:rPr>
              <w:t>COD</w:t>
            </w:r>
          </w:p>
        </w:tc>
        <w:tc>
          <w:tcPr>
            <w:tcW w:w="1176" w:type="pct"/>
            <w:gridSpan w:val="2"/>
            <w:vAlign w:val="center"/>
          </w:tcPr>
          <w:p w14:paraId="56CD49B2">
            <w:pPr>
              <w:pStyle w:val="196"/>
            </w:pPr>
            <w:r>
              <w:rPr>
                <w:rFonts w:hint="eastAsia"/>
              </w:rPr>
              <w:t>SS</w:t>
            </w:r>
          </w:p>
        </w:tc>
        <w:tc>
          <w:tcPr>
            <w:tcW w:w="1109" w:type="pct"/>
            <w:gridSpan w:val="2"/>
            <w:vAlign w:val="center"/>
          </w:tcPr>
          <w:p w14:paraId="1C9107D6">
            <w:pPr>
              <w:pStyle w:val="196"/>
            </w:pPr>
            <w:r>
              <w:rPr>
                <w:rFonts w:hint="eastAsia"/>
              </w:rPr>
              <w:t>石油类</w:t>
            </w:r>
          </w:p>
        </w:tc>
      </w:tr>
      <w:tr w14:paraId="66B5B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14:paraId="57F98D84">
            <w:pPr>
              <w:pStyle w:val="196"/>
            </w:pPr>
          </w:p>
        </w:tc>
        <w:tc>
          <w:tcPr>
            <w:tcW w:w="0" w:type="auto"/>
            <w:vMerge w:val="continue"/>
            <w:vAlign w:val="center"/>
          </w:tcPr>
          <w:p w14:paraId="1BB6E330">
            <w:pPr>
              <w:pStyle w:val="196"/>
            </w:pPr>
          </w:p>
        </w:tc>
        <w:tc>
          <w:tcPr>
            <w:tcW w:w="772" w:type="pct"/>
            <w:vAlign w:val="center"/>
          </w:tcPr>
          <w:p w14:paraId="523677F0">
            <w:pPr>
              <w:pStyle w:val="196"/>
            </w:pPr>
            <w:r>
              <w:rPr>
                <w:rFonts w:hint="eastAsia"/>
              </w:rPr>
              <w:t>mg/L</w:t>
            </w:r>
          </w:p>
        </w:tc>
        <w:tc>
          <w:tcPr>
            <w:tcW w:w="661" w:type="pct"/>
            <w:vAlign w:val="center"/>
          </w:tcPr>
          <w:p w14:paraId="0EA40151">
            <w:pPr>
              <w:pStyle w:val="196"/>
            </w:pPr>
            <w:r>
              <w:rPr>
                <w:rFonts w:hint="eastAsia"/>
              </w:rPr>
              <w:t>t/a</w:t>
            </w:r>
          </w:p>
        </w:tc>
        <w:tc>
          <w:tcPr>
            <w:tcW w:w="598" w:type="pct"/>
            <w:vAlign w:val="center"/>
          </w:tcPr>
          <w:p w14:paraId="44D32CB5">
            <w:pPr>
              <w:pStyle w:val="196"/>
            </w:pPr>
            <w:r>
              <w:rPr>
                <w:rFonts w:hint="eastAsia"/>
              </w:rPr>
              <w:t>mg/L</w:t>
            </w:r>
          </w:p>
        </w:tc>
        <w:tc>
          <w:tcPr>
            <w:tcW w:w="578" w:type="pct"/>
            <w:vAlign w:val="center"/>
          </w:tcPr>
          <w:p w14:paraId="74670301">
            <w:pPr>
              <w:pStyle w:val="196"/>
            </w:pPr>
            <w:r>
              <w:rPr>
                <w:rFonts w:hint="eastAsia"/>
              </w:rPr>
              <w:t>t/a</w:t>
            </w:r>
          </w:p>
        </w:tc>
        <w:tc>
          <w:tcPr>
            <w:tcW w:w="598" w:type="pct"/>
            <w:vAlign w:val="center"/>
          </w:tcPr>
          <w:p w14:paraId="2EEB22BE">
            <w:pPr>
              <w:pStyle w:val="196"/>
            </w:pPr>
            <w:r>
              <w:rPr>
                <w:rFonts w:hint="eastAsia"/>
              </w:rPr>
              <w:t>mg/L</w:t>
            </w:r>
          </w:p>
        </w:tc>
        <w:tc>
          <w:tcPr>
            <w:tcW w:w="511" w:type="pct"/>
            <w:vAlign w:val="center"/>
          </w:tcPr>
          <w:p w14:paraId="0DA0A3B9">
            <w:pPr>
              <w:pStyle w:val="196"/>
            </w:pPr>
            <w:r>
              <w:rPr>
                <w:rFonts w:hint="eastAsia"/>
              </w:rPr>
              <w:t>t/a</w:t>
            </w:r>
          </w:p>
        </w:tc>
      </w:tr>
      <w:tr w14:paraId="675F8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Align w:val="center"/>
          </w:tcPr>
          <w:p w14:paraId="64EFF8BB">
            <w:pPr>
              <w:pStyle w:val="196"/>
            </w:pPr>
            <w:r>
              <w:rPr>
                <w:rFonts w:hint="eastAsia"/>
              </w:rPr>
              <w:t>船舶舱底油污水</w:t>
            </w:r>
          </w:p>
        </w:tc>
        <w:tc>
          <w:tcPr>
            <w:tcW w:w="692" w:type="pct"/>
            <w:vAlign w:val="center"/>
          </w:tcPr>
          <w:p w14:paraId="65260B2D">
            <w:pPr>
              <w:pStyle w:val="196"/>
            </w:pPr>
            <w:r>
              <w:rPr>
                <w:rFonts w:hint="eastAsia"/>
              </w:rPr>
              <w:t>151.2</w:t>
            </w:r>
          </w:p>
        </w:tc>
        <w:tc>
          <w:tcPr>
            <w:tcW w:w="772" w:type="pct"/>
            <w:vAlign w:val="center"/>
          </w:tcPr>
          <w:p w14:paraId="7F87B71A">
            <w:pPr>
              <w:pStyle w:val="196"/>
            </w:pPr>
            <w:r>
              <w:rPr>
                <w:rFonts w:hint="eastAsia"/>
              </w:rPr>
              <w:t>400</w:t>
            </w:r>
          </w:p>
        </w:tc>
        <w:tc>
          <w:tcPr>
            <w:tcW w:w="661" w:type="pct"/>
            <w:vAlign w:val="center"/>
          </w:tcPr>
          <w:p w14:paraId="14886705">
            <w:pPr>
              <w:pStyle w:val="196"/>
            </w:pPr>
            <w:r>
              <w:rPr>
                <w:rFonts w:hint="eastAsia"/>
              </w:rPr>
              <w:t>0.06</w:t>
            </w:r>
          </w:p>
        </w:tc>
        <w:tc>
          <w:tcPr>
            <w:tcW w:w="598" w:type="pct"/>
            <w:vAlign w:val="center"/>
          </w:tcPr>
          <w:p w14:paraId="4FE4E6FC">
            <w:pPr>
              <w:pStyle w:val="196"/>
            </w:pPr>
            <w:r>
              <w:rPr>
                <w:rFonts w:hint="eastAsia"/>
              </w:rPr>
              <w:t>300</w:t>
            </w:r>
          </w:p>
        </w:tc>
        <w:tc>
          <w:tcPr>
            <w:tcW w:w="578" w:type="pct"/>
            <w:vAlign w:val="center"/>
          </w:tcPr>
          <w:p w14:paraId="1B7E25EB">
            <w:pPr>
              <w:pStyle w:val="196"/>
            </w:pPr>
            <w:r>
              <w:rPr>
                <w:rFonts w:hint="eastAsia"/>
              </w:rPr>
              <w:t>0.045</w:t>
            </w:r>
          </w:p>
        </w:tc>
        <w:tc>
          <w:tcPr>
            <w:tcW w:w="598" w:type="pct"/>
            <w:vAlign w:val="center"/>
          </w:tcPr>
          <w:p w14:paraId="51817014">
            <w:pPr>
              <w:pStyle w:val="196"/>
            </w:pPr>
            <w:r>
              <w:rPr>
                <w:rFonts w:hint="eastAsia"/>
              </w:rPr>
              <w:t>5000</w:t>
            </w:r>
          </w:p>
        </w:tc>
        <w:tc>
          <w:tcPr>
            <w:tcW w:w="511" w:type="pct"/>
            <w:vAlign w:val="center"/>
          </w:tcPr>
          <w:p w14:paraId="6DB58295">
            <w:pPr>
              <w:pStyle w:val="196"/>
            </w:pPr>
            <w:r>
              <w:rPr>
                <w:rFonts w:hint="eastAsia"/>
              </w:rPr>
              <w:t>0.756</w:t>
            </w:r>
          </w:p>
        </w:tc>
      </w:tr>
    </w:tbl>
    <w:p w14:paraId="57CD25A9">
      <w:pPr>
        <w:pStyle w:val="93"/>
      </w:pPr>
      <w:r>
        <w:rPr>
          <w:rFonts w:hint="eastAsia"/>
        </w:rPr>
        <w:t>根据《中华人民共和国防治船舶污染内河水域环境管理规定》及《船舶水污染物排放控制标准》（GB3552-2018）要求，到港船舶不得排放含油污水，本码头设置船舶污水收集装置</w:t>
      </w:r>
      <w:r>
        <w:rPr>
          <w:rFonts w:hint="eastAsia"/>
          <w:lang w:eastAsia="zh-CN"/>
        </w:rPr>
        <w:t>，使</w:t>
      </w:r>
      <w:r>
        <w:rPr>
          <w:rFonts w:hint="eastAsia"/>
        </w:rPr>
        <w:t>用不锈钢水箱作为船舶含油污水收集容器，配备自吸排污泵，标准法兰盘以及铜丝软管收集船舶含油污水，由海事部门认可的具备资质的油污水处理单位接收处理。禁止船舶舱底油污水在码头附近水域排放。</w:t>
      </w:r>
    </w:p>
    <w:p w14:paraId="742A9F5B">
      <w:pPr>
        <w:pStyle w:val="93"/>
      </w:pPr>
      <w:r>
        <w:rPr>
          <w:rFonts w:hint="eastAsia"/>
        </w:rPr>
        <w:t>（2）船舶生活污水</w:t>
      </w:r>
    </w:p>
    <w:p w14:paraId="22305388">
      <w:pPr>
        <w:pStyle w:val="93"/>
      </w:pPr>
      <w:r>
        <w:rPr>
          <w:rFonts w:hint="eastAsia"/>
        </w:rPr>
        <w:t>根据《工程船舶劳动定员 第3部分：航务工程船舶》（JT/T 383.3-2008）：船舶总吨500吨－3000吨的甲板部定员为4～7人，主机功率500kW-3000kW的轮机部定员为5～8人，船长1人。本项目码头作业区拟采用的设计船型以1000吨级货船为主。根据内插法计算本项目1000吨级船定员按照11人计算，平均按照各泊位泊港1艘/d计算，则本项目到港船员约33人/d。根据《建筑给水排水设计规范》（GB50015-2019），用水定额按150L/人·d，则船舶生活用水量为1633.5m</w:t>
      </w:r>
      <w:r>
        <w:rPr>
          <w:rFonts w:hint="eastAsia"/>
          <w:vertAlign w:val="superscript"/>
        </w:rPr>
        <w:t>3</w:t>
      </w:r>
      <w:r>
        <w:rPr>
          <w:rFonts w:hint="eastAsia"/>
        </w:rPr>
        <w:t>/a（330天），废水排污系数0.9，则船舶生活污水量约为1470.2m</w:t>
      </w:r>
      <w:r>
        <w:rPr>
          <w:rFonts w:hint="eastAsia"/>
          <w:vertAlign w:val="superscript"/>
        </w:rPr>
        <w:t>3</w:t>
      </w:r>
      <w:r>
        <w:rPr>
          <w:rFonts w:hint="eastAsia"/>
        </w:rPr>
        <w:t>/a。污染物发生浓度为：COD400mg/L、SS300mg/L、氨氮35mg/L、总氮45mg/L、总磷5mg/L。</w:t>
      </w:r>
    </w:p>
    <w:p w14:paraId="33014A6B">
      <w:pPr>
        <w:pStyle w:val="93"/>
      </w:pPr>
      <w:r>
        <w:rPr>
          <w:rFonts w:hint="eastAsia"/>
        </w:rPr>
        <w:t>根据船舶停靠时间计算船舶生活污水污染源强见表3.8-12。根据《船舶水污染物内河港口岸上接收设施设计指南》（JTS/T175-2019）及《省交通运输厅省生态环境厅关于开展新一轮港口污染防治能力提升工作的通知》（苏交港〔2023〕27号）要求，船舶生活污水经岸上接收装置接收后</w:t>
      </w:r>
      <w:r>
        <w:rPr>
          <w:rFonts w:hint="eastAsia"/>
          <w:bCs/>
        </w:rPr>
        <w:t>接管至国能涟水一期热电联产项目厂区污水处理设施处理</w:t>
      </w:r>
      <w:r>
        <w:rPr>
          <w:rFonts w:hint="eastAsia"/>
        </w:rPr>
        <w:t>。禁止直接向水域排放船舶生活污水。</w:t>
      </w:r>
    </w:p>
    <w:p w14:paraId="5390C5AF">
      <w:pPr>
        <w:pStyle w:val="86"/>
      </w:pPr>
      <w:r>
        <w:rPr>
          <w:rFonts w:hint="eastAsia"/>
        </w:rPr>
        <w:t>船舶生活污水产生源强</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842"/>
        <w:gridCol w:w="714"/>
        <w:gridCol w:w="689"/>
        <w:gridCol w:w="671"/>
        <w:gridCol w:w="689"/>
        <w:gridCol w:w="671"/>
        <w:gridCol w:w="689"/>
        <w:gridCol w:w="671"/>
        <w:gridCol w:w="689"/>
        <w:gridCol w:w="671"/>
        <w:gridCol w:w="689"/>
      </w:tblGrid>
      <w:tr w14:paraId="4B23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Merge w:val="restart"/>
            <w:vAlign w:val="center"/>
          </w:tcPr>
          <w:p w14:paraId="73FCAA1B">
            <w:pPr>
              <w:pStyle w:val="196"/>
            </w:pPr>
            <w:r>
              <w:rPr>
                <w:rFonts w:hint="eastAsia"/>
              </w:rPr>
              <w:t>项目</w:t>
            </w:r>
          </w:p>
        </w:tc>
        <w:tc>
          <w:tcPr>
            <w:tcW w:w="594" w:type="pct"/>
            <w:vMerge w:val="restart"/>
            <w:vAlign w:val="center"/>
          </w:tcPr>
          <w:p w14:paraId="3F16BE5A">
            <w:pPr>
              <w:pStyle w:val="196"/>
            </w:pPr>
            <w:r>
              <w:rPr>
                <w:rFonts w:hint="eastAsia"/>
              </w:rPr>
              <w:t>废水量m</w:t>
            </w:r>
            <w:r>
              <w:rPr>
                <w:rFonts w:hint="eastAsia"/>
                <w:vertAlign w:val="superscript"/>
              </w:rPr>
              <w:t>3</w:t>
            </w:r>
            <w:r>
              <w:rPr>
                <w:rFonts w:hint="eastAsia"/>
              </w:rPr>
              <w:t>/a</w:t>
            </w:r>
          </w:p>
        </w:tc>
        <w:tc>
          <w:tcPr>
            <w:tcW w:w="944" w:type="pct"/>
            <w:gridSpan w:val="2"/>
            <w:vAlign w:val="center"/>
          </w:tcPr>
          <w:p w14:paraId="669155F0">
            <w:pPr>
              <w:pStyle w:val="196"/>
            </w:pPr>
            <w:r>
              <w:rPr>
                <w:rFonts w:hint="eastAsia"/>
              </w:rPr>
              <w:t>COD</w:t>
            </w:r>
          </w:p>
        </w:tc>
        <w:tc>
          <w:tcPr>
            <w:tcW w:w="679" w:type="pct"/>
            <w:gridSpan w:val="2"/>
            <w:vAlign w:val="center"/>
          </w:tcPr>
          <w:p w14:paraId="709AD0D2">
            <w:pPr>
              <w:pStyle w:val="196"/>
            </w:pPr>
            <w:r>
              <w:rPr>
                <w:rFonts w:hint="eastAsia"/>
              </w:rPr>
              <w:t>SS</w:t>
            </w:r>
          </w:p>
        </w:tc>
        <w:tc>
          <w:tcPr>
            <w:tcW w:w="792" w:type="pct"/>
            <w:gridSpan w:val="2"/>
            <w:vAlign w:val="center"/>
          </w:tcPr>
          <w:p w14:paraId="7E49F30F">
            <w:pPr>
              <w:pStyle w:val="196"/>
            </w:pPr>
            <w:r>
              <w:rPr>
                <w:rFonts w:hint="eastAsia"/>
              </w:rPr>
              <w:t>氨氮</w:t>
            </w:r>
          </w:p>
        </w:tc>
        <w:tc>
          <w:tcPr>
            <w:tcW w:w="736" w:type="pct"/>
            <w:gridSpan w:val="2"/>
            <w:vAlign w:val="center"/>
          </w:tcPr>
          <w:p w14:paraId="75FE8081">
            <w:pPr>
              <w:pStyle w:val="196"/>
            </w:pPr>
            <w:r>
              <w:rPr>
                <w:rFonts w:hint="eastAsia"/>
              </w:rPr>
              <w:t>总氮</w:t>
            </w:r>
          </w:p>
        </w:tc>
        <w:tc>
          <w:tcPr>
            <w:tcW w:w="663" w:type="pct"/>
            <w:gridSpan w:val="2"/>
          </w:tcPr>
          <w:p w14:paraId="3F94D105">
            <w:pPr>
              <w:pStyle w:val="196"/>
            </w:pPr>
            <w:r>
              <w:rPr>
                <w:rFonts w:hint="eastAsia"/>
              </w:rPr>
              <w:t>总磷</w:t>
            </w:r>
          </w:p>
        </w:tc>
      </w:tr>
      <w:tr w14:paraId="03DA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2CD4EDFF">
            <w:pPr>
              <w:pStyle w:val="196"/>
            </w:pPr>
          </w:p>
        </w:tc>
        <w:tc>
          <w:tcPr>
            <w:tcW w:w="0" w:type="auto"/>
            <w:vMerge w:val="continue"/>
            <w:vAlign w:val="center"/>
          </w:tcPr>
          <w:p w14:paraId="7FBB2BDF">
            <w:pPr>
              <w:pStyle w:val="196"/>
            </w:pPr>
          </w:p>
        </w:tc>
        <w:tc>
          <w:tcPr>
            <w:tcW w:w="519" w:type="pct"/>
            <w:vAlign w:val="center"/>
          </w:tcPr>
          <w:p w14:paraId="4A8EFADA">
            <w:pPr>
              <w:pStyle w:val="196"/>
            </w:pPr>
            <w:r>
              <w:rPr>
                <w:rFonts w:hint="eastAsia"/>
              </w:rPr>
              <w:t>mg/L</w:t>
            </w:r>
          </w:p>
        </w:tc>
        <w:tc>
          <w:tcPr>
            <w:tcW w:w="424" w:type="pct"/>
            <w:vAlign w:val="center"/>
          </w:tcPr>
          <w:p w14:paraId="6A3A6C50">
            <w:pPr>
              <w:pStyle w:val="196"/>
            </w:pPr>
            <w:r>
              <w:rPr>
                <w:rFonts w:hint="eastAsia"/>
              </w:rPr>
              <w:t>t/a</w:t>
            </w:r>
          </w:p>
        </w:tc>
        <w:tc>
          <w:tcPr>
            <w:tcW w:w="343" w:type="pct"/>
            <w:vAlign w:val="center"/>
          </w:tcPr>
          <w:p w14:paraId="5E5A2136">
            <w:pPr>
              <w:pStyle w:val="196"/>
            </w:pPr>
            <w:r>
              <w:rPr>
                <w:rFonts w:hint="eastAsia"/>
              </w:rPr>
              <w:t>mg/L</w:t>
            </w:r>
          </w:p>
        </w:tc>
        <w:tc>
          <w:tcPr>
            <w:tcW w:w="336" w:type="pct"/>
            <w:vAlign w:val="center"/>
          </w:tcPr>
          <w:p w14:paraId="42B900E4">
            <w:pPr>
              <w:pStyle w:val="196"/>
            </w:pPr>
            <w:r>
              <w:rPr>
                <w:rFonts w:hint="eastAsia"/>
              </w:rPr>
              <w:t>t/a</w:t>
            </w:r>
          </w:p>
        </w:tc>
        <w:tc>
          <w:tcPr>
            <w:tcW w:w="395" w:type="pct"/>
            <w:vAlign w:val="center"/>
          </w:tcPr>
          <w:p w14:paraId="4E63F05C">
            <w:pPr>
              <w:pStyle w:val="196"/>
            </w:pPr>
            <w:r>
              <w:rPr>
                <w:rFonts w:hint="eastAsia"/>
              </w:rPr>
              <w:t>mg/L</w:t>
            </w:r>
          </w:p>
        </w:tc>
        <w:tc>
          <w:tcPr>
            <w:tcW w:w="396" w:type="pct"/>
            <w:vAlign w:val="center"/>
          </w:tcPr>
          <w:p w14:paraId="6B08E8D7">
            <w:pPr>
              <w:pStyle w:val="196"/>
            </w:pPr>
            <w:r>
              <w:rPr>
                <w:rFonts w:hint="eastAsia"/>
              </w:rPr>
              <w:t>t/a</w:t>
            </w:r>
          </w:p>
        </w:tc>
        <w:tc>
          <w:tcPr>
            <w:tcW w:w="376" w:type="pct"/>
            <w:vAlign w:val="center"/>
          </w:tcPr>
          <w:p w14:paraId="4FD95DC4">
            <w:pPr>
              <w:pStyle w:val="196"/>
            </w:pPr>
            <w:r>
              <w:rPr>
                <w:rFonts w:hint="eastAsia"/>
              </w:rPr>
              <w:t>mg/L</w:t>
            </w:r>
          </w:p>
        </w:tc>
        <w:tc>
          <w:tcPr>
            <w:tcW w:w="359" w:type="pct"/>
            <w:vAlign w:val="center"/>
          </w:tcPr>
          <w:p w14:paraId="60EF0423">
            <w:pPr>
              <w:pStyle w:val="196"/>
            </w:pPr>
            <w:r>
              <w:rPr>
                <w:rFonts w:hint="eastAsia"/>
              </w:rPr>
              <w:t>t/a</w:t>
            </w:r>
          </w:p>
        </w:tc>
        <w:tc>
          <w:tcPr>
            <w:tcW w:w="330" w:type="pct"/>
            <w:vAlign w:val="center"/>
          </w:tcPr>
          <w:p w14:paraId="4C7EAE0C">
            <w:pPr>
              <w:pStyle w:val="196"/>
            </w:pPr>
            <w:r>
              <w:rPr>
                <w:rFonts w:hint="eastAsia"/>
              </w:rPr>
              <w:t>mg/L</w:t>
            </w:r>
          </w:p>
        </w:tc>
        <w:tc>
          <w:tcPr>
            <w:tcW w:w="333" w:type="pct"/>
            <w:vAlign w:val="center"/>
          </w:tcPr>
          <w:p w14:paraId="32E7DB73">
            <w:pPr>
              <w:pStyle w:val="196"/>
            </w:pPr>
            <w:r>
              <w:rPr>
                <w:rFonts w:hint="eastAsia"/>
              </w:rPr>
              <w:t>t/a</w:t>
            </w:r>
          </w:p>
        </w:tc>
      </w:tr>
      <w:tr w14:paraId="63C3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8" w:type="pct"/>
            <w:vAlign w:val="center"/>
          </w:tcPr>
          <w:p w14:paraId="75BEF502">
            <w:pPr>
              <w:pStyle w:val="196"/>
            </w:pPr>
            <w:r>
              <w:rPr>
                <w:rFonts w:hint="eastAsia"/>
              </w:rPr>
              <w:t>船舶生活污水</w:t>
            </w:r>
          </w:p>
        </w:tc>
        <w:tc>
          <w:tcPr>
            <w:tcW w:w="594" w:type="pct"/>
            <w:vAlign w:val="center"/>
          </w:tcPr>
          <w:p w14:paraId="39CA3E92">
            <w:pPr>
              <w:pStyle w:val="196"/>
            </w:pPr>
            <w:r>
              <w:rPr>
                <w:rFonts w:hint="eastAsia"/>
              </w:rPr>
              <w:t>1470.2</w:t>
            </w:r>
          </w:p>
        </w:tc>
        <w:tc>
          <w:tcPr>
            <w:tcW w:w="519" w:type="pct"/>
            <w:vAlign w:val="center"/>
          </w:tcPr>
          <w:p w14:paraId="1ECF2FCC">
            <w:pPr>
              <w:pStyle w:val="196"/>
            </w:pPr>
            <w:r>
              <w:rPr>
                <w:rFonts w:hint="eastAsia"/>
              </w:rPr>
              <w:t>400</w:t>
            </w:r>
          </w:p>
        </w:tc>
        <w:tc>
          <w:tcPr>
            <w:tcW w:w="424" w:type="pct"/>
            <w:vAlign w:val="center"/>
          </w:tcPr>
          <w:p w14:paraId="0D6966E6">
            <w:pPr>
              <w:pStyle w:val="196"/>
            </w:pPr>
            <w:r>
              <w:rPr>
                <w:rFonts w:hint="eastAsia"/>
              </w:rPr>
              <w:t xml:space="preserve">0.588 </w:t>
            </w:r>
          </w:p>
        </w:tc>
        <w:tc>
          <w:tcPr>
            <w:tcW w:w="343" w:type="pct"/>
            <w:vAlign w:val="center"/>
          </w:tcPr>
          <w:p w14:paraId="1F9D4B77">
            <w:pPr>
              <w:pStyle w:val="196"/>
            </w:pPr>
            <w:r>
              <w:rPr>
                <w:rFonts w:hint="eastAsia"/>
              </w:rPr>
              <w:t>300</w:t>
            </w:r>
          </w:p>
        </w:tc>
        <w:tc>
          <w:tcPr>
            <w:tcW w:w="336" w:type="pct"/>
            <w:vAlign w:val="center"/>
          </w:tcPr>
          <w:p w14:paraId="7064D9C3">
            <w:pPr>
              <w:pStyle w:val="196"/>
            </w:pPr>
            <w:r>
              <w:rPr>
                <w:rFonts w:hint="eastAsia"/>
              </w:rPr>
              <w:t>0.441</w:t>
            </w:r>
          </w:p>
        </w:tc>
        <w:tc>
          <w:tcPr>
            <w:tcW w:w="395" w:type="pct"/>
            <w:vAlign w:val="center"/>
          </w:tcPr>
          <w:p w14:paraId="6802FD42">
            <w:pPr>
              <w:pStyle w:val="196"/>
            </w:pPr>
            <w:r>
              <w:rPr>
                <w:rFonts w:hint="eastAsia"/>
              </w:rPr>
              <w:t>35</w:t>
            </w:r>
          </w:p>
        </w:tc>
        <w:tc>
          <w:tcPr>
            <w:tcW w:w="396" w:type="pct"/>
            <w:vAlign w:val="center"/>
          </w:tcPr>
          <w:p w14:paraId="55BAAAB6">
            <w:pPr>
              <w:pStyle w:val="196"/>
            </w:pPr>
            <w:r>
              <w:rPr>
                <w:rFonts w:hint="eastAsia"/>
              </w:rPr>
              <w:t>0.052</w:t>
            </w:r>
          </w:p>
        </w:tc>
        <w:tc>
          <w:tcPr>
            <w:tcW w:w="376" w:type="pct"/>
            <w:vAlign w:val="center"/>
          </w:tcPr>
          <w:p w14:paraId="7533EADF">
            <w:pPr>
              <w:pStyle w:val="196"/>
            </w:pPr>
            <w:r>
              <w:rPr>
                <w:rFonts w:hint="eastAsia"/>
              </w:rPr>
              <w:t>45</w:t>
            </w:r>
          </w:p>
        </w:tc>
        <w:tc>
          <w:tcPr>
            <w:tcW w:w="359" w:type="pct"/>
            <w:vAlign w:val="center"/>
          </w:tcPr>
          <w:p w14:paraId="63C65649">
            <w:pPr>
              <w:pStyle w:val="196"/>
            </w:pPr>
            <w:r>
              <w:rPr>
                <w:rFonts w:hint="eastAsia"/>
              </w:rPr>
              <w:t xml:space="preserve">0.066 </w:t>
            </w:r>
          </w:p>
        </w:tc>
        <w:tc>
          <w:tcPr>
            <w:tcW w:w="330" w:type="pct"/>
            <w:vAlign w:val="center"/>
          </w:tcPr>
          <w:p w14:paraId="4AE9104D">
            <w:pPr>
              <w:pStyle w:val="196"/>
            </w:pPr>
            <w:r>
              <w:rPr>
                <w:rFonts w:hint="eastAsia"/>
              </w:rPr>
              <w:t>5</w:t>
            </w:r>
          </w:p>
        </w:tc>
        <w:tc>
          <w:tcPr>
            <w:tcW w:w="333" w:type="pct"/>
            <w:vAlign w:val="center"/>
          </w:tcPr>
          <w:p w14:paraId="6A233562">
            <w:pPr>
              <w:pStyle w:val="196"/>
            </w:pPr>
            <w:r>
              <w:rPr>
                <w:rFonts w:hint="eastAsia"/>
              </w:rPr>
              <w:t xml:space="preserve">0.007 </w:t>
            </w:r>
          </w:p>
        </w:tc>
      </w:tr>
    </w:tbl>
    <w:p w14:paraId="6CAF7AE3">
      <w:pPr>
        <w:pStyle w:val="93"/>
      </w:pPr>
      <w:bookmarkStart w:id="206" w:name="_Hlk181747220"/>
      <w:r>
        <w:rPr>
          <w:rFonts w:hint="eastAsia"/>
        </w:rPr>
        <w:t>2、陆域生活污水</w:t>
      </w:r>
    </w:p>
    <w:bookmarkEnd w:id="206"/>
    <w:p w14:paraId="230A52EC">
      <w:pPr>
        <w:pStyle w:val="93"/>
      </w:pPr>
      <w:r>
        <w:rPr>
          <w:rFonts w:hint="eastAsia"/>
        </w:rPr>
        <w:t>本项目职工定员45人，年工作330天，用水定额按50L/人·d，则生活用水量为</w:t>
      </w:r>
      <w:r>
        <w:t>742.5</w:t>
      </w:r>
      <w:r>
        <w:rPr>
          <w:rFonts w:hint="eastAsia"/>
        </w:rPr>
        <w:t>m</w:t>
      </w:r>
      <w:r>
        <w:rPr>
          <w:rFonts w:hint="eastAsia"/>
          <w:vertAlign w:val="superscript"/>
        </w:rPr>
        <w:t>3</w:t>
      </w:r>
      <w:r>
        <w:rPr>
          <w:rFonts w:hint="eastAsia"/>
        </w:rPr>
        <w:t>/a，排放系数以0.9计，则生活污水产生量约为</w:t>
      </w:r>
      <w:r>
        <w:t>668.25</w:t>
      </w:r>
      <w:r>
        <w:rPr>
          <w:rFonts w:hint="eastAsia"/>
        </w:rPr>
        <w:t>m</w:t>
      </w:r>
      <w:r>
        <w:rPr>
          <w:rFonts w:hint="eastAsia"/>
          <w:vertAlign w:val="superscript"/>
        </w:rPr>
        <w:t>3</w:t>
      </w:r>
      <w:r>
        <w:rPr>
          <w:rFonts w:hint="eastAsia"/>
        </w:rPr>
        <w:t>/a。本项目营运期的陆域生活污水</w:t>
      </w:r>
      <w:r>
        <w:rPr>
          <w:rFonts w:hint="eastAsia"/>
          <w:bCs/>
        </w:rPr>
        <w:t>接管至国能涟水一期热电联产项目厂区污水处理设施处理</w:t>
      </w:r>
      <w:r>
        <w:rPr>
          <w:rFonts w:hint="eastAsia"/>
        </w:rPr>
        <w:t>。陆域生活污水污染源强见表3.8-</w:t>
      </w:r>
      <w:r>
        <w:t>1</w:t>
      </w:r>
      <w:r>
        <w:rPr>
          <w:rFonts w:hint="eastAsia"/>
        </w:rPr>
        <w:t>3。</w:t>
      </w:r>
    </w:p>
    <w:p w14:paraId="5E1BF655">
      <w:pPr>
        <w:pStyle w:val="86"/>
      </w:pPr>
      <w:r>
        <w:rPr>
          <w:rFonts w:hint="eastAsia"/>
        </w:rPr>
        <w:t>陆域生活污水产生源强</w:t>
      </w:r>
    </w:p>
    <w:tbl>
      <w:tblPr>
        <w:tblStyle w:val="38"/>
        <w:tblW w:w="5142" w:type="pct"/>
        <w:jc w:val="center"/>
        <w:tblLayout w:type="autofit"/>
        <w:tblCellMar>
          <w:top w:w="0" w:type="dxa"/>
          <w:left w:w="108" w:type="dxa"/>
          <w:bottom w:w="0" w:type="dxa"/>
          <w:right w:w="108" w:type="dxa"/>
        </w:tblCellMar>
      </w:tblPr>
      <w:tblGrid>
        <w:gridCol w:w="909"/>
        <w:gridCol w:w="814"/>
        <w:gridCol w:w="726"/>
        <w:gridCol w:w="726"/>
        <w:gridCol w:w="689"/>
        <w:gridCol w:w="708"/>
        <w:gridCol w:w="689"/>
        <w:gridCol w:w="708"/>
        <w:gridCol w:w="689"/>
        <w:gridCol w:w="708"/>
        <w:gridCol w:w="689"/>
        <w:gridCol w:w="708"/>
      </w:tblGrid>
      <w:tr w14:paraId="1A0E672F">
        <w:tblPrEx>
          <w:tblCellMar>
            <w:top w:w="0" w:type="dxa"/>
            <w:left w:w="108" w:type="dxa"/>
            <w:bottom w:w="0" w:type="dxa"/>
            <w:right w:w="108" w:type="dxa"/>
          </w:tblCellMar>
        </w:tblPrEx>
        <w:trPr>
          <w:trHeight w:val="288" w:hRule="atLeast"/>
          <w:jc w:val="center"/>
        </w:trPr>
        <w:tc>
          <w:tcPr>
            <w:tcW w:w="5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C6097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项目</w:t>
            </w:r>
          </w:p>
        </w:tc>
        <w:tc>
          <w:tcPr>
            <w:tcW w:w="4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6644B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废水量</w:t>
            </w:r>
            <w:r>
              <w:rPr>
                <w:rFonts w:eastAsia="宋体" w:cs="Times New Roman"/>
                <w:kern w:val="0"/>
                <w:sz w:val="21"/>
              </w:rPr>
              <w:t>m</w:t>
            </w:r>
            <w:r>
              <w:rPr>
                <w:rFonts w:eastAsia="宋体" w:cs="Times New Roman"/>
                <w:kern w:val="0"/>
                <w:sz w:val="21"/>
                <w:vertAlign w:val="superscript"/>
              </w:rPr>
              <w:t>3</w:t>
            </w:r>
            <w:r>
              <w:rPr>
                <w:rFonts w:eastAsia="宋体" w:cs="Times New Roman"/>
                <w:kern w:val="0"/>
                <w:sz w:val="21"/>
              </w:rPr>
              <w:t>/a</w:t>
            </w:r>
          </w:p>
        </w:tc>
        <w:tc>
          <w:tcPr>
            <w:tcW w:w="828" w:type="pct"/>
            <w:gridSpan w:val="2"/>
            <w:tcBorders>
              <w:top w:val="single" w:color="auto" w:sz="4" w:space="0"/>
              <w:left w:val="nil"/>
              <w:bottom w:val="single" w:color="auto" w:sz="4" w:space="0"/>
              <w:right w:val="single" w:color="auto" w:sz="4" w:space="0"/>
            </w:tcBorders>
            <w:shd w:val="clear" w:color="auto" w:fill="auto"/>
            <w:vAlign w:val="center"/>
          </w:tcPr>
          <w:p w14:paraId="4F661D21">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797" w:type="pct"/>
            <w:gridSpan w:val="2"/>
            <w:tcBorders>
              <w:top w:val="single" w:color="auto" w:sz="4" w:space="0"/>
              <w:left w:val="nil"/>
              <w:bottom w:val="single" w:color="auto" w:sz="4" w:space="0"/>
              <w:right w:val="single" w:color="auto" w:sz="4" w:space="0"/>
            </w:tcBorders>
            <w:shd w:val="clear" w:color="auto" w:fill="auto"/>
            <w:vAlign w:val="center"/>
          </w:tcPr>
          <w:p w14:paraId="1B786B3C">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797" w:type="pct"/>
            <w:gridSpan w:val="2"/>
            <w:tcBorders>
              <w:top w:val="single" w:color="auto" w:sz="4" w:space="0"/>
              <w:left w:val="nil"/>
              <w:bottom w:val="single" w:color="auto" w:sz="4" w:space="0"/>
              <w:right w:val="single" w:color="auto" w:sz="4" w:space="0"/>
            </w:tcBorders>
            <w:shd w:val="clear" w:color="auto" w:fill="auto"/>
            <w:vAlign w:val="center"/>
          </w:tcPr>
          <w:p w14:paraId="75B6940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氨氮</w:t>
            </w:r>
          </w:p>
        </w:tc>
        <w:tc>
          <w:tcPr>
            <w:tcW w:w="797" w:type="pct"/>
            <w:gridSpan w:val="2"/>
            <w:tcBorders>
              <w:top w:val="single" w:color="auto" w:sz="4" w:space="0"/>
              <w:left w:val="nil"/>
              <w:bottom w:val="single" w:color="auto" w:sz="4" w:space="0"/>
              <w:right w:val="single" w:color="auto" w:sz="4" w:space="0"/>
            </w:tcBorders>
            <w:shd w:val="clear" w:color="auto" w:fill="auto"/>
            <w:vAlign w:val="center"/>
          </w:tcPr>
          <w:p w14:paraId="785958A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总氮</w:t>
            </w:r>
          </w:p>
        </w:tc>
        <w:tc>
          <w:tcPr>
            <w:tcW w:w="797" w:type="pct"/>
            <w:gridSpan w:val="2"/>
            <w:tcBorders>
              <w:top w:val="single" w:color="auto" w:sz="4" w:space="0"/>
              <w:left w:val="nil"/>
              <w:bottom w:val="single" w:color="auto" w:sz="4" w:space="0"/>
              <w:right w:val="single" w:color="auto" w:sz="4" w:space="0"/>
            </w:tcBorders>
            <w:shd w:val="clear" w:color="auto" w:fill="auto"/>
            <w:vAlign w:val="center"/>
          </w:tcPr>
          <w:p w14:paraId="16AA305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总磷</w:t>
            </w:r>
          </w:p>
        </w:tc>
      </w:tr>
      <w:tr w14:paraId="25C9F4BE">
        <w:tblPrEx>
          <w:tblCellMar>
            <w:top w:w="0" w:type="dxa"/>
            <w:left w:w="108" w:type="dxa"/>
            <w:bottom w:w="0" w:type="dxa"/>
            <w:right w:w="108" w:type="dxa"/>
          </w:tblCellMar>
        </w:tblPrEx>
        <w:trPr>
          <w:trHeight w:val="276" w:hRule="atLeast"/>
          <w:jc w:val="center"/>
        </w:trPr>
        <w:tc>
          <w:tcPr>
            <w:tcW w:w="519" w:type="pct"/>
            <w:vMerge w:val="continue"/>
            <w:tcBorders>
              <w:top w:val="single" w:color="auto" w:sz="4" w:space="0"/>
              <w:left w:val="single" w:color="auto" w:sz="4" w:space="0"/>
              <w:bottom w:val="single" w:color="auto" w:sz="4" w:space="0"/>
              <w:right w:val="single" w:color="auto" w:sz="4" w:space="0"/>
            </w:tcBorders>
            <w:vAlign w:val="center"/>
          </w:tcPr>
          <w:p w14:paraId="3599322B">
            <w:pPr>
              <w:spacing w:line="240" w:lineRule="auto"/>
              <w:ind w:firstLine="0" w:firstLineChars="0"/>
              <w:rPr>
                <w:rFonts w:hint="eastAsia" w:ascii="宋体" w:hAnsi="宋体" w:eastAsia="宋体" w:cs="宋体"/>
                <w:kern w:val="0"/>
                <w:sz w:val="21"/>
              </w:rPr>
            </w:pPr>
          </w:p>
        </w:tc>
        <w:tc>
          <w:tcPr>
            <w:tcW w:w="465" w:type="pct"/>
            <w:vMerge w:val="continue"/>
            <w:tcBorders>
              <w:top w:val="single" w:color="auto" w:sz="4" w:space="0"/>
              <w:left w:val="single" w:color="auto" w:sz="4" w:space="0"/>
              <w:bottom w:val="single" w:color="auto" w:sz="4" w:space="0"/>
              <w:right w:val="single" w:color="auto" w:sz="4" w:space="0"/>
            </w:tcBorders>
            <w:vAlign w:val="center"/>
          </w:tcPr>
          <w:p w14:paraId="51266905">
            <w:pPr>
              <w:spacing w:line="240" w:lineRule="auto"/>
              <w:ind w:firstLine="0" w:firstLineChars="0"/>
              <w:rPr>
                <w:rFonts w:hint="eastAsia" w:ascii="宋体" w:hAnsi="宋体" w:eastAsia="宋体" w:cs="宋体"/>
                <w:kern w:val="0"/>
                <w:sz w:val="21"/>
              </w:rPr>
            </w:pPr>
          </w:p>
        </w:tc>
        <w:tc>
          <w:tcPr>
            <w:tcW w:w="414" w:type="pct"/>
            <w:tcBorders>
              <w:top w:val="nil"/>
              <w:left w:val="nil"/>
              <w:bottom w:val="single" w:color="auto" w:sz="4" w:space="0"/>
              <w:right w:val="single" w:color="auto" w:sz="4" w:space="0"/>
            </w:tcBorders>
            <w:shd w:val="clear" w:color="auto" w:fill="auto"/>
            <w:vAlign w:val="center"/>
          </w:tcPr>
          <w:p w14:paraId="4997D702">
            <w:pPr>
              <w:spacing w:line="240" w:lineRule="auto"/>
              <w:ind w:firstLine="0" w:firstLineChars="0"/>
              <w:jc w:val="center"/>
              <w:rPr>
                <w:rFonts w:eastAsia="等线" w:cs="Times New Roman"/>
                <w:kern w:val="0"/>
                <w:sz w:val="21"/>
              </w:rPr>
            </w:pPr>
            <w:r>
              <w:rPr>
                <w:rFonts w:eastAsia="等线" w:cs="Times New Roman"/>
                <w:kern w:val="0"/>
                <w:sz w:val="21"/>
              </w:rPr>
              <w:t>mg/L</w:t>
            </w:r>
          </w:p>
        </w:tc>
        <w:tc>
          <w:tcPr>
            <w:tcW w:w="414" w:type="pct"/>
            <w:tcBorders>
              <w:top w:val="nil"/>
              <w:left w:val="nil"/>
              <w:bottom w:val="single" w:color="auto" w:sz="4" w:space="0"/>
              <w:right w:val="single" w:color="auto" w:sz="4" w:space="0"/>
            </w:tcBorders>
            <w:shd w:val="clear" w:color="auto" w:fill="auto"/>
            <w:vAlign w:val="center"/>
          </w:tcPr>
          <w:p w14:paraId="61203AAC">
            <w:pPr>
              <w:spacing w:line="240" w:lineRule="auto"/>
              <w:ind w:firstLine="0" w:firstLineChars="0"/>
              <w:jc w:val="center"/>
              <w:rPr>
                <w:rFonts w:eastAsia="等线" w:cs="Times New Roman"/>
                <w:kern w:val="0"/>
                <w:sz w:val="21"/>
              </w:rPr>
            </w:pPr>
            <w:r>
              <w:rPr>
                <w:rFonts w:eastAsia="等线" w:cs="Times New Roman"/>
                <w:kern w:val="0"/>
                <w:sz w:val="21"/>
              </w:rPr>
              <w:t>t/a</w:t>
            </w:r>
          </w:p>
        </w:tc>
        <w:tc>
          <w:tcPr>
            <w:tcW w:w="393" w:type="pct"/>
            <w:tcBorders>
              <w:top w:val="nil"/>
              <w:left w:val="nil"/>
              <w:bottom w:val="single" w:color="auto" w:sz="4" w:space="0"/>
              <w:right w:val="single" w:color="auto" w:sz="4" w:space="0"/>
            </w:tcBorders>
            <w:shd w:val="clear" w:color="auto" w:fill="auto"/>
            <w:vAlign w:val="center"/>
          </w:tcPr>
          <w:p w14:paraId="2C77B53F">
            <w:pPr>
              <w:spacing w:line="240" w:lineRule="auto"/>
              <w:ind w:firstLine="0" w:firstLineChars="0"/>
              <w:jc w:val="center"/>
              <w:rPr>
                <w:rFonts w:eastAsia="等线" w:cs="Times New Roman"/>
                <w:kern w:val="0"/>
                <w:sz w:val="21"/>
              </w:rPr>
            </w:pPr>
            <w:r>
              <w:rPr>
                <w:rFonts w:eastAsia="等线" w:cs="Times New Roman"/>
                <w:kern w:val="0"/>
                <w:sz w:val="21"/>
              </w:rPr>
              <w:t>mg/L</w:t>
            </w:r>
          </w:p>
        </w:tc>
        <w:tc>
          <w:tcPr>
            <w:tcW w:w="404" w:type="pct"/>
            <w:tcBorders>
              <w:top w:val="nil"/>
              <w:left w:val="nil"/>
              <w:bottom w:val="single" w:color="auto" w:sz="4" w:space="0"/>
              <w:right w:val="single" w:color="auto" w:sz="4" w:space="0"/>
            </w:tcBorders>
            <w:shd w:val="clear" w:color="auto" w:fill="auto"/>
            <w:vAlign w:val="center"/>
          </w:tcPr>
          <w:p w14:paraId="077106C9">
            <w:pPr>
              <w:spacing w:line="240" w:lineRule="auto"/>
              <w:ind w:firstLine="0" w:firstLineChars="0"/>
              <w:jc w:val="center"/>
              <w:rPr>
                <w:rFonts w:eastAsia="等线" w:cs="Times New Roman"/>
                <w:kern w:val="0"/>
                <w:sz w:val="21"/>
              </w:rPr>
            </w:pPr>
            <w:r>
              <w:rPr>
                <w:rFonts w:eastAsia="等线" w:cs="Times New Roman"/>
                <w:kern w:val="0"/>
                <w:sz w:val="21"/>
              </w:rPr>
              <w:t>t/a</w:t>
            </w:r>
          </w:p>
        </w:tc>
        <w:tc>
          <w:tcPr>
            <w:tcW w:w="393" w:type="pct"/>
            <w:tcBorders>
              <w:top w:val="nil"/>
              <w:left w:val="nil"/>
              <w:bottom w:val="single" w:color="auto" w:sz="4" w:space="0"/>
              <w:right w:val="single" w:color="auto" w:sz="4" w:space="0"/>
            </w:tcBorders>
            <w:shd w:val="clear" w:color="auto" w:fill="auto"/>
            <w:vAlign w:val="center"/>
          </w:tcPr>
          <w:p w14:paraId="161DF8C8">
            <w:pPr>
              <w:spacing w:line="240" w:lineRule="auto"/>
              <w:ind w:firstLine="0" w:firstLineChars="0"/>
              <w:jc w:val="center"/>
              <w:rPr>
                <w:rFonts w:eastAsia="等线" w:cs="Times New Roman"/>
                <w:kern w:val="0"/>
                <w:sz w:val="21"/>
              </w:rPr>
            </w:pPr>
            <w:r>
              <w:rPr>
                <w:rFonts w:eastAsia="等线" w:cs="Times New Roman"/>
                <w:kern w:val="0"/>
                <w:sz w:val="21"/>
              </w:rPr>
              <w:t>mg/L</w:t>
            </w:r>
          </w:p>
        </w:tc>
        <w:tc>
          <w:tcPr>
            <w:tcW w:w="404" w:type="pct"/>
            <w:tcBorders>
              <w:top w:val="nil"/>
              <w:left w:val="nil"/>
              <w:bottom w:val="single" w:color="auto" w:sz="4" w:space="0"/>
              <w:right w:val="single" w:color="auto" w:sz="4" w:space="0"/>
            </w:tcBorders>
            <w:shd w:val="clear" w:color="auto" w:fill="auto"/>
            <w:vAlign w:val="center"/>
          </w:tcPr>
          <w:p w14:paraId="16DDC722">
            <w:pPr>
              <w:spacing w:line="240" w:lineRule="auto"/>
              <w:ind w:firstLine="0" w:firstLineChars="0"/>
              <w:jc w:val="center"/>
              <w:rPr>
                <w:rFonts w:eastAsia="等线" w:cs="Times New Roman"/>
                <w:kern w:val="0"/>
                <w:sz w:val="21"/>
              </w:rPr>
            </w:pPr>
            <w:r>
              <w:rPr>
                <w:rFonts w:eastAsia="等线" w:cs="Times New Roman"/>
                <w:kern w:val="0"/>
                <w:sz w:val="21"/>
              </w:rPr>
              <w:t>t/a</w:t>
            </w:r>
          </w:p>
        </w:tc>
        <w:tc>
          <w:tcPr>
            <w:tcW w:w="393" w:type="pct"/>
            <w:tcBorders>
              <w:top w:val="nil"/>
              <w:left w:val="nil"/>
              <w:bottom w:val="single" w:color="auto" w:sz="4" w:space="0"/>
              <w:right w:val="single" w:color="auto" w:sz="4" w:space="0"/>
            </w:tcBorders>
            <w:shd w:val="clear" w:color="auto" w:fill="auto"/>
            <w:vAlign w:val="center"/>
          </w:tcPr>
          <w:p w14:paraId="552D18D9">
            <w:pPr>
              <w:spacing w:line="240" w:lineRule="auto"/>
              <w:ind w:firstLine="0" w:firstLineChars="0"/>
              <w:jc w:val="center"/>
              <w:rPr>
                <w:rFonts w:eastAsia="等线" w:cs="Times New Roman"/>
                <w:kern w:val="0"/>
                <w:sz w:val="21"/>
              </w:rPr>
            </w:pPr>
            <w:r>
              <w:rPr>
                <w:rFonts w:eastAsia="等线" w:cs="Times New Roman"/>
                <w:kern w:val="0"/>
                <w:sz w:val="21"/>
              </w:rPr>
              <w:t>mg/L</w:t>
            </w:r>
          </w:p>
        </w:tc>
        <w:tc>
          <w:tcPr>
            <w:tcW w:w="404" w:type="pct"/>
            <w:tcBorders>
              <w:top w:val="nil"/>
              <w:left w:val="nil"/>
              <w:bottom w:val="single" w:color="auto" w:sz="4" w:space="0"/>
              <w:right w:val="single" w:color="auto" w:sz="4" w:space="0"/>
            </w:tcBorders>
            <w:shd w:val="clear" w:color="auto" w:fill="auto"/>
            <w:vAlign w:val="center"/>
          </w:tcPr>
          <w:p w14:paraId="3E1F3132">
            <w:pPr>
              <w:spacing w:line="240" w:lineRule="auto"/>
              <w:ind w:firstLine="0" w:firstLineChars="0"/>
              <w:jc w:val="center"/>
              <w:rPr>
                <w:rFonts w:eastAsia="等线" w:cs="Times New Roman"/>
                <w:kern w:val="0"/>
                <w:sz w:val="21"/>
              </w:rPr>
            </w:pPr>
            <w:r>
              <w:rPr>
                <w:rFonts w:eastAsia="等线" w:cs="Times New Roman"/>
                <w:kern w:val="0"/>
                <w:sz w:val="21"/>
              </w:rPr>
              <w:t>t/a</w:t>
            </w:r>
          </w:p>
        </w:tc>
        <w:tc>
          <w:tcPr>
            <w:tcW w:w="393" w:type="pct"/>
            <w:tcBorders>
              <w:top w:val="nil"/>
              <w:left w:val="nil"/>
              <w:bottom w:val="single" w:color="auto" w:sz="4" w:space="0"/>
              <w:right w:val="single" w:color="auto" w:sz="4" w:space="0"/>
            </w:tcBorders>
            <w:shd w:val="clear" w:color="auto" w:fill="auto"/>
            <w:vAlign w:val="center"/>
          </w:tcPr>
          <w:p w14:paraId="4DAF2860">
            <w:pPr>
              <w:spacing w:line="240" w:lineRule="auto"/>
              <w:ind w:firstLine="0" w:firstLineChars="0"/>
              <w:jc w:val="center"/>
              <w:rPr>
                <w:rFonts w:eastAsia="等线" w:cs="Times New Roman"/>
                <w:kern w:val="0"/>
                <w:sz w:val="21"/>
              </w:rPr>
            </w:pPr>
            <w:r>
              <w:rPr>
                <w:rFonts w:eastAsia="等线" w:cs="Times New Roman"/>
                <w:kern w:val="0"/>
                <w:sz w:val="21"/>
              </w:rPr>
              <w:t>mg/L</w:t>
            </w:r>
          </w:p>
        </w:tc>
        <w:tc>
          <w:tcPr>
            <w:tcW w:w="404" w:type="pct"/>
            <w:tcBorders>
              <w:top w:val="nil"/>
              <w:left w:val="nil"/>
              <w:bottom w:val="single" w:color="auto" w:sz="4" w:space="0"/>
              <w:right w:val="single" w:color="auto" w:sz="4" w:space="0"/>
            </w:tcBorders>
            <w:shd w:val="clear" w:color="auto" w:fill="auto"/>
            <w:vAlign w:val="center"/>
          </w:tcPr>
          <w:p w14:paraId="53ACC337">
            <w:pPr>
              <w:spacing w:line="240" w:lineRule="auto"/>
              <w:ind w:firstLine="0" w:firstLineChars="0"/>
              <w:jc w:val="center"/>
              <w:rPr>
                <w:rFonts w:eastAsia="等线" w:cs="Times New Roman"/>
                <w:kern w:val="0"/>
                <w:sz w:val="21"/>
              </w:rPr>
            </w:pPr>
            <w:r>
              <w:rPr>
                <w:rFonts w:eastAsia="等线" w:cs="Times New Roman"/>
                <w:kern w:val="0"/>
                <w:sz w:val="21"/>
              </w:rPr>
              <w:t>t/a</w:t>
            </w:r>
          </w:p>
        </w:tc>
      </w:tr>
      <w:tr w14:paraId="1BCCFA92">
        <w:tblPrEx>
          <w:tblCellMar>
            <w:top w:w="0" w:type="dxa"/>
            <w:left w:w="108" w:type="dxa"/>
            <w:bottom w:w="0" w:type="dxa"/>
            <w:right w:w="108" w:type="dxa"/>
          </w:tblCellMar>
        </w:tblPrEx>
        <w:trPr>
          <w:trHeight w:val="288" w:hRule="atLeast"/>
          <w:jc w:val="center"/>
        </w:trPr>
        <w:tc>
          <w:tcPr>
            <w:tcW w:w="519" w:type="pct"/>
            <w:tcBorders>
              <w:top w:val="nil"/>
              <w:left w:val="single" w:color="auto" w:sz="4" w:space="0"/>
              <w:bottom w:val="single" w:color="auto" w:sz="4" w:space="0"/>
              <w:right w:val="single" w:color="auto" w:sz="4" w:space="0"/>
            </w:tcBorders>
            <w:shd w:val="clear" w:color="auto" w:fill="auto"/>
            <w:vAlign w:val="center"/>
          </w:tcPr>
          <w:p w14:paraId="4FBED5B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陆域生活污水</w:t>
            </w:r>
          </w:p>
        </w:tc>
        <w:tc>
          <w:tcPr>
            <w:tcW w:w="465" w:type="pct"/>
            <w:tcBorders>
              <w:top w:val="nil"/>
              <w:left w:val="nil"/>
              <w:bottom w:val="single" w:color="auto" w:sz="4" w:space="0"/>
              <w:right w:val="single" w:color="auto" w:sz="4" w:space="0"/>
            </w:tcBorders>
            <w:shd w:val="clear" w:color="auto" w:fill="auto"/>
            <w:noWrap/>
            <w:vAlign w:val="center"/>
          </w:tcPr>
          <w:p w14:paraId="671AC71E">
            <w:pPr>
              <w:spacing w:line="240" w:lineRule="auto"/>
              <w:ind w:firstLine="0" w:firstLineChars="0"/>
              <w:jc w:val="center"/>
              <w:rPr>
                <w:rFonts w:eastAsia="等线" w:cs="Times New Roman"/>
                <w:kern w:val="0"/>
                <w:sz w:val="21"/>
              </w:rPr>
            </w:pPr>
            <w:r>
              <w:rPr>
                <w:rFonts w:eastAsia="等线" w:cs="Times New Roman"/>
                <w:sz w:val="21"/>
              </w:rPr>
              <w:t>668.25</w:t>
            </w:r>
          </w:p>
        </w:tc>
        <w:tc>
          <w:tcPr>
            <w:tcW w:w="414" w:type="pct"/>
            <w:tcBorders>
              <w:top w:val="nil"/>
              <w:left w:val="nil"/>
              <w:bottom w:val="single" w:color="auto" w:sz="4" w:space="0"/>
              <w:right w:val="single" w:color="auto" w:sz="4" w:space="0"/>
            </w:tcBorders>
            <w:shd w:val="clear" w:color="auto" w:fill="auto"/>
            <w:vAlign w:val="center"/>
          </w:tcPr>
          <w:p w14:paraId="0955B5B9">
            <w:pPr>
              <w:spacing w:line="240" w:lineRule="auto"/>
              <w:ind w:firstLine="0" w:firstLineChars="0"/>
              <w:jc w:val="center"/>
              <w:rPr>
                <w:rFonts w:eastAsia="等线" w:cs="Times New Roman"/>
                <w:kern w:val="0"/>
                <w:sz w:val="21"/>
              </w:rPr>
            </w:pPr>
            <w:r>
              <w:rPr>
                <w:rFonts w:eastAsia="等线" w:cs="Times New Roman"/>
                <w:sz w:val="21"/>
              </w:rPr>
              <w:t>400</w:t>
            </w:r>
          </w:p>
        </w:tc>
        <w:tc>
          <w:tcPr>
            <w:tcW w:w="414" w:type="pct"/>
            <w:tcBorders>
              <w:top w:val="nil"/>
              <w:left w:val="nil"/>
              <w:bottom w:val="single" w:color="auto" w:sz="4" w:space="0"/>
              <w:right w:val="single" w:color="auto" w:sz="4" w:space="0"/>
            </w:tcBorders>
            <w:shd w:val="clear" w:color="auto" w:fill="auto"/>
            <w:vAlign w:val="center"/>
          </w:tcPr>
          <w:p w14:paraId="38293C4B">
            <w:pPr>
              <w:spacing w:line="240" w:lineRule="auto"/>
              <w:ind w:firstLine="0" w:firstLineChars="0"/>
              <w:jc w:val="center"/>
              <w:rPr>
                <w:rFonts w:eastAsia="等线" w:cs="Times New Roman"/>
                <w:kern w:val="0"/>
                <w:sz w:val="21"/>
              </w:rPr>
            </w:pPr>
            <w:r>
              <w:rPr>
                <w:rFonts w:eastAsia="等线" w:cs="Times New Roman"/>
                <w:sz w:val="21"/>
              </w:rPr>
              <w:t>0.267</w:t>
            </w:r>
          </w:p>
        </w:tc>
        <w:tc>
          <w:tcPr>
            <w:tcW w:w="393" w:type="pct"/>
            <w:tcBorders>
              <w:top w:val="nil"/>
              <w:left w:val="nil"/>
              <w:bottom w:val="single" w:color="auto" w:sz="4" w:space="0"/>
              <w:right w:val="single" w:color="auto" w:sz="4" w:space="0"/>
            </w:tcBorders>
            <w:shd w:val="clear" w:color="auto" w:fill="auto"/>
            <w:vAlign w:val="center"/>
          </w:tcPr>
          <w:p w14:paraId="20FAEB08">
            <w:pPr>
              <w:spacing w:line="240" w:lineRule="auto"/>
              <w:ind w:firstLine="0" w:firstLineChars="0"/>
              <w:jc w:val="center"/>
              <w:rPr>
                <w:rFonts w:eastAsia="等线" w:cs="Times New Roman"/>
                <w:kern w:val="0"/>
                <w:sz w:val="21"/>
              </w:rPr>
            </w:pPr>
            <w:r>
              <w:rPr>
                <w:rFonts w:eastAsia="等线" w:cs="Times New Roman"/>
                <w:sz w:val="21"/>
              </w:rPr>
              <w:t>300</w:t>
            </w:r>
          </w:p>
        </w:tc>
        <w:tc>
          <w:tcPr>
            <w:tcW w:w="404" w:type="pct"/>
            <w:tcBorders>
              <w:top w:val="nil"/>
              <w:left w:val="nil"/>
              <w:bottom w:val="single" w:color="auto" w:sz="4" w:space="0"/>
              <w:right w:val="single" w:color="auto" w:sz="4" w:space="0"/>
            </w:tcBorders>
            <w:shd w:val="clear" w:color="auto" w:fill="auto"/>
            <w:vAlign w:val="center"/>
          </w:tcPr>
          <w:p w14:paraId="551746F4">
            <w:pPr>
              <w:spacing w:line="240" w:lineRule="auto"/>
              <w:ind w:firstLine="0" w:firstLineChars="0"/>
              <w:jc w:val="center"/>
              <w:rPr>
                <w:rFonts w:eastAsia="等线" w:cs="Times New Roman"/>
                <w:kern w:val="0"/>
                <w:sz w:val="21"/>
              </w:rPr>
            </w:pPr>
            <w:r>
              <w:rPr>
                <w:rFonts w:eastAsia="等线" w:cs="Times New Roman"/>
                <w:sz w:val="21"/>
              </w:rPr>
              <w:t>0.200</w:t>
            </w:r>
          </w:p>
        </w:tc>
        <w:tc>
          <w:tcPr>
            <w:tcW w:w="393" w:type="pct"/>
            <w:tcBorders>
              <w:top w:val="nil"/>
              <w:left w:val="nil"/>
              <w:bottom w:val="single" w:color="auto" w:sz="4" w:space="0"/>
              <w:right w:val="single" w:color="auto" w:sz="4" w:space="0"/>
            </w:tcBorders>
            <w:shd w:val="clear" w:color="auto" w:fill="auto"/>
            <w:vAlign w:val="center"/>
          </w:tcPr>
          <w:p w14:paraId="7909EF8E">
            <w:pPr>
              <w:spacing w:line="240" w:lineRule="auto"/>
              <w:ind w:firstLine="0" w:firstLineChars="0"/>
              <w:jc w:val="center"/>
              <w:rPr>
                <w:rFonts w:eastAsia="等线" w:cs="Times New Roman"/>
                <w:kern w:val="0"/>
                <w:sz w:val="21"/>
              </w:rPr>
            </w:pPr>
            <w:r>
              <w:rPr>
                <w:rFonts w:eastAsia="等线" w:cs="Times New Roman"/>
                <w:sz w:val="21"/>
              </w:rPr>
              <w:t>35</w:t>
            </w:r>
          </w:p>
        </w:tc>
        <w:tc>
          <w:tcPr>
            <w:tcW w:w="404" w:type="pct"/>
            <w:tcBorders>
              <w:top w:val="nil"/>
              <w:left w:val="nil"/>
              <w:bottom w:val="single" w:color="auto" w:sz="4" w:space="0"/>
              <w:right w:val="single" w:color="auto" w:sz="4" w:space="0"/>
            </w:tcBorders>
            <w:shd w:val="clear" w:color="auto" w:fill="auto"/>
            <w:vAlign w:val="center"/>
          </w:tcPr>
          <w:p w14:paraId="0D381087">
            <w:pPr>
              <w:spacing w:line="240" w:lineRule="auto"/>
              <w:ind w:firstLine="0" w:firstLineChars="0"/>
              <w:jc w:val="center"/>
              <w:rPr>
                <w:rFonts w:eastAsia="等线" w:cs="Times New Roman"/>
                <w:kern w:val="0"/>
                <w:sz w:val="21"/>
              </w:rPr>
            </w:pPr>
            <w:r>
              <w:rPr>
                <w:rFonts w:eastAsia="等线" w:cs="Times New Roman"/>
                <w:sz w:val="21"/>
              </w:rPr>
              <w:t>0.023</w:t>
            </w:r>
          </w:p>
        </w:tc>
        <w:tc>
          <w:tcPr>
            <w:tcW w:w="393" w:type="pct"/>
            <w:tcBorders>
              <w:top w:val="nil"/>
              <w:left w:val="nil"/>
              <w:bottom w:val="single" w:color="auto" w:sz="4" w:space="0"/>
              <w:right w:val="single" w:color="auto" w:sz="4" w:space="0"/>
            </w:tcBorders>
            <w:shd w:val="clear" w:color="auto" w:fill="auto"/>
            <w:vAlign w:val="center"/>
          </w:tcPr>
          <w:p w14:paraId="3ADEBAEC">
            <w:pPr>
              <w:spacing w:line="240" w:lineRule="auto"/>
              <w:ind w:firstLine="0" w:firstLineChars="0"/>
              <w:jc w:val="center"/>
              <w:rPr>
                <w:rFonts w:eastAsia="等线" w:cs="Times New Roman"/>
                <w:kern w:val="0"/>
                <w:sz w:val="21"/>
              </w:rPr>
            </w:pPr>
            <w:r>
              <w:rPr>
                <w:rFonts w:eastAsia="等线" w:cs="Times New Roman"/>
                <w:sz w:val="21"/>
              </w:rPr>
              <w:t>45</w:t>
            </w:r>
          </w:p>
        </w:tc>
        <w:tc>
          <w:tcPr>
            <w:tcW w:w="404" w:type="pct"/>
            <w:tcBorders>
              <w:top w:val="nil"/>
              <w:left w:val="nil"/>
              <w:bottom w:val="single" w:color="auto" w:sz="4" w:space="0"/>
              <w:right w:val="single" w:color="auto" w:sz="4" w:space="0"/>
            </w:tcBorders>
            <w:shd w:val="clear" w:color="auto" w:fill="auto"/>
            <w:vAlign w:val="center"/>
          </w:tcPr>
          <w:p w14:paraId="0DB5CC33">
            <w:pPr>
              <w:spacing w:line="240" w:lineRule="auto"/>
              <w:ind w:firstLine="0" w:firstLineChars="0"/>
              <w:jc w:val="center"/>
              <w:rPr>
                <w:rFonts w:eastAsia="等线" w:cs="Times New Roman"/>
                <w:kern w:val="0"/>
                <w:sz w:val="21"/>
              </w:rPr>
            </w:pPr>
            <w:r>
              <w:rPr>
                <w:rFonts w:eastAsia="等线" w:cs="Times New Roman"/>
                <w:sz w:val="21"/>
              </w:rPr>
              <w:t>0.030</w:t>
            </w:r>
          </w:p>
        </w:tc>
        <w:tc>
          <w:tcPr>
            <w:tcW w:w="393" w:type="pct"/>
            <w:tcBorders>
              <w:top w:val="nil"/>
              <w:left w:val="nil"/>
              <w:bottom w:val="single" w:color="auto" w:sz="4" w:space="0"/>
              <w:right w:val="single" w:color="auto" w:sz="4" w:space="0"/>
            </w:tcBorders>
            <w:shd w:val="clear" w:color="auto" w:fill="auto"/>
            <w:vAlign w:val="center"/>
          </w:tcPr>
          <w:p w14:paraId="1267798D">
            <w:pPr>
              <w:spacing w:line="240" w:lineRule="auto"/>
              <w:ind w:firstLine="0" w:firstLineChars="0"/>
              <w:jc w:val="center"/>
              <w:rPr>
                <w:rFonts w:eastAsia="等线" w:cs="Times New Roman"/>
                <w:kern w:val="0"/>
                <w:sz w:val="21"/>
              </w:rPr>
            </w:pPr>
            <w:r>
              <w:rPr>
                <w:rFonts w:eastAsia="等线" w:cs="Times New Roman"/>
                <w:sz w:val="21"/>
              </w:rPr>
              <w:t>5</w:t>
            </w:r>
          </w:p>
        </w:tc>
        <w:tc>
          <w:tcPr>
            <w:tcW w:w="404" w:type="pct"/>
            <w:tcBorders>
              <w:top w:val="nil"/>
              <w:left w:val="nil"/>
              <w:bottom w:val="single" w:color="auto" w:sz="4" w:space="0"/>
              <w:right w:val="single" w:color="auto" w:sz="4" w:space="0"/>
            </w:tcBorders>
            <w:shd w:val="clear" w:color="auto" w:fill="auto"/>
            <w:vAlign w:val="center"/>
          </w:tcPr>
          <w:p w14:paraId="26AED278">
            <w:pPr>
              <w:spacing w:line="240" w:lineRule="auto"/>
              <w:ind w:firstLine="0" w:firstLineChars="0"/>
              <w:jc w:val="center"/>
              <w:rPr>
                <w:rFonts w:eastAsia="等线" w:cs="Times New Roman"/>
                <w:kern w:val="0"/>
                <w:sz w:val="21"/>
              </w:rPr>
            </w:pPr>
            <w:r>
              <w:rPr>
                <w:rFonts w:eastAsia="等线" w:cs="Times New Roman"/>
                <w:sz w:val="21"/>
              </w:rPr>
              <w:t>0.003</w:t>
            </w:r>
          </w:p>
        </w:tc>
      </w:tr>
    </w:tbl>
    <w:p w14:paraId="21B576A0">
      <w:pPr>
        <w:ind w:firstLine="480"/>
      </w:pPr>
      <w:r>
        <w:rPr>
          <w:rFonts w:hint="eastAsia"/>
        </w:rPr>
        <w:t>3、初期雨水</w:t>
      </w:r>
    </w:p>
    <w:p w14:paraId="4994ABD2">
      <w:pPr>
        <w:pStyle w:val="93"/>
      </w:pPr>
      <w:r>
        <w:rPr>
          <w:rFonts w:hint="eastAsia"/>
        </w:rPr>
        <w:t>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w:t>
      </w:r>
      <w:r>
        <w:rPr>
          <w:rFonts w:hint="eastAsia"/>
          <w:lang w:eastAsia="zh-CN"/>
        </w:rPr>
        <w:t>达到</w:t>
      </w:r>
      <w:r>
        <w:rPr>
          <w:rFonts w:hint="eastAsia"/>
        </w:rPr>
        <w:t>回用水标准后排至全厂回用水池，回用于后方电厂的灰渣系统用水、锅炉房冲洗、汽机房冲洗、暖通用水、输煤栈桥及煤场喷洒用水补水等，和码头的设备冲洗用水、道路洒水、卸船喷淋用水等，不外排；后期清洁雨水排入后方厂区雨水管网。</w:t>
      </w:r>
    </w:p>
    <w:p w14:paraId="67906D01">
      <w:pPr>
        <w:pStyle w:val="93"/>
      </w:pPr>
      <w:r>
        <w:rPr>
          <w:rFonts w:hint="eastAsia"/>
        </w:rPr>
        <w:t>根据《水运工程环境保护设计规范》（JTS149-2018），初期雨水量按下式计算：</w:t>
      </w:r>
    </w:p>
    <w:p w14:paraId="2AB2B7C6">
      <w:pPr>
        <w:ind w:firstLine="480"/>
      </w:pPr>
      <w:r>
        <w:rPr>
          <w:rFonts w:hint="eastAsia"/>
        </w:rPr>
        <w:drawing>
          <wp:inline distT="0" distB="0" distL="0" distR="0">
            <wp:extent cx="609600" cy="203200"/>
            <wp:effectExtent l="0" t="0" r="0" b="6350"/>
            <wp:docPr id="979605204"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05204" name="图片 20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09600" cy="203200"/>
                    </a:xfrm>
                    <a:prstGeom prst="rect">
                      <a:avLst/>
                    </a:prstGeom>
                    <a:noFill/>
                    <a:ln>
                      <a:noFill/>
                    </a:ln>
                  </pic:spPr>
                </pic:pic>
              </a:graphicData>
            </a:graphic>
          </wp:inline>
        </w:drawing>
      </w:r>
    </w:p>
    <w:p w14:paraId="2540FCCD">
      <w:pPr>
        <w:ind w:firstLine="480"/>
      </w:pPr>
      <w:r>
        <w:rPr>
          <w:rFonts w:hint="eastAsia"/>
        </w:rPr>
        <w:t>式中：</w:t>
      </w:r>
    </w:p>
    <w:p w14:paraId="492EFE18">
      <w:pPr>
        <w:ind w:firstLine="480"/>
      </w:pPr>
      <w:r>
        <w:rPr>
          <w:rFonts w:hint="eastAsia"/>
        </w:rPr>
        <w:drawing>
          <wp:inline distT="0" distB="0" distL="0" distR="0">
            <wp:extent cx="152400" cy="177800"/>
            <wp:effectExtent l="0" t="0" r="0" b="0"/>
            <wp:docPr id="829064728"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4728" name="图片 20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52400" cy="177800"/>
                    </a:xfrm>
                    <a:prstGeom prst="rect">
                      <a:avLst/>
                    </a:prstGeom>
                    <a:noFill/>
                    <a:ln>
                      <a:noFill/>
                    </a:ln>
                  </pic:spPr>
                </pic:pic>
              </a:graphicData>
            </a:graphic>
          </wp:inline>
        </w:drawing>
      </w:r>
      <w:r>
        <w:rPr>
          <w:rFonts w:hint="eastAsia"/>
        </w:rPr>
        <w:t>：初期雨水量，m</w:t>
      </w:r>
      <w:r>
        <w:rPr>
          <w:rFonts w:hint="eastAsia"/>
          <w:vertAlign w:val="superscript"/>
        </w:rPr>
        <w:t>3</w:t>
      </w:r>
      <w:r>
        <w:rPr>
          <w:rFonts w:hint="eastAsia"/>
        </w:rPr>
        <w:t>；</w:t>
      </w:r>
    </w:p>
    <w:p w14:paraId="2AD6AC59">
      <w:pPr>
        <w:ind w:firstLine="480"/>
      </w:pPr>
      <w:r>
        <w:rPr>
          <w:rFonts w:hint="eastAsia"/>
        </w:rPr>
        <w:drawing>
          <wp:inline distT="0" distB="0" distL="0" distR="0">
            <wp:extent cx="152400" cy="160655"/>
            <wp:effectExtent l="0" t="0" r="0" b="0"/>
            <wp:docPr id="401194478"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94478" name="图片 2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52400" cy="160655"/>
                    </a:xfrm>
                    <a:prstGeom prst="rect">
                      <a:avLst/>
                    </a:prstGeom>
                    <a:noFill/>
                    <a:ln>
                      <a:noFill/>
                    </a:ln>
                  </pic:spPr>
                </pic:pic>
              </a:graphicData>
            </a:graphic>
          </wp:inline>
        </w:drawing>
      </w:r>
      <w:r>
        <w:rPr>
          <w:rFonts w:hint="eastAsia"/>
        </w:rPr>
        <w:t>：径流系数，道路和码头面取0.9；</w:t>
      </w:r>
    </w:p>
    <w:p w14:paraId="089E8CB4">
      <w:pPr>
        <w:ind w:firstLine="480"/>
      </w:pPr>
      <w:r>
        <w:rPr>
          <w:rFonts w:hint="eastAsia"/>
        </w:rPr>
        <w:drawing>
          <wp:inline distT="0" distB="0" distL="0" distR="0">
            <wp:extent cx="160655" cy="160655"/>
            <wp:effectExtent l="0" t="0" r="0" b="0"/>
            <wp:docPr id="1397826483"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6483" name="图片 2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60655" cy="160655"/>
                    </a:xfrm>
                    <a:prstGeom prst="rect">
                      <a:avLst/>
                    </a:prstGeom>
                    <a:noFill/>
                    <a:ln>
                      <a:noFill/>
                    </a:ln>
                  </pic:spPr>
                </pic:pic>
              </a:graphicData>
            </a:graphic>
          </wp:inline>
        </w:drawing>
      </w:r>
      <w:r>
        <w:rPr>
          <w:rFonts w:hint="eastAsia"/>
        </w:rPr>
        <w:t>：汇水面积（m</w:t>
      </w:r>
      <w:r>
        <w:rPr>
          <w:rFonts w:hint="eastAsia"/>
          <w:vertAlign w:val="superscript"/>
        </w:rPr>
        <w:t>2</w:t>
      </w:r>
      <w:r>
        <w:rPr>
          <w:rFonts w:hint="eastAsia"/>
        </w:rPr>
        <w:t>），9584m</w:t>
      </w:r>
      <w:r>
        <w:rPr>
          <w:rFonts w:hint="eastAsia"/>
          <w:vertAlign w:val="superscript"/>
        </w:rPr>
        <w:t>2</w:t>
      </w:r>
    </w:p>
    <w:p w14:paraId="45889BF9">
      <w:pPr>
        <w:ind w:firstLine="480"/>
      </w:pPr>
      <w:r>
        <w:rPr>
          <w:rFonts w:hint="eastAsia"/>
        </w:rPr>
        <w:drawing>
          <wp:inline distT="0" distB="0" distL="0" distR="0">
            <wp:extent cx="177800" cy="160655"/>
            <wp:effectExtent l="0" t="0" r="0" b="0"/>
            <wp:docPr id="202399815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98159" name="图片 19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7800" cy="160655"/>
                    </a:xfrm>
                    <a:prstGeom prst="rect">
                      <a:avLst/>
                    </a:prstGeom>
                    <a:noFill/>
                    <a:ln>
                      <a:noFill/>
                    </a:ln>
                  </pic:spPr>
                </pic:pic>
              </a:graphicData>
            </a:graphic>
          </wp:inline>
        </w:drawing>
      </w:r>
      <w:r>
        <w:rPr>
          <w:rFonts w:hint="eastAsia"/>
        </w:rPr>
        <w:t>：降雨深度（m），本项目取0.01m；</w:t>
      </w:r>
    </w:p>
    <w:p w14:paraId="24D47D58">
      <w:pPr>
        <w:pStyle w:val="93"/>
      </w:pPr>
      <w:r>
        <w:rPr>
          <w:rFonts w:hint="eastAsia"/>
        </w:rPr>
        <w:t>经计算初期雨水量约为86.256m</w:t>
      </w:r>
      <w:r>
        <w:rPr>
          <w:rFonts w:hint="eastAsia"/>
          <w:vertAlign w:val="superscript"/>
        </w:rPr>
        <w:t>3</w:t>
      </w:r>
      <w:r>
        <w:rPr>
          <w:rFonts w:hint="eastAsia"/>
        </w:rPr>
        <w:t>/次，间歇降雨频次按20次/年，则项目初期雨水总量约为1725.12m</w:t>
      </w:r>
      <w:r>
        <w:rPr>
          <w:rFonts w:hint="eastAsia"/>
          <w:vertAlign w:val="superscript"/>
        </w:rPr>
        <w:t>3</w:t>
      </w:r>
      <w:r>
        <w:rPr>
          <w:rFonts w:hint="eastAsia"/>
        </w:rPr>
        <w:t>/a，折合1725.12t/a。码头初期雨水经排水沟收集后汇入码头面污水池，经潜污泵提升至国能涟水一期热电联产项目厂区初期雨水池，容积约1500m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 ，回用于后方电厂的灰渣系统用水、锅炉房冲洗、汽机房冲洗、暖通用水、输煤栈桥及煤场喷洒用水补水等，和码头的设备冲洗用水、道路洒水、卸船喷淋用水等，不外排。</w:t>
      </w:r>
    </w:p>
    <w:p w14:paraId="06D9634D">
      <w:pPr>
        <w:pStyle w:val="93"/>
      </w:pPr>
      <w:r>
        <w:rPr>
          <w:rFonts w:hint="eastAsia"/>
        </w:rPr>
        <w:t>初期雨水的污染物产生源强见表3.8-14。</w:t>
      </w:r>
    </w:p>
    <w:p w14:paraId="5CC33BA4">
      <w:pPr>
        <w:pStyle w:val="86"/>
      </w:pPr>
      <w:r>
        <w:rPr>
          <w:rFonts w:hint="eastAsia"/>
        </w:rPr>
        <w:t>初期雨水量及污染物产生量</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6"/>
        <w:gridCol w:w="1151"/>
        <w:gridCol w:w="1284"/>
        <w:gridCol w:w="1099"/>
        <w:gridCol w:w="994"/>
        <w:gridCol w:w="961"/>
        <w:gridCol w:w="994"/>
        <w:gridCol w:w="851"/>
      </w:tblGrid>
      <w:tr w14:paraId="00F9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87" w:type="pct"/>
            <w:vMerge w:val="restart"/>
            <w:vAlign w:val="center"/>
          </w:tcPr>
          <w:p w14:paraId="48D3E509">
            <w:pPr>
              <w:pStyle w:val="196"/>
            </w:pPr>
            <w:r>
              <w:rPr>
                <w:rFonts w:hint="eastAsia"/>
              </w:rPr>
              <w:t>种类</w:t>
            </w:r>
          </w:p>
        </w:tc>
        <w:tc>
          <w:tcPr>
            <w:tcW w:w="692" w:type="pct"/>
            <w:vMerge w:val="restart"/>
            <w:vAlign w:val="center"/>
          </w:tcPr>
          <w:p w14:paraId="040657AD">
            <w:pPr>
              <w:pStyle w:val="196"/>
            </w:pPr>
            <w:r>
              <w:rPr>
                <w:rFonts w:hint="eastAsia"/>
              </w:rPr>
              <w:t>废水量</w:t>
            </w:r>
          </w:p>
          <w:p w14:paraId="025E2D51">
            <w:pPr>
              <w:pStyle w:val="196"/>
            </w:pPr>
            <w:r>
              <w:rPr>
                <w:rFonts w:hint="eastAsia"/>
                <w:lang w:eastAsia="zh-CN"/>
              </w:rPr>
              <w:t>(</w:t>
            </w:r>
            <w:r>
              <w:rPr>
                <w:rFonts w:hint="eastAsia"/>
              </w:rPr>
              <w:t>m</w:t>
            </w:r>
            <w:r>
              <w:rPr>
                <w:rFonts w:hint="eastAsia"/>
                <w:vertAlign w:val="superscript"/>
              </w:rPr>
              <w:t>3</w:t>
            </w:r>
            <w:r>
              <w:rPr>
                <w:rFonts w:hint="eastAsia"/>
              </w:rPr>
              <w:t>/a</w:t>
            </w:r>
            <w:r>
              <w:rPr>
                <w:rFonts w:hint="eastAsia"/>
                <w:lang w:eastAsia="zh-CN"/>
              </w:rPr>
              <w:t>)</w:t>
            </w:r>
          </w:p>
        </w:tc>
        <w:tc>
          <w:tcPr>
            <w:tcW w:w="1433" w:type="pct"/>
            <w:gridSpan w:val="2"/>
            <w:vAlign w:val="center"/>
          </w:tcPr>
          <w:p w14:paraId="71FD2901">
            <w:pPr>
              <w:pStyle w:val="196"/>
            </w:pPr>
            <w:r>
              <w:rPr>
                <w:rFonts w:hint="eastAsia"/>
              </w:rPr>
              <w:t>COD</w:t>
            </w:r>
          </w:p>
        </w:tc>
        <w:tc>
          <w:tcPr>
            <w:tcW w:w="1176" w:type="pct"/>
            <w:gridSpan w:val="2"/>
            <w:vAlign w:val="center"/>
          </w:tcPr>
          <w:p w14:paraId="181B0E7E">
            <w:pPr>
              <w:pStyle w:val="196"/>
            </w:pPr>
            <w:r>
              <w:rPr>
                <w:rFonts w:hint="eastAsia"/>
              </w:rPr>
              <w:t>SS</w:t>
            </w:r>
          </w:p>
        </w:tc>
        <w:tc>
          <w:tcPr>
            <w:tcW w:w="1109" w:type="pct"/>
            <w:gridSpan w:val="2"/>
            <w:vAlign w:val="center"/>
          </w:tcPr>
          <w:p w14:paraId="6107BD61">
            <w:pPr>
              <w:pStyle w:val="196"/>
            </w:pPr>
            <w:r>
              <w:rPr>
                <w:rFonts w:hint="eastAsia"/>
              </w:rPr>
              <w:t>石油类</w:t>
            </w:r>
          </w:p>
        </w:tc>
      </w:tr>
      <w:tr w14:paraId="4660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14:paraId="71985BA9">
            <w:pPr>
              <w:pStyle w:val="196"/>
            </w:pPr>
          </w:p>
        </w:tc>
        <w:tc>
          <w:tcPr>
            <w:tcW w:w="0" w:type="auto"/>
            <w:vMerge w:val="continue"/>
            <w:vAlign w:val="center"/>
          </w:tcPr>
          <w:p w14:paraId="7D0164EB">
            <w:pPr>
              <w:pStyle w:val="196"/>
            </w:pPr>
          </w:p>
        </w:tc>
        <w:tc>
          <w:tcPr>
            <w:tcW w:w="772" w:type="pct"/>
            <w:vAlign w:val="center"/>
          </w:tcPr>
          <w:p w14:paraId="398980C9">
            <w:pPr>
              <w:pStyle w:val="196"/>
            </w:pPr>
            <w:r>
              <w:rPr>
                <w:rFonts w:hint="eastAsia"/>
              </w:rPr>
              <w:t>mg/L</w:t>
            </w:r>
          </w:p>
        </w:tc>
        <w:tc>
          <w:tcPr>
            <w:tcW w:w="661" w:type="pct"/>
            <w:vAlign w:val="center"/>
          </w:tcPr>
          <w:p w14:paraId="6B1E6AC5">
            <w:pPr>
              <w:pStyle w:val="196"/>
            </w:pPr>
            <w:r>
              <w:rPr>
                <w:rFonts w:hint="eastAsia"/>
              </w:rPr>
              <w:t>t/a</w:t>
            </w:r>
          </w:p>
        </w:tc>
        <w:tc>
          <w:tcPr>
            <w:tcW w:w="598" w:type="pct"/>
            <w:vAlign w:val="center"/>
          </w:tcPr>
          <w:p w14:paraId="08F2F9E9">
            <w:pPr>
              <w:pStyle w:val="196"/>
            </w:pPr>
            <w:r>
              <w:rPr>
                <w:rFonts w:hint="eastAsia"/>
              </w:rPr>
              <w:t>mg/L</w:t>
            </w:r>
          </w:p>
        </w:tc>
        <w:tc>
          <w:tcPr>
            <w:tcW w:w="578" w:type="pct"/>
            <w:vAlign w:val="center"/>
          </w:tcPr>
          <w:p w14:paraId="6C6A1A50">
            <w:pPr>
              <w:pStyle w:val="196"/>
            </w:pPr>
            <w:r>
              <w:rPr>
                <w:rFonts w:hint="eastAsia"/>
              </w:rPr>
              <w:t>t/a</w:t>
            </w:r>
          </w:p>
        </w:tc>
        <w:tc>
          <w:tcPr>
            <w:tcW w:w="598" w:type="pct"/>
            <w:vAlign w:val="center"/>
          </w:tcPr>
          <w:p w14:paraId="3D805185">
            <w:pPr>
              <w:pStyle w:val="196"/>
            </w:pPr>
            <w:r>
              <w:rPr>
                <w:rFonts w:hint="eastAsia"/>
              </w:rPr>
              <w:t>mg/L</w:t>
            </w:r>
          </w:p>
        </w:tc>
        <w:tc>
          <w:tcPr>
            <w:tcW w:w="511" w:type="pct"/>
            <w:vAlign w:val="center"/>
          </w:tcPr>
          <w:p w14:paraId="7EC428DD">
            <w:pPr>
              <w:pStyle w:val="196"/>
            </w:pPr>
            <w:r>
              <w:rPr>
                <w:rFonts w:hint="eastAsia"/>
              </w:rPr>
              <w:t>t/a</w:t>
            </w:r>
          </w:p>
        </w:tc>
      </w:tr>
      <w:tr w14:paraId="5526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7" w:type="pct"/>
            <w:vAlign w:val="center"/>
          </w:tcPr>
          <w:p w14:paraId="04DCFB5D">
            <w:pPr>
              <w:pStyle w:val="196"/>
            </w:pPr>
            <w:r>
              <w:rPr>
                <w:rFonts w:hint="eastAsia"/>
              </w:rPr>
              <w:t>初期雨水</w:t>
            </w:r>
          </w:p>
        </w:tc>
        <w:tc>
          <w:tcPr>
            <w:tcW w:w="1150" w:type="dxa"/>
            <w:vAlign w:val="center"/>
          </w:tcPr>
          <w:p w14:paraId="2CA3E3DF">
            <w:pPr>
              <w:pStyle w:val="196"/>
            </w:pPr>
            <w:r>
              <w:rPr>
                <w:rFonts w:hint="eastAsia"/>
              </w:rPr>
              <w:t>1725.12</w:t>
            </w:r>
          </w:p>
        </w:tc>
        <w:tc>
          <w:tcPr>
            <w:tcW w:w="1282" w:type="dxa"/>
            <w:vAlign w:val="center"/>
          </w:tcPr>
          <w:p w14:paraId="2669A79F">
            <w:pPr>
              <w:pStyle w:val="196"/>
            </w:pPr>
            <w:r>
              <w:rPr>
                <w:rFonts w:hint="eastAsia"/>
              </w:rPr>
              <w:t>100</w:t>
            </w:r>
          </w:p>
        </w:tc>
        <w:tc>
          <w:tcPr>
            <w:tcW w:w="1098" w:type="dxa"/>
            <w:vAlign w:val="center"/>
          </w:tcPr>
          <w:p w14:paraId="3E504EC9">
            <w:pPr>
              <w:pStyle w:val="196"/>
            </w:pPr>
            <w:r>
              <w:rPr>
                <w:rFonts w:hint="eastAsia"/>
              </w:rPr>
              <w:t>0.173</w:t>
            </w:r>
          </w:p>
        </w:tc>
        <w:tc>
          <w:tcPr>
            <w:tcW w:w="993" w:type="dxa"/>
            <w:vAlign w:val="center"/>
          </w:tcPr>
          <w:p w14:paraId="29EB4E8F">
            <w:pPr>
              <w:pStyle w:val="196"/>
            </w:pPr>
            <w:r>
              <w:rPr>
                <w:rFonts w:hint="eastAsia"/>
              </w:rPr>
              <w:t>400</w:t>
            </w:r>
          </w:p>
        </w:tc>
        <w:tc>
          <w:tcPr>
            <w:tcW w:w="960" w:type="dxa"/>
            <w:vAlign w:val="center"/>
          </w:tcPr>
          <w:p w14:paraId="4331A01C">
            <w:pPr>
              <w:pStyle w:val="196"/>
            </w:pPr>
            <w:r>
              <w:rPr>
                <w:rFonts w:hint="eastAsia"/>
              </w:rPr>
              <w:t>0.690</w:t>
            </w:r>
          </w:p>
        </w:tc>
        <w:tc>
          <w:tcPr>
            <w:tcW w:w="993" w:type="dxa"/>
            <w:vAlign w:val="center"/>
          </w:tcPr>
          <w:p w14:paraId="61D83C0B">
            <w:pPr>
              <w:pStyle w:val="196"/>
            </w:pPr>
            <w:r>
              <w:rPr>
                <w:rFonts w:hint="eastAsia"/>
              </w:rPr>
              <w:t>20</w:t>
            </w:r>
          </w:p>
        </w:tc>
        <w:tc>
          <w:tcPr>
            <w:tcW w:w="850" w:type="dxa"/>
            <w:vAlign w:val="center"/>
          </w:tcPr>
          <w:p w14:paraId="3F846516">
            <w:pPr>
              <w:pStyle w:val="196"/>
            </w:pPr>
            <w:r>
              <w:rPr>
                <w:rFonts w:hint="eastAsia"/>
              </w:rPr>
              <w:t xml:space="preserve">0.035 </w:t>
            </w:r>
          </w:p>
        </w:tc>
      </w:tr>
    </w:tbl>
    <w:p w14:paraId="4E0C7B0D">
      <w:pPr>
        <w:pStyle w:val="93"/>
      </w:pPr>
      <w:bookmarkStart w:id="207" w:name="_Hlk181747241"/>
      <w:bookmarkStart w:id="208" w:name="_Hlk181748170"/>
      <w:r>
        <w:rPr>
          <w:rFonts w:hint="eastAsia"/>
        </w:rPr>
        <w:t>4、码头面冲洗废水</w:t>
      </w:r>
    </w:p>
    <w:bookmarkEnd w:id="207"/>
    <w:p w14:paraId="4FD97B1D">
      <w:pPr>
        <w:pStyle w:val="93"/>
      </w:pPr>
      <w:r>
        <w:rPr>
          <w:rFonts w:hint="eastAsia"/>
        </w:rPr>
        <w:t>码头装卸作业过后，作业平台有撒漏料，若不进行处理会有扬尘产生，因此在装卸后对装卸平台进行清扫并及时对码头平台进行冲洗。根据《水运工程环境保护设计规范》（JTS149-2018），冲洗水量可取3L/m</w:t>
      </w:r>
      <w:r>
        <w:rPr>
          <w:rFonts w:hint="eastAsia"/>
          <w:vertAlign w:val="superscript"/>
        </w:rPr>
        <w:t>2</w:t>
      </w:r>
      <w:r>
        <w:rPr>
          <w:rFonts w:hint="eastAsia"/>
        </w:rPr>
        <w:t>•次～5L/m</w:t>
      </w:r>
      <w:r>
        <w:rPr>
          <w:rFonts w:hint="eastAsia"/>
          <w:vertAlign w:val="superscript"/>
        </w:rPr>
        <w:t>2</w:t>
      </w:r>
      <w:r>
        <w:rPr>
          <w:rFonts w:hint="eastAsia"/>
        </w:rPr>
        <w:t>•次，本次评价按</w:t>
      </w:r>
      <w:r>
        <w:t>4</w:t>
      </w:r>
      <w:r>
        <w:rPr>
          <w:rFonts w:hint="eastAsia"/>
        </w:rPr>
        <w:t>L/m</w:t>
      </w:r>
      <w:r>
        <w:rPr>
          <w:rFonts w:hint="eastAsia"/>
          <w:vertAlign w:val="superscript"/>
        </w:rPr>
        <w:t>2</w:t>
      </w:r>
      <w:r>
        <w:rPr>
          <w:rFonts w:hint="eastAsia"/>
        </w:rPr>
        <w:t>•次计，煤码头作业区面积按7243m</w:t>
      </w:r>
      <w:r>
        <w:rPr>
          <w:rFonts w:hint="eastAsia"/>
          <w:vertAlign w:val="superscript"/>
        </w:rPr>
        <w:t>2</w:t>
      </w:r>
      <w:r>
        <w:rPr>
          <w:rFonts w:hint="eastAsia"/>
        </w:rPr>
        <w:t>（陆域面积9584-疏港道路面积2341=7243m</w:t>
      </w:r>
      <w:r>
        <w:rPr>
          <w:rFonts w:hint="eastAsia"/>
          <w:vertAlign w:val="superscript"/>
        </w:rPr>
        <w:t>2</w:t>
      </w:r>
      <w:r>
        <w:rPr>
          <w:rFonts w:hint="eastAsia"/>
        </w:rPr>
        <w:t>）计，全年按照每周冲洗1次，年营运天数330d，则码头面、转运站冲洗用水量为</w:t>
      </w:r>
      <w:r>
        <w:t>1564</w:t>
      </w:r>
      <w:r>
        <w:rPr>
          <w:rFonts w:hint="eastAsia"/>
        </w:rPr>
        <w:t>m</w:t>
      </w:r>
      <w:r>
        <w:rPr>
          <w:rFonts w:hint="eastAsia"/>
          <w:vertAlign w:val="superscript"/>
        </w:rPr>
        <w:t>3</w:t>
      </w:r>
      <w:r>
        <w:rPr>
          <w:rFonts w:hint="eastAsia"/>
        </w:rPr>
        <w:t>/a。冲洗用水损耗量以10%计，则码头面、转运站全年冲洗污水产生量约为</w:t>
      </w:r>
      <w:r>
        <w:t>1408</w:t>
      </w:r>
      <w:r>
        <w:rPr>
          <w:rFonts w:hint="eastAsia"/>
        </w:rPr>
        <w:t>m</w:t>
      </w:r>
      <w:r>
        <w:rPr>
          <w:rFonts w:hint="eastAsia"/>
          <w:vertAlign w:val="superscript"/>
        </w:rPr>
        <w:t>3</w:t>
      </w:r>
      <w:r>
        <w:rPr>
          <w:rFonts w:hint="eastAsia"/>
        </w:rPr>
        <w:t>/a（</w:t>
      </w:r>
      <w:r>
        <w:t>1564</w:t>
      </w:r>
      <w:r>
        <w:rPr>
          <w:rFonts w:hint="eastAsia"/>
        </w:rPr>
        <w:t>m</w:t>
      </w:r>
      <w:r>
        <w:rPr>
          <w:rFonts w:hint="eastAsia"/>
          <w:vertAlign w:val="superscript"/>
        </w:rPr>
        <w:t>3</w:t>
      </w:r>
      <w:r>
        <w:rPr>
          <w:rFonts w:hint="eastAsia"/>
        </w:rPr>
        <w:t>/a×90%=</w:t>
      </w:r>
      <w:r>
        <w:t>1408</w:t>
      </w:r>
      <w:r>
        <w:rPr>
          <w:rFonts w:hint="eastAsia"/>
        </w:rPr>
        <w:t>m</w:t>
      </w:r>
      <w:r>
        <w:rPr>
          <w:rFonts w:hint="eastAsia"/>
          <w:vertAlign w:val="superscript"/>
        </w:rPr>
        <w:t>3</w:t>
      </w:r>
      <w:r>
        <w:rPr>
          <w:rFonts w:hint="eastAsia"/>
        </w:rPr>
        <w:t>/a）。主要污染物为SS，类比泰州港靖江港区新港作业区深国际物流中心码头工程，SS浓度为1000mg/L。码头冲洗废水经排水沟收集排入国能涟水一期热电联产项目含煤废水处理系统处理后用作厂区煤场喷淋和输煤栈桥冲洗，不外排。含煤废水处理系统处理能力为20t/h，处理工艺为沉煤池+电子絮凝沉淀+澄清、过滤处理。</w:t>
      </w:r>
    </w:p>
    <w:bookmarkEnd w:id="208"/>
    <w:p w14:paraId="50514AE8">
      <w:pPr>
        <w:pStyle w:val="93"/>
      </w:pPr>
      <w:r>
        <w:rPr>
          <w:rFonts w:hint="eastAsia"/>
        </w:rPr>
        <w:t>5、洒水抑尘废水</w:t>
      </w:r>
    </w:p>
    <w:p w14:paraId="59B386B7">
      <w:pPr>
        <w:ind w:firstLine="480"/>
      </w:pPr>
      <w:r>
        <w:rPr>
          <w:rFonts w:hint="eastAsia"/>
        </w:rPr>
        <w:t>燃煤在卸船过程中进行洒水抑尘。</w:t>
      </w:r>
      <w:r>
        <w:t>本码头</w:t>
      </w:r>
      <w:r>
        <w:rPr>
          <w:rFonts w:hint="eastAsia"/>
        </w:rPr>
        <w:t>燃煤卸船量为11</w:t>
      </w:r>
      <w:r>
        <w:t>2</w:t>
      </w:r>
      <w:r>
        <w:rPr>
          <w:rFonts w:hint="eastAsia"/>
        </w:rPr>
        <w:t>万吨</w:t>
      </w:r>
      <w:r>
        <w:t>。</w:t>
      </w:r>
      <w:r>
        <w:rPr>
          <w:rFonts w:hint="eastAsia"/>
        </w:rPr>
        <w:t>煤炭</w:t>
      </w:r>
      <w:r>
        <w:t>的自然含水率按</w:t>
      </w:r>
      <w:r>
        <w:rPr>
          <w:rFonts w:hint="eastAsia"/>
        </w:rPr>
        <w:t>10</w:t>
      </w:r>
      <w:r>
        <w:t>%计，使</w:t>
      </w:r>
      <w:r>
        <w:rPr>
          <w:rFonts w:hint="eastAsia"/>
        </w:rPr>
        <w:t>煤炭</w:t>
      </w:r>
      <w:r>
        <w:t>含水率达到</w:t>
      </w:r>
      <w:r>
        <w:rPr>
          <w:rFonts w:hint="eastAsia"/>
        </w:rPr>
        <w:t>12</w:t>
      </w:r>
      <w:r>
        <w:t>%可有效减少粉尘，</w:t>
      </w:r>
      <w:r>
        <w:rPr>
          <w:rFonts w:hint="eastAsia"/>
        </w:rPr>
        <w:t>考虑淮安市年降雨天数90天，按照2</w:t>
      </w:r>
      <w:r>
        <w:t>40</w:t>
      </w:r>
      <w:r>
        <w:rPr>
          <w:rFonts w:hint="eastAsia"/>
        </w:rPr>
        <w:t>天计算用水量，</w:t>
      </w:r>
      <w:r>
        <w:t>则需要用水14662m</w:t>
      </w:r>
      <w:r>
        <w:rPr>
          <w:vertAlign w:val="superscript"/>
        </w:rPr>
        <w:t>3</w:t>
      </w:r>
      <w:r>
        <w:t>/a。该部分用水进入</w:t>
      </w:r>
      <w:r>
        <w:rPr>
          <w:rFonts w:hint="eastAsia"/>
        </w:rPr>
        <w:t>煤炭</w:t>
      </w:r>
      <w:r>
        <w:t>及蒸发，无废水产生</w:t>
      </w:r>
      <w:r>
        <w:rPr>
          <w:rFonts w:hint="eastAsia"/>
        </w:rPr>
        <w:t>。</w:t>
      </w:r>
    </w:p>
    <w:p w14:paraId="5744028E">
      <w:pPr>
        <w:ind w:firstLine="480"/>
      </w:pPr>
      <w:r>
        <w:rPr>
          <w:rFonts w:hint="eastAsia"/>
        </w:rPr>
        <w:t>6、机械设备冲洗废水</w:t>
      </w:r>
    </w:p>
    <w:p w14:paraId="6722E6E3">
      <w:pPr>
        <w:pStyle w:val="93"/>
      </w:pPr>
      <w:bookmarkStart w:id="209" w:name="OLE_LINK28"/>
      <w:r>
        <w:rPr>
          <w:rFonts w:hint="eastAsia"/>
        </w:rPr>
        <w:t>工艺流动机械按2台考虑，冲洗的数量按50%计，冲洗水量按600L/台·次考虑，每天一次，则机械冲洗用水量为0.</w:t>
      </w:r>
      <w:r>
        <w:t>6m</w:t>
      </w:r>
      <w:r>
        <w:rPr>
          <w:vertAlign w:val="superscript"/>
        </w:rPr>
        <w:t>3</w:t>
      </w:r>
      <w:r>
        <w:t>/d</w:t>
      </w:r>
      <w:r>
        <w:rPr>
          <w:rFonts w:hint="eastAsia"/>
        </w:rPr>
        <w:t>。机械冲洗过程会产生含油废水，该废水产生随其他因素变化较大且不稳定。排放系数取0.8，机修废水排放量为</w:t>
      </w:r>
      <w:r>
        <w:t>158.4</w:t>
      </w:r>
      <w:r>
        <w:rPr>
          <w:rFonts w:hint="eastAsia"/>
        </w:rPr>
        <w:t>m</w:t>
      </w:r>
      <w:r>
        <w:rPr>
          <w:rFonts w:hint="eastAsia"/>
          <w:vertAlign w:val="superscript"/>
        </w:rPr>
        <w:t>3</w:t>
      </w:r>
      <w:r>
        <w:rPr>
          <w:rFonts w:hint="eastAsia"/>
        </w:rPr>
        <w:t>/a。该类废水的主要污染物为COD、SS和石油类，石油类浓度为400mg/L，SS浓度为200mg/L，COD浓度约为150mg/L。本项目依托后方厂区的机修间承担装卸机械的保养与小修任务，机修废水依托后方厂区的污水处理设施处理。</w:t>
      </w:r>
    </w:p>
    <w:bookmarkEnd w:id="209"/>
    <w:p w14:paraId="4100827C">
      <w:pPr>
        <w:ind w:firstLine="480"/>
        <w:rPr>
          <w:bCs/>
        </w:rPr>
      </w:pPr>
      <w:r>
        <w:rPr>
          <w:rFonts w:hint="eastAsia"/>
          <w:bCs/>
        </w:rPr>
        <w:t>废水污染物的产生源强汇总见表</w:t>
      </w:r>
      <w:r>
        <w:rPr>
          <w:bCs/>
        </w:rPr>
        <w:t>3.8-1</w:t>
      </w:r>
      <w:r>
        <w:rPr>
          <w:rFonts w:hint="eastAsia"/>
          <w:bCs/>
        </w:rPr>
        <w:t>5。</w:t>
      </w:r>
    </w:p>
    <w:p w14:paraId="4B9A97BA">
      <w:pPr>
        <w:pStyle w:val="86"/>
      </w:pPr>
      <w:r>
        <w:rPr>
          <w:rFonts w:hint="eastAsia"/>
        </w:rPr>
        <w:t>项目营运期废水污染物产生源强</w:t>
      </w:r>
    </w:p>
    <w:tbl>
      <w:tblPr>
        <w:tblStyle w:val="38"/>
        <w:tblW w:w="5427" w:type="pct"/>
        <w:jc w:val="center"/>
        <w:tblLayout w:type="fixed"/>
        <w:tblCellMar>
          <w:top w:w="0" w:type="dxa"/>
          <w:left w:w="108" w:type="dxa"/>
          <w:bottom w:w="0" w:type="dxa"/>
          <w:right w:w="108" w:type="dxa"/>
        </w:tblCellMar>
      </w:tblPr>
      <w:tblGrid>
        <w:gridCol w:w="1517"/>
        <w:gridCol w:w="816"/>
        <w:gridCol w:w="869"/>
        <w:gridCol w:w="834"/>
        <w:gridCol w:w="709"/>
        <w:gridCol w:w="895"/>
        <w:gridCol w:w="832"/>
        <w:gridCol w:w="1075"/>
        <w:gridCol w:w="951"/>
        <w:gridCol w:w="751"/>
      </w:tblGrid>
      <w:tr w14:paraId="5398FAEC">
        <w:tblPrEx>
          <w:tblCellMar>
            <w:top w:w="0" w:type="dxa"/>
            <w:left w:w="108" w:type="dxa"/>
            <w:bottom w:w="0" w:type="dxa"/>
            <w:right w:w="108" w:type="dxa"/>
          </w:tblCellMar>
        </w:tblPrEx>
        <w:trPr>
          <w:trHeight w:val="288" w:hRule="atLeast"/>
          <w:tblHeader/>
          <w:jc w:val="center"/>
        </w:trPr>
        <w:tc>
          <w:tcPr>
            <w:tcW w:w="82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B9BC2">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废水来源</w:t>
            </w:r>
          </w:p>
        </w:tc>
        <w:tc>
          <w:tcPr>
            <w:tcW w:w="44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53052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废水量</w:t>
            </w:r>
            <w:r>
              <w:rPr>
                <w:rFonts w:hint="eastAsia" w:ascii="宋体" w:hAnsi="宋体" w:eastAsia="宋体" w:cs="宋体"/>
                <w:b/>
                <w:bCs/>
                <w:kern w:val="0"/>
                <w:sz w:val="21"/>
                <w:lang w:eastAsia="zh-CN"/>
              </w:rPr>
              <w:t>（</w:t>
            </w:r>
            <w:r>
              <w:rPr>
                <w:rFonts w:eastAsia="宋体" w:cs="Times New Roman"/>
                <w:b/>
                <w:bCs/>
                <w:kern w:val="0"/>
                <w:sz w:val="21"/>
              </w:rPr>
              <w:t>m</w:t>
            </w:r>
            <w:r>
              <w:rPr>
                <w:rFonts w:eastAsia="宋体" w:cs="Times New Roman"/>
                <w:b/>
                <w:bCs/>
                <w:kern w:val="0"/>
                <w:sz w:val="21"/>
                <w:vertAlign w:val="superscript"/>
              </w:rPr>
              <w:t>3</w:t>
            </w:r>
            <w:r>
              <w:rPr>
                <w:rFonts w:eastAsia="宋体" w:cs="Times New Roman"/>
                <w:b/>
                <w:bCs/>
                <w:kern w:val="0"/>
                <w:sz w:val="21"/>
              </w:rPr>
              <w:t>/a</w:t>
            </w:r>
            <w:r>
              <w:rPr>
                <w:rFonts w:hint="eastAsia" w:eastAsia="宋体" w:cs="Times New Roman"/>
                <w:b/>
                <w:bCs/>
                <w:kern w:val="0"/>
                <w:sz w:val="21"/>
                <w:lang w:eastAsia="zh-CN"/>
              </w:rPr>
              <w:t>）</w:t>
            </w:r>
          </w:p>
        </w:tc>
        <w:tc>
          <w:tcPr>
            <w:tcW w:w="4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F9219B">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污染物名称</w:t>
            </w:r>
          </w:p>
        </w:tc>
        <w:tc>
          <w:tcPr>
            <w:tcW w:w="834" w:type="pct"/>
            <w:gridSpan w:val="2"/>
            <w:tcBorders>
              <w:top w:val="single" w:color="auto" w:sz="4" w:space="0"/>
              <w:left w:val="nil"/>
              <w:bottom w:val="single" w:color="auto" w:sz="4" w:space="0"/>
              <w:right w:val="single" w:color="auto" w:sz="4" w:space="0"/>
            </w:tcBorders>
            <w:shd w:val="clear" w:color="auto" w:fill="auto"/>
            <w:vAlign w:val="center"/>
          </w:tcPr>
          <w:p w14:paraId="7B8ADD8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产生情况</w:t>
            </w:r>
          </w:p>
        </w:tc>
        <w:tc>
          <w:tcPr>
            <w:tcW w:w="48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61299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治理措施</w:t>
            </w:r>
          </w:p>
        </w:tc>
        <w:tc>
          <w:tcPr>
            <w:tcW w:w="4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85131E">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去除效率（</w:t>
            </w:r>
            <w:r>
              <w:rPr>
                <w:rFonts w:eastAsia="宋体" w:cs="Times New Roman"/>
                <w:b/>
                <w:bCs/>
                <w:kern w:val="0"/>
                <w:sz w:val="21"/>
              </w:rPr>
              <w:t>%</w:t>
            </w:r>
            <w:r>
              <w:rPr>
                <w:rFonts w:hint="eastAsia" w:ascii="宋体" w:hAnsi="宋体" w:eastAsia="宋体" w:cs="宋体"/>
                <w:b/>
                <w:bCs/>
                <w:kern w:val="0"/>
                <w:sz w:val="21"/>
              </w:rPr>
              <w:t>）</w:t>
            </w:r>
          </w:p>
        </w:tc>
        <w:tc>
          <w:tcPr>
            <w:tcW w:w="1095" w:type="pct"/>
            <w:gridSpan w:val="2"/>
            <w:tcBorders>
              <w:top w:val="single" w:color="auto" w:sz="4" w:space="0"/>
              <w:left w:val="nil"/>
              <w:bottom w:val="single" w:color="auto" w:sz="4" w:space="0"/>
              <w:right w:val="single" w:color="auto" w:sz="4" w:space="0"/>
            </w:tcBorders>
            <w:shd w:val="clear" w:color="auto" w:fill="auto"/>
            <w:vAlign w:val="center"/>
          </w:tcPr>
          <w:p w14:paraId="6F3B458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排放</w:t>
            </w:r>
            <w:r>
              <w:rPr>
                <w:rFonts w:eastAsia="宋体" w:cs="Times New Roman"/>
                <w:b/>
                <w:bCs/>
                <w:kern w:val="0"/>
                <w:sz w:val="21"/>
              </w:rPr>
              <w:t>/</w:t>
            </w:r>
            <w:r>
              <w:rPr>
                <w:rFonts w:hint="eastAsia" w:ascii="宋体" w:hAnsi="宋体" w:eastAsia="宋体" w:cs="宋体"/>
                <w:b/>
                <w:bCs/>
                <w:kern w:val="0"/>
                <w:sz w:val="21"/>
              </w:rPr>
              <w:t>接管情况</w:t>
            </w:r>
          </w:p>
        </w:tc>
        <w:tc>
          <w:tcPr>
            <w:tcW w:w="4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E65D6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排放去向</w:t>
            </w:r>
          </w:p>
        </w:tc>
      </w:tr>
      <w:tr w14:paraId="49C11CAC">
        <w:tblPrEx>
          <w:tblCellMar>
            <w:top w:w="0" w:type="dxa"/>
            <w:left w:w="108" w:type="dxa"/>
            <w:bottom w:w="0" w:type="dxa"/>
            <w:right w:w="108" w:type="dxa"/>
          </w:tblCellMar>
        </w:tblPrEx>
        <w:trPr>
          <w:trHeight w:val="276" w:hRule="atLeast"/>
          <w:tblHeader/>
          <w:jc w:val="center"/>
        </w:trPr>
        <w:tc>
          <w:tcPr>
            <w:tcW w:w="820" w:type="pct"/>
            <w:vMerge w:val="continue"/>
            <w:tcBorders>
              <w:top w:val="single" w:color="auto" w:sz="4" w:space="0"/>
              <w:left w:val="single" w:color="auto" w:sz="4" w:space="0"/>
              <w:bottom w:val="single" w:color="auto" w:sz="4" w:space="0"/>
              <w:right w:val="single" w:color="auto" w:sz="4" w:space="0"/>
            </w:tcBorders>
            <w:vAlign w:val="center"/>
          </w:tcPr>
          <w:p w14:paraId="2EDF21C7">
            <w:pPr>
              <w:spacing w:line="240" w:lineRule="auto"/>
              <w:ind w:firstLine="0" w:firstLineChars="0"/>
              <w:rPr>
                <w:rFonts w:hint="eastAsia" w:ascii="宋体" w:hAnsi="宋体" w:eastAsia="宋体" w:cs="宋体"/>
                <w:b/>
                <w:bCs/>
                <w:kern w:val="0"/>
                <w:sz w:val="21"/>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411F944D">
            <w:pPr>
              <w:spacing w:line="240" w:lineRule="auto"/>
              <w:ind w:firstLine="0" w:firstLineChars="0"/>
              <w:rPr>
                <w:rFonts w:hint="eastAsia" w:ascii="宋体" w:hAnsi="宋体" w:eastAsia="宋体" w:cs="宋体"/>
                <w:b/>
                <w:bCs/>
                <w:kern w:val="0"/>
                <w:sz w:val="21"/>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14:paraId="738932F9">
            <w:pPr>
              <w:spacing w:line="240" w:lineRule="auto"/>
              <w:ind w:firstLine="0" w:firstLineChars="0"/>
              <w:rPr>
                <w:rFonts w:hint="eastAsia" w:ascii="宋体" w:hAnsi="宋体" w:eastAsia="宋体" w:cs="宋体"/>
                <w:b/>
                <w:bCs/>
                <w:kern w:val="0"/>
                <w:sz w:val="21"/>
              </w:rPr>
            </w:pPr>
          </w:p>
        </w:tc>
        <w:tc>
          <w:tcPr>
            <w:tcW w:w="451" w:type="pct"/>
            <w:vMerge w:val="restart"/>
            <w:tcBorders>
              <w:top w:val="nil"/>
              <w:left w:val="single" w:color="auto" w:sz="4" w:space="0"/>
              <w:bottom w:val="single" w:color="auto" w:sz="4" w:space="0"/>
              <w:right w:val="single" w:color="auto" w:sz="4" w:space="0"/>
            </w:tcBorders>
            <w:shd w:val="clear" w:color="auto" w:fill="auto"/>
            <w:vAlign w:val="center"/>
          </w:tcPr>
          <w:p w14:paraId="717574F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浓度</w:t>
            </w:r>
            <w:r>
              <w:rPr>
                <w:rFonts w:hint="eastAsia" w:ascii="宋体" w:hAnsi="宋体" w:eastAsia="宋体" w:cs="宋体"/>
                <w:b/>
                <w:bCs/>
                <w:kern w:val="0"/>
                <w:sz w:val="21"/>
                <w:lang w:eastAsia="zh-CN"/>
              </w:rPr>
              <w:t>（</w:t>
            </w:r>
            <w:r>
              <w:rPr>
                <w:rFonts w:eastAsia="宋体" w:cs="Times New Roman"/>
                <w:b/>
                <w:bCs/>
                <w:kern w:val="0"/>
                <w:sz w:val="21"/>
              </w:rPr>
              <w:t>mg/L</w:t>
            </w:r>
            <w:r>
              <w:rPr>
                <w:rFonts w:hint="eastAsia" w:eastAsia="宋体" w:cs="Times New Roman"/>
                <w:b/>
                <w:bCs/>
                <w:kern w:val="0"/>
                <w:sz w:val="21"/>
                <w:lang w:eastAsia="zh-CN"/>
              </w:rPr>
              <w:t>）</w:t>
            </w:r>
          </w:p>
        </w:tc>
        <w:tc>
          <w:tcPr>
            <w:tcW w:w="383" w:type="pct"/>
            <w:vMerge w:val="restart"/>
            <w:tcBorders>
              <w:top w:val="nil"/>
              <w:left w:val="single" w:color="auto" w:sz="4" w:space="0"/>
              <w:bottom w:val="single" w:color="auto" w:sz="4" w:space="0"/>
              <w:right w:val="single" w:color="auto" w:sz="4" w:space="0"/>
            </w:tcBorders>
            <w:shd w:val="clear" w:color="auto" w:fill="auto"/>
            <w:vAlign w:val="center"/>
          </w:tcPr>
          <w:p w14:paraId="421500F8">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产生量</w:t>
            </w:r>
            <w:r>
              <w:rPr>
                <w:rFonts w:hint="eastAsia" w:ascii="宋体" w:hAnsi="宋体" w:eastAsia="宋体" w:cs="宋体"/>
                <w:b/>
                <w:bCs/>
                <w:kern w:val="0"/>
                <w:sz w:val="21"/>
                <w:lang w:eastAsia="zh-CN"/>
              </w:rPr>
              <w:t>（</w:t>
            </w:r>
            <w:r>
              <w:rPr>
                <w:rFonts w:eastAsia="宋体" w:cs="Times New Roman"/>
                <w:b/>
                <w:bCs/>
                <w:kern w:val="0"/>
                <w:sz w:val="21"/>
              </w:rPr>
              <w:t>t/a</w:t>
            </w:r>
            <w:r>
              <w:rPr>
                <w:rFonts w:hint="eastAsia" w:eastAsia="宋体" w:cs="Times New Roman"/>
                <w:b/>
                <w:bCs/>
                <w:kern w:val="0"/>
                <w:sz w:val="21"/>
                <w:lang w:eastAsia="zh-CN"/>
              </w:rPr>
              <w:t>）</w:t>
            </w:r>
          </w:p>
        </w:tc>
        <w:tc>
          <w:tcPr>
            <w:tcW w:w="484" w:type="pct"/>
            <w:vMerge w:val="continue"/>
            <w:tcBorders>
              <w:top w:val="single" w:color="auto" w:sz="4" w:space="0"/>
              <w:left w:val="single" w:color="auto" w:sz="4" w:space="0"/>
              <w:bottom w:val="single" w:color="auto" w:sz="4" w:space="0"/>
              <w:right w:val="single" w:color="auto" w:sz="4" w:space="0"/>
            </w:tcBorders>
            <w:vAlign w:val="center"/>
          </w:tcPr>
          <w:p w14:paraId="3AD310D2">
            <w:pPr>
              <w:spacing w:line="240" w:lineRule="auto"/>
              <w:ind w:firstLine="0" w:firstLineChars="0"/>
              <w:rPr>
                <w:rFonts w:hint="eastAsia" w:ascii="宋体" w:hAnsi="宋体" w:eastAsia="宋体" w:cs="宋体"/>
                <w:b/>
                <w:bCs/>
                <w:kern w:val="0"/>
                <w:sz w:val="21"/>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14:paraId="4E392340">
            <w:pPr>
              <w:spacing w:line="240" w:lineRule="auto"/>
              <w:ind w:firstLine="0" w:firstLineChars="0"/>
              <w:rPr>
                <w:rFonts w:hint="eastAsia" w:ascii="宋体" w:hAnsi="宋体" w:eastAsia="宋体" w:cs="宋体"/>
                <w:b/>
                <w:bCs/>
                <w:kern w:val="0"/>
                <w:sz w:val="21"/>
              </w:rPr>
            </w:pPr>
          </w:p>
        </w:tc>
        <w:tc>
          <w:tcPr>
            <w:tcW w:w="581" w:type="pct"/>
            <w:vMerge w:val="restart"/>
            <w:tcBorders>
              <w:top w:val="nil"/>
              <w:left w:val="single" w:color="auto" w:sz="4" w:space="0"/>
              <w:bottom w:val="single" w:color="auto" w:sz="4" w:space="0"/>
              <w:right w:val="single" w:color="auto" w:sz="4" w:space="0"/>
            </w:tcBorders>
            <w:shd w:val="clear" w:color="auto" w:fill="auto"/>
            <w:vAlign w:val="center"/>
          </w:tcPr>
          <w:p w14:paraId="010A3BB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浓度</w:t>
            </w:r>
            <w:r>
              <w:rPr>
                <w:rFonts w:hint="eastAsia" w:ascii="宋体" w:hAnsi="宋体" w:eastAsia="宋体" w:cs="宋体"/>
                <w:b/>
                <w:bCs/>
                <w:kern w:val="0"/>
                <w:sz w:val="21"/>
                <w:lang w:eastAsia="zh-CN"/>
              </w:rPr>
              <w:t>（</w:t>
            </w:r>
            <w:r>
              <w:rPr>
                <w:rFonts w:eastAsia="宋体" w:cs="Times New Roman"/>
                <w:b/>
                <w:bCs/>
                <w:kern w:val="0"/>
                <w:sz w:val="21"/>
              </w:rPr>
              <w:t>mg/L</w:t>
            </w:r>
            <w:r>
              <w:rPr>
                <w:rFonts w:hint="eastAsia" w:eastAsia="宋体" w:cs="Times New Roman"/>
                <w:b/>
                <w:bCs/>
                <w:kern w:val="0"/>
                <w:sz w:val="21"/>
                <w:lang w:eastAsia="zh-CN"/>
              </w:rPr>
              <w:t>）</w:t>
            </w:r>
          </w:p>
        </w:tc>
        <w:tc>
          <w:tcPr>
            <w:tcW w:w="514" w:type="pct"/>
            <w:vMerge w:val="restart"/>
            <w:tcBorders>
              <w:top w:val="nil"/>
              <w:left w:val="single" w:color="auto" w:sz="4" w:space="0"/>
              <w:bottom w:val="single" w:color="auto" w:sz="4" w:space="0"/>
              <w:right w:val="single" w:color="auto" w:sz="4" w:space="0"/>
            </w:tcBorders>
            <w:shd w:val="clear" w:color="auto" w:fill="auto"/>
            <w:vAlign w:val="center"/>
          </w:tcPr>
          <w:p w14:paraId="00A1EA2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排放量</w:t>
            </w:r>
            <w:r>
              <w:rPr>
                <w:rFonts w:hint="eastAsia" w:ascii="宋体" w:hAnsi="宋体" w:eastAsia="宋体" w:cs="宋体"/>
                <w:b/>
                <w:bCs/>
                <w:kern w:val="0"/>
                <w:sz w:val="21"/>
                <w:lang w:eastAsia="zh-CN"/>
              </w:rPr>
              <w:t>（</w:t>
            </w:r>
            <w:r>
              <w:rPr>
                <w:rFonts w:eastAsia="宋体" w:cs="Times New Roman"/>
                <w:b/>
                <w:bCs/>
                <w:kern w:val="0"/>
                <w:sz w:val="21"/>
              </w:rPr>
              <w:t>t/a</w:t>
            </w:r>
            <w:r>
              <w:rPr>
                <w:rFonts w:hint="eastAsia" w:eastAsia="宋体" w:cs="Times New Roman"/>
                <w:b/>
                <w:bCs/>
                <w:kern w:val="0"/>
                <w:sz w:val="21"/>
                <w:lang w:eastAsia="zh-CN"/>
              </w:rPr>
              <w:t>）</w:t>
            </w: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5EA06149">
            <w:pPr>
              <w:spacing w:line="240" w:lineRule="auto"/>
              <w:ind w:firstLine="0" w:firstLineChars="0"/>
              <w:rPr>
                <w:rFonts w:hint="eastAsia" w:ascii="宋体" w:hAnsi="宋体" w:eastAsia="宋体" w:cs="宋体"/>
                <w:b/>
                <w:bCs/>
                <w:kern w:val="0"/>
                <w:sz w:val="21"/>
              </w:rPr>
            </w:pPr>
          </w:p>
        </w:tc>
      </w:tr>
      <w:tr w14:paraId="36B0E607">
        <w:tblPrEx>
          <w:tblCellMar>
            <w:top w:w="0" w:type="dxa"/>
            <w:left w:w="108" w:type="dxa"/>
            <w:bottom w:w="0" w:type="dxa"/>
            <w:right w:w="108" w:type="dxa"/>
          </w:tblCellMar>
        </w:tblPrEx>
        <w:trPr>
          <w:trHeight w:val="276" w:hRule="atLeast"/>
          <w:tblHeader/>
          <w:jc w:val="center"/>
        </w:trPr>
        <w:tc>
          <w:tcPr>
            <w:tcW w:w="820" w:type="pct"/>
            <w:vMerge w:val="continue"/>
            <w:tcBorders>
              <w:top w:val="single" w:color="auto" w:sz="4" w:space="0"/>
              <w:left w:val="single" w:color="auto" w:sz="4" w:space="0"/>
              <w:bottom w:val="single" w:color="auto" w:sz="4" w:space="0"/>
              <w:right w:val="single" w:color="auto" w:sz="4" w:space="0"/>
            </w:tcBorders>
            <w:vAlign w:val="center"/>
          </w:tcPr>
          <w:p w14:paraId="1075DA57">
            <w:pPr>
              <w:spacing w:line="240" w:lineRule="auto"/>
              <w:ind w:firstLine="0" w:firstLineChars="0"/>
              <w:rPr>
                <w:rFonts w:hint="eastAsia" w:ascii="宋体" w:hAnsi="宋体" w:eastAsia="宋体" w:cs="宋体"/>
                <w:kern w:val="0"/>
                <w:sz w:val="21"/>
              </w:rPr>
            </w:pPr>
          </w:p>
        </w:tc>
        <w:tc>
          <w:tcPr>
            <w:tcW w:w="441" w:type="pct"/>
            <w:vMerge w:val="continue"/>
            <w:tcBorders>
              <w:top w:val="single" w:color="auto" w:sz="4" w:space="0"/>
              <w:left w:val="single" w:color="auto" w:sz="4" w:space="0"/>
              <w:bottom w:val="single" w:color="auto" w:sz="4" w:space="0"/>
              <w:right w:val="single" w:color="auto" w:sz="4" w:space="0"/>
            </w:tcBorders>
            <w:vAlign w:val="center"/>
          </w:tcPr>
          <w:p w14:paraId="1445E5A5">
            <w:pPr>
              <w:spacing w:line="240" w:lineRule="auto"/>
              <w:ind w:firstLine="0" w:firstLineChars="0"/>
              <w:rPr>
                <w:rFonts w:hint="eastAsia" w:ascii="宋体" w:hAnsi="宋体" w:eastAsia="宋体" w:cs="宋体"/>
                <w:kern w:val="0"/>
                <w:sz w:val="21"/>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14:paraId="58879A98">
            <w:pPr>
              <w:spacing w:line="240" w:lineRule="auto"/>
              <w:ind w:firstLine="0" w:firstLineChars="0"/>
              <w:rPr>
                <w:rFonts w:hint="eastAsia" w:ascii="宋体" w:hAnsi="宋体" w:eastAsia="宋体" w:cs="宋体"/>
                <w:kern w:val="0"/>
                <w:sz w:val="21"/>
              </w:rPr>
            </w:pPr>
          </w:p>
        </w:tc>
        <w:tc>
          <w:tcPr>
            <w:tcW w:w="451" w:type="pct"/>
            <w:vMerge w:val="continue"/>
            <w:tcBorders>
              <w:top w:val="nil"/>
              <w:left w:val="single" w:color="auto" w:sz="4" w:space="0"/>
              <w:bottom w:val="single" w:color="auto" w:sz="4" w:space="0"/>
              <w:right w:val="single" w:color="auto" w:sz="4" w:space="0"/>
            </w:tcBorders>
            <w:vAlign w:val="center"/>
          </w:tcPr>
          <w:p w14:paraId="6542A723">
            <w:pPr>
              <w:spacing w:line="240" w:lineRule="auto"/>
              <w:ind w:firstLine="0" w:firstLineChars="0"/>
              <w:rPr>
                <w:rFonts w:hint="eastAsia" w:ascii="宋体" w:hAnsi="宋体" w:eastAsia="宋体" w:cs="宋体"/>
                <w:kern w:val="0"/>
                <w:sz w:val="21"/>
              </w:rPr>
            </w:pPr>
          </w:p>
        </w:tc>
        <w:tc>
          <w:tcPr>
            <w:tcW w:w="383" w:type="pct"/>
            <w:vMerge w:val="continue"/>
            <w:tcBorders>
              <w:top w:val="nil"/>
              <w:left w:val="single" w:color="auto" w:sz="4" w:space="0"/>
              <w:bottom w:val="single" w:color="auto" w:sz="4" w:space="0"/>
              <w:right w:val="single" w:color="auto" w:sz="4" w:space="0"/>
            </w:tcBorders>
            <w:vAlign w:val="center"/>
          </w:tcPr>
          <w:p w14:paraId="4912D576">
            <w:pPr>
              <w:spacing w:line="240" w:lineRule="auto"/>
              <w:ind w:firstLine="0" w:firstLineChars="0"/>
              <w:rPr>
                <w:rFonts w:hint="eastAsia" w:ascii="宋体" w:hAnsi="宋体" w:eastAsia="宋体" w:cs="宋体"/>
                <w:kern w:val="0"/>
                <w:sz w:val="21"/>
              </w:rPr>
            </w:pPr>
          </w:p>
        </w:tc>
        <w:tc>
          <w:tcPr>
            <w:tcW w:w="484" w:type="pct"/>
            <w:vMerge w:val="continue"/>
            <w:tcBorders>
              <w:top w:val="single" w:color="auto" w:sz="4" w:space="0"/>
              <w:left w:val="single" w:color="auto" w:sz="4" w:space="0"/>
              <w:bottom w:val="single" w:color="auto" w:sz="4" w:space="0"/>
              <w:right w:val="single" w:color="auto" w:sz="4" w:space="0"/>
            </w:tcBorders>
            <w:vAlign w:val="center"/>
          </w:tcPr>
          <w:p w14:paraId="7293F159">
            <w:pPr>
              <w:spacing w:line="240" w:lineRule="auto"/>
              <w:ind w:firstLine="0" w:firstLineChars="0"/>
              <w:rPr>
                <w:rFonts w:hint="eastAsia" w:ascii="宋体" w:hAnsi="宋体" w:eastAsia="宋体" w:cs="宋体"/>
                <w:kern w:val="0"/>
                <w:sz w:val="21"/>
              </w:rPr>
            </w:pPr>
          </w:p>
        </w:tc>
        <w:tc>
          <w:tcPr>
            <w:tcW w:w="450" w:type="pct"/>
            <w:vMerge w:val="continue"/>
            <w:tcBorders>
              <w:top w:val="single" w:color="auto" w:sz="4" w:space="0"/>
              <w:left w:val="single" w:color="auto" w:sz="4" w:space="0"/>
              <w:bottom w:val="single" w:color="auto" w:sz="4" w:space="0"/>
              <w:right w:val="single" w:color="auto" w:sz="4" w:space="0"/>
            </w:tcBorders>
            <w:vAlign w:val="center"/>
          </w:tcPr>
          <w:p w14:paraId="309EC93C">
            <w:pPr>
              <w:spacing w:line="240" w:lineRule="auto"/>
              <w:ind w:firstLine="0" w:firstLineChars="0"/>
              <w:rPr>
                <w:rFonts w:hint="eastAsia" w:ascii="宋体" w:hAnsi="宋体" w:eastAsia="宋体" w:cs="宋体"/>
                <w:kern w:val="0"/>
                <w:sz w:val="21"/>
              </w:rPr>
            </w:pPr>
          </w:p>
        </w:tc>
        <w:tc>
          <w:tcPr>
            <w:tcW w:w="581" w:type="pct"/>
            <w:vMerge w:val="continue"/>
            <w:tcBorders>
              <w:top w:val="nil"/>
              <w:left w:val="single" w:color="auto" w:sz="4" w:space="0"/>
              <w:bottom w:val="single" w:color="auto" w:sz="4" w:space="0"/>
              <w:right w:val="single" w:color="auto" w:sz="4" w:space="0"/>
            </w:tcBorders>
            <w:vAlign w:val="center"/>
          </w:tcPr>
          <w:p w14:paraId="569ADDD5">
            <w:pPr>
              <w:spacing w:line="240" w:lineRule="auto"/>
              <w:ind w:firstLine="0" w:firstLineChars="0"/>
              <w:rPr>
                <w:rFonts w:hint="eastAsia" w:ascii="宋体" w:hAnsi="宋体" w:eastAsia="宋体" w:cs="宋体"/>
                <w:kern w:val="0"/>
                <w:sz w:val="21"/>
              </w:rPr>
            </w:pPr>
          </w:p>
        </w:tc>
        <w:tc>
          <w:tcPr>
            <w:tcW w:w="514" w:type="pct"/>
            <w:vMerge w:val="continue"/>
            <w:tcBorders>
              <w:top w:val="nil"/>
              <w:left w:val="single" w:color="auto" w:sz="4" w:space="0"/>
              <w:bottom w:val="single" w:color="auto" w:sz="4" w:space="0"/>
              <w:right w:val="single" w:color="auto" w:sz="4" w:space="0"/>
            </w:tcBorders>
            <w:vAlign w:val="center"/>
          </w:tcPr>
          <w:p w14:paraId="0E3D28D2">
            <w:pPr>
              <w:spacing w:line="240" w:lineRule="auto"/>
              <w:ind w:firstLine="0" w:firstLineChars="0"/>
              <w:rPr>
                <w:rFonts w:hint="eastAsia" w:ascii="宋体" w:hAnsi="宋体" w:eastAsia="宋体" w:cs="宋体"/>
                <w:kern w:val="0"/>
                <w:sz w:val="21"/>
              </w:rPr>
            </w:pPr>
          </w:p>
        </w:tc>
        <w:tc>
          <w:tcPr>
            <w:tcW w:w="406" w:type="pct"/>
            <w:vMerge w:val="continue"/>
            <w:tcBorders>
              <w:top w:val="single" w:color="auto" w:sz="4" w:space="0"/>
              <w:left w:val="single" w:color="auto" w:sz="4" w:space="0"/>
              <w:bottom w:val="single" w:color="auto" w:sz="4" w:space="0"/>
              <w:right w:val="single" w:color="auto" w:sz="4" w:space="0"/>
            </w:tcBorders>
            <w:vAlign w:val="center"/>
          </w:tcPr>
          <w:p w14:paraId="5B53BE1B">
            <w:pPr>
              <w:spacing w:line="240" w:lineRule="auto"/>
              <w:ind w:firstLine="0" w:firstLineChars="0"/>
              <w:rPr>
                <w:rFonts w:hint="eastAsia" w:ascii="宋体" w:hAnsi="宋体" w:eastAsia="宋体" w:cs="宋体"/>
                <w:kern w:val="0"/>
                <w:sz w:val="21"/>
              </w:rPr>
            </w:pPr>
          </w:p>
        </w:tc>
      </w:tr>
      <w:tr w14:paraId="4255216B">
        <w:tblPrEx>
          <w:tblCellMar>
            <w:top w:w="0" w:type="dxa"/>
            <w:left w:w="108" w:type="dxa"/>
            <w:bottom w:w="0" w:type="dxa"/>
            <w:right w:w="108" w:type="dxa"/>
          </w:tblCellMar>
        </w:tblPrEx>
        <w:trPr>
          <w:trHeight w:val="276" w:hRule="atLeast"/>
          <w:jc w:val="center"/>
        </w:trPr>
        <w:tc>
          <w:tcPr>
            <w:tcW w:w="820" w:type="pct"/>
            <w:vMerge w:val="restart"/>
            <w:tcBorders>
              <w:top w:val="nil"/>
              <w:left w:val="single" w:color="auto" w:sz="4" w:space="0"/>
              <w:bottom w:val="single" w:color="auto" w:sz="4" w:space="0"/>
              <w:right w:val="single" w:color="auto" w:sz="4" w:space="0"/>
            </w:tcBorders>
            <w:shd w:val="clear" w:color="auto" w:fill="auto"/>
            <w:vAlign w:val="center"/>
          </w:tcPr>
          <w:p w14:paraId="3B757AA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船舶生活污水</w:t>
            </w:r>
          </w:p>
        </w:tc>
        <w:tc>
          <w:tcPr>
            <w:tcW w:w="441" w:type="pct"/>
            <w:vMerge w:val="restart"/>
            <w:tcBorders>
              <w:top w:val="nil"/>
              <w:left w:val="single" w:color="auto" w:sz="4" w:space="0"/>
              <w:bottom w:val="single" w:color="auto" w:sz="4" w:space="0"/>
              <w:right w:val="single" w:color="auto" w:sz="4" w:space="0"/>
            </w:tcBorders>
            <w:shd w:val="clear" w:color="auto" w:fill="auto"/>
            <w:noWrap/>
            <w:vAlign w:val="center"/>
          </w:tcPr>
          <w:p w14:paraId="24F01A69">
            <w:pPr>
              <w:spacing w:line="240" w:lineRule="auto"/>
              <w:ind w:firstLine="0" w:firstLineChars="0"/>
              <w:jc w:val="center"/>
              <w:rPr>
                <w:rFonts w:eastAsia="等线" w:cs="Times New Roman"/>
                <w:kern w:val="0"/>
                <w:sz w:val="21"/>
              </w:rPr>
            </w:pPr>
            <w:r>
              <w:rPr>
                <w:rFonts w:eastAsia="等线" w:cs="Times New Roman"/>
                <w:kern w:val="0"/>
                <w:sz w:val="21"/>
              </w:rPr>
              <w:t>1470.2</w:t>
            </w:r>
          </w:p>
        </w:tc>
        <w:tc>
          <w:tcPr>
            <w:tcW w:w="470" w:type="pct"/>
            <w:tcBorders>
              <w:top w:val="nil"/>
              <w:left w:val="nil"/>
              <w:bottom w:val="single" w:color="auto" w:sz="4" w:space="0"/>
              <w:right w:val="single" w:color="auto" w:sz="4" w:space="0"/>
            </w:tcBorders>
            <w:shd w:val="clear" w:color="auto" w:fill="auto"/>
            <w:vAlign w:val="center"/>
          </w:tcPr>
          <w:p w14:paraId="2A3206A3">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451" w:type="pct"/>
            <w:tcBorders>
              <w:top w:val="nil"/>
              <w:left w:val="nil"/>
              <w:bottom w:val="single" w:color="auto" w:sz="4" w:space="0"/>
              <w:right w:val="single" w:color="auto" w:sz="4" w:space="0"/>
            </w:tcBorders>
            <w:shd w:val="clear" w:color="auto" w:fill="auto"/>
            <w:vAlign w:val="center"/>
          </w:tcPr>
          <w:p w14:paraId="5C35628C">
            <w:pPr>
              <w:spacing w:line="240" w:lineRule="auto"/>
              <w:ind w:firstLine="0" w:firstLineChars="0"/>
              <w:jc w:val="center"/>
              <w:rPr>
                <w:rFonts w:eastAsia="等线" w:cs="Times New Roman"/>
                <w:kern w:val="0"/>
                <w:sz w:val="21"/>
              </w:rPr>
            </w:pPr>
            <w:r>
              <w:rPr>
                <w:rFonts w:eastAsia="等线" w:cs="Times New Roman"/>
                <w:kern w:val="0"/>
                <w:sz w:val="21"/>
              </w:rPr>
              <w:t>400</w:t>
            </w:r>
          </w:p>
        </w:tc>
        <w:tc>
          <w:tcPr>
            <w:tcW w:w="383" w:type="pct"/>
            <w:tcBorders>
              <w:top w:val="nil"/>
              <w:left w:val="nil"/>
              <w:bottom w:val="single" w:color="auto" w:sz="4" w:space="0"/>
              <w:right w:val="single" w:color="auto" w:sz="4" w:space="0"/>
            </w:tcBorders>
            <w:shd w:val="clear" w:color="auto" w:fill="auto"/>
            <w:vAlign w:val="center"/>
          </w:tcPr>
          <w:p w14:paraId="07126BB4">
            <w:pPr>
              <w:spacing w:line="240" w:lineRule="auto"/>
              <w:ind w:firstLine="0" w:firstLineChars="0"/>
              <w:jc w:val="center"/>
              <w:rPr>
                <w:rFonts w:eastAsia="等线" w:cs="Times New Roman"/>
                <w:kern w:val="0"/>
                <w:sz w:val="21"/>
              </w:rPr>
            </w:pPr>
            <w:r>
              <w:rPr>
                <w:rFonts w:eastAsia="等线" w:cs="Times New Roman"/>
                <w:kern w:val="0"/>
                <w:sz w:val="21"/>
              </w:rPr>
              <w:t>0.588</w:t>
            </w:r>
          </w:p>
        </w:tc>
        <w:tc>
          <w:tcPr>
            <w:tcW w:w="484" w:type="pct"/>
            <w:vMerge w:val="restart"/>
            <w:tcBorders>
              <w:top w:val="nil"/>
              <w:left w:val="single" w:color="auto" w:sz="4" w:space="0"/>
              <w:bottom w:val="single" w:color="auto" w:sz="4" w:space="0"/>
              <w:right w:val="single" w:color="auto" w:sz="4" w:space="0"/>
            </w:tcBorders>
            <w:shd w:val="clear" w:color="auto" w:fill="auto"/>
            <w:vAlign w:val="center"/>
          </w:tcPr>
          <w:p w14:paraId="68BA9FD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化粪池</w:t>
            </w:r>
          </w:p>
        </w:tc>
        <w:tc>
          <w:tcPr>
            <w:tcW w:w="450" w:type="pct"/>
            <w:tcBorders>
              <w:top w:val="nil"/>
              <w:left w:val="nil"/>
              <w:bottom w:val="single" w:color="auto" w:sz="4" w:space="0"/>
              <w:right w:val="single" w:color="auto" w:sz="4" w:space="0"/>
            </w:tcBorders>
            <w:shd w:val="clear" w:color="auto" w:fill="auto"/>
            <w:vAlign w:val="center"/>
          </w:tcPr>
          <w:p w14:paraId="5A9412CA">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7DA1B4FB">
            <w:pPr>
              <w:spacing w:line="240" w:lineRule="auto"/>
              <w:ind w:firstLine="0" w:firstLineChars="0"/>
              <w:jc w:val="center"/>
              <w:rPr>
                <w:rFonts w:eastAsia="等线" w:cs="Times New Roman"/>
                <w:kern w:val="0"/>
                <w:sz w:val="21"/>
              </w:rPr>
            </w:pPr>
            <w:r>
              <w:rPr>
                <w:rFonts w:eastAsia="等线" w:cs="Times New Roman"/>
                <w:kern w:val="0"/>
                <w:sz w:val="21"/>
              </w:rPr>
              <w:t>200</w:t>
            </w:r>
          </w:p>
        </w:tc>
        <w:tc>
          <w:tcPr>
            <w:tcW w:w="514" w:type="pct"/>
            <w:tcBorders>
              <w:top w:val="nil"/>
              <w:left w:val="nil"/>
              <w:bottom w:val="single" w:color="auto" w:sz="4" w:space="0"/>
              <w:right w:val="single" w:color="auto" w:sz="4" w:space="0"/>
            </w:tcBorders>
            <w:shd w:val="clear" w:color="auto" w:fill="auto"/>
            <w:vAlign w:val="center"/>
          </w:tcPr>
          <w:p w14:paraId="3FA90D13">
            <w:pPr>
              <w:spacing w:line="240" w:lineRule="auto"/>
              <w:ind w:firstLine="0" w:firstLineChars="0"/>
              <w:jc w:val="center"/>
              <w:rPr>
                <w:rFonts w:eastAsia="等线" w:cs="Times New Roman"/>
                <w:kern w:val="0"/>
                <w:sz w:val="21"/>
              </w:rPr>
            </w:pPr>
            <w:r>
              <w:rPr>
                <w:rFonts w:eastAsia="等线" w:cs="Times New Roman"/>
                <w:kern w:val="0"/>
                <w:sz w:val="21"/>
              </w:rPr>
              <w:t>0.294</w:t>
            </w:r>
          </w:p>
        </w:tc>
        <w:tc>
          <w:tcPr>
            <w:tcW w:w="406" w:type="pct"/>
            <w:vMerge w:val="restart"/>
            <w:tcBorders>
              <w:top w:val="nil"/>
              <w:left w:val="single" w:color="auto" w:sz="4" w:space="0"/>
              <w:bottom w:val="single" w:color="auto" w:sz="4" w:space="0"/>
              <w:right w:val="single" w:color="auto" w:sz="4" w:space="0"/>
            </w:tcBorders>
            <w:shd w:val="clear" w:color="auto" w:fill="auto"/>
            <w:vAlign w:val="center"/>
          </w:tcPr>
          <w:p w14:paraId="5367708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接管至国能涟水一期热电联产项目厂区污水处理站，处理后全部回用</w:t>
            </w:r>
          </w:p>
        </w:tc>
      </w:tr>
      <w:tr w14:paraId="0611F8D8">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56EFE40E">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4C0CD34A">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23128E6F">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19EEF5EB">
            <w:pPr>
              <w:spacing w:line="240" w:lineRule="auto"/>
              <w:ind w:firstLine="0" w:firstLineChars="0"/>
              <w:jc w:val="center"/>
              <w:rPr>
                <w:rFonts w:eastAsia="等线" w:cs="Times New Roman"/>
                <w:kern w:val="0"/>
                <w:sz w:val="21"/>
              </w:rPr>
            </w:pPr>
            <w:r>
              <w:rPr>
                <w:rFonts w:eastAsia="等线" w:cs="Times New Roman"/>
                <w:kern w:val="0"/>
                <w:sz w:val="21"/>
              </w:rPr>
              <w:t>300</w:t>
            </w:r>
          </w:p>
        </w:tc>
        <w:tc>
          <w:tcPr>
            <w:tcW w:w="383" w:type="pct"/>
            <w:tcBorders>
              <w:top w:val="nil"/>
              <w:left w:val="nil"/>
              <w:bottom w:val="single" w:color="auto" w:sz="4" w:space="0"/>
              <w:right w:val="single" w:color="auto" w:sz="4" w:space="0"/>
            </w:tcBorders>
            <w:shd w:val="clear" w:color="auto" w:fill="auto"/>
            <w:vAlign w:val="center"/>
          </w:tcPr>
          <w:p w14:paraId="7F5CF7AF">
            <w:pPr>
              <w:spacing w:line="240" w:lineRule="auto"/>
              <w:ind w:firstLine="0" w:firstLineChars="0"/>
              <w:jc w:val="center"/>
              <w:rPr>
                <w:rFonts w:eastAsia="等线" w:cs="Times New Roman"/>
                <w:kern w:val="0"/>
                <w:sz w:val="21"/>
              </w:rPr>
            </w:pPr>
            <w:r>
              <w:rPr>
                <w:rFonts w:eastAsia="等线" w:cs="Times New Roman"/>
                <w:kern w:val="0"/>
                <w:sz w:val="21"/>
              </w:rPr>
              <w:t>0.441</w:t>
            </w:r>
          </w:p>
        </w:tc>
        <w:tc>
          <w:tcPr>
            <w:tcW w:w="484" w:type="pct"/>
            <w:vMerge w:val="continue"/>
            <w:tcBorders>
              <w:top w:val="nil"/>
              <w:left w:val="single" w:color="auto" w:sz="4" w:space="0"/>
              <w:bottom w:val="single" w:color="auto" w:sz="4" w:space="0"/>
              <w:right w:val="single" w:color="auto" w:sz="4" w:space="0"/>
            </w:tcBorders>
            <w:vAlign w:val="center"/>
          </w:tcPr>
          <w:p w14:paraId="2C96E112">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334549FB">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0433DEE1">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514" w:type="pct"/>
            <w:tcBorders>
              <w:top w:val="nil"/>
              <w:left w:val="nil"/>
              <w:bottom w:val="single" w:color="auto" w:sz="4" w:space="0"/>
              <w:right w:val="single" w:color="auto" w:sz="4" w:space="0"/>
            </w:tcBorders>
            <w:shd w:val="clear" w:color="auto" w:fill="auto"/>
            <w:vAlign w:val="center"/>
          </w:tcPr>
          <w:p w14:paraId="54FA1629">
            <w:pPr>
              <w:spacing w:line="240" w:lineRule="auto"/>
              <w:ind w:firstLine="0" w:firstLineChars="0"/>
              <w:jc w:val="center"/>
              <w:rPr>
                <w:rFonts w:eastAsia="等线" w:cs="Times New Roman"/>
                <w:kern w:val="0"/>
                <w:sz w:val="21"/>
              </w:rPr>
            </w:pPr>
            <w:r>
              <w:rPr>
                <w:rFonts w:eastAsia="等线" w:cs="Times New Roman"/>
                <w:kern w:val="0"/>
                <w:sz w:val="21"/>
              </w:rPr>
              <w:t>0.147</w:t>
            </w:r>
          </w:p>
        </w:tc>
        <w:tc>
          <w:tcPr>
            <w:tcW w:w="406" w:type="pct"/>
            <w:vMerge w:val="continue"/>
            <w:tcBorders>
              <w:top w:val="nil"/>
              <w:left w:val="single" w:color="auto" w:sz="4" w:space="0"/>
              <w:bottom w:val="single" w:color="auto" w:sz="4" w:space="0"/>
              <w:right w:val="single" w:color="auto" w:sz="4" w:space="0"/>
            </w:tcBorders>
            <w:vAlign w:val="center"/>
          </w:tcPr>
          <w:p w14:paraId="1930F41F">
            <w:pPr>
              <w:spacing w:line="240" w:lineRule="auto"/>
              <w:ind w:firstLine="0" w:firstLineChars="0"/>
              <w:rPr>
                <w:rFonts w:hint="eastAsia" w:ascii="宋体" w:hAnsi="宋体" w:eastAsia="宋体" w:cs="宋体"/>
                <w:kern w:val="0"/>
                <w:sz w:val="21"/>
              </w:rPr>
            </w:pPr>
          </w:p>
        </w:tc>
      </w:tr>
      <w:tr w14:paraId="2D722F52">
        <w:tblPrEx>
          <w:tblCellMar>
            <w:top w:w="0" w:type="dxa"/>
            <w:left w:w="108" w:type="dxa"/>
            <w:bottom w:w="0" w:type="dxa"/>
            <w:right w:w="108" w:type="dxa"/>
          </w:tblCellMar>
        </w:tblPrEx>
        <w:trPr>
          <w:trHeight w:val="324"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7A84370E">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3D4103F4">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024188D4">
            <w:pPr>
              <w:spacing w:line="240" w:lineRule="auto"/>
              <w:ind w:firstLine="0" w:firstLineChars="0"/>
              <w:jc w:val="center"/>
              <w:rPr>
                <w:rFonts w:eastAsia="等线" w:cs="Times New Roman"/>
                <w:kern w:val="0"/>
                <w:sz w:val="21"/>
              </w:rPr>
            </w:pPr>
            <w:r>
              <w:rPr>
                <w:rFonts w:eastAsia="等线" w:cs="Times New Roman"/>
                <w:kern w:val="0"/>
                <w:sz w:val="21"/>
              </w:rPr>
              <w:t>NH</w:t>
            </w:r>
            <w:r>
              <w:rPr>
                <w:rFonts w:eastAsia="等线" w:cs="Times New Roman"/>
                <w:kern w:val="0"/>
                <w:sz w:val="21"/>
                <w:vertAlign w:val="subscript"/>
              </w:rPr>
              <w:t>3</w:t>
            </w:r>
            <w:r>
              <w:rPr>
                <w:rFonts w:eastAsia="等线" w:cs="Times New Roman"/>
                <w:kern w:val="0"/>
                <w:sz w:val="21"/>
              </w:rPr>
              <w:t>-N</w:t>
            </w:r>
          </w:p>
        </w:tc>
        <w:tc>
          <w:tcPr>
            <w:tcW w:w="451" w:type="pct"/>
            <w:tcBorders>
              <w:top w:val="nil"/>
              <w:left w:val="nil"/>
              <w:bottom w:val="single" w:color="auto" w:sz="4" w:space="0"/>
              <w:right w:val="single" w:color="auto" w:sz="4" w:space="0"/>
            </w:tcBorders>
            <w:shd w:val="clear" w:color="auto" w:fill="auto"/>
            <w:vAlign w:val="center"/>
          </w:tcPr>
          <w:p w14:paraId="272AD0AF">
            <w:pPr>
              <w:spacing w:line="240" w:lineRule="auto"/>
              <w:ind w:firstLine="0" w:firstLineChars="0"/>
              <w:jc w:val="center"/>
              <w:rPr>
                <w:rFonts w:eastAsia="等线" w:cs="Times New Roman"/>
                <w:kern w:val="0"/>
                <w:sz w:val="21"/>
              </w:rPr>
            </w:pPr>
            <w:r>
              <w:rPr>
                <w:rFonts w:eastAsia="等线" w:cs="Times New Roman"/>
                <w:kern w:val="0"/>
                <w:sz w:val="21"/>
              </w:rPr>
              <w:t>35</w:t>
            </w:r>
          </w:p>
        </w:tc>
        <w:tc>
          <w:tcPr>
            <w:tcW w:w="383" w:type="pct"/>
            <w:tcBorders>
              <w:top w:val="nil"/>
              <w:left w:val="nil"/>
              <w:bottom w:val="single" w:color="auto" w:sz="4" w:space="0"/>
              <w:right w:val="single" w:color="auto" w:sz="4" w:space="0"/>
            </w:tcBorders>
            <w:shd w:val="clear" w:color="auto" w:fill="auto"/>
            <w:vAlign w:val="center"/>
          </w:tcPr>
          <w:p w14:paraId="30948EBD">
            <w:pPr>
              <w:spacing w:line="240" w:lineRule="auto"/>
              <w:ind w:firstLine="0" w:firstLineChars="0"/>
              <w:jc w:val="center"/>
              <w:rPr>
                <w:rFonts w:eastAsia="等线" w:cs="Times New Roman"/>
                <w:kern w:val="0"/>
                <w:sz w:val="21"/>
              </w:rPr>
            </w:pPr>
            <w:r>
              <w:rPr>
                <w:rFonts w:eastAsia="等线" w:cs="Times New Roman"/>
                <w:kern w:val="0"/>
                <w:sz w:val="21"/>
              </w:rPr>
              <w:t>0.051</w:t>
            </w:r>
          </w:p>
        </w:tc>
        <w:tc>
          <w:tcPr>
            <w:tcW w:w="484" w:type="pct"/>
            <w:vMerge w:val="continue"/>
            <w:tcBorders>
              <w:top w:val="nil"/>
              <w:left w:val="single" w:color="auto" w:sz="4" w:space="0"/>
              <w:bottom w:val="single" w:color="auto" w:sz="4" w:space="0"/>
              <w:right w:val="single" w:color="auto" w:sz="4" w:space="0"/>
            </w:tcBorders>
            <w:vAlign w:val="center"/>
          </w:tcPr>
          <w:p w14:paraId="4E34A5E0">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54CC6B93">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4147C124">
            <w:pPr>
              <w:spacing w:line="240" w:lineRule="auto"/>
              <w:ind w:firstLine="0" w:firstLineChars="0"/>
              <w:jc w:val="center"/>
              <w:rPr>
                <w:rFonts w:eastAsia="等线" w:cs="Times New Roman"/>
                <w:kern w:val="0"/>
                <w:sz w:val="21"/>
              </w:rPr>
            </w:pPr>
            <w:r>
              <w:rPr>
                <w:rFonts w:eastAsia="等线" w:cs="Times New Roman"/>
                <w:kern w:val="0"/>
                <w:sz w:val="21"/>
              </w:rPr>
              <w:t>20</w:t>
            </w:r>
          </w:p>
        </w:tc>
        <w:tc>
          <w:tcPr>
            <w:tcW w:w="514" w:type="pct"/>
            <w:tcBorders>
              <w:top w:val="nil"/>
              <w:left w:val="nil"/>
              <w:bottom w:val="single" w:color="auto" w:sz="4" w:space="0"/>
              <w:right w:val="single" w:color="auto" w:sz="4" w:space="0"/>
            </w:tcBorders>
            <w:shd w:val="clear" w:color="auto" w:fill="auto"/>
            <w:vAlign w:val="center"/>
          </w:tcPr>
          <w:p w14:paraId="78C95AA4">
            <w:pPr>
              <w:spacing w:line="240" w:lineRule="auto"/>
              <w:ind w:firstLine="0" w:firstLineChars="0"/>
              <w:jc w:val="center"/>
              <w:rPr>
                <w:rFonts w:eastAsia="等线" w:cs="Times New Roman"/>
                <w:kern w:val="0"/>
                <w:sz w:val="21"/>
              </w:rPr>
            </w:pPr>
            <w:r>
              <w:rPr>
                <w:rFonts w:eastAsia="等线" w:cs="Times New Roman"/>
                <w:kern w:val="0"/>
                <w:sz w:val="21"/>
              </w:rPr>
              <w:t>0.029</w:t>
            </w:r>
          </w:p>
        </w:tc>
        <w:tc>
          <w:tcPr>
            <w:tcW w:w="406" w:type="pct"/>
            <w:vMerge w:val="continue"/>
            <w:tcBorders>
              <w:top w:val="nil"/>
              <w:left w:val="single" w:color="auto" w:sz="4" w:space="0"/>
              <w:bottom w:val="single" w:color="auto" w:sz="4" w:space="0"/>
              <w:right w:val="single" w:color="auto" w:sz="4" w:space="0"/>
            </w:tcBorders>
            <w:vAlign w:val="center"/>
          </w:tcPr>
          <w:p w14:paraId="5FA73A3D">
            <w:pPr>
              <w:spacing w:line="240" w:lineRule="auto"/>
              <w:ind w:firstLine="0" w:firstLineChars="0"/>
              <w:rPr>
                <w:rFonts w:hint="eastAsia" w:ascii="宋体" w:hAnsi="宋体" w:eastAsia="宋体" w:cs="宋体"/>
                <w:kern w:val="0"/>
                <w:sz w:val="21"/>
              </w:rPr>
            </w:pPr>
          </w:p>
        </w:tc>
      </w:tr>
      <w:tr w14:paraId="28EE69F8">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108E2B9E">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392C032C">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6882805B">
            <w:pPr>
              <w:spacing w:line="240" w:lineRule="auto"/>
              <w:ind w:firstLine="0" w:firstLineChars="0"/>
              <w:jc w:val="center"/>
              <w:rPr>
                <w:rFonts w:eastAsia="等线" w:cs="Times New Roman"/>
                <w:kern w:val="0"/>
                <w:sz w:val="21"/>
              </w:rPr>
            </w:pPr>
            <w:r>
              <w:rPr>
                <w:rFonts w:eastAsia="等线" w:cs="Times New Roman"/>
                <w:kern w:val="0"/>
                <w:sz w:val="21"/>
              </w:rPr>
              <w:t>TN</w:t>
            </w:r>
          </w:p>
        </w:tc>
        <w:tc>
          <w:tcPr>
            <w:tcW w:w="451" w:type="pct"/>
            <w:tcBorders>
              <w:top w:val="nil"/>
              <w:left w:val="nil"/>
              <w:bottom w:val="single" w:color="auto" w:sz="4" w:space="0"/>
              <w:right w:val="single" w:color="auto" w:sz="4" w:space="0"/>
            </w:tcBorders>
            <w:shd w:val="clear" w:color="auto" w:fill="auto"/>
            <w:vAlign w:val="center"/>
          </w:tcPr>
          <w:p w14:paraId="718306EF">
            <w:pPr>
              <w:spacing w:line="240" w:lineRule="auto"/>
              <w:ind w:firstLine="0" w:firstLineChars="0"/>
              <w:jc w:val="center"/>
              <w:rPr>
                <w:rFonts w:eastAsia="等线" w:cs="Times New Roman"/>
                <w:kern w:val="0"/>
                <w:sz w:val="21"/>
              </w:rPr>
            </w:pPr>
            <w:r>
              <w:rPr>
                <w:rFonts w:eastAsia="等线" w:cs="Times New Roman"/>
                <w:kern w:val="0"/>
                <w:sz w:val="21"/>
              </w:rPr>
              <w:t>45</w:t>
            </w:r>
          </w:p>
        </w:tc>
        <w:tc>
          <w:tcPr>
            <w:tcW w:w="383" w:type="pct"/>
            <w:tcBorders>
              <w:top w:val="nil"/>
              <w:left w:val="nil"/>
              <w:bottom w:val="single" w:color="auto" w:sz="4" w:space="0"/>
              <w:right w:val="single" w:color="auto" w:sz="4" w:space="0"/>
            </w:tcBorders>
            <w:shd w:val="clear" w:color="auto" w:fill="auto"/>
            <w:vAlign w:val="center"/>
          </w:tcPr>
          <w:p w14:paraId="4AAE03E6">
            <w:pPr>
              <w:spacing w:line="240" w:lineRule="auto"/>
              <w:ind w:firstLine="0" w:firstLineChars="0"/>
              <w:jc w:val="center"/>
              <w:rPr>
                <w:rFonts w:eastAsia="等线" w:cs="Times New Roman"/>
                <w:kern w:val="0"/>
                <w:sz w:val="21"/>
              </w:rPr>
            </w:pPr>
            <w:r>
              <w:rPr>
                <w:rFonts w:eastAsia="等线" w:cs="Times New Roman"/>
                <w:kern w:val="0"/>
                <w:sz w:val="21"/>
              </w:rPr>
              <w:t>0.066</w:t>
            </w:r>
          </w:p>
        </w:tc>
        <w:tc>
          <w:tcPr>
            <w:tcW w:w="484" w:type="pct"/>
            <w:vMerge w:val="continue"/>
            <w:tcBorders>
              <w:top w:val="nil"/>
              <w:left w:val="single" w:color="auto" w:sz="4" w:space="0"/>
              <w:bottom w:val="single" w:color="auto" w:sz="4" w:space="0"/>
              <w:right w:val="single" w:color="auto" w:sz="4" w:space="0"/>
            </w:tcBorders>
            <w:vAlign w:val="center"/>
          </w:tcPr>
          <w:p w14:paraId="10D858D0">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56D3D743">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17F60BEB">
            <w:pPr>
              <w:spacing w:line="240" w:lineRule="auto"/>
              <w:ind w:firstLine="0" w:firstLineChars="0"/>
              <w:jc w:val="center"/>
              <w:rPr>
                <w:rFonts w:eastAsia="等线" w:cs="Times New Roman"/>
                <w:kern w:val="0"/>
                <w:sz w:val="21"/>
              </w:rPr>
            </w:pPr>
            <w:r>
              <w:rPr>
                <w:rFonts w:eastAsia="等线" w:cs="Times New Roman"/>
                <w:kern w:val="0"/>
                <w:sz w:val="21"/>
              </w:rPr>
              <w:t>25</w:t>
            </w:r>
          </w:p>
        </w:tc>
        <w:tc>
          <w:tcPr>
            <w:tcW w:w="514" w:type="pct"/>
            <w:tcBorders>
              <w:top w:val="nil"/>
              <w:left w:val="nil"/>
              <w:bottom w:val="single" w:color="auto" w:sz="4" w:space="0"/>
              <w:right w:val="single" w:color="auto" w:sz="4" w:space="0"/>
            </w:tcBorders>
            <w:shd w:val="clear" w:color="auto" w:fill="auto"/>
            <w:vAlign w:val="center"/>
          </w:tcPr>
          <w:p w14:paraId="55340365">
            <w:pPr>
              <w:spacing w:line="240" w:lineRule="auto"/>
              <w:ind w:firstLine="0" w:firstLineChars="0"/>
              <w:jc w:val="center"/>
              <w:rPr>
                <w:rFonts w:eastAsia="等线" w:cs="Times New Roman"/>
                <w:kern w:val="0"/>
                <w:sz w:val="21"/>
              </w:rPr>
            </w:pPr>
            <w:r>
              <w:rPr>
                <w:rFonts w:eastAsia="等线" w:cs="Times New Roman"/>
                <w:kern w:val="0"/>
                <w:sz w:val="21"/>
              </w:rPr>
              <w:t>0.037</w:t>
            </w:r>
          </w:p>
        </w:tc>
        <w:tc>
          <w:tcPr>
            <w:tcW w:w="406" w:type="pct"/>
            <w:vMerge w:val="continue"/>
            <w:tcBorders>
              <w:top w:val="nil"/>
              <w:left w:val="single" w:color="auto" w:sz="4" w:space="0"/>
              <w:bottom w:val="single" w:color="auto" w:sz="4" w:space="0"/>
              <w:right w:val="single" w:color="auto" w:sz="4" w:space="0"/>
            </w:tcBorders>
            <w:vAlign w:val="center"/>
          </w:tcPr>
          <w:p w14:paraId="47732F67">
            <w:pPr>
              <w:spacing w:line="240" w:lineRule="auto"/>
              <w:ind w:firstLine="0" w:firstLineChars="0"/>
              <w:rPr>
                <w:rFonts w:hint="eastAsia" w:ascii="宋体" w:hAnsi="宋体" w:eastAsia="宋体" w:cs="宋体"/>
                <w:kern w:val="0"/>
                <w:sz w:val="21"/>
              </w:rPr>
            </w:pPr>
          </w:p>
        </w:tc>
      </w:tr>
      <w:tr w14:paraId="0949CFF4">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5D6429FB">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66AB68AF">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58DBEDFF">
            <w:pPr>
              <w:spacing w:line="240" w:lineRule="auto"/>
              <w:ind w:firstLine="0" w:firstLineChars="0"/>
              <w:jc w:val="center"/>
              <w:rPr>
                <w:rFonts w:eastAsia="等线" w:cs="Times New Roman"/>
                <w:kern w:val="0"/>
                <w:sz w:val="21"/>
              </w:rPr>
            </w:pPr>
            <w:r>
              <w:rPr>
                <w:rFonts w:eastAsia="等线" w:cs="Times New Roman"/>
                <w:kern w:val="0"/>
                <w:sz w:val="21"/>
              </w:rPr>
              <w:t>TP</w:t>
            </w:r>
          </w:p>
        </w:tc>
        <w:tc>
          <w:tcPr>
            <w:tcW w:w="451" w:type="pct"/>
            <w:tcBorders>
              <w:top w:val="nil"/>
              <w:left w:val="nil"/>
              <w:bottom w:val="single" w:color="auto" w:sz="4" w:space="0"/>
              <w:right w:val="single" w:color="auto" w:sz="4" w:space="0"/>
            </w:tcBorders>
            <w:shd w:val="clear" w:color="auto" w:fill="auto"/>
            <w:vAlign w:val="center"/>
          </w:tcPr>
          <w:p w14:paraId="0846231C">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383" w:type="pct"/>
            <w:tcBorders>
              <w:top w:val="nil"/>
              <w:left w:val="nil"/>
              <w:bottom w:val="single" w:color="auto" w:sz="4" w:space="0"/>
              <w:right w:val="single" w:color="auto" w:sz="4" w:space="0"/>
            </w:tcBorders>
            <w:shd w:val="clear" w:color="auto" w:fill="auto"/>
            <w:vAlign w:val="center"/>
          </w:tcPr>
          <w:p w14:paraId="05BDA9FD">
            <w:pPr>
              <w:spacing w:line="240" w:lineRule="auto"/>
              <w:ind w:firstLine="0" w:firstLineChars="0"/>
              <w:jc w:val="center"/>
              <w:rPr>
                <w:rFonts w:eastAsia="等线" w:cs="Times New Roman"/>
                <w:kern w:val="0"/>
                <w:sz w:val="21"/>
              </w:rPr>
            </w:pPr>
            <w:r>
              <w:rPr>
                <w:rFonts w:eastAsia="等线" w:cs="Times New Roman"/>
                <w:kern w:val="0"/>
                <w:sz w:val="21"/>
              </w:rPr>
              <w:t>0.007</w:t>
            </w:r>
          </w:p>
        </w:tc>
        <w:tc>
          <w:tcPr>
            <w:tcW w:w="484" w:type="pct"/>
            <w:vMerge w:val="continue"/>
            <w:tcBorders>
              <w:top w:val="nil"/>
              <w:left w:val="single" w:color="auto" w:sz="4" w:space="0"/>
              <w:bottom w:val="single" w:color="auto" w:sz="4" w:space="0"/>
              <w:right w:val="single" w:color="auto" w:sz="4" w:space="0"/>
            </w:tcBorders>
            <w:vAlign w:val="center"/>
          </w:tcPr>
          <w:p w14:paraId="582F06F5">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1F2AB9C0">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4524BEEF">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514" w:type="pct"/>
            <w:tcBorders>
              <w:top w:val="nil"/>
              <w:left w:val="nil"/>
              <w:bottom w:val="single" w:color="auto" w:sz="4" w:space="0"/>
              <w:right w:val="single" w:color="auto" w:sz="4" w:space="0"/>
            </w:tcBorders>
            <w:shd w:val="clear" w:color="auto" w:fill="auto"/>
            <w:vAlign w:val="center"/>
          </w:tcPr>
          <w:p w14:paraId="2DBDBBE7">
            <w:pPr>
              <w:spacing w:line="240" w:lineRule="auto"/>
              <w:ind w:firstLine="0" w:firstLineChars="0"/>
              <w:jc w:val="center"/>
              <w:rPr>
                <w:rFonts w:eastAsia="等线" w:cs="Times New Roman"/>
                <w:kern w:val="0"/>
                <w:sz w:val="21"/>
              </w:rPr>
            </w:pPr>
            <w:r>
              <w:rPr>
                <w:rFonts w:eastAsia="等线" w:cs="Times New Roman"/>
                <w:kern w:val="0"/>
                <w:sz w:val="21"/>
              </w:rPr>
              <w:t>0.007</w:t>
            </w:r>
          </w:p>
        </w:tc>
        <w:tc>
          <w:tcPr>
            <w:tcW w:w="406" w:type="pct"/>
            <w:vMerge w:val="continue"/>
            <w:tcBorders>
              <w:top w:val="nil"/>
              <w:left w:val="single" w:color="auto" w:sz="4" w:space="0"/>
              <w:bottom w:val="single" w:color="auto" w:sz="4" w:space="0"/>
              <w:right w:val="single" w:color="auto" w:sz="4" w:space="0"/>
            </w:tcBorders>
            <w:vAlign w:val="center"/>
          </w:tcPr>
          <w:p w14:paraId="62DE6807">
            <w:pPr>
              <w:spacing w:line="240" w:lineRule="auto"/>
              <w:ind w:firstLine="0" w:firstLineChars="0"/>
              <w:rPr>
                <w:rFonts w:hint="eastAsia" w:ascii="宋体" w:hAnsi="宋体" w:eastAsia="宋体" w:cs="宋体"/>
                <w:kern w:val="0"/>
                <w:sz w:val="21"/>
              </w:rPr>
            </w:pPr>
          </w:p>
        </w:tc>
      </w:tr>
      <w:tr w14:paraId="1C6B6174">
        <w:tblPrEx>
          <w:tblCellMar>
            <w:top w:w="0" w:type="dxa"/>
            <w:left w:w="108" w:type="dxa"/>
            <w:bottom w:w="0" w:type="dxa"/>
            <w:right w:w="108" w:type="dxa"/>
          </w:tblCellMar>
        </w:tblPrEx>
        <w:trPr>
          <w:trHeight w:val="276" w:hRule="atLeast"/>
          <w:jc w:val="center"/>
        </w:trPr>
        <w:tc>
          <w:tcPr>
            <w:tcW w:w="820" w:type="pct"/>
            <w:vMerge w:val="restart"/>
            <w:tcBorders>
              <w:top w:val="nil"/>
              <w:left w:val="single" w:color="auto" w:sz="4" w:space="0"/>
              <w:bottom w:val="single" w:color="auto" w:sz="4" w:space="0"/>
              <w:right w:val="single" w:color="auto" w:sz="4" w:space="0"/>
            </w:tcBorders>
            <w:shd w:val="clear" w:color="auto" w:fill="auto"/>
            <w:vAlign w:val="center"/>
          </w:tcPr>
          <w:p w14:paraId="6FBB7D5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陆域生活污水</w:t>
            </w:r>
          </w:p>
        </w:tc>
        <w:tc>
          <w:tcPr>
            <w:tcW w:w="441" w:type="pct"/>
            <w:vMerge w:val="restart"/>
            <w:tcBorders>
              <w:top w:val="nil"/>
              <w:left w:val="single" w:color="auto" w:sz="4" w:space="0"/>
              <w:bottom w:val="single" w:color="auto" w:sz="4" w:space="0"/>
              <w:right w:val="single" w:color="auto" w:sz="4" w:space="0"/>
            </w:tcBorders>
            <w:shd w:val="clear" w:color="auto" w:fill="auto"/>
            <w:noWrap/>
            <w:vAlign w:val="center"/>
          </w:tcPr>
          <w:p w14:paraId="06C420D7">
            <w:pPr>
              <w:spacing w:line="240" w:lineRule="auto"/>
              <w:ind w:firstLine="0" w:firstLineChars="0"/>
              <w:jc w:val="center"/>
              <w:rPr>
                <w:rFonts w:eastAsia="等线" w:cs="Times New Roman"/>
                <w:kern w:val="0"/>
                <w:sz w:val="21"/>
              </w:rPr>
            </w:pPr>
            <w:r>
              <w:rPr>
                <w:rFonts w:eastAsia="等线" w:cs="Times New Roman"/>
                <w:kern w:val="0"/>
                <w:sz w:val="21"/>
              </w:rPr>
              <w:t>1336.5</w:t>
            </w:r>
          </w:p>
        </w:tc>
        <w:tc>
          <w:tcPr>
            <w:tcW w:w="470" w:type="pct"/>
            <w:tcBorders>
              <w:top w:val="nil"/>
              <w:left w:val="nil"/>
              <w:bottom w:val="single" w:color="auto" w:sz="4" w:space="0"/>
              <w:right w:val="single" w:color="auto" w:sz="4" w:space="0"/>
            </w:tcBorders>
            <w:shd w:val="clear" w:color="auto" w:fill="auto"/>
            <w:vAlign w:val="center"/>
          </w:tcPr>
          <w:p w14:paraId="2D2C8E6E">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451" w:type="pct"/>
            <w:tcBorders>
              <w:top w:val="nil"/>
              <w:left w:val="nil"/>
              <w:bottom w:val="single" w:color="auto" w:sz="4" w:space="0"/>
              <w:right w:val="single" w:color="auto" w:sz="4" w:space="0"/>
            </w:tcBorders>
            <w:shd w:val="clear" w:color="auto" w:fill="auto"/>
            <w:vAlign w:val="center"/>
          </w:tcPr>
          <w:p w14:paraId="2160DFE3">
            <w:pPr>
              <w:spacing w:line="240" w:lineRule="auto"/>
              <w:ind w:firstLine="0" w:firstLineChars="0"/>
              <w:jc w:val="center"/>
              <w:rPr>
                <w:rFonts w:eastAsia="等线" w:cs="Times New Roman"/>
                <w:kern w:val="0"/>
                <w:sz w:val="21"/>
              </w:rPr>
            </w:pPr>
            <w:r>
              <w:rPr>
                <w:rFonts w:eastAsia="等线" w:cs="Times New Roman"/>
                <w:kern w:val="0"/>
                <w:sz w:val="21"/>
              </w:rPr>
              <w:t>400</w:t>
            </w:r>
          </w:p>
        </w:tc>
        <w:tc>
          <w:tcPr>
            <w:tcW w:w="383" w:type="pct"/>
            <w:tcBorders>
              <w:top w:val="nil"/>
              <w:left w:val="nil"/>
              <w:bottom w:val="single" w:color="auto" w:sz="4" w:space="0"/>
              <w:right w:val="single" w:color="auto" w:sz="4" w:space="0"/>
            </w:tcBorders>
            <w:shd w:val="clear" w:color="auto" w:fill="auto"/>
            <w:vAlign w:val="center"/>
          </w:tcPr>
          <w:p w14:paraId="1C79DDB6">
            <w:pPr>
              <w:spacing w:line="240" w:lineRule="auto"/>
              <w:ind w:firstLine="0" w:firstLineChars="0"/>
              <w:jc w:val="center"/>
              <w:rPr>
                <w:rFonts w:eastAsia="等线" w:cs="Times New Roman"/>
                <w:kern w:val="0"/>
                <w:sz w:val="21"/>
              </w:rPr>
            </w:pPr>
            <w:r>
              <w:rPr>
                <w:rFonts w:eastAsia="等线" w:cs="Times New Roman"/>
                <w:kern w:val="0"/>
                <w:sz w:val="21"/>
              </w:rPr>
              <w:t>0.535</w:t>
            </w:r>
          </w:p>
        </w:tc>
        <w:tc>
          <w:tcPr>
            <w:tcW w:w="484" w:type="pct"/>
            <w:vMerge w:val="continue"/>
            <w:tcBorders>
              <w:top w:val="nil"/>
              <w:left w:val="single" w:color="auto" w:sz="4" w:space="0"/>
              <w:bottom w:val="single" w:color="auto" w:sz="4" w:space="0"/>
              <w:right w:val="single" w:color="auto" w:sz="4" w:space="0"/>
            </w:tcBorders>
            <w:vAlign w:val="center"/>
          </w:tcPr>
          <w:p w14:paraId="0A3B4538">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1EDB2E5E">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598E8864">
            <w:pPr>
              <w:spacing w:line="240" w:lineRule="auto"/>
              <w:ind w:firstLine="0" w:firstLineChars="0"/>
              <w:jc w:val="center"/>
              <w:rPr>
                <w:rFonts w:eastAsia="等线" w:cs="Times New Roman"/>
                <w:kern w:val="0"/>
                <w:sz w:val="21"/>
              </w:rPr>
            </w:pPr>
            <w:r>
              <w:rPr>
                <w:rFonts w:eastAsia="等线" w:cs="Times New Roman"/>
                <w:kern w:val="0"/>
                <w:sz w:val="21"/>
              </w:rPr>
              <w:t>200</w:t>
            </w:r>
          </w:p>
        </w:tc>
        <w:tc>
          <w:tcPr>
            <w:tcW w:w="514" w:type="pct"/>
            <w:tcBorders>
              <w:top w:val="nil"/>
              <w:left w:val="nil"/>
              <w:bottom w:val="single" w:color="auto" w:sz="4" w:space="0"/>
              <w:right w:val="single" w:color="auto" w:sz="4" w:space="0"/>
            </w:tcBorders>
            <w:shd w:val="clear" w:color="auto" w:fill="auto"/>
            <w:vAlign w:val="center"/>
          </w:tcPr>
          <w:p w14:paraId="4C133FAA">
            <w:pPr>
              <w:spacing w:line="240" w:lineRule="auto"/>
              <w:ind w:firstLine="0" w:firstLineChars="0"/>
              <w:jc w:val="center"/>
              <w:rPr>
                <w:rFonts w:eastAsia="等线" w:cs="Times New Roman"/>
                <w:kern w:val="0"/>
                <w:sz w:val="21"/>
              </w:rPr>
            </w:pPr>
            <w:r>
              <w:rPr>
                <w:rFonts w:eastAsia="等线" w:cs="Times New Roman"/>
                <w:kern w:val="0"/>
                <w:sz w:val="21"/>
              </w:rPr>
              <w:t>0.267</w:t>
            </w:r>
          </w:p>
        </w:tc>
        <w:tc>
          <w:tcPr>
            <w:tcW w:w="406" w:type="pct"/>
            <w:vMerge w:val="continue"/>
            <w:tcBorders>
              <w:top w:val="nil"/>
              <w:left w:val="single" w:color="auto" w:sz="4" w:space="0"/>
              <w:bottom w:val="single" w:color="auto" w:sz="4" w:space="0"/>
              <w:right w:val="single" w:color="auto" w:sz="4" w:space="0"/>
            </w:tcBorders>
            <w:vAlign w:val="center"/>
          </w:tcPr>
          <w:p w14:paraId="197E46B6">
            <w:pPr>
              <w:spacing w:line="240" w:lineRule="auto"/>
              <w:ind w:firstLine="0" w:firstLineChars="0"/>
              <w:rPr>
                <w:rFonts w:hint="eastAsia" w:ascii="宋体" w:hAnsi="宋体" w:eastAsia="宋体" w:cs="宋体"/>
                <w:kern w:val="0"/>
                <w:sz w:val="21"/>
              </w:rPr>
            </w:pPr>
          </w:p>
        </w:tc>
      </w:tr>
      <w:tr w14:paraId="24357232">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5E864E7E">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617E302E">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410B50F1">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6A2D0D88">
            <w:pPr>
              <w:spacing w:line="240" w:lineRule="auto"/>
              <w:ind w:firstLine="0" w:firstLineChars="0"/>
              <w:jc w:val="center"/>
              <w:rPr>
                <w:rFonts w:eastAsia="等线" w:cs="Times New Roman"/>
                <w:kern w:val="0"/>
                <w:sz w:val="21"/>
              </w:rPr>
            </w:pPr>
            <w:r>
              <w:rPr>
                <w:rFonts w:eastAsia="等线" w:cs="Times New Roman"/>
                <w:kern w:val="0"/>
                <w:sz w:val="21"/>
              </w:rPr>
              <w:t>300</w:t>
            </w:r>
          </w:p>
        </w:tc>
        <w:tc>
          <w:tcPr>
            <w:tcW w:w="383" w:type="pct"/>
            <w:tcBorders>
              <w:top w:val="nil"/>
              <w:left w:val="nil"/>
              <w:bottom w:val="single" w:color="auto" w:sz="4" w:space="0"/>
              <w:right w:val="single" w:color="auto" w:sz="4" w:space="0"/>
            </w:tcBorders>
            <w:shd w:val="clear" w:color="auto" w:fill="auto"/>
            <w:vAlign w:val="center"/>
          </w:tcPr>
          <w:p w14:paraId="5D6D0E65">
            <w:pPr>
              <w:spacing w:line="240" w:lineRule="auto"/>
              <w:ind w:firstLine="0" w:firstLineChars="0"/>
              <w:jc w:val="center"/>
              <w:rPr>
                <w:rFonts w:eastAsia="等线" w:cs="Times New Roman"/>
                <w:kern w:val="0"/>
                <w:sz w:val="21"/>
              </w:rPr>
            </w:pPr>
            <w:r>
              <w:rPr>
                <w:rFonts w:eastAsia="等线" w:cs="Times New Roman"/>
                <w:kern w:val="0"/>
                <w:sz w:val="21"/>
              </w:rPr>
              <w:t>0.401</w:t>
            </w:r>
          </w:p>
        </w:tc>
        <w:tc>
          <w:tcPr>
            <w:tcW w:w="484" w:type="pct"/>
            <w:vMerge w:val="continue"/>
            <w:tcBorders>
              <w:top w:val="nil"/>
              <w:left w:val="single" w:color="auto" w:sz="4" w:space="0"/>
              <w:bottom w:val="single" w:color="auto" w:sz="4" w:space="0"/>
              <w:right w:val="single" w:color="auto" w:sz="4" w:space="0"/>
            </w:tcBorders>
            <w:vAlign w:val="center"/>
          </w:tcPr>
          <w:p w14:paraId="3BCE196D">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6CB2312D">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0B158F9A">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514" w:type="pct"/>
            <w:tcBorders>
              <w:top w:val="nil"/>
              <w:left w:val="nil"/>
              <w:bottom w:val="single" w:color="auto" w:sz="4" w:space="0"/>
              <w:right w:val="single" w:color="auto" w:sz="4" w:space="0"/>
            </w:tcBorders>
            <w:shd w:val="clear" w:color="auto" w:fill="auto"/>
            <w:vAlign w:val="center"/>
          </w:tcPr>
          <w:p w14:paraId="5532AAFC">
            <w:pPr>
              <w:spacing w:line="240" w:lineRule="auto"/>
              <w:ind w:firstLine="0" w:firstLineChars="0"/>
              <w:jc w:val="center"/>
              <w:rPr>
                <w:rFonts w:eastAsia="等线" w:cs="Times New Roman"/>
                <w:kern w:val="0"/>
                <w:sz w:val="21"/>
              </w:rPr>
            </w:pPr>
            <w:r>
              <w:rPr>
                <w:rFonts w:eastAsia="等线" w:cs="Times New Roman"/>
                <w:kern w:val="0"/>
                <w:sz w:val="21"/>
              </w:rPr>
              <w:t>0.134</w:t>
            </w:r>
          </w:p>
        </w:tc>
        <w:tc>
          <w:tcPr>
            <w:tcW w:w="406" w:type="pct"/>
            <w:vMerge w:val="continue"/>
            <w:tcBorders>
              <w:top w:val="nil"/>
              <w:left w:val="single" w:color="auto" w:sz="4" w:space="0"/>
              <w:bottom w:val="single" w:color="auto" w:sz="4" w:space="0"/>
              <w:right w:val="single" w:color="auto" w:sz="4" w:space="0"/>
            </w:tcBorders>
            <w:vAlign w:val="center"/>
          </w:tcPr>
          <w:p w14:paraId="13D66D8D">
            <w:pPr>
              <w:spacing w:line="240" w:lineRule="auto"/>
              <w:ind w:firstLine="0" w:firstLineChars="0"/>
              <w:rPr>
                <w:rFonts w:hint="eastAsia" w:ascii="宋体" w:hAnsi="宋体" w:eastAsia="宋体" w:cs="宋体"/>
                <w:kern w:val="0"/>
                <w:sz w:val="21"/>
              </w:rPr>
            </w:pPr>
          </w:p>
        </w:tc>
      </w:tr>
      <w:tr w14:paraId="26274027">
        <w:tblPrEx>
          <w:tblCellMar>
            <w:top w:w="0" w:type="dxa"/>
            <w:left w:w="108" w:type="dxa"/>
            <w:bottom w:w="0" w:type="dxa"/>
            <w:right w:w="108" w:type="dxa"/>
          </w:tblCellMar>
        </w:tblPrEx>
        <w:trPr>
          <w:trHeight w:val="324"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316AB5F1">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65D2A6DB">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5D580443">
            <w:pPr>
              <w:spacing w:line="240" w:lineRule="auto"/>
              <w:ind w:firstLine="0" w:firstLineChars="0"/>
              <w:jc w:val="center"/>
              <w:rPr>
                <w:rFonts w:eastAsia="等线" w:cs="Times New Roman"/>
                <w:kern w:val="0"/>
                <w:sz w:val="21"/>
              </w:rPr>
            </w:pPr>
            <w:r>
              <w:rPr>
                <w:rFonts w:eastAsia="等线" w:cs="Times New Roman"/>
                <w:kern w:val="0"/>
                <w:sz w:val="21"/>
              </w:rPr>
              <w:t>NH</w:t>
            </w:r>
            <w:r>
              <w:rPr>
                <w:rFonts w:eastAsia="等线" w:cs="Times New Roman"/>
                <w:kern w:val="0"/>
                <w:sz w:val="21"/>
                <w:vertAlign w:val="subscript"/>
              </w:rPr>
              <w:t>3</w:t>
            </w:r>
            <w:r>
              <w:rPr>
                <w:rFonts w:eastAsia="等线" w:cs="Times New Roman"/>
                <w:kern w:val="0"/>
                <w:sz w:val="21"/>
              </w:rPr>
              <w:t>-N</w:t>
            </w:r>
          </w:p>
        </w:tc>
        <w:tc>
          <w:tcPr>
            <w:tcW w:w="451" w:type="pct"/>
            <w:tcBorders>
              <w:top w:val="nil"/>
              <w:left w:val="nil"/>
              <w:bottom w:val="single" w:color="auto" w:sz="4" w:space="0"/>
              <w:right w:val="single" w:color="auto" w:sz="4" w:space="0"/>
            </w:tcBorders>
            <w:shd w:val="clear" w:color="auto" w:fill="auto"/>
            <w:vAlign w:val="center"/>
          </w:tcPr>
          <w:p w14:paraId="14A85CFA">
            <w:pPr>
              <w:spacing w:line="240" w:lineRule="auto"/>
              <w:ind w:firstLine="0" w:firstLineChars="0"/>
              <w:jc w:val="center"/>
              <w:rPr>
                <w:rFonts w:eastAsia="等线" w:cs="Times New Roman"/>
                <w:kern w:val="0"/>
                <w:sz w:val="21"/>
              </w:rPr>
            </w:pPr>
            <w:r>
              <w:rPr>
                <w:rFonts w:eastAsia="等线" w:cs="Times New Roman"/>
                <w:kern w:val="0"/>
                <w:sz w:val="21"/>
              </w:rPr>
              <w:t>35</w:t>
            </w:r>
          </w:p>
        </w:tc>
        <w:tc>
          <w:tcPr>
            <w:tcW w:w="383" w:type="pct"/>
            <w:tcBorders>
              <w:top w:val="nil"/>
              <w:left w:val="nil"/>
              <w:bottom w:val="single" w:color="auto" w:sz="4" w:space="0"/>
              <w:right w:val="single" w:color="auto" w:sz="4" w:space="0"/>
            </w:tcBorders>
            <w:shd w:val="clear" w:color="auto" w:fill="auto"/>
            <w:vAlign w:val="center"/>
          </w:tcPr>
          <w:p w14:paraId="1A03A61C">
            <w:pPr>
              <w:spacing w:line="240" w:lineRule="auto"/>
              <w:ind w:firstLine="0" w:firstLineChars="0"/>
              <w:jc w:val="center"/>
              <w:rPr>
                <w:rFonts w:eastAsia="等线" w:cs="Times New Roman"/>
                <w:kern w:val="0"/>
                <w:sz w:val="21"/>
              </w:rPr>
            </w:pPr>
            <w:r>
              <w:rPr>
                <w:rFonts w:eastAsia="等线" w:cs="Times New Roman"/>
                <w:kern w:val="0"/>
                <w:sz w:val="21"/>
              </w:rPr>
              <w:t>0.047</w:t>
            </w:r>
          </w:p>
        </w:tc>
        <w:tc>
          <w:tcPr>
            <w:tcW w:w="484" w:type="pct"/>
            <w:vMerge w:val="continue"/>
            <w:tcBorders>
              <w:top w:val="nil"/>
              <w:left w:val="single" w:color="auto" w:sz="4" w:space="0"/>
              <w:bottom w:val="single" w:color="auto" w:sz="4" w:space="0"/>
              <w:right w:val="single" w:color="auto" w:sz="4" w:space="0"/>
            </w:tcBorders>
            <w:vAlign w:val="center"/>
          </w:tcPr>
          <w:p w14:paraId="190837FF">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6B58F179">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4E34A5DE">
            <w:pPr>
              <w:spacing w:line="240" w:lineRule="auto"/>
              <w:ind w:firstLine="0" w:firstLineChars="0"/>
              <w:jc w:val="center"/>
              <w:rPr>
                <w:rFonts w:eastAsia="等线" w:cs="Times New Roman"/>
                <w:kern w:val="0"/>
                <w:sz w:val="21"/>
              </w:rPr>
            </w:pPr>
            <w:r>
              <w:rPr>
                <w:rFonts w:eastAsia="等线" w:cs="Times New Roman"/>
                <w:kern w:val="0"/>
                <w:sz w:val="21"/>
              </w:rPr>
              <w:t>20</w:t>
            </w:r>
          </w:p>
        </w:tc>
        <w:tc>
          <w:tcPr>
            <w:tcW w:w="514" w:type="pct"/>
            <w:tcBorders>
              <w:top w:val="nil"/>
              <w:left w:val="nil"/>
              <w:bottom w:val="single" w:color="auto" w:sz="4" w:space="0"/>
              <w:right w:val="single" w:color="auto" w:sz="4" w:space="0"/>
            </w:tcBorders>
            <w:shd w:val="clear" w:color="auto" w:fill="auto"/>
            <w:vAlign w:val="center"/>
          </w:tcPr>
          <w:p w14:paraId="54CC19AD">
            <w:pPr>
              <w:spacing w:line="240" w:lineRule="auto"/>
              <w:ind w:firstLine="0" w:firstLineChars="0"/>
              <w:jc w:val="center"/>
              <w:rPr>
                <w:rFonts w:eastAsia="等线" w:cs="Times New Roman"/>
                <w:kern w:val="0"/>
                <w:sz w:val="21"/>
              </w:rPr>
            </w:pPr>
            <w:r>
              <w:rPr>
                <w:rFonts w:eastAsia="等线" w:cs="Times New Roman"/>
                <w:kern w:val="0"/>
                <w:sz w:val="21"/>
              </w:rPr>
              <w:t>0.027</w:t>
            </w:r>
          </w:p>
        </w:tc>
        <w:tc>
          <w:tcPr>
            <w:tcW w:w="406" w:type="pct"/>
            <w:vMerge w:val="continue"/>
            <w:tcBorders>
              <w:top w:val="nil"/>
              <w:left w:val="single" w:color="auto" w:sz="4" w:space="0"/>
              <w:bottom w:val="single" w:color="auto" w:sz="4" w:space="0"/>
              <w:right w:val="single" w:color="auto" w:sz="4" w:space="0"/>
            </w:tcBorders>
            <w:vAlign w:val="center"/>
          </w:tcPr>
          <w:p w14:paraId="3501EE7F">
            <w:pPr>
              <w:spacing w:line="240" w:lineRule="auto"/>
              <w:ind w:firstLine="0" w:firstLineChars="0"/>
              <w:rPr>
                <w:rFonts w:hint="eastAsia" w:ascii="宋体" w:hAnsi="宋体" w:eastAsia="宋体" w:cs="宋体"/>
                <w:kern w:val="0"/>
                <w:sz w:val="21"/>
              </w:rPr>
            </w:pPr>
          </w:p>
        </w:tc>
      </w:tr>
      <w:tr w14:paraId="60E0B5BF">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4AD4CC9E">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60BAA8EE">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73EFA300">
            <w:pPr>
              <w:spacing w:line="240" w:lineRule="auto"/>
              <w:ind w:firstLine="0" w:firstLineChars="0"/>
              <w:jc w:val="center"/>
              <w:rPr>
                <w:rFonts w:eastAsia="等线" w:cs="Times New Roman"/>
                <w:kern w:val="0"/>
                <w:sz w:val="21"/>
              </w:rPr>
            </w:pPr>
            <w:r>
              <w:rPr>
                <w:rFonts w:eastAsia="等线" w:cs="Times New Roman"/>
                <w:kern w:val="0"/>
                <w:sz w:val="21"/>
              </w:rPr>
              <w:t>TN</w:t>
            </w:r>
          </w:p>
        </w:tc>
        <w:tc>
          <w:tcPr>
            <w:tcW w:w="451" w:type="pct"/>
            <w:tcBorders>
              <w:top w:val="nil"/>
              <w:left w:val="nil"/>
              <w:bottom w:val="single" w:color="auto" w:sz="4" w:space="0"/>
              <w:right w:val="single" w:color="auto" w:sz="4" w:space="0"/>
            </w:tcBorders>
            <w:shd w:val="clear" w:color="auto" w:fill="auto"/>
            <w:vAlign w:val="center"/>
          </w:tcPr>
          <w:p w14:paraId="4B4D3075">
            <w:pPr>
              <w:spacing w:line="240" w:lineRule="auto"/>
              <w:ind w:firstLine="0" w:firstLineChars="0"/>
              <w:jc w:val="center"/>
              <w:rPr>
                <w:rFonts w:eastAsia="等线" w:cs="Times New Roman"/>
                <w:kern w:val="0"/>
                <w:sz w:val="21"/>
              </w:rPr>
            </w:pPr>
            <w:r>
              <w:rPr>
                <w:rFonts w:eastAsia="等线" w:cs="Times New Roman"/>
                <w:kern w:val="0"/>
                <w:sz w:val="21"/>
              </w:rPr>
              <w:t>45</w:t>
            </w:r>
          </w:p>
        </w:tc>
        <w:tc>
          <w:tcPr>
            <w:tcW w:w="383" w:type="pct"/>
            <w:tcBorders>
              <w:top w:val="nil"/>
              <w:left w:val="nil"/>
              <w:bottom w:val="single" w:color="auto" w:sz="4" w:space="0"/>
              <w:right w:val="single" w:color="auto" w:sz="4" w:space="0"/>
            </w:tcBorders>
            <w:shd w:val="clear" w:color="auto" w:fill="auto"/>
            <w:vAlign w:val="center"/>
          </w:tcPr>
          <w:p w14:paraId="6B48E346">
            <w:pPr>
              <w:spacing w:line="240" w:lineRule="auto"/>
              <w:ind w:firstLine="0" w:firstLineChars="0"/>
              <w:jc w:val="center"/>
              <w:rPr>
                <w:rFonts w:eastAsia="等线" w:cs="Times New Roman"/>
                <w:kern w:val="0"/>
                <w:sz w:val="21"/>
              </w:rPr>
            </w:pPr>
            <w:r>
              <w:rPr>
                <w:rFonts w:eastAsia="等线" w:cs="Times New Roman"/>
                <w:kern w:val="0"/>
                <w:sz w:val="21"/>
              </w:rPr>
              <w:t>0.060</w:t>
            </w:r>
          </w:p>
        </w:tc>
        <w:tc>
          <w:tcPr>
            <w:tcW w:w="484" w:type="pct"/>
            <w:vMerge w:val="continue"/>
            <w:tcBorders>
              <w:top w:val="nil"/>
              <w:left w:val="single" w:color="auto" w:sz="4" w:space="0"/>
              <w:bottom w:val="single" w:color="auto" w:sz="4" w:space="0"/>
              <w:right w:val="single" w:color="auto" w:sz="4" w:space="0"/>
            </w:tcBorders>
            <w:vAlign w:val="center"/>
          </w:tcPr>
          <w:p w14:paraId="6643EE69">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571E2742">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3AD4E525">
            <w:pPr>
              <w:spacing w:line="240" w:lineRule="auto"/>
              <w:ind w:firstLine="0" w:firstLineChars="0"/>
              <w:jc w:val="center"/>
              <w:rPr>
                <w:rFonts w:eastAsia="等线" w:cs="Times New Roman"/>
                <w:kern w:val="0"/>
                <w:sz w:val="21"/>
              </w:rPr>
            </w:pPr>
            <w:r>
              <w:rPr>
                <w:rFonts w:eastAsia="等线" w:cs="Times New Roman"/>
                <w:kern w:val="0"/>
                <w:sz w:val="21"/>
              </w:rPr>
              <w:t>25</w:t>
            </w:r>
          </w:p>
        </w:tc>
        <w:tc>
          <w:tcPr>
            <w:tcW w:w="514" w:type="pct"/>
            <w:tcBorders>
              <w:top w:val="nil"/>
              <w:left w:val="nil"/>
              <w:bottom w:val="single" w:color="auto" w:sz="4" w:space="0"/>
              <w:right w:val="single" w:color="auto" w:sz="4" w:space="0"/>
            </w:tcBorders>
            <w:shd w:val="clear" w:color="auto" w:fill="auto"/>
            <w:vAlign w:val="center"/>
          </w:tcPr>
          <w:p w14:paraId="146791F0">
            <w:pPr>
              <w:spacing w:line="240" w:lineRule="auto"/>
              <w:ind w:firstLine="0" w:firstLineChars="0"/>
              <w:jc w:val="center"/>
              <w:rPr>
                <w:rFonts w:eastAsia="等线" w:cs="Times New Roman"/>
                <w:kern w:val="0"/>
                <w:sz w:val="21"/>
              </w:rPr>
            </w:pPr>
            <w:r>
              <w:rPr>
                <w:rFonts w:eastAsia="等线" w:cs="Times New Roman"/>
                <w:kern w:val="0"/>
                <w:sz w:val="21"/>
              </w:rPr>
              <w:t>0.033</w:t>
            </w:r>
          </w:p>
        </w:tc>
        <w:tc>
          <w:tcPr>
            <w:tcW w:w="406" w:type="pct"/>
            <w:vMerge w:val="continue"/>
            <w:tcBorders>
              <w:top w:val="nil"/>
              <w:left w:val="single" w:color="auto" w:sz="4" w:space="0"/>
              <w:bottom w:val="single" w:color="auto" w:sz="4" w:space="0"/>
              <w:right w:val="single" w:color="auto" w:sz="4" w:space="0"/>
            </w:tcBorders>
            <w:vAlign w:val="center"/>
          </w:tcPr>
          <w:p w14:paraId="64566154">
            <w:pPr>
              <w:spacing w:line="240" w:lineRule="auto"/>
              <w:ind w:firstLine="0" w:firstLineChars="0"/>
              <w:rPr>
                <w:rFonts w:hint="eastAsia" w:ascii="宋体" w:hAnsi="宋体" w:eastAsia="宋体" w:cs="宋体"/>
                <w:kern w:val="0"/>
                <w:sz w:val="21"/>
              </w:rPr>
            </w:pPr>
          </w:p>
        </w:tc>
      </w:tr>
      <w:tr w14:paraId="0E31860A">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27A93F3F">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22EC2C14">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5963CD16">
            <w:pPr>
              <w:spacing w:line="240" w:lineRule="auto"/>
              <w:ind w:firstLine="0" w:firstLineChars="0"/>
              <w:jc w:val="center"/>
              <w:rPr>
                <w:rFonts w:eastAsia="等线" w:cs="Times New Roman"/>
                <w:kern w:val="0"/>
                <w:sz w:val="21"/>
              </w:rPr>
            </w:pPr>
            <w:r>
              <w:rPr>
                <w:rFonts w:eastAsia="等线" w:cs="Times New Roman"/>
                <w:kern w:val="0"/>
                <w:sz w:val="21"/>
              </w:rPr>
              <w:t>TP</w:t>
            </w:r>
          </w:p>
        </w:tc>
        <w:tc>
          <w:tcPr>
            <w:tcW w:w="451" w:type="pct"/>
            <w:tcBorders>
              <w:top w:val="nil"/>
              <w:left w:val="nil"/>
              <w:bottom w:val="single" w:color="auto" w:sz="4" w:space="0"/>
              <w:right w:val="single" w:color="auto" w:sz="4" w:space="0"/>
            </w:tcBorders>
            <w:shd w:val="clear" w:color="auto" w:fill="auto"/>
            <w:vAlign w:val="center"/>
          </w:tcPr>
          <w:p w14:paraId="64BFAC51">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383" w:type="pct"/>
            <w:tcBorders>
              <w:top w:val="nil"/>
              <w:left w:val="nil"/>
              <w:bottom w:val="single" w:color="auto" w:sz="4" w:space="0"/>
              <w:right w:val="single" w:color="auto" w:sz="4" w:space="0"/>
            </w:tcBorders>
            <w:shd w:val="clear" w:color="auto" w:fill="auto"/>
            <w:vAlign w:val="center"/>
          </w:tcPr>
          <w:p w14:paraId="28428BC6">
            <w:pPr>
              <w:spacing w:line="240" w:lineRule="auto"/>
              <w:ind w:firstLine="0" w:firstLineChars="0"/>
              <w:jc w:val="center"/>
              <w:rPr>
                <w:rFonts w:eastAsia="等线" w:cs="Times New Roman"/>
                <w:kern w:val="0"/>
                <w:sz w:val="21"/>
              </w:rPr>
            </w:pPr>
            <w:r>
              <w:rPr>
                <w:rFonts w:eastAsia="等线" w:cs="Times New Roman"/>
                <w:kern w:val="0"/>
                <w:sz w:val="21"/>
              </w:rPr>
              <w:t>0.007</w:t>
            </w:r>
          </w:p>
        </w:tc>
        <w:tc>
          <w:tcPr>
            <w:tcW w:w="484" w:type="pct"/>
            <w:vMerge w:val="continue"/>
            <w:tcBorders>
              <w:top w:val="nil"/>
              <w:left w:val="single" w:color="auto" w:sz="4" w:space="0"/>
              <w:bottom w:val="single" w:color="auto" w:sz="4" w:space="0"/>
              <w:right w:val="single" w:color="auto" w:sz="4" w:space="0"/>
            </w:tcBorders>
            <w:vAlign w:val="center"/>
          </w:tcPr>
          <w:p w14:paraId="1BF8F76F">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39392242">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5FE41C03">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514" w:type="pct"/>
            <w:tcBorders>
              <w:top w:val="nil"/>
              <w:left w:val="nil"/>
              <w:bottom w:val="single" w:color="auto" w:sz="4" w:space="0"/>
              <w:right w:val="single" w:color="auto" w:sz="4" w:space="0"/>
            </w:tcBorders>
            <w:shd w:val="clear" w:color="auto" w:fill="auto"/>
            <w:vAlign w:val="center"/>
          </w:tcPr>
          <w:p w14:paraId="4D13775B">
            <w:pPr>
              <w:spacing w:line="240" w:lineRule="auto"/>
              <w:ind w:firstLine="0" w:firstLineChars="0"/>
              <w:jc w:val="center"/>
              <w:rPr>
                <w:rFonts w:eastAsia="等线" w:cs="Times New Roman"/>
                <w:kern w:val="0"/>
                <w:sz w:val="21"/>
              </w:rPr>
            </w:pPr>
            <w:r>
              <w:rPr>
                <w:rFonts w:eastAsia="等线" w:cs="Times New Roman"/>
                <w:kern w:val="0"/>
                <w:sz w:val="21"/>
              </w:rPr>
              <w:t>0.007</w:t>
            </w:r>
          </w:p>
        </w:tc>
        <w:tc>
          <w:tcPr>
            <w:tcW w:w="406" w:type="pct"/>
            <w:vMerge w:val="continue"/>
            <w:tcBorders>
              <w:top w:val="nil"/>
              <w:left w:val="single" w:color="auto" w:sz="4" w:space="0"/>
              <w:bottom w:val="single" w:color="auto" w:sz="4" w:space="0"/>
              <w:right w:val="single" w:color="auto" w:sz="4" w:space="0"/>
            </w:tcBorders>
            <w:vAlign w:val="center"/>
          </w:tcPr>
          <w:p w14:paraId="7ED6B6D8">
            <w:pPr>
              <w:spacing w:line="240" w:lineRule="auto"/>
              <w:ind w:firstLine="0" w:firstLineChars="0"/>
              <w:rPr>
                <w:rFonts w:hint="eastAsia" w:ascii="宋体" w:hAnsi="宋体" w:eastAsia="宋体" w:cs="宋体"/>
                <w:kern w:val="0"/>
                <w:sz w:val="21"/>
              </w:rPr>
            </w:pPr>
          </w:p>
        </w:tc>
      </w:tr>
      <w:tr w14:paraId="30DFD0DF">
        <w:tblPrEx>
          <w:tblCellMar>
            <w:top w:w="0" w:type="dxa"/>
            <w:left w:w="108" w:type="dxa"/>
            <w:bottom w:w="0" w:type="dxa"/>
            <w:right w:w="108" w:type="dxa"/>
          </w:tblCellMar>
        </w:tblPrEx>
        <w:trPr>
          <w:trHeight w:val="564" w:hRule="atLeast"/>
          <w:jc w:val="center"/>
        </w:trPr>
        <w:tc>
          <w:tcPr>
            <w:tcW w:w="820" w:type="pct"/>
            <w:vMerge w:val="restart"/>
            <w:tcBorders>
              <w:top w:val="nil"/>
              <w:left w:val="single" w:color="auto" w:sz="4" w:space="0"/>
              <w:bottom w:val="single" w:color="auto" w:sz="4" w:space="0"/>
              <w:right w:val="single" w:color="auto" w:sz="4" w:space="0"/>
            </w:tcBorders>
            <w:shd w:val="clear" w:color="auto" w:fill="auto"/>
            <w:noWrap/>
            <w:vAlign w:val="center"/>
          </w:tcPr>
          <w:p w14:paraId="1CEFF3F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初期雨水</w:t>
            </w:r>
          </w:p>
        </w:tc>
        <w:tc>
          <w:tcPr>
            <w:tcW w:w="441" w:type="pct"/>
            <w:vMerge w:val="restart"/>
            <w:tcBorders>
              <w:top w:val="nil"/>
              <w:left w:val="single" w:color="auto" w:sz="4" w:space="0"/>
              <w:bottom w:val="single" w:color="auto" w:sz="4" w:space="0"/>
              <w:right w:val="single" w:color="auto" w:sz="4" w:space="0"/>
            </w:tcBorders>
            <w:shd w:val="clear" w:color="auto" w:fill="auto"/>
            <w:noWrap/>
            <w:vAlign w:val="center"/>
          </w:tcPr>
          <w:p w14:paraId="3C702041">
            <w:pPr>
              <w:spacing w:line="240" w:lineRule="auto"/>
              <w:ind w:firstLine="0" w:firstLineChars="0"/>
              <w:jc w:val="center"/>
              <w:rPr>
                <w:rFonts w:eastAsia="等线" w:cs="Times New Roman"/>
                <w:kern w:val="0"/>
                <w:sz w:val="21"/>
              </w:rPr>
            </w:pPr>
            <w:r>
              <w:rPr>
                <w:rFonts w:eastAsia="等线" w:cs="Times New Roman"/>
                <w:kern w:val="0"/>
                <w:sz w:val="21"/>
              </w:rPr>
              <w:t>1725.1</w:t>
            </w:r>
          </w:p>
        </w:tc>
        <w:tc>
          <w:tcPr>
            <w:tcW w:w="470" w:type="pct"/>
            <w:tcBorders>
              <w:top w:val="nil"/>
              <w:left w:val="nil"/>
              <w:bottom w:val="single" w:color="auto" w:sz="4" w:space="0"/>
              <w:right w:val="single" w:color="auto" w:sz="4" w:space="0"/>
            </w:tcBorders>
            <w:shd w:val="clear" w:color="auto" w:fill="auto"/>
            <w:vAlign w:val="center"/>
          </w:tcPr>
          <w:p w14:paraId="3492344E">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451" w:type="pct"/>
            <w:tcBorders>
              <w:top w:val="nil"/>
              <w:left w:val="nil"/>
              <w:bottom w:val="single" w:color="auto" w:sz="4" w:space="0"/>
              <w:right w:val="single" w:color="auto" w:sz="4" w:space="0"/>
            </w:tcBorders>
            <w:shd w:val="clear" w:color="auto" w:fill="auto"/>
            <w:vAlign w:val="center"/>
          </w:tcPr>
          <w:p w14:paraId="67ED743E">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383" w:type="pct"/>
            <w:tcBorders>
              <w:top w:val="nil"/>
              <w:left w:val="nil"/>
              <w:bottom w:val="single" w:color="auto" w:sz="4" w:space="0"/>
              <w:right w:val="single" w:color="auto" w:sz="4" w:space="0"/>
            </w:tcBorders>
            <w:shd w:val="clear" w:color="auto" w:fill="auto"/>
            <w:vAlign w:val="center"/>
          </w:tcPr>
          <w:p w14:paraId="1B915B8C">
            <w:pPr>
              <w:spacing w:line="240" w:lineRule="auto"/>
              <w:ind w:firstLine="0" w:firstLineChars="0"/>
              <w:jc w:val="center"/>
              <w:rPr>
                <w:rFonts w:eastAsia="等线" w:cs="Times New Roman"/>
                <w:kern w:val="0"/>
                <w:sz w:val="21"/>
              </w:rPr>
            </w:pPr>
            <w:r>
              <w:rPr>
                <w:rFonts w:eastAsia="等线" w:cs="Times New Roman"/>
                <w:kern w:val="0"/>
                <w:sz w:val="21"/>
              </w:rPr>
              <w:t>0.17</w:t>
            </w:r>
          </w:p>
        </w:tc>
        <w:tc>
          <w:tcPr>
            <w:tcW w:w="484" w:type="pct"/>
            <w:vMerge w:val="restart"/>
            <w:tcBorders>
              <w:top w:val="nil"/>
              <w:left w:val="single" w:color="auto" w:sz="4" w:space="0"/>
              <w:bottom w:val="single" w:color="auto" w:sz="4" w:space="0"/>
              <w:right w:val="single" w:color="auto" w:sz="4" w:space="0"/>
            </w:tcBorders>
            <w:shd w:val="clear" w:color="auto" w:fill="auto"/>
            <w:vAlign w:val="center"/>
          </w:tcPr>
          <w:p w14:paraId="3271C85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初期雨水收集池（兼沉淀池）</w:t>
            </w:r>
          </w:p>
        </w:tc>
        <w:tc>
          <w:tcPr>
            <w:tcW w:w="450" w:type="pct"/>
            <w:tcBorders>
              <w:top w:val="nil"/>
              <w:left w:val="nil"/>
              <w:bottom w:val="single" w:color="auto" w:sz="4" w:space="0"/>
              <w:right w:val="single" w:color="auto" w:sz="4" w:space="0"/>
            </w:tcBorders>
            <w:shd w:val="clear" w:color="auto" w:fill="auto"/>
            <w:vAlign w:val="center"/>
          </w:tcPr>
          <w:p w14:paraId="521FEAE7">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2D838154">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514" w:type="pct"/>
            <w:tcBorders>
              <w:top w:val="nil"/>
              <w:left w:val="nil"/>
              <w:bottom w:val="single" w:color="auto" w:sz="4" w:space="0"/>
              <w:right w:val="single" w:color="auto" w:sz="4" w:space="0"/>
            </w:tcBorders>
            <w:shd w:val="clear" w:color="auto" w:fill="auto"/>
            <w:vAlign w:val="center"/>
          </w:tcPr>
          <w:p w14:paraId="29052C17">
            <w:pPr>
              <w:spacing w:line="240" w:lineRule="auto"/>
              <w:ind w:firstLine="0" w:firstLineChars="0"/>
              <w:jc w:val="center"/>
              <w:rPr>
                <w:rFonts w:eastAsia="等线" w:cs="Times New Roman"/>
                <w:kern w:val="0"/>
                <w:sz w:val="21"/>
              </w:rPr>
            </w:pPr>
            <w:r>
              <w:rPr>
                <w:rFonts w:eastAsia="等线" w:cs="Times New Roman"/>
                <w:kern w:val="0"/>
                <w:sz w:val="21"/>
              </w:rPr>
              <w:t>0.17</w:t>
            </w:r>
          </w:p>
        </w:tc>
        <w:tc>
          <w:tcPr>
            <w:tcW w:w="406" w:type="pct"/>
            <w:vMerge w:val="continue"/>
            <w:tcBorders>
              <w:top w:val="nil"/>
              <w:left w:val="single" w:color="auto" w:sz="4" w:space="0"/>
              <w:bottom w:val="single" w:color="auto" w:sz="4" w:space="0"/>
              <w:right w:val="single" w:color="auto" w:sz="4" w:space="0"/>
            </w:tcBorders>
            <w:vAlign w:val="center"/>
          </w:tcPr>
          <w:p w14:paraId="46792727">
            <w:pPr>
              <w:spacing w:line="240" w:lineRule="auto"/>
              <w:ind w:firstLine="0" w:firstLineChars="0"/>
              <w:rPr>
                <w:rFonts w:hint="eastAsia" w:ascii="宋体" w:hAnsi="宋体" w:eastAsia="宋体" w:cs="宋体"/>
                <w:kern w:val="0"/>
                <w:sz w:val="21"/>
              </w:rPr>
            </w:pPr>
          </w:p>
        </w:tc>
      </w:tr>
      <w:tr w14:paraId="693BAC9C">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155CBC5A">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21B28B29">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59915BCA">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387B418E">
            <w:pPr>
              <w:spacing w:line="240" w:lineRule="auto"/>
              <w:ind w:firstLine="0" w:firstLineChars="0"/>
              <w:jc w:val="center"/>
              <w:rPr>
                <w:rFonts w:eastAsia="等线" w:cs="Times New Roman"/>
                <w:kern w:val="0"/>
                <w:sz w:val="21"/>
              </w:rPr>
            </w:pPr>
            <w:r>
              <w:rPr>
                <w:rFonts w:eastAsia="等线" w:cs="Times New Roman"/>
                <w:kern w:val="0"/>
                <w:sz w:val="21"/>
              </w:rPr>
              <w:t>400</w:t>
            </w:r>
          </w:p>
        </w:tc>
        <w:tc>
          <w:tcPr>
            <w:tcW w:w="383" w:type="pct"/>
            <w:tcBorders>
              <w:top w:val="nil"/>
              <w:left w:val="nil"/>
              <w:bottom w:val="single" w:color="auto" w:sz="4" w:space="0"/>
              <w:right w:val="single" w:color="auto" w:sz="4" w:space="0"/>
            </w:tcBorders>
            <w:shd w:val="clear" w:color="auto" w:fill="auto"/>
            <w:vAlign w:val="center"/>
          </w:tcPr>
          <w:p w14:paraId="6B8EB103">
            <w:pPr>
              <w:spacing w:line="240" w:lineRule="auto"/>
              <w:ind w:firstLine="0" w:firstLineChars="0"/>
              <w:jc w:val="center"/>
              <w:rPr>
                <w:rFonts w:eastAsia="等线" w:cs="Times New Roman"/>
                <w:kern w:val="0"/>
                <w:sz w:val="21"/>
              </w:rPr>
            </w:pPr>
            <w:r>
              <w:rPr>
                <w:rFonts w:eastAsia="等线" w:cs="Times New Roman"/>
                <w:kern w:val="0"/>
                <w:sz w:val="21"/>
              </w:rPr>
              <w:t>0.69</w:t>
            </w:r>
          </w:p>
        </w:tc>
        <w:tc>
          <w:tcPr>
            <w:tcW w:w="484" w:type="pct"/>
            <w:vMerge w:val="continue"/>
            <w:tcBorders>
              <w:top w:val="nil"/>
              <w:left w:val="single" w:color="auto" w:sz="4" w:space="0"/>
              <w:bottom w:val="single" w:color="auto" w:sz="4" w:space="0"/>
              <w:right w:val="single" w:color="auto" w:sz="4" w:space="0"/>
            </w:tcBorders>
            <w:vAlign w:val="center"/>
          </w:tcPr>
          <w:p w14:paraId="5C29A46B">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44957F1A">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3639E74E">
            <w:pPr>
              <w:spacing w:line="240" w:lineRule="auto"/>
              <w:ind w:firstLine="0" w:firstLineChars="0"/>
              <w:jc w:val="center"/>
              <w:rPr>
                <w:rFonts w:eastAsia="等线" w:cs="Times New Roman"/>
                <w:kern w:val="0"/>
                <w:sz w:val="21"/>
              </w:rPr>
            </w:pPr>
            <w:r>
              <w:rPr>
                <w:rFonts w:eastAsia="等线" w:cs="Times New Roman"/>
                <w:kern w:val="0"/>
                <w:sz w:val="21"/>
              </w:rPr>
              <w:t>200</w:t>
            </w:r>
          </w:p>
        </w:tc>
        <w:tc>
          <w:tcPr>
            <w:tcW w:w="514" w:type="pct"/>
            <w:tcBorders>
              <w:top w:val="nil"/>
              <w:left w:val="nil"/>
              <w:bottom w:val="single" w:color="auto" w:sz="4" w:space="0"/>
              <w:right w:val="single" w:color="auto" w:sz="4" w:space="0"/>
            </w:tcBorders>
            <w:shd w:val="clear" w:color="auto" w:fill="auto"/>
            <w:vAlign w:val="center"/>
          </w:tcPr>
          <w:p w14:paraId="666B7386">
            <w:pPr>
              <w:spacing w:line="240" w:lineRule="auto"/>
              <w:ind w:firstLine="0" w:firstLineChars="0"/>
              <w:jc w:val="center"/>
              <w:rPr>
                <w:rFonts w:eastAsia="等线" w:cs="Times New Roman"/>
                <w:kern w:val="0"/>
                <w:sz w:val="21"/>
              </w:rPr>
            </w:pPr>
            <w:r>
              <w:rPr>
                <w:rFonts w:eastAsia="等线" w:cs="Times New Roman"/>
                <w:kern w:val="0"/>
                <w:sz w:val="21"/>
              </w:rPr>
              <w:t>0.345</w:t>
            </w:r>
          </w:p>
        </w:tc>
        <w:tc>
          <w:tcPr>
            <w:tcW w:w="406" w:type="pct"/>
            <w:vMerge w:val="continue"/>
            <w:tcBorders>
              <w:top w:val="nil"/>
              <w:left w:val="single" w:color="auto" w:sz="4" w:space="0"/>
              <w:bottom w:val="single" w:color="auto" w:sz="4" w:space="0"/>
              <w:right w:val="single" w:color="auto" w:sz="4" w:space="0"/>
            </w:tcBorders>
            <w:vAlign w:val="center"/>
          </w:tcPr>
          <w:p w14:paraId="433BD3DD">
            <w:pPr>
              <w:spacing w:line="240" w:lineRule="auto"/>
              <w:ind w:firstLine="0" w:firstLineChars="0"/>
              <w:rPr>
                <w:rFonts w:hint="eastAsia" w:ascii="宋体" w:hAnsi="宋体" w:eastAsia="宋体" w:cs="宋体"/>
                <w:kern w:val="0"/>
                <w:sz w:val="21"/>
              </w:rPr>
            </w:pPr>
          </w:p>
        </w:tc>
      </w:tr>
      <w:tr w14:paraId="23FD02B9">
        <w:tblPrEx>
          <w:tblCellMar>
            <w:top w:w="0" w:type="dxa"/>
            <w:left w:w="108" w:type="dxa"/>
            <w:bottom w:w="0" w:type="dxa"/>
            <w:right w:w="108" w:type="dxa"/>
          </w:tblCellMar>
        </w:tblPrEx>
        <w:trPr>
          <w:trHeight w:val="276" w:hRule="atLeast"/>
          <w:jc w:val="center"/>
        </w:trPr>
        <w:tc>
          <w:tcPr>
            <w:tcW w:w="820" w:type="pct"/>
            <w:tcBorders>
              <w:top w:val="nil"/>
              <w:left w:val="single" w:color="auto" w:sz="4" w:space="0"/>
              <w:bottom w:val="single" w:color="auto" w:sz="4" w:space="0"/>
              <w:right w:val="single" w:color="auto" w:sz="4" w:space="0"/>
            </w:tcBorders>
            <w:shd w:val="clear" w:color="auto" w:fill="auto"/>
            <w:vAlign w:val="center"/>
          </w:tcPr>
          <w:p w14:paraId="2C82B69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码头面冲洗废水</w:t>
            </w:r>
          </w:p>
        </w:tc>
        <w:tc>
          <w:tcPr>
            <w:tcW w:w="441" w:type="pct"/>
            <w:tcBorders>
              <w:top w:val="nil"/>
              <w:left w:val="single" w:color="auto" w:sz="4" w:space="0"/>
              <w:bottom w:val="single" w:color="auto" w:sz="4" w:space="0"/>
              <w:right w:val="single" w:color="auto" w:sz="4" w:space="0"/>
            </w:tcBorders>
            <w:shd w:val="clear" w:color="auto" w:fill="auto"/>
            <w:noWrap/>
            <w:vAlign w:val="center"/>
          </w:tcPr>
          <w:p w14:paraId="2DA30D41">
            <w:pPr>
              <w:spacing w:line="240" w:lineRule="auto"/>
              <w:ind w:firstLine="0" w:firstLineChars="0"/>
              <w:jc w:val="center"/>
              <w:rPr>
                <w:rFonts w:eastAsia="等线" w:cs="Times New Roman"/>
                <w:kern w:val="0"/>
                <w:sz w:val="21"/>
              </w:rPr>
            </w:pPr>
            <w:r>
              <w:rPr>
                <w:rFonts w:eastAsia="等线" w:cs="Times New Roman"/>
                <w:kern w:val="0"/>
                <w:sz w:val="21"/>
              </w:rPr>
              <w:t>1408.0</w:t>
            </w:r>
          </w:p>
        </w:tc>
        <w:tc>
          <w:tcPr>
            <w:tcW w:w="470" w:type="pct"/>
            <w:tcBorders>
              <w:top w:val="nil"/>
              <w:left w:val="nil"/>
              <w:bottom w:val="single" w:color="auto" w:sz="4" w:space="0"/>
              <w:right w:val="single" w:color="auto" w:sz="4" w:space="0"/>
            </w:tcBorders>
            <w:shd w:val="clear" w:color="auto" w:fill="auto"/>
            <w:vAlign w:val="center"/>
          </w:tcPr>
          <w:p w14:paraId="63404702">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33F1141C">
            <w:pPr>
              <w:spacing w:line="240" w:lineRule="auto"/>
              <w:ind w:firstLine="0" w:firstLineChars="0"/>
              <w:jc w:val="center"/>
              <w:rPr>
                <w:rFonts w:eastAsia="等线" w:cs="Times New Roman"/>
                <w:kern w:val="0"/>
                <w:sz w:val="21"/>
              </w:rPr>
            </w:pPr>
            <w:r>
              <w:rPr>
                <w:rFonts w:hint="eastAsia" w:eastAsia="等线" w:cs="Times New Roman"/>
                <w:kern w:val="0"/>
                <w:sz w:val="21"/>
              </w:rPr>
              <w:t>10</w:t>
            </w:r>
            <w:r>
              <w:rPr>
                <w:rFonts w:eastAsia="等线" w:cs="Times New Roman"/>
                <w:kern w:val="0"/>
                <w:sz w:val="21"/>
              </w:rPr>
              <w:t>00</w:t>
            </w:r>
          </w:p>
        </w:tc>
        <w:tc>
          <w:tcPr>
            <w:tcW w:w="383" w:type="pct"/>
            <w:tcBorders>
              <w:top w:val="nil"/>
              <w:left w:val="nil"/>
              <w:bottom w:val="single" w:color="auto" w:sz="4" w:space="0"/>
              <w:right w:val="single" w:color="auto" w:sz="4" w:space="0"/>
            </w:tcBorders>
            <w:shd w:val="clear" w:color="auto" w:fill="auto"/>
            <w:vAlign w:val="center"/>
          </w:tcPr>
          <w:p w14:paraId="429D3DBB">
            <w:pPr>
              <w:spacing w:line="240" w:lineRule="auto"/>
              <w:ind w:firstLine="0" w:firstLineChars="0"/>
              <w:jc w:val="center"/>
              <w:rPr>
                <w:rFonts w:eastAsia="等线" w:cs="Times New Roman"/>
                <w:kern w:val="0"/>
                <w:sz w:val="21"/>
              </w:rPr>
            </w:pPr>
            <w:r>
              <w:rPr>
                <w:rFonts w:eastAsia="等线" w:cs="Times New Roman"/>
                <w:kern w:val="0"/>
                <w:sz w:val="21"/>
              </w:rPr>
              <w:t>1.408</w:t>
            </w:r>
          </w:p>
        </w:tc>
        <w:tc>
          <w:tcPr>
            <w:tcW w:w="484" w:type="pct"/>
            <w:tcBorders>
              <w:top w:val="nil"/>
              <w:left w:val="single" w:color="auto" w:sz="4" w:space="0"/>
              <w:bottom w:val="single" w:color="auto" w:sz="4" w:space="0"/>
              <w:right w:val="single" w:color="auto" w:sz="4" w:space="0"/>
            </w:tcBorders>
            <w:shd w:val="clear" w:color="auto" w:fill="auto"/>
            <w:vAlign w:val="center"/>
          </w:tcPr>
          <w:p w14:paraId="2555F45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含煤废水处理站</w:t>
            </w:r>
          </w:p>
        </w:tc>
        <w:tc>
          <w:tcPr>
            <w:tcW w:w="450" w:type="pct"/>
            <w:tcBorders>
              <w:top w:val="nil"/>
              <w:left w:val="nil"/>
              <w:bottom w:val="single" w:color="auto" w:sz="4" w:space="0"/>
              <w:right w:val="single" w:color="auto" w:sz="4" w:space="0"/>
            </w:tcBorders>
            <w:shd w:val="clear" w:color="auto" w:fill="auto"/>
            <w:vAlign w:val="center"/>
          </w:tcPr>
          <w:p w14:paraId="6D8AA8E8">
            <w:pPr>
              <w:spacing w:line="240" w:lineRule="auto"/>
              <w:ind w:firstLine="0" w:firstLineChars="0"/>
              <w:jc w:val="center"/>
              <w:rPr>
                <w:rFonts w:eastAsia="等线" w:cs="Times New Roman"/>
                <w:kern w:val="0"/>
                <w:sz w:val="21"/>
              </w:rPr>
            </w:pPr>
            <w:r>
              <w:rPr>
                <w:rFonts w:hint="eastAsia"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7B7EB22E">
            <w:pPr>
              <w:spacing w:line="240" w:lineRule="auto"/>
              <w:ind w:firstLine="0" w:firstLineChars="0"/>
              <w:jc w:val="center"/>
              <w:rPr>
                <w:rFonts w:eastAsia="等线" w:cs="Times New Roman"/>
                <w:kern w:val="0"/>
                <w:sz w:val="21"/>
              </w:rPr>
            </w:pPr>
            <w:r>
              <w:rPr>
                <w:rFonts w:eastAsia="等线" w:cs="Times New Roman"/>
                <w:sz w:val="21"/>
              </w:rPr>
              <w:t>100</w:t>
            </w:r>
          </w:p>
        </w:tc>
        <w:tc>
          <w:tcPr>
            <w:tcW w:w="514" w:type="pct"/>
            <w:tcBorders>
              <w:top w:val="nil"/>
              <w:left w:val="nil"/>
              <w:bottom w:val="single" w:color="auto" w:sz="4" w:space="0"/>
              <w:right w:val="single" w:color="auto" w:sz="4" w:space="0"/>
            </w:tcBorders>
            <w:shd w:val="clear" w:color="auto" w:fill="auto"/>
            <w:vAlign w:val="center"/>
          </w:tcPr>
          <w:p w14:paraId="4686901D">
            <w:pPr>
              <w:spacing w:line="240" w:lineRule="auto"/>
              <w:ind w:firstLine="0" w:firstLineChars="0"/>
              <w:jc w:val="center"/>
              <w:rPr>
                <w:rFonts w:eastAsia="等线" w:cs="Times New Roman"/>
                <w:kern w:val="0"/>
                <w:sz w:val="21"/>
              </w:rPr>
            </w:pPr>
            <w:r>
              <w:rPr>
                <w:rFonts w:eastAsia="等线" w:cs="Times New Roman"/>
                <w:sz w:val="21"/>
              </w:rPr>
              <w:t>0.141</w:t>
            </w:r>
          </w:p>
        </w:tc>
        <w:tc>
          <w:tcPr>
            <w:tcW w:w="406" w:type="pct"/>
            <w:vMerge w:val="continue"/>
            <w:tcBorders>
              <w:top w:val="nil"/>
              <w:left w:val="single" w:color="auto" w:sz="4" w:space="0"/>
              <w:bottom w:val="single" w:color="auto" w:sz="4" w:space="0"/>
              <w:right w:val="single" w:color="auto" w:sz="4" w:space="0"/>
            </w:tcBorders>
            <w:vAlign w:val="center"/>
          </w:tcPr>
          <w:p w14:paraId="335376B0">
            <w:pPr>
              <w:spacing w:line="240" w:lineRule="auto"/>
              <w:ind w:firstLine="0" w:firstLineChars="0"/>
              <w:rPr>
                <w:rFonts w:hint="eastAsia" w:ascii="宋体" w:hAnsi="宋体" w:eastAsia="宋体" w:cs="宋体"/>
                <w:kern w:val="0"/>
                <w:sz w:val="21"/>
              </w:rPr>
            </w:pPr>
          </w:p>
        </w:tc>
      </w:tr>
      <w:tr w14:paraId="515F4AD9">
        <w:tblPrEx>
          <w:tblCellMar>
            <w:top w:w="0" w:type="dxa"/>
            <w:left w:w="108" w:type="dxa"/>
            <w:bottom w:w="0" w:type="dxa"/>
            <w:right w:w="108" w:type="dxa"/>
          </w:tblCellMar>
        </w:tblPrEx>
        <w:trPr>
          <w:trHeight w:val="276" w:hRule="atLeast"/>
          <w:jc w:val="center"/>
        </w:trPr>
        <w:tc>
          <w:tcPr>
            <w:tcW w:w="820" w:type="pct"/>
            <w:vMerge w:val="restart"/>
            <w:tcBorders>
              <w:top w:val="nil"/>
              <w:left w:val="single" w:color="auto" w:sz="4" w:space="0"/>
              <w:bottom w:val="single" w:color="auto" w:sz="4" w:space="0"/>
              <w:right w:val="single" w:color="auto" w:sz="4" w:space="0"/>
            </w:tcBorders>
            <w:shd w:val="clear" w:color="auto" w:fill="auto"/>
            <w:noWrap/>
            <w:vAlign w:val="center"/>
          </w:tcPr>
          <w:p w14:paraId="78501D3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机械冲洗废水</w:t>
            </w:r>
          </w:p>
        </w:tc>
        <w:tc>
          <w:tcPr>
            <w:tcW w:w="441" w:type="pct"/>
            <w:vMerge w:val="restart"/>
            <w:tcBorders>
              <w:top w:val="nil"/>
              <w:left w:val="single" w:color="auto" w:sz="4" w:space="0"/>
              <w:bottom w:val="single" w:color="auto" w:sz="4" w:space="0"/>
              <w:right w:val="single" w:color="auto" w:sz="4" w:space="0"/>
            </w:tcBorders>
            <w:shd w:val="clear" w:color="auto" w:fill="auto"/>
            <w:noWrap/>
            <w:vAlign w:val="center"/>
          </w:tcPr>
          <w:p w14:paraId="347DF08B">
            <w:pPr>
              <w:spacing w:line="240" w:lineRule="auto"/>
              <w:ind w:firstLine="0" w:firstLineChars="0"/>
              <w:jc w:val="center"/>
              <w:rPr>
                <w:rFonts w:eastAsia="等线" w:cs="Times New Roman"/>
                <w:kern w:val="0"/>
                <w:sz w:val="21"/>
              </w:rPr>
            </w:pPr>
            <w:r>
              <w:rPr>
                <w:rFonts w:eastAsia="等线" w:cs="Times New Roman"/>
                <w:kern w:val="0"/>
                <w:sz w:val="21"/>
              </w:rPr>
              <w:t>158.4</w:t>
            </w:r>
          </w:p>
        </w:tc>
        <w:tc>
          <w:tcPr>
            <w:tcW w:w="470" w:type="pct"/>
            <w:tcBorders>
              <w:top w:val="nil"/>
              <w:left w:val="nil"/>
              <w:bottom w:val="single" w:color="auto" w:sz="4" w:space="0"/>
              <w:right w:val="single" w:color="auto" w:sz="4" w:space="0"/>
            </w:tcBorders>
            <w:shd w:val="clear" w:color="auto" w:fill="auto"/>
            <w:vAlign w:val="center"/>
          </w:tcPr>
          <w:p w14:paraId="5E81E06E">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451" w:type="pct"/>
            <w:tcBorders>
              <w:top w:val="nil"/>
              <w:left w:val="nil"/>
              <w:bottom w:val="single" w:color="auto" w:sz="4" w:space="0"/>
              <w:right w:val="single" w:color="auto" w:sz="4" w:space="0"/>
            </w:tcBorders>
            <w:shd w:val="clear" w:color="auto" w:fill="auto"/>
            <w:vAlign w:val="center"/>
          </w:tcPr>
          <w:p w14:paraId="378BD74B">
            <w:pPr>
              <w:spacing w:line="240" w:lineRule="auto"/>
              <w:ind w:firstLine="0" w:firstLineChars="0"/>
              <w:jc w:val="center"/>
              <w:rPr>
                <w:rFonts w:eastAsia="等线" w:cs="Times New Roman"/>
                <w:kern w:val="0"/>
                <w:sz w:val="21"/>
              </w:rPr>
            </w:pPr>
            <w:r>
              <w:rPr>
                <w:rFonts w:eastAsia="等线" w:cs="Times New Roman"/>
                <w:kern w:val="0"/>
                <w:sz w:val="21"/>
              </w:rPr>
              <w:t>150</w:t>
            </w:r>
          </w:p>
        </w:tc>
        <w:tc>
          <w:tcPr>
            <w:tcW w:w="383" w:type="pct"/>
            <w:tcBorders>
              <w:top w:val="nil"/>
              <w:left w:val="nil"/>
              <w:bottom w:val="single" w:color="auto" w:sz="4" w:space="0"/>
              <w:right w:val="single" w:color="auto" w:sz="4" w:space="0"/>
            </w:tcBorders>
            <w:shd w:val="clear" w:color="auto" w:fill="auto"/>
            <w:vAlign w:val="center"/>
          </w:tcPr>
          <w:p w14:paraId="0ACF3157">
            <w:pPr>
              <w:spacing w:line="240" w:lineRule="auto"/>
              <w:ind w:firstLine="0" w:firstLineChars="0"/>
              <w:jc w:val="center"/>
              <w:rPr>
                <w:rFonts w:eastAsia="等线" w:cs="Times New Roman"/>
                <w:kern w:val="0"/>
                <w:sz w:val="21"/>
              </w:rPr>
            </w:pPr>
            <w:r>
              <w:rPr>
                <w:rFonts w:eastAsia="等线" w:cs="Times New Roman"/>
                <w:kern w:val="0"/>
                <w:sz w:val="21"/>
              </w:rPr>
              <w:t>0.024</w:t>
            </w:r>
          </w:p>
        </w:tc>
        <w:tc>
          <w:tcPr>
            <w:tcW w:w="484" w:type="pct"/>
            <w:vMerge w:val="restart"/>
            <w:tcBorders>
              <w:top w:val="nil"/>
              <w:left w:val="single" w:color="auto" w:sz="4" w:space="0"/>
              <w:bottom w:val="single" w:color="auto" w:sz="4" w:space="0"/>
              <w:right w:val="single" w:color="auto" w:sz="4" w:space="0"/>
            </w:tcBorders>
            <w:shd w:val="clear" w:color="auto" w:fill="auto"/>
            <w:vAlign w:val="center"/>
          </w:tcPr>
          <w:p w14:paraId="49A488F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lang w:eastAsia="zh-CN"/>
              </w:rPr>
              <w:t>油气</w:t>
            </w:r>
            <w:r>
              <w:rPr>
                <w:rFonts w:hint="eastAsia" w:ascii="宋体" w:hAnsi="宋体" w:eastAsia="宋体" w:cs="宋体"/>
                <w:kern w:val="0"/>
                <w:sz w:val="21"/>
              </w:rPr>
              <w:t>污水处理站</w:t>
            </w:r>
          </w:p>
        </w:tc>
        <w:tc>
          <w:tcPr>
            <w:tcW w:w="450" w:type="pct"/>
            <w:tcBorders>
              <w:top w:val="nil"/>
              <w:left w:val="nil"/>
              <w:bottom w:val="single" w:color="auto" w:sz="4" w:space="0"/>
              <w:right w:val="single" w:color="auto" w:sz="4" w:space="0"/>
            </w:tcBorders>
            <w:shd w:val="clear" w:color="auto" w:fill="auto"/>
            <w:vAlign w:val="center"/>
          </w:tcPr>
          <w:p w14:paraId="4826FB3E">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1A814401">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514" w:type="pct"/>
            <w:tcBorders>
              <w:top w:val="nil"/>
              <w:left w:val="nil"/>
              <w:bottom w:val="single" w:color="auto" w:sz="4" w:space="0"/>
              <w:right w:val="single" w:color="auto" w:sz="4" w:space="0"/>
            </w:tcBorders>
            <w:shd w:val="clear" w:color="auto" w:fill="auto"/>
            <w:vAlign w:val="center"/>
          </w:tcPr>
          <w:p w14:paraId="6C1AA2F7">
            <w:pPr>
              <w:spacing w:line="240" w:lineRule="auto"/>
              <w:ind w:firstLine="0" w:firstLineChars="0"/>
              <w:jc w:val="center"/>
              <w:rPr>
                <w:rFonts w:eastAsia="等线" w:cs="Times New Roman"/>
                <w:kern w:val="0"/>
                <w:sz w:val="21"/>
              </w:rPr>
            </w:pPr>
            <w:r>
              <w:rPr>
                <w:rFonts w:eastAsia="等线" w:cs="Times New Roman"/>
                <w:kern w:val="0"/>
                <w:sz w:val="21"/>
              </w:rPr>
              <w:t>0.016</w:t>
            </w:r>
          </w:p>
        </w:tc>
        <w:tc>
          <w:tcPr>
            <w:tcW w:w="406" w:type="pct"/>
            <w:vMerge w:val="continue"/>
            <w:tcBorders>
              <w:top w:val="nil"/>
              <w:left w:val="single" w:color="auto" w:sz="4" w:space="0"/>
              <w:bottom w:val="single" w:color="auto" w:sz="4" w:space="0"/>
              <w:right w:val="single" w:color="auto" w:sz="4" w:space="0"/>
            </w:tcBorders>
            <w:vAlign w:val="center"/>
          </w:tcPr>
          <w:p w14:paraId="54EADE4E">
            <w:pPr>
              <w:spacing w:line="240" w:lineRule="auto"/>
              <w:ind w:firstLine="0" w:firstLineChars="0"/>
              <w:rPr>
                <w:rFonts w:hint="eastAsia" w:ascii="宋体" w:hAnsi="宋体" w:eastAsia="宋体" w:cs="宋体"/>
                <w:kern w:val="0"/>
                <w:sz w:val="21"/>
              </w:rPr>
            </w:pPr>
          </w:p>
        </w:tc>
      </w:tr>
      <w:tr w14:paraId="17130B46">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4FC751FB">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2CA0DA49">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31E2DCAA">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67383DCC">
            <w:pPr>
              <w:spacing w:line="240" w:lineRule="auto"/>
              <w:ind w:firstLine="0" w:firstLineChars="0"/>
              <w:jc w:val="center"/>
              <w:rPr>
                <w:rFonts w:eastAsia="等线" w:cs="Times New Roman"/>
                <w:kern w:val="0"/>
                <w:sz w:val="21"/>
              </w:rPr>
            </w:pPr>
            <w:r>
              <w:rPr>
                <w:rFonts w:eastAsia="等线" w:cs="Times New Roman"/>
                <w:kern w:val="0"/>
                <w:sz w:val="21"/>
              </w:rPr>
              <w:t>200</w:t>
            </w:r>
          </w:p>
        </w:tc>
        <w:tc>
          <w:tcPr>
            <w:tcW w:w="383" w:type="pct"/>
            <w:tcBorders>
              <w:top w:val="nil"/>
              <w:left w:val="nil"/>
              <w:bottom w:val="single" w:color="auto" w:sz="4" w:space="0"/>
              <w:right w:val="single" w:color="auto" w:sz="4" w:space="0"/>
            </w:tcBorders>
            <w:shd w:val="clear" w:color="auto" w:fill="auto"/>
            <w:vAlign w:val="center"/>
          </w:tcPr>
          <w:p w14:paraId="73A7A55B">
            <w:pPr>
              <w:spacing w:line="240" w:lineRule="auto"/>
              <w:ind w:firstLine="0" w:firstLineChars="0"/>
              <w:jc w:val="center"/>
              <w:rPr>
                <w:rFonts w:eastAsia="等线" w:cs="Times New Roman"/>
                <w:kern w:val="0"/>
                <w:sz w:val="21"/>
              </w:rPr>
            </w:pPr>
            <w:r>
              <w:rPr>
                <w:rFonts w:eastAsia="等线" w:cs="Times New Roman"/>
                <w:kern w:val="0"/>
                <w:sz w:val="21"/>
              </w:rPr>
              <w:t>0.032</w:t>
            </w:r>
          </w:p>
        </w:tc>
        <w:tc>
          <w:tcPr>
            <w:tcW w:w="484" w:type="pct"/>
            <w:vMerge w:val="continue"/>
            <w:tcBorders>
              <w:top w:val="nil"/>
              <w:left w:val="single" w:color="auto" w:sz="4" w:space="0"/>
              <w:bottom w:val="single" w:color="auto" w:sz="4" w:space="0"/>
              <w:right w:val="single" w:color="auto" w:sz="4" w:space="0"/>
            </w:tcBorders>
            <w:vAlign w:val="center"/>
          </w:tcPr>
          <w:p w14:paraId="017F83A2">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13E97CCD">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7F65789F">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514" w:type="pct"/>
            <w:tcBorders>
              <w:top w:val="nil"/>
              <w:left w:val="nil"/>
              <w:bottom w:val="single" w:color="auto" w:sz="4" w:space="0"/>
              <w:right w:val="single" w:color="auto" w:sz="4" w:space="0"/>
            </w:tcBorders>
            <w:shd w:val="clear" w:color="auto" w:fill="auto"/>
            <w:vAlign w:val="center"/>
          </w:tcPr>
          <w:p w14:paraId="72D16149">
            <w:pPr>
              <w:spacing w:line="240" w:lineRule="auto"/>
              <w:ind w:firstLine="0" w:firstLineChars="0"/>
              <w:jc w:val="center"/>
              <w:rPr>
                <w:rFonts w:eastAsia="等线" w:cs="Times New Roman"/>
                <w:kern w:val="0"/>
                <w:sz w:val="21"/>
              </w:rPr>
            </w:pPr>
            <w:r>
              <w:rPr>
                <w:rFonts w:eastAsia="等线" w:cs="Times New Roman"/>
                <w:kern w:val="0"/>
                <w:sz w:val="21"/>
              </w:rPr>
              <w:t>0.016</w:t>
            </w:r>
          </w:p>
        </w:tc>
        <w:tc>
          <w:tcPr>
            <w:tcW w:w="406" w:type="pct"/>
            <w:vMerge w:val="continue"/>
            <w:tcBorders>
              <w:top w:val="nil"/>
              <w:left w:val="single" w:color="auto" w:sz="4" w:space="0"/>
              <w:bottom w:val="single" w:color="auto" w:sz="4" w:space="0"/>
              <w:right w:val="single" w:color="auto" w:sz="4" w:space="0"/>
            </w:tcBorders>
            <w:vAlign w:val="center"/>
          </w:tcPr>
          <w:p w14:paraId="658E16F1">
            <w:pPr>
              <w:spacing w:line="240" w:lineRule="auto"/>
              <w:ind w:firstLine="0" w:firstLineChars="0"/>
              <w:rPr>
                <w:rFonts w:hint="eastAsia" w:ascii="宋体" w:hAnsi="宋体" w:eastAsia="宋体" w:cs="宋体"/>
                <w:kern w:val="0"/>
                <w:sz w:val="21"/>
              </w:rPr>
            </w:pPr>
          </w:p>
        </w:tc>
      </w:tr>
      <w:tr w14:paraId="60A0A17C">
        <w:tblPrEx>
          <w:tblCellMar>
            <w:top w:w="0" w:type="dxa"/>
            <w:left w:w="108" w:type="dxa"/>
            <w:bottom w:w="0" w:type="dxa"/>
            <w:right w:w="108" w:type="dxa"/>
          </w:tblCellMar>
        </w:tblPrEx>
        <w:trPr>
          <w:trHeight w:val="288"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50A4293C">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44CED477">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noWrap/>
            <w:vAlign w:val="center"/>
          </w:tcPr>
          <w:p w14:paraId="4DB9A1C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石油类</w:t>
            </w:r>
          </w:p>
        </w:tc>
        <w:tc>
          <w:tcPr>
            <w:tcW w:w="451" w:type="pct"/>
            <w:tcBorders>
              <w:top w:val="nil"/>
              <w:left w:val="nil"/>
              <w:bottom w:val="single" w:color="auto" w:sz="4" w:space="0"/>
              <w:right w:val="single" w:color="auto" w:sz="4" w:space="0"/>
            </w:tcBorders>
            <w:shd w:val="clear" w:color="auto" w:fill="auto"/>
            <w:vAlign w:val="center"/>
          </w:tcPr>
          <w:p w14:paraId="657F8915">
            <w:pPr>
              <w:spacing w:line="240" w:lineRule="auto"/>
              <w:ind w:firstLine="0" w:firstLineChars="0"/>
              <w:jc w:val="center"/>
              <w:rPr>
                <w:rFonts w:eastAsia="等线" w:cs="Times New Roman"/>
                <w:kern w:val="0"/>
                <w:sz w:val="21"/>
              </w:rPr>
            </w:pPr>
            <w:r>
              <w:rPr>
                <w:rFonts w:eastAsia="等线" w:cs="Times New Roman"/>
                <w:kern w:val="0"/>
                <w:sz w:val="21"/>
              </w:rPr>
              <w:t>400</w:t>
            </w:r>
          </w:p>
        </w:tc>
        <w:tc>
          <w:tcPr>
            <w:tcW w:w="383" w:type="pct"/>
            <w:tcBorders>
              <w:top w:val="nil"/>
              <w:left w:val="nil"/>
              <w:bottom w:val="single" w:color="auto" w:sz="4" w:space="0"/>
              <w:right w:val="single" w:color="auto" w:sz="4" w:space="0"/>
            </w:tcBorders>
            <w:shd w:val="clear" w:color="auto" w:fill="auto"/>
            <w:vAlign w:val="center"/>
          </w:tcPr>
          <w:p w14:paraId="68BAE343">
            <w:pPr>
              <w:spacing w:line="240" w:lineRule="auto"/>
              <w:ind w:firstLine="0" w:firstLineChars="0"/>
              <w:jc w:val="center"/>
              <w:rPr>
                <w:rFonts w:eastAsia="等线" w:cs="Times New Roman"/>
                <w:kern w:val="0"/>
                <w:sz w:val="21"/>
              </w:rPr>
            </w:pPr>
            <w:r>
              <w:rPr>
                <w:rFonts w:eastAsia="等线" w:cs="Times New Roman"/>
                <w:kern w:val="0"/>
                <w:sz w:val="21"/>
              </w:rPr>
              <w:t>0.063</w:t>
            </w:r>
          </w:p>
        </w:tc>
        <w:tc>
          <w:tcPr>
            <w:tcW w:w="484" w:type="pct"/>
            <w:vMerge w:val="continue"/>
            <w:tcBorders>
              <w:top w:val="nil"/>
              <w:left w:val="single" w:color="auto" w:sz="4" w:space="0"/>
              <w:bottom w:val="single" w:color="auto" w:sz="4" w:space="0"/>
              <w:right w:val="single" w:color="auto" w:sz="4" w:space="0"/>
            </w:tcBorders>
            <w:vAlign w:val="center"/>
          </w:tcPr>
          <w:p w14:paraId="64AD6C1C">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6C196827">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25BD9548">
            <w:pPr>
              <w:spacing w:line="240" w:lineRule="auto"/>
              <w:ind w:firstLine="0" w:firstLineChars="0"/>
              <w:jc w:val="center"/>
              <w:rPr>
                <w:rFonts w:eastAsia="等线" w:cs="Times New Roman"/>
                <w:kern w:val="0"/>
                <w:sz w:val="21"/>
              </w:rPr>
            </w:pPr>
            <w:r>
              <w:rPr>
                <w:rFonts w:eastAsia="等线" w:cs="Times New Roman"/>
                <w:kern w:val="0"/>
                <w:sz w:val="21"/>
              </w:rPr>
              <w:t>10</w:t>
            </w:r>
          </w:p>
        </w:tc>
        <w:tc>
          <w:tcPr>
            <w:tcW w:w="514" w:type="pct"/>
            <w:tcBorders>
              <w:top w:val="nil"/>
              <w:left w:val="nil"/>
              <w:bottom w:val="single" w:color="auto" w:sz="4" w:space="0"/>
              <w:right w:val="single" w:color="auto" w:sz="4" w:space="0"/>
            </w:tcBorders>
            <w:shd w:val="clear" w:color="auto" w:fill="auto"/>
            <w:vAlign w:val="center"/>
          </w:tcPr>
          <w:p w14:paraId="7514C165">
            <w:pPr>
              <w:spacing w:line="240" w:lineRule="auto"/>
              <w:ind w:firstLine="0" w:firstLineChars="0"/>
              <w:jc w:val="center"/>
              <w:rPr>
                <w:rFonts w:eastAsia="等线" w:cs="Times New Roman"/>
                <w:kern w:val="0"/>
                <w:sz w:val="21"/>
              </w:rPr>
            </w:pPr>
            <w:r>
              <w:rPr>
                <w:rFonts w:eastAsia="等线" w:cs="Times New Roman"/>
                <w:kern w:val="0"/>
                <w:sz w:val="21"/>
              </w:rPr>
              <w:t>0.002</w:t>
            </w:r>
          </w:p>
        </w:tc>
        <w:tc>
          <w:tcPr>
            <w:tcW w:w="406" w:type="pct"/>
            <w:vMerge w:val="continue"/>
            <w:tcBorders>
              <w:top w:val="nil"/>
              <w:left w:val="single" w:color="auto" w:sz="4" w:space="0"/>
              <w:bottom w:val="single" w:color="auto" w:sz="4" w:space="0"/>
              <w:right w:val="single" w:color="auto" w:sz="4" w:space="0"/>
            </w:tcBorders>
            <w:vAlign w:val="center"/>
          </w:tcPr>
          <w:p w14:paraId="384C4284">
            <w:pPr>
              <w:spacing w:line="240" w:lineRule="auto"/>
              <w:ind w:firstLine="0" w:firstLineChars="0"/>
              <w:rPr>
                <w:rFonts w:hint="eastAsia" w:ascii="宋体" w:hAnsi="宋体" w:eastAsia="宋体" w:cs="宋体"/>
                <w:kern w:val="0"/>
                <w:sz w:val="21"/>
              </w:rPr>
            </w:pPr>
          </w:p>
        </w:tc>
      </w:tr>
      <w:tr w14:paraId="573CD7D7">
        <w:tblPrEx>
          <w:tblCellMar>
            <w:top w:w="0" w:type="dxa"/>
            <w:left w:w="108" w:type="dxa"/>
            <w:bottom w:w="0" w:type="dxa"/>
            <w:right w:w="108" w:type="dxa"/>
          </w:tblCellMar>
        </w:tblPrEx>
        <w:trPr>
          <w:trHeight w:val="276" w:hRule="atLeast"/>
          <w:jc w:val="center"/>
        </w:trPr>
        <w:tc>
          <w:tcPr>
            <w:tcW w:w="820" w:type="pct"/>
            <w:vMerge w:val="restart"/>
            <w:tcBorders>
              <w:top w:val="nil"/>
              <w:left w:val="single" w:color="auto" w:sz="4" w:space="0"/>
              <w:bottom w:val="single" w:color="auto" w:sz="4" w:space="0"/>
              <w:right w:val="single" w:color="auto" w:sz="4" w:space="0"/>
            </w:tcBorders>
            <w:shd w:val="clear" w:color="auto" w:fill="auto"/>
            <w:vAlign w:val="center"/>
          </w:tcPr>
          <w:p w14:paraId="0D60029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船舶舱底油污水</w:t>
            </w:r>
          </w:p>
        </w:tc>
        <w:tc>
          <w:tcPr>
            <w:tcW w:w="441" w:type="pct"/>
            <w:vMerge w:val="restart"/>
            <w:tcBorders>
              <w:top w:val="nil"/>
              <w:left w:val="single" w:color="auto" w:sz="4" w:space="0"/>
              <w:bottom w:val="single" w:color="auto" w:sz="4" w:space="0"/>
              <w:right w:val="single" w:color="auto" w:sz="4" w:space="0"/>
            </w:tcBorders>
            <w:shd w:val="clear" w:color="auto" w:fill="auto"/>
            <w:noWrap/>
            <w:vAlign w:val="center"/>
          </w:tcPr>
          <w:p w14:paraId="37502DF4">
            <w:pPr>
              <w:spacing w:line="240" w:lineRule="auto"/>
              <w:ind w:firstLine="0" w:firstLineChars="0"/>
              <w:jc w:val="center"/>
              <w:rPr>
                <w:rFonts w:eastAsia="等线" w:cs="Times New Roman"/>
                <w:kern w:val="0"/>
                <w:sz w:val="21"/>
              </w:rPr>
            </w:pPr>
            <w:r>
              <w:rPr>
                <w:rFonts w:eastAsia="等线" w:cs="Times New Roman"/>
                <w:kern w:val="0"/>
                <w:sz w:val="21"/>
              </w:rPr>
              <w:t>151.2</w:t>
            </w:r>
          </w:p>
        </w:tc>
        <w:tc>
          <w:tcPr>
            <w:tcW w:w="470" w:type="pct"/>
            <w:tcBorders>
              <w:top w:val="nil"/>
              <w:left w:val="nil"/>
              <w:bottom w:val="single" w:color="auto" w:sz="4" w:space="0"/>
              <w:right w:val="single" w:color="auto" w:sz="4" w:space="0"/>
            </w:tcBorders>
            <w:shd w:val="clear" w:color="auto" w:fill="auto"/>
            <w:vAlign w:val="center"/>
          </w:tcPr>
          <w:p w14:paraId="19FFADFA">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451" w:type="pct"/>
            <w:tcBorders>
              <w:top w:val="nil"/>
              <w:left w:val="nil"/>
              <w:bottom w:val="single" w:color="auto" w:sz="4" w:space="0"/>
              <w:right w:val="single" w:color="auto" w:sz="4" w:space="0"/>
            </w:tcBorders>
            <w:shd w:val="clear" w:color="auto" w:fill="auto"/>
            <w:vAlign w:val="center"/>
          </w:tcPr>
          <w:p w14:paraId="00C21C7A">
            <w:pPr>
              <w:spacing w:line="240" w:lineRule="auto"/>
              <w:ind w:firstLine="0" w:firstLineChars="0"/>
              <w:jc w:val="center"/>
              <w:rPr>
                <w:rFonts w:eastAsia="等线" w:cs="Times New Roman"/>
                <w:kern w:val="0"/>
                <w:sz w:val="21"/>
              </w:rPr>
            </w:pPr>
            <w:r>
              <w:rPr>
                <w:rFonts w:eastAsia="等线" w:cs="Times New Roman"/>
                <w:kern w:val="0"/>
                <w:sz w:val="21"/>
              </w:rPr>
              <w:t>400</w:t>
            </w:r>
          </w:p>
        </w:tc>
        <w:tc>
          <w:tcPr>
            <w:tcW w:w="383" w:type="pct"/>
            <w:tcBorders>
              <w:top w:val="nil"/>
              <w:left w:val="nil"/>
              <w:bottom w:val="single" w:color="auto" w:sz="4" w:space="0"/>
              <w:right w:val="single" w:color="auto" w:sz="4" w:space="0"/>
            </w:tcBorders>
            <w:shd w:val="clear" w:color="auto" w:fill="auto"/>
            <w:vAlign w:val="center"/>
          </w:tcPr>
          <w:p w14:paraId="31CB20D4">
            <w:pPr>
              <w:spacing w:line="240" w:lineRule="auto"/>
              <w:ind w:firstLine="0" w:firstLineChars="0"/>
              <w:jc w:val="center"/>
              <w:rPr>
                <w:rFonts w:eastAsia="等线" w:cs="Times New Roman"/>
                <w:kern w:val="0"/>
                <w:sz w:val="21"/>
              </w:rPr>
            </w:pPr>
            <w:r>
              <w:rPr>
                <w:rFonts w:eastAsia="等线" w:cs="Times New Roman"/>
                <w:kern w:val="0"/>
                <w:sz w:val="21"/>
              </w:rPr>
              <w:t>0.06</w:t>
            </w:r>
          </w:p>
        </w:tc>
        <w:tc>
          <w:tcPr>
            <w:tcW w:w="484" w:type="pct"/>
            <w:vMerge w:val="restart"/>
            <w:tcBorders>
              <w:top w:val="nil"/>
              <w:left w:val="single" w:color="auto" w:sz="4" w:space="0"/>
              <w:bottom w:val="single" w:color="auto" w:sz="4" w:space="0"/>
              <w:right w:val="single" w:color="auto" w:sz="4" w:space="0"/>
            </w:tcBorders>
            <w:shd w:val="clear" w:color="auto" w:fill="auto"/>
            <w:vAlign w:val="center"/>
          </w:tcPr>
          <w:p w14:paraId="58B73AC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码头前沿接收装置</w:t>
            </w:r>
          </w:p>
        </w:tc>
        <w:tc>
          <w:tcPr>
            <w:tcW w:w="450" w:type="pct"/>
            <w:tcBorders>
              <w:top w:val="nil"/>
              <w:left w:val="nil"/>
              <w:bottom w:val="single" w:color="auto" w:sz="4" w:space="0"/>
              <w:right w:val="single" w:color="auto" w:sz="4" w:space="0"/>
            </w:tcBorders>
            <w:shd w:val="clear" w:color="auto" w:fill="auto"/>
            <w:vAlign w:val="center"/>
          </w:tcPr>
          <w:p w14:paraId="0857FBB8">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32607BD7">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14" w:type="pct"/>
            <w:tcBorders>
              <w:top w:val="nil"/>
              <w:left w:val="nil"/>
              <w:bottom w:val="single" w:color="auto" w:sz="4" w:space="0"/>
              <w:right w:val="single" w:color="auto" w:sz="4" w:space="0"/>
            </w:tcBorders>
            <w:shd w:val="clear" w:color="auto" w:fill="auto"/>
            <w:vAlign w:val="center"/>
          </w:tcPr>
          <w:p w14:paraId="3A7BB136">
            <w:pPr>
              <w:spacing w:line="240" w:lineRule="auto"/>
              <w:ind w:firstLine="0" w:firstLineChars="0"/>
              <w:jc w:val="center"/>
              <w:rPr>
                <w:rFonts w:eastAsia="等线" w:cs="Times New Roman"/>
                <w:kern w:val="0"/>
                <w:sz w:val="21"/>
              </w:rPr>
            </w:pPr>
            <w:r>
              <w:rPr>
                <w:rFonts w:eastAsia="等线" w:cs="Times New Roman"/>
                <w:kern w:val="0"/>
                <w:sz w:val="21"/>
              </w:rPr>
              <w:t>/</w:t>
            </w:r>
          </w:p>
        </w:tc>
        <w:tc>
          <w:tcPr>
            <w:tcW w:w="406" w:type="pct"/>
            <w:vMerge w:val="restart"/>
            <w:tcBorders>
              <w:top w:val="nil"/>
              <w:left w:val="single" w:color="auto" w:sz="4" w:space="0"/>
              <w:bottom w:val="single" w:color="auto" w:sz="4" w:space="0"/>
              <w:right w:val="single" w:color="auto" w:sz="4" w:space="0"/>
            </w:tcBorders>
            <w:shd w:val="clear" w:color="auto" w:fill="auto"/>
            <w:vAlign w:val="center"/>
          </w:tcPr>
          <w:p w14:paraId="364A30B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委托有资质单位处置</w:t>
            </w:r>
          </w:p>
        </w:tc>
      </w:tr>
      <w:tr w14:paraId="4671DFD6">
        <w:tblPrEx>
          <w:tblCellMar>
            <w:top w:w="0" w:type="dxa"/>
            <w:left w:w="108" w:type="dxa"/>
            <w:bottom w:w="0" w:type="dxa"/>
            <w:right w:w="108" w:type="dxa"/>
          </w:tblCellMar>
        </w:tblPrEx>
        <w:trPr>
          <w:trHeight w:val="276"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543145BF">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014D86C8">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vAlign w:val="center"/>
          </w:tcPr>
          <w:p w14:paraId="16386AB2">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451" w:type="pct"/>
            <w:tcBorders>
              <w:top w:val="nil"/>
              <w:left w:val="nil"/>
              <w:bottom w:val="single" w:color="auto" w:sz="4" w:space="0"/>
              <w:right w:val="single" w:color="auto" w:sz="4" w:space="0"/>
            </w:tcBorders>
            <w:shd w:val="clear" w:color="auto" w:fill="auto"/>
            <w:vAlign w:val="center"/>
          </w:tcPr>
          <w:p w14:paraId="0D61DF72">
            <w:pPr>
              <w:spacing w:line="240" w:lineRule="auto"/>
              <w:ind w:firstLine="0" w:firstLineChars="0"/>
              <w:jc w:val="center"/>
              <w:rPr>
                <w:rFonts w:eastAsia="等线" w:cs="Times New Roman"/>
                <w:kern w:val="0"/>
                <w:sz w:val="21"/>
              </w:rPr>
            </w:pPr>
            <w:r>
              <w:rPr>
                <w:rFonts w:eastAsia="等线" w:cs="Times New Roman"/>
                <w:kern w:val="0"/>
                <w:sz w:val="21"/>
              </w:rPr>
              <w:t>300</w:t>
            </w:r>
          </w:p>
        </w:tc>
        <w:tc>
          <w:tcPr>
            <w:tcW w:w="383" w:type="pct"/>
            <w:tcBorders>
              <w:top w:val="nil"/>
              <w:left w:val="nil"/>
              <w:bottom w:val="single" w:color="auto" w:sz="4" w:space="0"/>
              <w:right w:val="single" w:color="auto" w:sz="4" w:space="0"/>
            </w:tcBorders>
            <w:shd w:val="clear" w:color="auto" w:fill="auto"/>
            <w:vAlign w:val="center"/>
          </w:tcPr>
          <w:p w14:paraId="7EC5E0E7">
            <w:pPr>
              <w:spacing w:line="240" w:lineRule="auto"/>
              <w:ind w:firstLine="0" w:firstLineChars="0"/>
              <w:jc w:val="center"/>
              <w:rPr>
                <w:rFonts w:eastAsia="等线" w:cs="Times New Roman"/>
                <w:kern w:val="0"/>
                <w:sz w:val="21"/>
              </w:rPr>
            </w:pPr>
            <w:r>
              <w:rPr>
                <w:rFonts w:eastAsia="等线" w:cs="Times New Roman"/>
                <w:kern w:val="0"/>
                <w:sz w:val="21"/>
              </w:rPr>
              <w:t>0.45</w:t>
            </w:r>
          </w:p>
        </w:tc>
        <w:tc>
          <w:tcPr>
            <w:tcW w:w="484" w:type="pct"/>
            <w:vMerge w:val="continue"/>
            <w:tcBorders>
              <w:top w:val="nil"/>
              <w:left w:val="single" w:color="auto" w:sz="4" w:space="0"/>
              <w:bottom w:val="single" w:color="auto" w:sz="4" w:space="0"/>
              <w:right w:val="single" w:color="auto" w:sz="4" w:space="0"/>
            </w:tcBorders>
            <w:vAlign w:val="center"/>
          </w:tcPr>
          <w:p w14:paraId="0852073A">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4DEBFD55">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716287BC">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14" w:type="pct"/>
            <w:tcBorders>
              <w:top w:val="nil"/>
              <w:left w:val="nil"/>
              <w:bottom w:val="single" w:color="auto" w:sz="4" w:space="0"/>
              <w:right w:val="single" w:color="auto" w:sz="4" w:space="0"/>
            </w:tcBorders>
            <w:shd w:val="clear" w:color="auto" w:fill="auto"/>
            <w:vAlign w:val="center"/>
          </w:tcPr>
          <w:p w14:paraId="6BFE19AD">
            <w:pPr>
              <w:spacing w:line="240" w:lineRule="auto"/>
              <w:ind w:firstLine="0" w:firstLineChars="0"/>
              <w:jc w:val="center"/>
              <w:rPr>
                <w:rFonts w:eastAsia="等线" w:cs="Times New Roman"/>
                <w:kern w:val="0"/>
                <w:sz w:val="21"/>
              </w:rPr>
            </w:pPr>
            <w:r>
              <w:rPr>
                <w:rFonts w:eastAsia="等线" w:cs="Times New Roman"/>
                <w:kern w:val="0"/>
                <w:sz w:val="21"/>
              </w:rPr>
              <w:t>/</w:t>
            </w:r>
          </w:p>
        </w:tc>
        <w:tc>
          <w:tcPr>
            <w:tcW w:w="406" w:type="pct"/>
            <w:vMerge w:val="continue"/>
            <w:tcBorders>
              <w:top w:val="nil"/>
              <w:left w:val="single" w:color="auto" w:sz="4" w:space="0"/>
              <w:bottom w:val="single" w:color="auto" w:sz="4" w:space="0"/>
              <w:right w:val="single" w:color="auto" w:sz="4" w:space="0"/>
            </w:tcBorders>
            <w:vAlign w:val="center"/>
          </w:tcPr>
          <w:p w14:paraId="0E2BEEB9">
            <w:pPr>
              <w:spacing w:line="240" w:lineRule="auto"/>
              <w:ind w:firstLine="0" w:firstLineChars="0"/>
              <w:rPr>
                <w:rFonts w:hint="eastAsia" w:ascii="宋体" w:hAnsi="宋体" w:eastAsia="宋体" w:cs="宋体"/>
                <w:kern w:val="0"/>
                <w:sz w:val="21"/>
              </w:rPr>
            </w:pPr>
          </w:p>
        </w:tc>
      </w:tr>
      <w:tr w14:paraId="1B2BD021">
        <w:tblPrEx>
          <w:tblCellMar>
            <w:top w:w="0" w:type="dxa"/>
            <w:left w:w="108" w:type="dxa"/>
            <w:bottom w:w="0" w:type="dxa"/>
            <w:right w:w="108" w:type="dxa"/>
          </w:tblCellMar>
        </w:tblPrEx>
        <w:trPr>
          <w:trHeight w:val="288" w:hRule="atLeast"/>
          <w:jc w:val="center"/>
        </w:trPr>
        <w:tc>
          <w:tcPr>
            <w:tcW w:w="820" w:type="pct"/>
            <w:vMerge w:val="continue"/>
            <w:tcBorders>
              <w:top w:val="nil"/>
              <w:left w:val="single" w:color="auto" w:sz="4" w:space="0"/>
              <w:bottom w:val="single" w:color="auto" w:sz="4" w:space="0"/>
              <w:right w:val="single" w:color="auto" w:sz="4" w:space="0"/>
            </w:tcBorders>
            <w:vAlign w:val="center"/>
          </w:tcPr>
          <w:p w14:paraId="19A4EA2A">
            <w:pPr>
              <w:spacing w:line="240" w:lineRule="auto"/>
              <w:ind w:firstLine="0" w:firstLineChars="0"/>
              <w:rPr>
                <w:rFonts w:hint="eastAsia" w:ascii="宋体" w:hAnsi="宋体" w:eastAsia="宋体" w:cs="宋体"/>
                <w:kern w:val="0"/>
                <w:sz w:val="21"/>
              </w:rPr>
            </w:pPr>
          </w:p>
        </w:tc>
        <w:tc>
          <w:tcPr>
            <w:tcW w:w="441" w:type="pct"/>
            <w:vMerge w:val="continue"/>
            <w:tcBorders>
              <w:top w:val="nil"/>
              <w:left w:val="single" w:color="auto" w:sz="4" w:space="0"/>
              <w:bottom w:val="single" w:color="auto" w:sz="4" w:space="0"/>
              <w:right w:val="single" w:color="auto" w:sz="4" w:space="0"/>
            </w:tcBorders>
            <w:vAlign w:val="center"/>
          </w:tcPr>
          <w:p w14:paraId="66B8036E">
            <w:pPr>
              <w:spacing w:line="240" w:lineRule="auto"/>
              <w:ind w:firstLine="0" w:firstLineChars="0"/>
              <w:rPr>
                <w:rFonts w:eastAsia="等线" w:cs="Times New Roman"/>
                <w:kern w:val="0"/>
                <w:sz w:val="21"/>
              </w:rPr>
            </w:pPr>
          </w:p>
        </w:tc>
        <w:tc>
          <w:tcPr>
            <w:tcW w:w="470" w:type="pct"/>
            <w:tcBorders>
              <w:top w:val="nil"/>
              <w:left w:val="nil"/>
              <w:bottom w:val="single" w:color="auto" w:sz="4" w:space="0"/>
              <w:right w:val="single" w:color="auto" w:sz="4" w:space="0"/>
            </w:tcBorders>
            <w:shd w:val="clear" w:color="auto" w:fill="auto"/>
            <w:noWrap/>
            <w:vAlign w:val="center"/>
          </w:tcPr>
          <w:p w14:paraId="3C68795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石油类</w:t>
            </w:r>
          </w:p>
        </w:tc>
        <w:tc>
          <w:tcPr>
            <w:tcW w:w="451" w:type="pct"/>
            <w:tcBorders>
              <w:top w:val="nil"/>
              <w:left w:val="nil"/>
              <w:bottom w:val="single" w:color="auto" w:sz="4" w:space="0"/>
              <w:right w:val="single" w:color="auto" w:sz="4" w:space="0"/>
            </w:tcBorders>
            <w:shd w:val="clear" w:color="auto" w:fill="auto"/>
            <w:vAlign w:val="center"/>
          </w:tcPr>
          <w:p w14:paraId="0F02D08D">
            <w:pPr>
              <w:spacing w:line="240" w:lineRule="auto"/>
              <w:ind w:firstLine="0" w:firstLineChars="0"/>
              <w:jc w:val="center"/>
              <w:rPr>
                <w:rFonts w:eastAsia="等线" w:cs="Times New Roman"/>
                <w:kern w:val="0"/>
                <w:sz w:val="21"/>
              </w:rPr>
            </w:pPr>
            <w:r>
              <w:rPr>
                <w:rFonts w:eastAsia="等线" w:cs="Times New Roman"/>
                <w:kern w:val="0"/>
                <w:sz w:val="21"/>
              </w:rPr>
              <w:t>5000</w:t>
            </w:r>
          </w:p>
        </w:tc>
        <w:tc>
          <w:tcPr>
            <w:tcW w:w="383" w:type="pct"/>
            <w:tcBorders>
              <w:top w:val="nil"/>
              <w:left w:val="nil"/>
              <w:bottom w:val="single" w:color="auto" w:sz="4" w:space="0"/>
              <w:right w:val="single" w:color="auto" w:sz="4" w:space="0"/>
            </w:tcBorders>
            <w:shd w:val="clear" w:color="auto" w:fill="auto"/>
            <w:vAlign w:val="center"/>
          </w:tcPr>
          <w:p w14:paraId="7A076692">
            <w:pPr>
              <w:spacing w:line="240" w:lineRule="auto"/>
              <w:ind w:firstLine="0" w:firstLineChars="0"/>
              <w:jc w:val="center"/>
              <w:rPr>
                <w:rFonts w:eastAsia="等线" w:cs="Times New Roman"/>
                <w:kern w:val="0"/>
                <w:sz w:val="21"/>
              </w:rPr>
            </w:pPr>
            <w:r>
              <w:rPr>
                <w:rFonts w:eastAsia="等线" w:cs="Times New Roman"/>
                <w:kern w:val="0"/>
                <w:sz w:val="21"/>
              </w:rPr>
              <w:t>0.756</w:t>
            </w:r>
          </w:p>
        </w:tc>
        <w:tc>
          <w:tcPr>
            <w:tcW w:w="484" w:type="pct"/>
            <w:vMerge w:val="continue"/>
            <w:tcBorders>
              <w:top w:val="nil"/>
              <w:left w:val="single" w:color="auto" w:sz="4" w:space="0"/>
              <w:bottom w:val="single" w:color="auto" w:sz="4" w:space="0"/>
              <w:right w:val="single" w:color="auto" w:sz="4" w:space="0"/>
            </w:tcBorders>
            <w:vAlign w:val="center"/>
          </w:tcPr>
          <w:p w14:paraId="08F6D578">
            <w:pPr>
              <w:spacing w:line="240" w:lineRule="auto"/>
              <w:ind w:firstLine="0" w:firstLineChars="0"/>
              <w:rPr>
                <w:rFonts w:hint="eastAsia" w:ascii="宋体" w:hAnsi="宋体" w:eastAsia="宋体" w:cs="宋体"/>
                <w:kern w:val="0"/>
                <w:sz w:val="21"/>
              </w:rPr>
            </w:pPr>
          </w:p>
        </w:tc>
        <w:tc>
          <w:tcPr>
            <w:tcW w:w="450" w:type="pct"/>
            <w:tcBorders>
              <w:top w:val="nil"/>
              <w:left w:val="nil"/>
              <w:bottom w:val="single" w:color="auto" w:sz="4" w:space="0"/>
              <w:right w:val="single" w:color="auto" w:sz="4" w:space="0"/>
            </w:tcBorders>
            <w:shd w:val="clear" w:color="auto" w:fill="auto"/>
            <w:vAlign w:val="center"/>
          </w:tcPr>
          <w:p w14:paraId="00681BC3">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1" w:type="pct"/>
            <w:tcBorders>
              <w:top w:val="nil"/>
              <w:left w:val="nil"/>
              <w:bottom w:val="single" w:color="auto" w:sz="4" w:space="0"/>
              <w:right w:val="single" w:color="auto" w:sz="4" w:space="0"/>
            </w:tcBorders>
            <w:shd w:val="clear" w:color="auto" w:fill="auto"/>
            <w:vAlign w:val="center"/>
          </w:tcPr>
          <w:p w14:paraId="34FDC009">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14" w:type="pct"/>
            <w:tcBorders>
              <w:top w:val="nil"/>
              <w:left w:val="nil"/>
              <w:bottom w:val="single" w:color="auto" w:sz="4" w:space="0"/>
              <w:right w:val="single" w:color="auto" w:sz="4" w:space="0"/>
            </w:tcBorders>
            <w:shd w:val="clear" w:color="auto" w:fill="auto"/>
            <w:vAlign w:val="center"/>
          </w:tcPr>
          <w:p w14:paraId="05BCFBF5">
            <w:pPr>
              <w:spacing w:line="240" w:lineRule="auto"/>
              <w:ind w:firstLine="0" w:firstLineChars="0"/>
              <w:jc w:val="center"/>
              <w:rPr>
                <w:rFonts w:eastAsia="等线" w:cs="Times New Roman"/>
                <w:kern w:val="0"/>
                <w:sz w:val="21"/>
              </w:rPr>
            </w:pPr>
            <w:r>
              <w:rPr>
                <w:rFonts w:eastAsia="等线" w:cs="Times New Roman"/>
                <w:kern w:val="0"/>
                <w:sz w:val="21"/>
              </w:rPr>
              <w:t>/</w:t>
            </w:r>
          </w:p>
        </w:tc>
        <w:tc>
          <w:tcPr>
            <w:tcW w:w="406" w:type="pct"/>
            <w:vMerge w:val="continue"/>
            <w:tcBorders>
              <w:top w:val="nil"/>
              <w:left w:val="single" w:color="auto" w:sz="4" w:space="0"/>
              <w:bottom w:val="single" w:color="auto" w:sz="4" w:space="0"/>
              <w:right w:val="single" w:color="auto" w:sz="4" w:space="0"/>
            </w:tcBorders>
            <w:vAlign w:val="center"/>
          </w:tcPr>
          <w:p w14:paraId="3E1A89F8">
            <w:pPr>
              <w:spacing w:line="240" w:lineRule="auto"/>
              <w:ind w:firstLine="0" w:firstLineChars="0"/>
              <w:rPr>
                <w:rFonts w:hint="eastAsia" w:ascii="宋体" w:hAnsi="宋体" w:eastAsia="宋体" w:cs="宋体"/>
                <w:kern w:val="0"/>
                <w:sz w:val="21"/>
              </w:rPr>
            </w:pPr>
          </w:p>
        </w:tc>
      </w:tr>
    </w:tbl>
    <w:p w14:paraId="7ADC3E14">
      <w:pPr>
        <w:pStyle w:val="196"/>
      </w:pPr>
    </w:p>
    <w:p w14:paraId="7FBE82A5">
      <w:pPr>
        <w:ind w:firstLine="482"/>
        <w:rPr>
          <w:b/>
          <w:bCs/>
        </w:rPr>
        <w:sectPr>
          <w:pgSz w:w="11905" w:h="16838"/>
          <w:pgMar w:top="1440" w:right="1800" w:bottom="1440" w:left="1800" w:header="851" w:footer="992" w:gutter="0"/>
          <w:cols w:space="720" w:num="1"/>
          <w:docGrid w:type="lines" w:linePitch="332" w:charSpace="0"/>
        </w:sectPr>
      </w:pPr>
    </w:p>
    <w:p w14:paraId="209DF3D0">
      <w:pPr>
        <w:pStyle w:val="82"/>
      </w:pPr>
      <w:r>
        <w:rPr>
          <w:rFonts w:hint="eastAsia"/>
        </w:rPr>
        <w:t>固废源强分析</w:t>
      </w:r>
    </w:p>
    <w:p w14:paraId="669F2630">
      <w:pPr>
        <w:ind w:firstLine="480"/>
      </w:pPr>
      <w:bookmarkStart w:id="210" w:name="_Toc26452"/>
      <w:bookmarkEnd w:id="210"/>
      <w:r>
        <w:rPr>
          <w:rFonts w:hint="eastAsia"/>
        </w:rPr>
        <w:t>1、固体废物产生情况</w:t>
      </w:r>
    </w:p>
    <w:p w14:paraId="0288DF0D">
      <w:pPr>
        <w:pStyle w:val="93"/>
      </w:pPr>
      <w:bookmarkStart w:id="211" w:name="_Toc5750"/>
      <w:bookmarkEnd w:id="211"/>
      <w:r>
        <w:rPr>
          <w:rFonts w:hint="eastAsia"/>
        </w:rPr>
        <w:t>（1）陆域生活垃圾</w:t>
      </w:r>
    </w:p>
    <w:p w14:paraId="57E1A081">
      <w:pPr>
        <w:pStyle w:val="93"/>
      </w:pPr>
      <w:r>
        <w:rPr>
          <w:rFonts w:hint="eastAsia"/>
        </w:rPr>
        <w:t>根据《水运工程环境保护设计规范》（JTS149-2018），港口陆域生活垃圾量可按每人1.5kg/d计算，项目总定员45人，年工作330天，则生活垃圾产生量为22.28t/a，主要成分为食品、杂物、纸屑等。经分类收集后由环卫部门定期清运。</w:t>
      </w:r>
    </w:p>
    <w:p w14:paraId="05D76A35">
      <w:pPr>
        <w:pStyle w:val="93"/>
      </w:pPr>
      <w:bookmarkStart w:id="212" w:name="_Toc30547"/>
      <w:bookmarkEnd w:id="212"/>
      <w:r>
        <w:rPr>
          <w:rFonts w:hint="eastAsia"/>
        </w:rPr>
        <w:t>（2）到港船舶生活垃圾</w:t>
      </w:r>
    </w:p>
    <w:p w14:paraId="3412289B">
      <w:pPr>
        <w:pStyle w:val="93"/>
      </w:pPr>
      <w:r>
        <w:rPr>
          <w:rFonts w:hint="eastAsia"/>
        </w:rPr>
        <w:t>根据《水运工程环境保护设计规范》（JTS-2018），船舶生活垃圾量可按每人1.5kg/d计算，根据上文，则本项目到港船员约</w:t>
      </w:r>
      <w:r>
        <w:t>33</w:t>
      </w:r>
      <w:r>
        <w:rPr>
          <w:rFonts w:hint="eastAsia"/>
        </w:rPr>
        <w:t>人/d。则本项目船舶生活垃圾量约为</w:t>
      </w:r>
      <w:r>
        <w:t>16.34</w:t>
      </w:r>
      <w:r>
        <w:rPr>
          <w:rFonts w:hint="eastAsia"/>
        </w:rPr>
        <w:t>t/a。</w:t>
      </w:r>
    </w:p>
    <w:p w14:paraId="37AC8260">
      <w:pPr>
        <w:pStyle w:val="93"/>
      </w:pPr>
      <w:r>
        <w:rPr>
          <w:rFonts w:hint="eastAsia"/>
        </w:rPr>
        <w:t>船舶生活垃圾配备垃圾桶、灰尘清扫等设备，由码头前沿接收装置收集后由国能涟水一期热电联产项目厂区保洁</w:t>
      </w:r>
      <w:r>
        <w:rPr>
          <w:rFonts w:hint="eastAsia"/>
          <w:lang w:eastAsia="zh-CN"/>
        </w:rPr>
        <w:t>接收</w:t>
      </w:r>
      <w:r>
        <w:rPr>
          <w:rFonts w:hint="eastAsia"/>
        </w:rPr>
        <w:t>，交由环卫部门定期清理。</w:t>
      </w:r>
    </w:p>
    <w:p w14:paraId="70125BF6">
      <w:pPr>
        <w:pStyle w:val="93"/>
      </w:pPr>
      <w:bookmarkStart w:id="213" w:name="_Toc28705"/>
      <w:bookmarkEnd w:id="213"/>
      <w:r>
        <w:rPr>
          <w:rFonts w:hint="eastAsia"/>
        </w:rPr>
        <w:t>（3）装卸作业</w:t>
      </w:r>
      <w:r>
        <w:rPr>
          <w:rFonts w:hint="eastAsia"/>
          <w:lang w:eastAsia="zh-CN"/>
        </w:rPr>
        <w:t>产生</w:t>
      </w:r>
      <w:r>
        <w:rPr>
          <w:rFonts w:hint="eastAsia"/>
        </w:rPr>
        <w:t>的固体废物</w:t>
      </w:r>
    </w:p>
    <w:p w14:paraId="0B5EEA53">
      <w:pPr>
        <w:pStyle w:val="93"/>
      </w:pPr>
      <w:r>
        <w:rPr>
          <w:rFonts w:hint="eastAsia"/>
        </w:rPr>
        <w:t>根据《水运工程环境保护设计规范》（JTS149-2018），船舶装卸作业等产生的固体废物量可按下式计算：</w:t>
      </w:r>
    </w:p>
    <w:p w14:paraId="535032AA">
      <w:pPr>
        <w:ind w:firstLine="480"/>
      </w:pPr>
      <w:r>
        <w:rPr>
          <w:rFonts w:hint="eastAsia"/>
        </w:rPr>
        <w:drawing>
          <wp:inline distT="0" distB="0" distL="0" distR="0">
            <wp:extent cx="541655" cy="177800"/>
            <wp:effectExtent l="0" t="0" r="0" b="0"/>
            <wp:docPr id="860631067"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31067" name="图片 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41655" cy="177800"/>
                    </a:xfrm>
                    <a:prstGeom prst="rect">
                      <a:avLst/>
                    </a:prstGeom>
                    <a:noFill/>
                    <a:ln>
                      <a:noFill/>
                    </a:ln>
                  </pic:spPr>
                </pic:pic>
              </a:graphicData>
            </a:graphic>
          </wp:inline>
        </w:drawing>
      </w:r>
    </w:p>
    <w:p w14:paraId="46B48CA8">
      <w:pPr>
        <w:ind w:firstLine="480"/>
      </w:pPr>
      <w:r>
        <w:rPr>
          <w:rFonts w:hint="eastAsia"/>
        </w:rPr>
        <w:t>式中：</w:t>
      </w:r>
    </w:p>
    <w:p w14:paraId="1784EE43">
      <w:pPr>
        <w:ind w:firstLine="480"/>
      </w:pPr>
      <w:r>
        <w:rPr>
          <w:rFonts w:hint="eastAsia"/>
        </w:rPr>
        <w:t>G—高峰周期卸货作业产生的固体废物量，kg;</w:t>
      </w:r>
    </w:p>
    <w:p w14:paraId="61B54306">
      <w:pPr>
        <w:ind w:firstLine="480"/>
      </w:pPr>
      <w:r>
        <w:rPr>
          <w:rFonts w:hint="eastAsia"/>
        </w:rPr>
        <w:t>W—高峰周期卸下的货物量，kg</w:t>
      </w:r>
      <w:r>
        <w:rPr>
          <w:rFonts w:hint="eastAsia"/>
          <w:lang w:eastAsia="zh-CN"/>
        </w:rPr>
        <w:t>；</w:t>
      </w:r>
      <w:r>
        <w:rPr>
          <w:rFonts w:hint="eastAsia"/>
        </w:rPr>
        <w:t>本工程高峰周期卸下的货物量取吞吐量的1/20;</w:t>
      </w:r>
    </w:p>
    <w:p w14:paraId="01D93059">
      <w:pPr>
        <w:ind w:firstLine="480"/>
      </w:pPr>
      <w:r>
        <w:rPr>
          <w:rFonts w:hint="eastAsia"/>
        </w:rPr>
        <w:t>K—货物废弃物发生率，干散货可取1/10000。</w:t>
      </w:r>
    </w:p>
    <w:p w14:paraId="042080C8">
      <w:pPr>
        <w:ind w:firstLine="480"/>
      </w:pPr>
      <w:r>
        <w:rPr>
          <w:rFonts w:hint="eastAsia"/>
        </w:rPr>
        <w:t>根据上述计算公式，本项目吞吐量为112万吨/a，则装卸作业产生的固体废物产生量约为5.6t/a。散落的货物（煤炭）装卸完成后全部清扫直接回收。</w:t>
      </w:r>
    </w:p>
    <w:p w14:paraId="6DF91FD8">
      <w:pPr>
        <w:pStyle w:val="93"/>
      </w:pPr>
      <w:bookmarkStart w:id="214" w:name="_Toc8561"/>
      <w:bookmarkEnd w:id="214"/>
      <w:r>
        <w:rPr>
          <w:rFonts w:hint="eastAsia"/>
        </w:rPr>
        <w:t>（4）机修废油</w:t>
      </w:r>
    </w:p>
    <w:p w14:paraId="0947923B">
      <w:pPr>
        <w:pStyle w:val="93"/>
      </w:pPr>
      <w:r>
        <w:rPr>
          <w:rFonts w:hint="eastAsia"/>
        </w:rPr>
        <w:t>本项目依托后方厂区的机修间承担装卸机械的保养与小修任务，机修废水依托后方厂区的污水处理设施处理。根据企业提供资料，项目机械设备所用机油约半年更换一次，废机油产生量为0.2t/a，根据《国家危险废物名录》（2021），属于HW08废矿物油与含矿物油废物，代码900-214-08，码头项目依托后方电厂厂区危废暂存库，并委托相关有资质的单位统一处置。</w:t>
      </w:r>
    </w:p>
    <w:p w14:paraId="19C193DD">
      <w:pPr>
        <w:pStyle w:val="93"/>
      </w:pPr>
      <w:bookmarkStart w:id="215" w:name="_Toc22972"/>
      <w:bookmarkEnd w:id="215"/>
      <w:r>
        <w:rPr>
          <w:rFonts w:hint="eastAsia"/>
        </w:rPr>
        <w:t>（5）废含油抹布和手套</w:t>
      </w:r>
    </w:p>
    <w:p w14:paraId="32524221">
      <w:pPr>
        <w:pStyle w:val="93"/>
      </w:pPr>
      <w:r>
        <w:rPr>
          <w:rFonts w:hint="eastAsia"/>
        </w:rPr>
        <w:t>根据建设单位提供资料，本项目</w:t>
      </w:r>
      <w:bookmarkStart w:id="216" w:name="OLE_LINK27"/>
      <w:r>
        <w:rPr>
          <w:rFonts w:hint="eastAsia"/>
        </w:rPr>
        <w:t>含油抹布手套产生量</w:t>
      </w:r>
      <w:bookmarkEnd w:id="216"/>
      <w:r>
        <w:rPr>
          <w:rFonts w:hint="eastAsia"/>
        </w:rPr>
        <w:t>约0.02t/a，根据《国家危险废物名录》（2021年）附录</w:t>
      </w:r>
      <w:r>
        <w:rPr>
          <w:rFonts w:hint="eastAsia"/>
          <w:lang w:eastAsia="zh-CN"/>
        </w:rPr>
        <w:t>〈</w:t>
      </w:r>
      <w:r>
        <w:rPr>
          <w:rFonts w:hint="eastAsia"/>
        </w:rPr>
        <w:t>危险废物豁免管理清单</w:t>
      </w:r>
      <w:r>
        <w:rPr>
          <w:rFonts w:hint="eastAsia"/>
          <w:lang w:eastAsia="zh-CN"/>
        </w:rPr>
        <w:t>〉</w:t>
      </w:r>
      <w:r>
        <w:rPr>
          <w:rFonts w:hint="eastAsia"/>
        </w:rPr>
        <w:t>含油抹布及手套，豁免条件为“未分类收集”，本项目产生的废含油抹布和手套混入生活垃圾，委托环卫部门清运。</w:t>
      </w:r>
    </w:p>
    <w:p w14:paraId="18BFB259">
      <w:pPr>
        <w:pStyle w:val="93"/>
      </w:pPr>
      <w:bookmarkStart w:id="217" w:name="_Hlk181748215"/>
      <w:r>
        <w:rPr>
          <w:rFonts w:hint="eastAsia"/>
        </w:rPr>
        <w:t xml:space="preserve">（6）除铁器除出来废金属等 </w:t>
      </w:r>
    </w:p>
    <w:p w14:paraId="0D29C951">
      <w:pPr>
        <w:pStyle w:val="139"/>
        <w:ind w:firstLine="480"/>
        <w:rPr>
          <w:color w:val="auto"/>
        </w:rPr>
      </w:pPr>
      <w:r>
        <w:rPr>
          <w:rFonts w:hint="eastAsia"/>
          <w:color w:val="auto"/>
        </w:rPr>
        <w:t>根据业主提供资料，每吨煤除铁器</w:t>
      </w:r>
      <w:r>
        <w:rPr>
          <w:rFonts w:hint="eastAsia"/>
          <w:color w:val="auto"/>
          <w:lang w:eastAsia="zh-CN"/>
        </w:rPr>
        <w:t>除了</w:t>
      </w:r>
      <w:r>
        <w:rPr>
          <w:rFonts w:hint="eastAsia"/>
          <w:color w:val="auto"/>
        </w:rPr>
        <w:t>的废金属物约0.0001t，本项目吞吐能力112万t，则除铁器</w:t>
      </w:r>
      <w:r>
        <w:rPr>
          <w:rFonts w:hint="eastAsia"/>
          <w:color w:val="auto"/>
          <w:lang w:eastAsia="zh-CN"/>
        </w:rPr>
        <w:t>除了</w:t>
      </w:r>
      <w:r>
        <w:rPr>
          <w:rFonts w:hint="eastAsia"/>
          <w:color w:val="auto"/>
        </w:rPr>
        <w:t xml:space="preserve">的废金属物约112t，属于一般废物，外售综合利用。 </w:t>
      </w:r>
    </w:p>
    <w:bookmarkEnd w:id="217"/>
    <w:p w14:paraId="171CD8C2">
      <w:pPr>
        <w:pStyle w:val="93"/>
      </w:pPr>
      <w:bookmarkStart w:id="218" w:name="_Toc29323"/>
      <w:bookmarkEnd w:id="218"/>
      <w:r>
        <w:rPr>
          <w:rFonts w:hint="eastAsia"/>
        </w:rPr>
        <w:t>2、固体废物属性判定</w:t>
      </w:r>
    </w:p>
    <w:p w14:paraId="48B44405">
      <w:pPr>
        <w:pStyle w:val="93"/>
      </w:pPr>
      <w:bookmarkStart w:id="219" w:name="_Toc25022"/>
      <w:bookmarkEnd w:id="219"/>
      <w:r>
        <w:rPr>
          <w:rFonts w:hint="eastAsia"/>
        </w:rPr>
        <w:t>（1）固体废物属性判定</w:t>
      </w:r>
    </w:p>
    <w:p w14:paraId="46A260D6">
      <w:pPr>
        <w:pStyle w:val="93"/>
      </w:pPr>
      <w:r>
        <w:rPr>
          <w:rFonts w:hint="eastAsia"/>
        </w:rPr>
        <w:t>根据《固体废物鉴别标准 通则》（GB34330-2017）等，固体废物的判定情况见下表。</w:t>
      </w:r>
    </w:p>
    <w:p w14:paraId="5E69D698">
      <w:pPr>
        <w:pStyle w:val="86"/>
      </w:pPr>
      <w:r>
        <w:rPr>
          <w:rFonts w:hint="eastAsia"/>
        </w:rPr>
        <w:t>固体废弃物排放一览表</w:t>
      </w:r>
    </w:p>
    <w:tbl>
      <w:tblPr>
        <w:tblStyle w:val="38"/>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
        <w:gridCol w:w="944"/>
        <w:gridCol w:w="914"/>
        <w:gridCol w:w="812"/>
        <w:gridCol w:w="1152"/>
        <w:gridCol w:w="1123"/>
        <w:gridCol w:w="954"/>
        <w:gridCol w:w="1014"/>
        <w:gridCol w:w="2183"/>
      </w:tblGrid>
      <w:tr w14:paraId="1FEF7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vMerge w:val="restart"/>
            <w:tcMar>
              <w:top w:w="0" w:type="dxa"/>
              <w:left w:w="0" w:type="dxa"/>
              <w:bottom w:w="0" w:type="dxa"/>
              <w:right w:w="0" w:type="dxa"/>
            </w:tcMar>
            <w:vAlign w:val="center"/>
          </w:tcPr>
          <w:p w14:paraId="1D5A71CB">
            <w:pPr>
              <w:pStyle w:val="196"/>
            </w:pPr>
            <w:r>
              <w:rPr>
                <w:rFonts w:hint="eastAsia"/>
              </w:rPr>
              <w:t>序号</w:t>
            </w:r>
          </w:p>
        </w:tc>
        <w:tc>
          <w:tcPr>
            <w:tcW w:w="501" w:type="pct"/>
            <w:vMerge w:val="restart"/>
            <w:tcMar>
              <w:top w:w="0" w:type="dxa"/>
              <w:left w:w="0" w:type="dxa"/>
              <w:bottom w:w="0" w:type="dxa"/>
              <w:right w:w="0" w:type="dxa"/>
            </w:tcMar>
            <w:vAlign w:val="center"/>
          </w:tcPr>
          <w:p w14:paraId="31CC33CA">
            <w:pPr>
              <w:pStyle w:val="196"/>
            </w:pPr>
            <w:r>
              <w:rPr>
                <w:rFonts w:hint="eastAsia"/>
              </w:rPr>
              <w:t>名称</w:t>
            </w:r>
          </w:p>
        </w:tc>
        <w:tc>
          <w:tcPr>
            <w:tcW w:w="485" w:type="pct"/>
            <w:vMerge w:val="restart"/>
            <w:vAlign w:val="center"/>
          </w:tcPr>
          <w:p w14:paraId="01EBAB52">
            <w:pPr>
              <w:pStyle w:val="196"/>
            </w:pPr>
            <w:r>
              <w:rPr>
                <w:rFonts w:hint="eastAsia"/>
              </w:rPr>
              <w:t>产生工序</w:t>
            </w:r>
          </w:p>
        </w:tc>
        <w:tc>
          <w:tcPr>
            <w:tcW w:w="431" w:type="pct"/>
            <w:vMerge w:val="restart"/>
            <w:vAlign w:val="center"/>
          </w:tcPr>
          <w:p w14:paraId="49182196">
            <w:pPr>
              <w:pStyle w:val="196"/>
            </w:pPr>
            <w:r>
              <w:rPr>
                <w:rFonts w:hint="eastAsia"/>
              </w:rPr>
              <w:t>形态</w:t>
            </w:r>
          </w:p>
        </w:tc>
        <w:tc>
          <w:tcPr>
            <w:tcW w:w="611" w:type="pct"/>
            <w:vMerge w:val="restart"/>
            <w:vAlign w:val="center"/>
          </w:tcPr>
          <w:p w14:paraId="3DCD4532">
            <w:pPr>
              <w:pStyle w:val="196"/>
            </w:pPr>
            <w:r>
              <w:rPr>
                <w:rFonts w:hint="eastAsia"/>
              </w:rPr>
              <w:t>主要成分</w:t>
            </w:r>
          </w:p>
        </w:tc>
        <w:tc>
          <w:tcPr>
            <w:tcW w:w="596" w:type="pct"/>
            <w:vMerge w:val="restart"/>
            <w:vAlign w:val="center"/>
          </w:tcPr>
          <w:p w14:paraId="06E46782">
            <w:pPr>
              <w:pStyle w:val="196"/>
            </w:pPr>
            <w:r>
              <w:rPr>
                <w:rFonts w:hint="eastAsia"/>
              </w:rPr>
              <w:t>产生量（t/a）</w:t>
            </w:r>
          </w:p>
        </w:tc>
        <w:tc>
          <w:tcPr>
            <w:tcW w:w="2202" w:type="pct"/>
            <w:gridSpan w:val="3"/>
            <w:vAlign w:val="center"/>
          </w:tcPr>
          <w:p w14:paraId="03639FA0">
            <w:pPr>
              <w:pStyle w:val="196"/>
            </w:pPr>
            <w:r>
              <w:rPr>
                <w:rFonts w:hint="eastAsia"/>
              </w:rPr>
              <w:t>种类判定</w:t>
            </w:r>
          </w:p>
        </w:tc>
      </w:tr>
      <w:tr w14:paraId="2F9B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088CC91">
            <w:pPr>
              <w:pStyle w:val="196"/>
            </w:pPr>
          </w:p>
        </w:tc>
        <w:tc>
          <w:tcPr>
            <w:tcW w:w="0" w:type="auto"/>
            <w:vMerge w:val="continue"/>
            <w:vAlign w:val="center"/>
          </w:tcPr>
          <w:p w14:paraId="5B1C9C22">
            <w:pPr>
              <w:pStyle w:val="196"/>
            </w:pPr>
          </w:p>
        </w:tc>
        <w:tc>
          <w:tcPr>
            <w:tcW w:w="0" w:type="auto"/>
            <w:vMerge w:val="continue"/>
            <w:vAlign w:val="center"/>
          </w:tcPr>
          <w:p w14:paraId="739EACCC">
            <w:pPr>
              <w:pStyle w:val="196"/>
            </w:pPr>
          </w:p>
        </w:tc>
        <w:tc>
          <w:tcPr>
            <w:tcW w:w="0" w:type="auto"/>
            <w:vMerge w:val="continue"/>
            <w:vAlign w:val="center"/>
          </w:tcPr>
          <w:p w14:paraId="29581641">
            <w:pPr>
              <w:pStyle w:val="196"/>
            </w:pPr>
          </w:p>
        </w:tc>
        <w:tc>
          <w:tcPr>
            <w:tcW w:w="0" w:type="auto"/>
            <w:vMerge w:val="continue"/>
            <w:vAlign w:val="center"/>
          </w:tcPr>
          <w:p w14:paraId="335A971A">
            <w:pPr>
              <w:pStyle w:val="196"/>
            </w:pPr>
          </w:p>
        </w:tc>
        <w:tc>
          <w:tcPr>
            <w:tcW w:w="0" w:type="auto"/>
            <w:vMerge w:val="continue"/>
            <w:vAlign w:val="center"/>
          </w:tcPr>
          <w:p w14:paraId="356391F8">
            <w:pPr>
              <w:pStyle w:val="196"/>
            </w:pPr>
          </w:p>
        </w:tc>
        <w:tc>
          <w:tcPr>
            <w:tcW w:w="506" w:type="pct"/>
            <w:vAlign w:val="center"/>
          </w:tcPr>
          <w:p w14:paraId="47E3A28C">
            <w:pPr>
              <w:pStyle w:val="196"/>
            </w:pPr>
            <w:r>
              <w:rPr>
                <w:rFonts w:hint="eastAsia"/>
              </w:rPr>
              <w:t>固体废物</w:t>
            </w:r>
          </w:p>
        </w:tc>
        <w:tc>
          <w:tcPr>
            <w:tcW w:w="538" w:type="pct"/>
            <w:vAlign w:val="center"/>
          </w:tcPr>
          <w:p w14:paraId="02DFAB55">
            <w:pPr>
              <w:pStyle w:val="196"/>
            </w:pPr>
            <w:r>
              <w:rPr>
                <w:rFonts w:hint="eastAsia"/>
              </w:rPr>
              <w:t>副产物</w:t>
            </w:r>
          </w:p>
        </w:tc>
        <w:tc>
          <w:tcPr>
            <w:tcW w:w="1158" w:type="pct"/>
            <w:vAlign w:val="center"/>
          </w:tcPr>
          <w:p w14:paraId="59BC8085">
            <w:pPr>
              <w:pStyle w:val="196"/>
            </w:pPr>
            <w:r>
              <w:rPr>
                <w:rFonts w:hint="eastAsia"/>
              </w:rPr>
              <w:t>判定依据</w:t>
            </w:r>
          </w:p>
        </w:tc>
      </w:tr>
      <w:tr w14:paraId="033D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72267AF9">
            <w:pPr>
              <w:pStyle w:val="196"/>
            </w:pPr>
            <w:r>
              <w:rPr>
                <w:rFonts w:hint="eastAsia"/>
              </w:rPr>
              <w:t>1</w:t>
            </w:r>
          </w:p>
        </w:tc>
        <w:tc>
          <w:tcPr>
            <w:tcW w:w="501" w:type="pct"/>
            <w:tcMar>
              <w:top w:w="0" w:type="dxa"/>
              <w:left w:w="0" w:type="dxa"/>
              <w:bottom w:w="0" w:type="dxa"/>
              <w:right w:w="0" w:type="dxa"/>
            </w:tcMar>
            <w:vAlign w:val="center"/>
          </w:tcPr>
          <w:p w14:paraId="49489087">
            <w:pPr>
              <w:pStyle w:val="196"/>
            </w:pPr>
            <w:r>
              <w:rPr>
                <w:rFonts w:hint="eastAsia"/>
              </w:rPr>
              <w:t>陆域生活垃圾</w:t>
            </w:r>
          </w:p>
        </w:tc>
        <w:tc>
          <w:tcPr>
            <w:tcW w:w="485" w:type="pct"/>
            <w:vAlign w:val="center"/>
          </w:tcPr>
          <w:p w14:paraId="7FDD5E6F">
            <w:pPr>
              <w:pStyle w:val="196"/>
            </w:pPr>
            <w:r>
              <w:rPr>
                <w:rFonts w:hint="eastAsia"/>
              </w:rPr>
              <w:t>港口员工生活</w:t>
            </w:r>
          </w:p>
        </w:tc>
        <w:tc>
          <w:tcPr>
            <w:tcW w:w="431" w:type="pct"/>
            <w:vAlign w:val="center"/>
          </w:tcPr>
          <w:p w14:paraId="6A7CCEE5">
            <w:pPr>
              <w:pStyle w:val="196"/>
            </w:pPr>
            <w:r>
              <w:rPr>
                <w:rFonts w:hint="eastAsia"/>
              </w:rPr>
              <w:t>固态</w:t>
            </w:r>
          </w:p>
        </w:tc>
        <w:tc>
          <w:tcPr>
            <w:tcW w:w="611" w:type="pct"/>
            <w:vAlign w:val="center"/>
          </w:tcPr>
          <w:p w14:paraId="511A09B9">
            <w:pPr>
              <w:pStyle w:val="196"/>
            </w:pPr>
            <w:r>
              <w:rPr>
                <w:rFonts w:hint="eastAsia"/>
              </w:rPr>
              <w:t>食品、杂物、纸屑等</w:t>
            </w:r>
          </w:p>
        </w:tc>
        <w:tc>
          <w:tcPr>
            <w:tcW w:w="596" w:type="pct"/>
            <w:vAlign w:val="center"/>
          </w:tcPr>
          <w:p w14:paraId="6EF3D293">
            <w:pPr>
              <w:pStyle w:val="196"/>
            </w:pPr>
            <w:r>
              <w:rPr>
                <w:rFonts w:hint="eastAsia"/>
              </w:rPr>
              <w:t>22.28</w:t>
            </w:r>
          </w:p>
        </w:tc>
        <w:tc>
          <w:tcPr>
            <w:tcW w:w="506" w:type="pct"/>
            <w:vAlign w:val="center"/>
          </w:tcPr>
          <w:p w14:paraId="1AE23F79">
            <w:pPr>
              <w:pStyle w:val="196"/>
            </w:pPr>
            <w:r>
              <w:rPr>
                <w:rFonts w:hint="eastAsia"/>
              </w:rPr>
              <w:t>√</w:t>
            </w:r>
          </w:p>
        </w:tc>
        <w:tc>
          <w:tcPr>
            <w:tcW w:w="538" w:type="pct"/>
            <w:vAlign w:val="center"/>
          </w:tcPr>
          <w:p w14:paraId="74A9D859">
            <w:pPr>
              <w:pStyle w:val="196"/>
            </w:pPr>
            <w:r>
              <w:rPr>
                <w:rFonts w:hint="eastAsia"/>
              </w:rPr>
              <w:t>-</w:t>
            </w:r>
          </w:p>
        </w:tc>
        <w:tc>
          <w:tcPr>
            <w:tcW w:w="1158" w:type="pct"/>
            <w:vMerge w:val="restart"/>
            <w:vAlign w:val="center"/>
          </w:tcPr>
          <w:p w14:paraId="32DDD4E8">
            <w:pPr>
              <w:pStyle w:val="196"/>
            </w:pPr>
            <w:r>
              <w:rPr>
                <w:rFonts w:hint="eastAsia"/>
              </w:rPr>
              <w:t>《固体废物鉴别标准 通则》（GB34330-2017）</w:t>
            </w:r>
          </w:p>
        </w:tc>
      </w:tr>
      <w:tr w14:paraId="7D94F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6A0F0425">
            <w:pPr>
              <w:pStyle w:val="196"/>
            </w:pPr>
            <w:r>
              <w:rPr>
                <w:rFonts w:hint="eastAsia"/>
              </w:rPr>
              <w:t>2</w:t>
            </w:r>
          </w:p>
        </w:tc>
        <w:tc>
          <w:tcPr>
            <w:tcW w:w="501" w:type="pct"/>
            <w:tcMar>
              <w:top w:w="0" w:type="dxa"/>
              <w:left w:w="0" w:type="dxa"/>
              <w:bottom w:w="0" w:type="dxa"/>
              <w:right w:w="0" w:type="dxa"/>
            </w:tcMar>
            <w:vAlign w:val="center"/>
          </w:tcPr>
          <w:p w14:paraId="5D1EED83">
            <w:pPr>
              <w:pStyle w:val="196"/>
            </w:pPr>
            <w:r>
              <w:rPr>
                <w:rFonts w:hint="eastAsia"/>
              </w:rPr>
              <w:t>船舶生活垃圾</w:t>
            </w:r>
          </w:p>
        </w:tc>
        <w:tc>
          <w:tcPr>
            <w:tcW w:w="485" w:type="pct"/>
            <w:vAlign w:val="center"/>
          </w:tcPr>
          <w:p w14:paraId="068AA4EB">
            <w:pPr>
              <w:pStyle w:val="196"/>
            </w:pPr>
            <w:r>
              <w:rPr>
                <w:rFonts w:hint="eastAsia"/>
              </w:rPr>
              <w:t>船员生活</w:t>
            </w:r>
          </w:p>
        </w:tc>
        <w:tc>
          <w:tcPr>
            <w:tcW w:w="431" w:type="pct"/>
            <w:vAlign w:val="center"/>
          </w:tcPr>
          <w:p w14:paraId="0FE5752F">
            <w:pPr>
              <w:pStyle w:val="196"/>
            </w:pPr>
            <w:r>
              <w:rPr>
                <w:rFonts w:hint="eastAsia"/>
              </w:rPr>
              <w:t>固态</w:t>
            </w:r>
          </w:p>
        </w:tc>
        <w:tc>
          <w:tcPr>
            <w:tcW w:w="611" w:type="pct"/>
            <w:vAlign w:val="center"/>
          </w:tcPr>
          <w:p w14:paraId="70CD4D2F">
            <w:pPr>
              <w:pStyle w:val="196"/>
            </w:pPr>
            <w:r>
              <w:rPr>
                <w:rFonts w:hint="eastAsia"/>
              </w:rPr>
              <w:t>食品、杂物、纸屑等</w:t>
            </w:r>
          </w:p>
        </w:tc>
        <w:tc>
          <w:tcPr>
            <w:tcW w:w="596" w:type="pct"/>
            <w:vAlign w:val="center"/>
          </w:tcPr>
          <w:p w14:paraId="0F16FE5C">
            <w:pPr>
              <w:pStyle w:val="196"/>
            </w:pPr>
            <w:r>
              <w:rPr>
                <w:rFonts w:hint="eastAsia"/>
              </w:rPr>
              <w:t>1</w:t>
            </w:r>
            <w:r>
              <w:t>6.34</w:t>
            </w:r>
          </w:p>
        </w:tc>
        <w:tc>
          <w:tcPr>
            <w:tcW w:w="506" w:type="pct"/>
            <w:vAlign w:val="center"/>
          </w:tcPr>
          <w:p w14:paraId="0028D3B0">
            <w:pPr>
              <w:pStyle w:val="196"/>
            </w:pPr>
            <w:r>
              <w:rPr>
                <w:rFonts w:hint="eastAsia"/>
              </w:rPr>
              <w:t>√</w:t>
            </w:r>
          </w:p>
        </w:tc>
        <w:tc>
          <w:tcPr>
            <w:tcW w:w="538" w:type="pct"/>
            <w:vAlign w:val="center"/>
          </w:tcPr>
          <w:p w14:paraId="394DA642">
            <w:pPr>
              <w:pStyle w:val="196"/>
            </w:pPr>
            <w:r>
              <w:rPr>
                <w:rFonts w:hint="eastAsia"/>
              </w:rPr>
              <w:t>-</w:t>
            </w:r>
          </w:p>
        </w:tc>
        <w:tc>
          <w:tcPr>
            <w:tcW w:w="0" w:type="auto"/>
            <w:vMerge w:val="continue"/>
            <w:vAlign w:val="center"/>
          </w:tcPr>
          <w:p w14:paraId="72F008F8">
            <w:pPr>
              <w:pStyle w:val="196"/>
            </w:pPr>
          </w:p>
        </w:tc>
      </w:tr>
      <w:tr w14:paraId="00C6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56AA504B">
            <w:pPr>
              <w:pStyle w:val="196"/>
            </w:pPr>
            <w:r>
              <w:rPr>
                <w:rFonts w:hint="eastAsia"/>
              </w:rPr>
              <w:t>3</w:t>
            </w:r>
          </w:p>
        </w:tc>
        <w:tc>
          <w:tcPr>
            <w:tcW w:w="501" w:type="pct"/>
            <w:tcMar>
              <w:top w:w="0" w:type="dxa"/>
              <w:left w:w="0" w:type="dxa"/>
              <w:bottom w:w="0" w:type="dxa"/>
              <w:right w:w="0" w:type="dxa"/>
            </w:tcMar>
            <w:vAlign w:val="center"/>
          </w:tcPr>
          <w:p w14:paraId="5ED7420F">
            <w:pPr>
              <w:pStyle w:val="196"/>
            </w:pPr>
            <w:r>
              <w:rPr>
                <w:rFonts w:hint="eastAsia"/>
              </w:rPr>
              <w:t>装卸作业</w:t>
            </w:r>
            <w:r>
              <w:rPr>
                <w:rFonts w:hint="eastAsia"/>
                <w:lang w:eastAsia="zh-CN"/>
              </w:rPr>
              <w:t>产生</w:t>
            </w:r>
            <w:r>
              <w:rPr>
                <w:rFonts w:hint="eastAsia"/>
              </w:rPr>
              <w:t>的固体废物</w:t>
            </w:r>
          </w:p>
        </w:tc>
        <w:tc>
          <w:tcPr>
            <w:tcW w:w="485" w:type="pct"/>
            <w:vAlign w:val="center"/>
          </w:tcPr>
          <w:p w14:paraId="030E1A1C">
            <w:pPr>
              <w:pStyle w:val="196"/>
            </w:pPr>
            <w:r>
              <w:rPr>
                <w:rFonts w:hint="eastAsia"/>
              </w:rPr>
              <w:t>装卸过程</w:t>
            </w:r>
          </w:p>
        </w:tc>
        <w:tc>
          <w:tcPr>
            <w:tcW w:w="431" w:type="pct"/>
            <w:vAlign w:val="center"/>
          </w:tcPr>
          <w:p w14:paraId="4F0C63C9">
            <w:pPr>
              <w:pStyle w:val="196"/>
            </w:pPr>
            <w:r>
              <w:rPr>
                <w:rFonts w:hint="eastAsia"/>
              </w:rPr>
              <w:t>固态</w:t>
            </w:r>
          </w:p>
        </w:tc>
        <w:tc>
          <w:tcPr>
            <w:tcW w:w="611" w:type="pct"/>
            <w:vAlign w:val="center"/>
          </w:tcPr>
          <w:p w14:paraId="295CF808">
            <w:pPr>
              <w:pStyle w:val="196"/>
            </w:pPr>
            <w:r>
              <w:rPr>
                <w:rFonts w:hint="eastAsia"/>
              </w:rPr>
              <w:t>废包装等</w:t>
            </w:r>
          </w:p>
        </w:tc>
        <w:tc>
          <w:tcPr>
            <w:tcW w:w="596" w:type="pct"/>
            <w:vAlign w:val="center"/>
          </w:tcPr>
          <w:p w14:paraId="6EA4057F">
            <w:pPr>
              <w:pStyle w:val="196"/>
            </w:pPr>
            <w:r>
              <w:rPr>
                <w:rFonts w:hint="eastAsia"/>
              </w:rPr>
              <w:t>5.6</w:t>
            </w:r>
          </w:p>
        </w:tc>
        <w:tc>
          <w:tcPr>
            <w:tcW w:w="506" w:type="pct"/>
            <w:vAlign w:val="center"/>
          </w:tcPr>
          <w:p w14:paraId="2573DAFD">
            <w:pPr>
              <w:pStyle w:val="196"/>
            </w:pPr>
            <w:r>
              <w:rPr>
                <w:rFonts w:hint="eastAsia"/>
              </w:rPr>
              <w:t>√</w:t>
            </w:r>
          </w:p>
        </w:tc>
        <w:tc>
          <w:tcPr>
            <w:tcW w:w="538" w:type="pct"/>
            <w:vAlign w:val="center"/>
          </w:tcPr>
          <w:p w14:paraId="68A4ED81">
            <w:pPr>
              <w:pStyle w:val="196"/>
            </w:pPr>
            <w:r>
              <w:rPr>
                <w:rFonts w:hint="eastAsia"/>
              </w:rPr>
              <w:t>-</w:t>
            </w:r>
          </w:p>
        </w:tc>
        <w:tc>
          <w:tcPr>
            <w:tcW w:w="0" w:type="auto"/>
            <w:vMerge w:val="continue"/>
            <w:vAlign w:val="center"/>
          </w:tcPr>
          <w:p w14:paraId="1A3866A6">
            <w:pPr>
              <w:pStyle w:val="196"/>
            </w:pPr>
          </w:p>
        </w:tc>
      </w:tr>
      <w:tr w14:paraId="336E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63D9920B">
            <w:pPr>
              <w:pStyle w:val="196"/>
            </w:pPr>
            <w:r>
              <w:rPr>
                <w:rFonts w:hint="eastAsia"/>
              </w:rPr>
              <w:t>4</w:t>
            </w:r>
          </w:p>
        </w:tc>
        <w:tc>
          <w:tcPr>
            <w:tcW w:w="501" w:type="pct"/>
            <w:tcMar>
              <w:top w:w="0" w:type="dxa"/>
              <w:left w:w="0" w:type="dxa"/>
              <w:bottom w:w="0" w:type="dxa"/>
              <w:right w:w="0" w:type="dxa"/>
            </w:tcMar>
            <w:vAlign w:val="center"/>
          </w:tcPr>
          <w:p w14:paraId="2CC4A5DC">
            <w:pPr>
              <w:pStyle w:val="196"/>
            </w:pPr>
            <w:r>
              <w:rPr>
                <w:rFonts w:hint="eastAsia"/>
              </w:rPr>
              <w:t>机修废油</w:t>
            </w:r>
          </w:p>
        </w:tc>
        <w:tc>
          <w:tcPr>
            <w:tcW w:w="485" w:type="pct"/>
            <w:vAlign w:val="center"/>
          </w:tcPr>
          <w:p w14:paraId="0F1BC383">
            <w:pPr>
              <w:pStyle w:val="196"/>
            </w:pPr>
            <w:r>
              <w:rPr>
                <w:rFonts w:hint="eastAsia"/>
              </w:rPr>
              <w:t>设备维修</w:t>
            </w:r>
          </w:p>
        </w:tc>
        <w:tc>
          <w:tcPr>
            <w:tcW w:w="431" w:type="pct"/>
            <w:vAlign w:val="center"/>
          </w:tcPr>
          <w:p w14:paraId="37284338">
            <w:pPr>
              <w:pStyle w:val="196"/>
            </w:pPr>
            <w:r>
              <w:rPr>
                <w:rFonts w:hint="eastAsia"/>
              </w:rPr>
              <w:t>液态</w:t>
            </w:r>
          </w:p>
        </w:tc>
        <w:tc>
          <w:tcPr>
            <w:tcW w:w="611" w:type="pct"/>
            <w:vAlign w:val="center"/>
          </w:tcPr>
          <w:p w14:paraId="1EA791E3">
            <w:pPr>
              <w:pStyle w:val="196"/>
            </w:pPr>
            <w:r>
              <w:rPr>
                <w:rFonts w:hint="eastAsia"/>
              </w:rPr>
              <w:t>废油</w:t>
            </w:r>
          </w:p>
        </w:tc>
        <w:tc>
          <w:tcPr>
            <w:tcW w:w="596" w:type="pct"/>
            <w:vAlign w:val="center"/>
          </w:tcPr>
          <w:p w14:paraId="1D948370">
            <w:pPr>
              <w:pStyle w:val="196"/>
            </w:pPr>
            <w:r>
              <w:rPr>
                <w:rFonts w:hint="eastAsia"/>
              </w:rPr>
              <w:t>0.2</w:t>
            </w:r>
          </w:p>
        </w:tc>
        <w:tc>
          <w:tcPr>
            <w:tcW w:w="506" w:type="pct"/>
            <w:vAlign w:val="center"/>
          </w:tcPr>
          <w:p w14:paraId="65832E96">
            <w:pPr>
              <w:pStyle w:val="196"/>
            </w:pPr>
            <w:r>
              <w:rPr>
                <w:rFonts w:hint="eastAsia"/>
              </w:rPr>
              <w:t>√</w:t>
            </w:r>
          </w:p>
        </w:tc>
        <w:tc>
          <w:tcPr>
            <w:tcW w:w="538" w:type="pct"/>
            <w:vAlign w:val="center"/>
          </w:tcPr>
          <w:p w14:paraId="749F1498">
            <w:pPr>
              <w:pStyle w:val="196"/>
            </w:pPr>
            <w:r>
              <w:rPr>
                <w:rFonts w:hint="eastAsia"/>
              </w:rPr>
              <w:t>-</w:t>
            </w:r>
          </w:p>
        </w:tc>
        <w:tc>
          <w:tcPr>
            <w:tcW w:w="0" w:type="auto"/>
            <w:vMerge w:val="continue"/>
            <w:vAlign w:val="center"/>
          </w:tcPr>
          <w:p w14:paraId="15E5FED6">
            <w:pPr>
              <w:pStyle w:val="196"/>
            </w:pPr>
          </w:p>
        </w:tc>
      </w:tr>
      <w:tr w14:paraId="5326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2143A2EA">
            <w:pPr>
              <w:pStyle w:val="196"/>
            </w:pPr>
            <w:r>
              <w:rPr>
                <w:rFonts w:hint="eastAsia"/>
              </w:rPr>
              <w:t>5</w:t>
            </w:r>
          </w:p>
        </w:tc>
        <w:tc>
          <w:tcPr>
            <w:tcW w:w="501" w:type="pct"/>
            <w:tcMar>
              <w:top w:w="0" w:type="dxa"/>
              <w:left w:w="0" w:type="dxa"/>
              <w:bottom w:w="0" w:type="dxa"/>
              <w:right w:w="0" w:type="dxa"/>
            </w:tcMar>
            <w:vAlign w:val="center"/>
          </w:tcPr>
          <w:p w14:paraId="3ACD9C89">
            <w:pPr>
              <w:pStyle w:val="196"/>
            </w:pPr>
            <w:r>
              <w:rPr>
                <w:rFonts w:hint="eastAsia"/>
              </w:rPr>
              <w:t>废含油抹布及手套</w:t>
            </w:r>
          </w:p>
        </w:tc>
        <w:tc>
          <w:tcPr>
            <w:tcW w:w="485" w:type="pct"/>
            <w:vAlign w:val="center"/>
          </w:tcPr>
          <w:p w14:paraId="7CFB1014">
            <w:pPr>
              <w:pStyle w:val="196"/>
            </w:pPr>
            <w:r>
              <w:rPr>
                <w:rFonts w:hint="eastAsia"/>
              </w:rPr>
              <w:t>设备维修</w:t>
            </w:r>
          </w:p>
        </w:tc>
        <w:tc>
          <w:tcPr>
            <w:tcW w:w="431" w:type="pct"/>
            <w:vAlign w:val="center"/>
          </w:tcPr>
          <w:p w14:paraId="46A4C713">
            <w:pPr>
              <w:pStyle w:val="196"/>
            </w:pPr>
            <w:r>
              <w:rPr>
                <w:rFonts w:hint="eastAsia"/>
              </w:rPr>
              <w:t>固态</w:t>
            </w:r>
          </w:p>
        </w:tc>
        <w:tc>
          <w:tcPr>
            <w:tcW w:w="611" w:type="pct"/>
            <w:vAlign w:val="center"/>
          </w:tcPr>
          <w:p w14:paraId="3A760ED3">
            <w:pPr>
              <w:pStyle w:val="196"/>
            </w:pPr>
            <w:r>
              <w:rPr>
                <w:rFonts w:hint="eastAsia"/>
              </w:rPr>
              <w:t>废油、抹布等</w:t>
            </w:r>
          </w:p>
        </w:tc>
        <w:tc>
          <w:tcPr>
            <w:tcW w:w="596" w:type="pct"/>
            <w:vAlign w:val="center"/>
          </w:tcPr>
          <w:p w14:paraId="5E239635">
            <w:pPr>
              <w:pStyle w:val="196"/>
            </w:pPr>
            <w:r>
              <w:rPr>
                <w:rFonts w:hint="eastAsia"/>
              </w:rPr>
              <w:t>0.02</w:t>
            </w:r>
          </w:p>
        </w:tc>
        <w:tc>
          <w:tcPr>
            <w:tcW w:w="506" w:type="pct"/>
            <w:vAlign w:val="center"/>
          </w:tcPr>
          <w:p w14:paraId="16465C21">
            <w:pPr>
              <w:pStyle w:val="196"/>
            </w:pPr>
            <w:r>
              <w:rPr>
                <w:rFonts w:hint="eastAsia"/>
              </w:rPr>
              <w:t>√</w:t>
            </w:r>
          </w:p>
        </w:tc>
        <w:tc>
          <w:tcPr>
            <w:tcW w:w="538" w:type="pct"/>
            <w:vAlign w:val="center"/>
          </w:tcPr>
          <w:p w14:paraId="24490E8B">
            <w:pPr>
              <w:pStyle w:val="196"/>
            </w:pPr>
            <w:r>
              <w:rPr>
                <w:rFonts w:hint="eastAsia"/>
              </w:rPr>
              <w:t>-</w:t>
            </w:r>
          </w:p>
        </w:tc>
        <w:tc>
          <w:tcPr>
            <w:tcW w:w="0" w:type="auto"/>
            <w:vMerge w:val="continue"/>
            <w:vAlign w:val="center"/>
          </w:tcPr>
          <w:p w14:paraId="21BFB8F3">
            <w:pPr>
              <w:pStyle w:val="196"/>
            </w:pPr>
          </w:p>
        </w:tc>
      </w:tr>
      <w:tr w14:paraId="43BCE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 w:type="pct"/>
            <w:tcMar>
              <w:top w:w="0" w:type="dxa"/>
              <w:left w:w="0" w:type="dxa"/>
              <w:bottom w:w="0" w:type="dxa"/>
              <w:right w:w="0" w:type="dxa"/>
            </w:tcMar>
            <w:vAlign w:val="center"/>
          </w:tcPr>
          <w:p w14:paraId="19B45305">
            <w:pPr>
              <w:pStyle w:val="196"/>
            </w:pPr>
            <w:bookmarkStart w:id="220" w:name="_Toc11060"/>
            <w:r>
              <w:rPr>
                <w:rFonts w:hint="eastAsia"/>
              </w:rPr>
              <w:t>6</w:t>
            </w:r>
            <w:bookmarkEnd w:id="220"/>
          </w:p>
        </w:tc>
        <w:tc>
          <w:tcPr>
            <w:tcW w:w="501" w:type="pct"/>
            <w:tcMar>
              <w:top w:w="0" w:type="dxa"/>
              <w:left w:w="0" w:type="dxa"/>
              <w:bottom w:w="0" w:type="dxa"/>
              <w:right w:w="0" w:type="dxa"/>
            </w:tcMar>
            <w:vAlign w:val="center"/>
          </w:tcPr>
          <w:p w14:paraId="35E1A276">
            <w:pPr>
              <w:pStyle w:val="196"/>
            </w:pPr>
            <w:r>
              <w:rPr>
                <w:rFonts w:hint="eastAsia"/>
              </w:rPr>
              <w:t>废金属物</w:t>
            </w:r>
          </w:p>
        </w:tc>
        <w:tc>
          <w:tcPr>
            <w:tcW w:w="485" w:type="pct"/>
            <w:vAlign w:val="center"/>
          </w:tcPr>
          <w:p w14:paraId="2C2252D3">
            <w:pPr>
              <w:pStyle w:val="196"/>
            </w:pPr>
            <w:r>
              <w:rPr>
                <w:rFonts w:hint="eastAsia"/>
              </w:rPr>
              <w:t>除铁器</w:t>
            </w:r>
          </w:p>
        </w:tc>
        <w:tc>
          <w:tcPr>
            <w:tcW w:w="431" w:type="pct"/>
            <w:vAlign w:val="center"/>
          </w:tcPr>
          <w:p w14:paraId="3BD026D8">
            <w:pPr>
              <w:pStyle w:val="196"/>
            </w:pPr>
            <w:r>
              <w:rPr>
                <w:rFonts w:hint="eastAsia"/>
              </w:rPr>
              <w:t>固态</w:t>
            </w:r>
          </w:p>
        </w:tc>
        <w:tc>
          <w:tcPr>
            <w:tcW w:w="611" w:type="pct"/>
            <w:vAlign w:val="center"/>
          </w:tcPr>
          <w:p w14:paraId="3B6EFD2B">
            <w:pPr>
              <w:pStyle w:val="196"/>
            </w:pPr>
            <w:r>
              <w:rPr>
                <w:rFonts w:hint="eastAsia"/>
              </w:rPr>
              <w:t>废金属</w:t>
            </w:r>
          </w:p>
        </w:tc>
        <w:tc>
          <w:tcPr>
            <w:tcW w:w="596" w:type="pct"/>
            <w:vAlign w:val="center"/>
          </w:tcPr>
          <w:p w14:paraId="2BF32626">
            <w:pPr>
              <w:pStyle w:val="196"/>
            </w:pPr>
            <w:r>
              <w:rPr>
                <w:rFonts w:hint="eastAsia"/>
              </w:rPr>
              <w:t>112</w:t>
            </w:r>
          </w:p>
        </w:tc>
        <w:tc>
          <w:tcPr>
            <w:tcW w:w="506" w:type="pct"/>
            <w:vAlign w:val="center"/>
          </w:tcPr>
          <w:p w14:paraId="2A0B5D3E">
            <w:pPr>
              <w:pStyle w:val="196"/>
            </w:pPr>
            <w:r>
              <w:rPr>
                <w:rFonts w:hint="eastAsia"/>
              </w:rPr>
              <w:t>√</w:t>
            </w:r>
          </w:p>
        </w:tc>
        <w:tc>
          <w:tcPr>
            <w:tcW w:w="538" w:type="pct"/>
            <w:vAlign w:val="center"/>
          </w:tcPr>
          <w:p w14:paraId="1104DA69">
            <w:pPr>
              <w:pStyle w:val="196"/>
            </w:pPr>
            <w:r>
              <w:rPr>
                <w:rFonts w:hint="eastAsia"/>
              </w:rPr>
              <w:t>-</w:t>
            </w:r>
          </w:p>
        </w:tc>
        <w:tc>
          <w:tcPr>
            <w:tcW w:w="0" w:type="auto"/>
            <w:vMerge w:val="continue"/>
            <w:vAlign w:val="center"/>
          </w:tcPr>
          <w:p w14:paraId="023B9B2E">
            <w:pPr>
              <w:pStyle w:val="196"/>
            </w:pPr>
          </w:p>
        </w:tc>
      </w:tr>
    </w:tbl>
    <w:p w14:paraId="41F2431F">
      <w:pPr>
        <w:pStyle w:val="93"/>
      </w:pPr>
      <w:r>
        <w:rPr>
          <w:rFonts w:hint="eastAsia"/>
        </w:rPr>
        <w:t>（2）危险废物属性判定</w:t>
      </w:r>
    </w:p>
    <w:p w14:paraId="0605C146">
      <w:pPr>
        <w:pStyle w:val="93"/>
      </w:pPr>
      <w:r>
        <w:rPr>
          <w:rFonts w:hint="eastAsia"/>
        </w:rPr>
        <w:t>根据《国家危险废物名录》（2021年）以及《危险废物鉴别标准 通则》（GB5085.7-2019），判定本项目的固体废物是否属于危险废物，具体判定结果见下表。</w:t>
      </w:r>
    </w:p>
    <w:p w14:paraId="25D45912">
      <w:pPr>
        <w:pStyle w:val="86"/>
      </w:pPr>
      <w:r>
        <w:rPr>
          <w:rFonts w:hint="eastAsia"/>
        </w:rPr>
        <w:t>危险废物属性判定表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094"/>
        <w:gridCol w:w="1327"/>
        <w:gridCol w:w="795"/>
        <w:gridCol w:w="1122"/>
        <w:gridCol w:w="1199"/>
        <w:gridCol w:w="743"/>
        <w:gridCol w:w="1037"/>
        <w:gridCol w:w="1324"/>
      </w:tblGrid>
      <w:tr w14:paraId="514D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blHeader/>
          <w:jc w:val="center"/>
        </w:trPr>
        <w:tc>
          <w:tcPr>
            <w:tcW w:w="637" w:type="dxa"/>
            <w:vAlign w:val="center"/>
          </w:tcPr>
          <w:p w14:paraId="5E69DBAF">
            <w:pPr>
              <w:pStyle w:val="196"/>
              <w:rPr>
                <w:b/>
                <w:bCs/>
              </w:rPr>
            </w:pPr>
            <w:r>
              <w:rPr>
                <w:rFonts w:hint="eastAsia"/>
                <w:b/>
                <w:bCs/>
              </w:rPr>
              <w:t>序号</w:t>
            </w:r>
          </w:p>
        </w:tc>
        <w:tc>
          <w:tcPr>
            <w:tcW w:w="1094" w:type="dxa"/>
            <w:vAlign w:val="center"/>
          </w:tcPr>
          <w:p w14:paraId="1E1DA1BE">
            <w:pPr>
              <w:pStyle w:val="196"/>
              <w:rPr>
                <w:b/>
                <w:bCs/>
              </w:rPr>
            </w:pPr>
            <w:r>
              <w:rPr>
                <w:rFonts w:hint="eastAsia"/>
                <w:b/>
                <w:bCs/>
              </w:rPr>
              <w:t>固废名称</w:t>
            </w:r>
          </w:p>
        </w:tc>
        <w:tc>
          <w:tcPr>
            <w:tcW w:w="1329" w:type="dxa"/>
            <w:vAlign w:val="center"/>
          </w:tcPr>
          <w:p w14:paraId="71D2AF57">
            <w:pPr>
              <w:pStyle w:val="196"/>
              <w:rPr>
                <w:b/>
                <w:bCs/>
              </w:rPr>
            </w:pPr>
            <w:r>
              <w:rPr>
                <w:rFonts w:hint="eastAsia"/>
                <w:b/>
                <w:bCs/>
              </w:rPr>
              <w:t>产生工序</w:t>
            </w:r>
          </w:p>
        </w:tc>
        <w:tc>
          <w:tcPr>
            <w:tcW w:w="794" w:type="dxa"/>
            <w:vAlign w:val="center"/>
          </w:tcPr>
          <w:p w14:paraId="3A9D9B16">
            <w:pPr>
              <w:pStyle w:val="196"/>
              <w:rPr>
                <w:b/>
                <w:bCs/>
              </w:rPr>
            </w:pPr>
            <w:r>
              <w:rPr>
                <w:rFonts w:hint="eastAsia"/>
                <w:b/>
                <w:bCs/>
              </w:rPr>
              <w:t>形态</w:t>
            </w:r>
          </w:p>
        </w:tc>
        <w:tc>
          <w:tcPr>
            <w:tcW w:w="1123" w:type="dxa"/>
            <w:vAlign w:val="center"/>
          </w:tcPr>
          <w:p w14:paraId="4B5365D8">
            <w:pPr>
              <w:pStyle w:val="196"/>
              <w:rPr>
                <w:b/>
                <w:bCs/>
              </w:rPr>
            </w:pPr>
            <w:r>
              <w:rPr>
                <w:rFonts w:hint="eastAsia"/>
                <w:b/>
                <w:bCs/>
              </w:rPr>
              <w:t>主要成分</w:t>
            </w:r>
          </w:p>
        </w:tc>
        <w:tc>
          <w:tcPr>
            <w:tcW w:w="1200" w:type="dxa"/>
            <w:vAlign w:val="center"/>
          </w:tcPr>
          <w:p w14:paraId="5976FAEA">
            <w:pPr>
              <w:pStyle w:val="196"/>
              <w:rPr>
                <w:b/>
                <w:bCs/>
              </w:rPr>
            </w:pPr>
            <w:r>
              <w:rPr>
                <w:rFonts w:hint="eastAsia"/>
                <w:b/>
                <w:bCs/>
              </w:rPr>
              <w:t>危险特性鉴别方法</w:t>
            </w:r>
          </w:p>
        </w:tc>
        <w:tc>
          <w:tcPr>
            <w:tcW w:w="741" w:type="dxa"/>
            <w:vAlign w:val="center"/>
          </w:tcPr>
          <w:p w14:paraId="4484CEFB">
            <w:pPr>
              <w:pStyle w:val="196"/>
              <w:rPr>
                <w:b/>
                <w:bCs/>
              </w:rPr>
            </w:pPr>
            <w:r>
              <w:rPr>
                <w:rFonts w:hint="eastAsia"/>
                <w:b/>
                <w:bCs/>
              </w:rPr>
              <w:t>是否属于危废</w:t>
            </w:r>
          </w:p>
        </w:tc>
        <w:tc>
          <w:tcPr>
            <w:tcW w:w="1037" w:type="dxa"/>
            <w:vAlign w:val="center"/>
          </w:tcPr>
          <w:p w14:paraId="36054335">
            <w:pPr>
              <w:pStyle w:val="196"/>
              <w:rPr>
                <w:b/>
                <w:bCs/>
              </w:rPr>
            </w:pPr>
            <w:r>
              <w:rPr>
                <w:rFonts w:hint="eastAsia"/>
                <w:b/>
                <w:bCs/>
              </w:rPr>
              <w:t>废物类别</w:t>
            </w:r>
          </w:p>
        </w:tc>
        <w:tc>
          <w:tcPr>
            <w:tcW w:w="1326" w:type="dxa"/>
            <w:vAlign w:val="center"/>
          </w:tcPr>
          <w:p w14:paraId="02F021CC">
            <w:pPr>
              <w:pStyle w:val="196"/>
              <w:rPr>
                <w:b/>
                <w:bCs/>
              </w:rPr>
            </w:pPr>
            <w:r>
              <w:rPr>
                <w:rFonts w:hint="eastAsia"/>
                <w:b/>
                <w:bCs/>
              </w:rPr>
              <w:t>废物代码</w:t>
            </w:r>
          </w:p>
        </w:tc>
      </w:tr>
      <w:tr w14:paraId="4883A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1C596229">
            <w:pPr>
              <w:pStyle w:val="196"/>
            </w:pPr>
            <w:r>
              <w:rPr>
                <w:rFonts w:hint="eastAsia"/>
              </w:rPr>
              <w:t>1</w:t>
            </w:r>
          </w:p>
        </w:tc>
        <w:tc>
          <w:tcPr>
            <w:tcW w:w="1094" w:type="dxa"/>
            <w:vAlign w:val="center"/>
          </w:tcPr>
          <w:p w14:paraId="2C177C43">
            <w:pPr>
              <w:pStyle w:val="196"/>
            </w:pPr>
            <w:r>
              <w:rPr>
                <w:rFonts w:hint="eastAsia"/>
              </w:rPr>
              <w:t>陆域生活垃圾</w:t>
            </w:r>
          </w:p>
        </w:tc>
        <w:tc>
          <w:tcPr>
            <w:tcW w:w="1329" w:type="dxa"/>
            <w:vAlign w:val="center"/>
          </w:tcPr>
          <w:p w14:paraId="1C06E71D">
            <w:pPr>
              <w:pStyle w:val="196"/>
            </w:pPr>
            <w:r>
              <w:rPr>
                <w:rFonts w:hint="eastAsia"/>
              </w:rPr>
              <w:t>港口员工生活</w:t>
            </w:r>
          </w:p>
        </w:tc>
        <w:tc>
          <w:tcPr>
            <w:tcW w:w="794" w:type="dxa"/>
            <w:vAlign w:val="center"/>
          </w:tcPr>
          <w:p w14:paraId="4FDD1608">
            <w:pPr>
              <w:pStyle w:val="196"/>
            </w:pPr>
            <w:r>
              <w:rPr>
                <w:rFonts w:hint="eastAsia"/>
              </w:rPr>
              <w:t>固态</w:t>
            </w:r>
          </w:p>
        </w:tc>
        <w:tc>
          <w:tcPr>
            <w:tcW w:w="1123" w:type="dxa"/>
            <w:vAlign w:val="center"/>
          </w:tcPr>
          <w:p w14:paraId="6FA30A38">
            <w:pPr>
              <w:pStyle w:val="196"/>
            </w:pPr>
            <w:r>
              <w:rPr>
                <w:rFonts w:hint="eastAsia"/>
              </w:rPr>
              <w:t>食品、杂物、纸屑等</w:t>
            </w:r>
          </w:p>
        </w:tc>
        <w:tc>
          <w:tcPr>
            <w:tcW w:w="1200" w:type="dxa"/>
            <w:vMerge w:val="restart"/>
            <w:vAlign w:val="center"/>
          </w:tcPr>
          <w:p w14:paraId="5CCBF3F6">
            <w:pPr>
              <w:pStyle w:val="196"/>
            </w:pPr>
            <w:r>
              <w:rPr>
                <w:rFonts w:hint="eastAsia"/>
              </w:rPr>
              <w:t>《国家危险废物名录》（2021年版）、《危险废物鉴别标准 通则》（GB5085.7-2019）</w:t>
            </w:r>
          </w:p>
        </w:tc>
        <w:tc>
          <w:tcPr>
            <w:tcW w:w="741" w:type="dxa"/>
            <w:vAlign w:val="center"/>
          </w:tcPr>
          <w:p w14:paraId="175B1AAF">
            <w:pPr>
              <w:pStyle w:val="196"/>
            </w:pPr>
            <w:r>
              <w:rPr>
                <w:rFonts w:hint="eastAsia"/>
              </w:rPr>
              <w:t>否</w:t>
            </w:r>
          </w:p>
        </w:tc>
        <w:tc>
          <w:tcPr>
            <w:tcW w:w="1037" w:type="dxa"/>
            <w:vAlign w:val="center"/>
          </w:tcPr>
          <w:p w14:paraId="1D1B57C9">
            <w:pPr>
              <w:pStyle w:val="196"/>
            </w:pPr>
            <w:r>
              <w:rPr>
                <w:rFonts w:hint="eastAsia"/>
              </w:rPr>
              <w:t>-</w:t>
            </w:r>
          </w:p>
        </w:tc>
        <w:tc>
          <w:tcPr>
            <w:tcW w:w="1326" w:type="dxa"/>
            <w:vAlign w:val="center"/>
          </w:tcPr>
          <w:p w14:paraId="3D0373F1">
            <w:pPr>
              <w:pStyle w:val="196"/>
            </w:pPr>
            <w:r>
              <w:rPr>
                <w:rFonts w:hint="eastAsia"/>
              </w:rPr>
              <w:t>-</w:t>
            </w:r>
          </w:p>
        </w:tc>
      </w:tr>
      <w:tr w14:paraId="601E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7DC4DB2F">
            <w:pPr>
              <w:pStyle w:val="196"/>
            </w:pPr>
            <w:r>
              <w:rPr>
                <w:rFonts w:hint="eastAsia"/>
              </w:rPr>
              <w:t>2</w:t>
            </w:r>
          </w:p>
        </w:tc>
        <w:tc>
          <w:tcPr>
            <w:tcW w:w="1094" w:type="dxa"/>
            <w:vAlign w:val="center"/>
          </w:tcPr>
          <w:p w14:paraId="04198886">
            <w:pPr>
              <w:pStyle w:val="196"/>
            </w:pPr>
            <w:r>
              <w:rPr>
                <w:rFonts w:hint="eastAsia"/>
              </w:rPr>
              <w:t>船舶生活垃圾</w:t>
            </w:r>
          </w:p>
        </w:tc>
        <w:tc>
          <w:tcPr>
            <w:tcW w:w="1329" w:type="dxa"/>
            <w:vAlign w:val="center"/>
          </w:tcPr>
          <w:p w14:paraId="62972643">
            <w:pPr>
              <w:pStyle w:val="196"/>
            </w:pPr>
            <w:r>
              <w:rPr>
                <w:rFonts w:hint="eastAsia"/>
              </w:rPr>
              <w:t>船员生活</w:t>
            </w:r>
          </w:p>
        </w:tc>
        <w:tc>
          <w:tcPr>
            <w:tcW w:w="794" w:type="dxa"/>
            <w:vAlign w:val="center"/>
          </w:tcPr>
          <w:p w14:paraId="5BA3D146">
            <w:pPr>
              <w:pStyle w:val="196"/>
            </w:pPr>
            <w:r>
              <w:rPr>
                <w:rFonts w:hint="eastAsia"/>
              </w:rPr>
              <w:t>固态</w:t>
            </w:r>
          </w:p>
        </w:tc>
        <w:tc>
          <w:tcPr>
            <w:tcW w:w="1123" w:type="dxa"/>
            <w:vAlign w:val="center"/>
          </w:tcPr>
          <w:p w14:paraId="36A04AB7">
            <w:pPr>
              <w:pStyle w:val="196"/>
            </w:pPr>
            <w:r>
              <w:rPr>
                <w:rFonts w:hint="eastAsia"/>
              </w:rPr>
              <w:t>食品、杂物、纸屑等</w:t>
            </w:r>
          </w:p>
        </w:tc>
        <w:tc>
          <w:tcPr>
            <w:tcW w:w="1200" w:type="dxa"/>
            <w:vMerge w:val="continue"/>
            <w:vAlign w:val="center"/>
          </w:tcPr>
          <w:p w14:paraId="3E5F119E">
            <w:pPr>
              <w:pStyle w:val="196"/>
            </w:pPr>
          </w:p>
        </w:tc>
        <w:tc>
          <w:tcPr>
            <w:tcW w:w="741" w:type="dxa"/>
            <w:vAlign w:val="center"/>
          </w:tcPr>
          <w:p w14:paraId="6033AAA5">
            <w:pPr>
              <w:pStyle w:val="196"/>
            </w:pPr>
            <w:r>
              <w:rPr>
                <w:rFonts w:hint="eastAsia"/>
              </w:rPr>
              <w:t>否</w:t>
            </w:r>
          </w:p>
        </w:tc>
        <w:tc>
          <w:tcPr>
            <w:tcW w:w="1037" w:type="dxa"/>
            <w:vAlign w:val="center"/>
          </w:tcPr>
          <w:p w14:paraId="39266A63">
            <w:pPr>
              <w:pStyle w:val="196"/>
            </w:pPr>
            <w:r>
              <w:rPr>
                <w:rFonts w:hint="eastAsia"/>
              </w:rPr>
              <w:t>-</w:t>
            </w:r>
          </w:p>
        </w:tc>
        <w:tc>
          <w:tcPr>
            <w:tcW w:w="1326" w:type="dxa"/>
            <w:vAlign w:val="center"/>
          </w:tcPr>
          <w:p w14:paraId="11CC27C4">
            <w:pPr>
              <w:pStyle w:val="196"/>
            </w:pPr>
            <w:r>
              <w:rPr>
                <w:rFonts w:hint="eastAsia"/>
              </w:rPr>
              <w:t>-</w:t>
            </w:r>
          </w:p>
        </w:tc>
      </w:tr>
      <w:tr w14:paraId="04B74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05C35045">
            <w:pPr>
              <w:pStyle w:val="196"/>
            </w:pPr>
            <w:r>
              <w:rPr>
                <w:rFonts w:hint="eastAsia"/>
              </w:rPr>
              <w:t>3</w:t>
            </w:r>
          </w:p>
        </w:tc>
        <w:tc>
          <w:tcPr>
            <w:tcW w:w="1094" w:type="dxa"/>
            <w:vAlign w:val="center"/>
          </w:tcPr>
          <w:p w14:paraId="30EB2974">
            <w:pPr>
              <w:pStyle w:val="196"/>
            </w:pPr>
            <w:r>
              <w:rPr>
                <w:rFonts w:hint="eastAsia"/>
              </w:rPr>
              <w:t>装卸作业</w:t>
            </w:r>
            <w:r>
              <w:rPr>
                <w:rFonts w:hint="eastAsia"/>
                <w:lang w:eastAsia="zh-CN"/>
              </w:rPr>
              <w:t>产生</w:t>
            </w:r>
            <w:r>
              <w:rPr>
                <w:rFonts w:hint="eastAsia"/>
              </w:rPr>
              <w:t>的固体废物</w:t>
            </w:r>
          </w:p>
        </w:tc>
        <w:tc>
          <w:tcPr>
            <w:tcW w:w="1329" w:type="dxa"/>
            <w:vAlign w:val="center"/>
          </w:tcPr>
          <w:p w14:paraId="48A21E6F">
            <w:pPr>
              <w:pStyle w:val="196"/>
            </w:pPr>
            <w:r>
              <w:rPr>
                <w:rFonts w:hint="eastAsia"/>
              </w:rPr>
              <w:t>装卸过程</w:t>
            </w:r>
          </w:p>
        </w:tc>
        <w:tc>
          <w:tcPr>
            <w:tcW w:w="794" w:type="dxa"/>
            <w:vAlign w:val="center"/>
          </w:tcPr>
          <w:p w14:paraId="0E765342">
            <w:pPr>
              <w:pStyle w:val="196"/>
            </w:pPr>
            <w:r>
              <w:rPr>
                <w:rFonts w:hint="eastAsia"/>
              </w:rPr>
              <w:t>固态</w:t>
            </w:r>
          </w:p>
        </w:tc>
        <w:tc>
          <w:tcPr>
            <w:tcW w:w="1123" w:type="dxa"/>
            <w:vAlign w:val="center"/>
          </w:tcPr>
          <w:p w14:paraId="6C64B0AA">
            <w:pPr>
              <w:pStyle w:val="196"/>
            </w:pPr>
            <w:r>
              <w:rPr>
                <w:rFonts w:hint="eastAsia"/>
              </w:rPr>
              <w:t>废包装等</w:t>
            </w:r>
          </w:p>
        </w:tc>
        <w:tc>
          <w:tcPr>
            <w:tcW w:w="1200" w:type="dxa"/>
            <w:vMerge w:val="continue"/>
            <w:vAlign w:val="center"/>
          </w:tcPr>
          <w:p w14:paraId="6DDA519B">
            <w:pPr>
              <w:pStyle w:val="196"/>
            </w:pPr>
          </w:p>
        </w:tc>
        <w:tc>
          <w:tcPr>
            <w:tcW w:w="741" w:type="dxa"/>
            <w:vAlign w:val="center"/>
          </w:tcPr>
          <w:p w14:paraId="6B799E38">
            <w:pPr>
              <w:pStyle w:val="196"/>
            </w:pPr>
            <w:r>
              <w:rPr>
                <w:rFonts w:hint="eastAsia"/>
              </w:rPr>
              <w:t>否</w:t>
            </w:r>
          </w:p>
        </w:tc>
        <w:tc>
          <w:tcPr>
            <w:tcW w:w="1037" w:type="dxa"/>
            <w:vAlign w:val="center"/>
          </w:tcPr>
          <w:p w14:paraId="33B7AE60">
            <w:pPr>
              <w:pStyle w:val="196"/>
            </w:pPr>
            <w:r>
              <w:rPr>
                <w:rFonts w:hint="eastAsia"/>
              </w:rPr>
              <w:t>-</w:t>
            </w:r>
          </w:p>
        </w:tc>
        <w:tc>
          <w:tcPr>
            <w:tcW w:w="1326" w:type="dxa"/>
            <w:vAlign w:val="center"/>
          </w:tcPr>
          <w:p w14:paraId="28A95F3C">
            <w:pPr>
              <w:pStyle w:val="196"/>
            </w:pPr>
            <w:r>
              <w:rPr>
                <w:rFonts w:hint="eastAsia"/>
              </w:rPr>
              <w:t>-</w:t>
            </w:r>
          </w:p>
        </w:tc>
      </w:tr>
      <w:tr w14:paraId="3886F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06962DFD">
            <w:pPr>
              <w:pStyle w:val="196"/>
            </w:pPr>
            <w:r>
              <w:rPr>
                <w:rFonts w:hint="eastAsia"/>
              </w:rPr>
              <w:t>4</w:t>
            </w:r>
          </w:p>
        </w:tc>
        <w:tc>
          <w:tcPr>
            <w:tcW w:w="1094" w:type="dxa"/>
            <w:vAlign w:val="center"/>
          </w:tcPr>
          <w:p w14:paraId="4A6EFC74">
            <w:pPr>
              <w:pStyle w:val="196"/>
            </w:pPr>
            <w:r>
              <w:rPr>
                <w:rFonts w:hint="eastAsia"/>
              </w:rPr>
              <w:t>机修废油</w:t>
            </w:r>
          </w:p>
        </w:tc>
        <w:tc>
          <w:tcPr>
            <w:tcW w:w="1329" w:type="dxa"/>
            <w:vAlign w:val="center"/>
          </w:tcPr>
          <w:p w14:paraId="1ED7DB2A">
            <w:pPr>
              <w:pStyle w:val="196"/>
            </w:pPr>
            <w:r>
              <w:rPr>
                <w:rFonts w:hint="eastAsia"/>
              </w:rPr>
              <w:t>设备维修</w:t>
            </w:r>
          </w:p>
        </w:tc>
        <w:tc>
          <w:tcPr>
            <w:tcW w:w="794" w:type="dxa"/>
            <w:vAlign w:val="center"/>
          </w:tcPr>
          <w:p w14:paraId="59FF98BF">
            <w:pPr>
              <w:pStyle w:val="196"/>
            </w:pPr>
            <w:r>
              <w:rPr>
                <w:rFonts w:hint="eastAsia"/>
              </w:rPr>
              <w:t>液态</w:t>
            </w:r>
          </w:p>
        </w:tc>
        <w:tc>
          <w:tcPr>
            <w:tcW w:w="1123" w:type="dxa"/>
            <w:vAlign w:val="center"/>
          </w:tcPr>
          <w:p w14:paraId="3D93C3F5">
            <w:pPr>
              <w:pStyle w:val="196"/>
            </w:pPr>
            <w:r>
              <w:rPr>
                <w:rFonts w:hint="eastAsia"/>
              </w:rPr>
              <w:t>废油</w:t>
            </w:r>
          </w:p>
        </w:tc>
        <w:tc>
          <w:tcPr>
            <w:tcW w:w="1200" w:type="dxa"/>
            <w:vMerge w:val="continue"/>
            <w:vAlign w:val="center"/>
          </w:tcPr>
          <w:p w14:paraId="68D16F69">
            <w:pPr>
              <w:pStyle w:val="196"/>
            </w:pPr>
          </w:p>
        </w:tc>
        <w:tc>
          <w:tcPr>
            <w:tcW w:w="741" w:type="dxa"/>
            <w:vAlign w:val="center"/>
          </w:tcPr>
          <w:p w14:paraId="45ABEE14">
            <w:pPr>
              <w:pStyle w:val="196"/>
            </w:pPr>
            <w:r>
              <w:rPr>
                <w:rFonts w:hint="eastAsia"/>
              </w:rPr>
              <w:t>是</w:t>
            </w:r>
          </w:p>
        </w:tc>
        <w:tc>
          <w:tcPr>
            <w:tcW w:w="1037" w:type="dxa"/>
            <w:vAlign w:val="center"/>
          </w:tcPr>
          <w:p w14:paraId="6FD9546C">
            <w:pPr>
              <w:pStyle w:val="196"/>
            </w:pPr>
            <w:r>
              <w:rPr>
                <w:rFonts w:hint="eastAsia"/>
              </w:rPr>
              <w:t>HW08</w:t>
            </w:r>
          </w:p>
        </w:tc>
        <w:tc>
          <w:tcPr>
            <w:tcW w:w="1326" w:type="dxa"/>
            <w:vAlign w:val="center"/>
          </w:tcPr>
          <w:p w14:paraId="7F88A74B">
            <w:pPr>
              <w:pStyle w:val="196"/>
            </w:pPr>
            <w:r>
              <w:rPr>
                <w:rFonts w:hint="eastAsia"/>
              </w:rPr>
              <w:t>900-214-08</w:t>
            </w:r>
          </w:p>
        </w:tc>
      </w:tr>
      <w:tr w14:paraId="79B1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2CA6FD79">
            <w:pPr>
              <w:pStyle w:val="196"/>
            </w:pPr>
            <w:r>
              <w:rPr>
                <w:rFonts w:hint="eastAsia"/>
              </w:rPr>
              <w:t>5</w:t>
            </w:r>
          </w:p>
        </w:tc>
        <w:tc>
          <w:tcPr>
            <w:tcW w:w="1094" w:type="dxa"/>
            <w:vAlign w:val="center"/>
          </w:tcPr>
          <w:p w14:paraId="1D56C5B4">
            <w:pPr>
              <w:pStyle w:val="196"/>
            </w:pPr>
            <w:r>
              <w:rPr>
                <w:rFonts w:hint="eastAsia"/>
              </w:rPr>
              <w:t>废含油抹布及手套</w:t>
            </w:r>
          </w:p>
        </w:tc>
        <w:tc>
          <w:tcPr>
            <w:tcW w:w="1329" w:type="dxa"/>
            <w:vAlign w:val="center"/>
          </w:tcPr>
          <w:p w14:paraId="24EB4D74">
            <w:pPr>
              <w:pStyle w:val="196"/>
            </w:pPr>
            <w:r>
              <w:rPr>
                <w:rFonts w:hint="eastAsia"/>
              </w:rPr>
              <w:t>设备维修</w:t>
            </w:r>
          </w:p>
        </w:tc>
        <w:tc>
          <w:tcPr>
            <w:tcW w:w="794" w:type="dxa"/>
            <w:vAlign w:val="center"/>
          </w:tcPr>
          <w:p w14:paraId="7207246B">
            <w:pPr>
              <w:pStyle w:val="196"/>
            </w:pPr>
            <w:r>
              <w:rPr>
                <w:rFonts w:hint="eastAsia"/>
              </w:rPr>
              <w:t>固态</w:t>
            </w:r>
          </w:p>
        </w:tc>
        <w:tc>
          <w:tcPr>
            <w:tcW w:w="1123" w:type="dxa"/>
            <w:vAlign w:val="center"/>
          </w:tcPr>
          <w:p w14:paraId="170D0F70">
            <w:pPr>
              <w:pStyle w:val="196"/>
            </w:pPr>
            <w:r>
              <w:rPr>
                <w:rFonts w:hint="eastAsia"/>
              </w:rPr>
              <w:t>废油、抹布等</w:t>
            </w:r>
          </w:p>
        </w:tc>
        <w:tc>
          <w:tcPr>
            <w:tcW w:w="1200" w:type="dxa"/>
            <w:vMerge w:val="continue"/>
            <w:vAlign w:val="center"/>
          </w:tcPr>
          <w:p w14:paraId="6B160B2F">
            <w:pPr>
              <w:pStyle w:val="196"/>
            </w:pPr>
          </w:p>
        </w:tc>
        <w:tc>
          <w:tcPr>
            <w:tcW w:w="741" w:type="dxa"/>
            <w:vAlign w:val="center"/>
          </w:tcPr>
          <w:p w14:paraId="47B7FF90">
            <w:pPr>
              <w:pStyle w:val="196"/>
            </w:pPr>
            <w:r>
              <w:rPr>
                <w:rFonts w:hint="eastAsia"/>
              </w:rPr>
              <w:t>是</w:t>
            </w:r>
          </w:p>
        </w:tc>
        <w:tc>
          <w:tcPr>
            <w:tcW w:w="1037" w:type="dxa"/>
            <w:vAlign w:val="center"/>
          </w:tcPr>
          <w:p w14:paraId="78D409F5">
            <w:pPr>
              <w:pStyle w:val="196"/>
            </w:pPr>
            <w:r>
              <w:rPr>
                <w:rFonts w:hint="eastAsia"/>
              </w:rPr>
              <w:t>HW49</w:t>
            </w:r>
          </w:p>
        </w:tc>
        <w:tc>
          <w:tcPr>
            <w:tcW w:w="1326" w:type="dxa"/>
            <w:vAlign w:val="center"/>
          </w:tcPr>
          <w:p w14:paraId="798EE340">
            <w:pPr>
              <w:pStyle w:val="196"/>
            </w:pPr>
            <w:r>
              <w:rPr>
                <w:rFonts w:hint="eastAsia"/>
              </w:rPr>
              <w:t>900-041-49</w:t>
            </w:r>
          </w:p>
        </w:tc>
      </w:tr>
      <w:tr w14:paraId="7AA9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1A44B5B7">
            <w:pPr>
              <w:pStyle w:val="196"/>
            </w:pPr>
            <w:bookmarkStart w:id="221" w:name="_Toc32211"/>
            <w:r>
              <w:rPr>
                <w:rFonts w:hint="eastAsia"/>
              </w:rPr>
              <w:t>6</w:t>
            </w:r>
            <w:bookmarkEnd w:id="221"/>
          </w:p>
        </w:tc>
        <w:tc>
          <w:tcPr>
            <w:tcW w:w="1094" w:type="dxa"/>
            <w:vAlign w:val="center"/>
          </w:tcPr>
          <w:p w14:paraId="58FBF0D7">
            <w:pPr>
              <w:pStyle w:val="196"/>
            </w:pPr>
            <w:r>
              <w:rPr>
                <w:rFonts w:hint="eastAsia"/>
              </w:rPr>
              <w:t>废金属物</w:t>
            </w:r>
          </w:p>
        </w:tc>
        <w:tc>
          <w:tcPr>
            <w:tcW w:w="1329" w:type="dxa"/>
            <w:vAlign w:val="center"/>
          </w:tcPr>
          <w:p w14:paraId="54534D42">
            <w:pPr>
              <w:pStyle w:val="196"/>
            </w:pPr>
            <w:r>
              <w:rPr>
                <w:rFonts w:hint="eastAsia"/>
              </w:rPr>
              <w:t>除铁器</w:t>
            </w:r>
          </w:p>
        </w:tc>
        <w:tc>
          <w:tcPr>
            <w:tcW w:w="794" w:type="dxa"/>
            <w:vAlign w:val="center"/>
          </w:tcPr>
          <w:p w14:paraId="1AC7BF0F">
            <w:pPr>
              <w:pStyle w:val="196"/>
            </w:pPr>
            <w:r>
              <w:rPr>
                <w:rFonts w:hint="eastAsia"/>
              </w:rPr>
              <w:t>固态</w:t>
            </w:r>
          </w:p>
        </w:tc>
        <w:tc>
          <w:tcPr>
            <w:tcW w:w="1123" w:type="dxa"/>
            <w:vAlign w:val="center"/>
          </w:tcPr>
          <w:p w14:paraId="7BF9735E">
            <w:pPr>
              <w:pStyle w:val="196"/>
            </w:pPr>
            <w:r>
              <w:rPr>
                <w:rFonts w:hint="eastAsia"/>
              </w:rPr>
              <w:t>废金属</w:t>
            </w:r>
          </w:p>
        </w:tc>
        <w:tc>
          <w:tcPr>
            <w:tcW w:w="1200" w:type="dxa"/>
            <w:vMerge w:val="continue"/>
            <w:vAlign w:val="center"/>
          </w:tcPr>
          <w:p w14:paraId="2BCBE3F2">
            <w:pPr>
              <w:pStyle w:val="196"/>
            </w:pPr>
          </w:p>
        </w:tc>
        <w:tc>
          <w:tcPr>
            <w:tcW w:w="741" w:type="dxa"/>
            <w:vAlign w:val="center"/>
          </w:tcPr>
          <w:p w14:paraId="47F48C10">
            <w:pPr>
              <w:pStyle w:val="196"/>
            </w:pPr>
            <w:r>
              <w:rPr>
                <w:rFonts w:hint="eastAsia"/>
              </w:rPr>
              <w:t>否</w:t>
            </w:r>
          </w:p>
        </w:tc>
        <w:tc>
          <w:tcPr>
            <w:tcW w:w="1037" w:type="dxa"/>
            <w:vAlign w:val="center"/>
          </w:tcPr>
          <w:p w14:paraId="0BAE10CA">
            <w:pPr>
              <w:pStyle w:val="196"/>
            </w:pPr>
            <w:r>
              <w:rPr>
                <w:rFonts w:hint="eastAsia"/>
              </w:rPr>
              <w:t>-</w:t>
            </w:r>
          </w:p>
        </w:tc>
        <w:tc>
          <w:tcPr>
            <w:tcW w:w="1326" w:type="dxa"/>
            <w:vAlign w:val="center"/>
          </w:tcPr>
          <w:p w14:paraId="2FC6DA18">
            <w:pPr>
              <w:pStyle w:val="196"/>
            </w:pPr>
            <w:r>
              <w:rPr>
                <w:rFonts w:hint="eastAsia"/>
              </w:rPr>
              <w:t>-</w:t>
            </w:r>
          </w:p>
        </w:tc>
      </w:tr>
    </w:tbl>
    <w:p w14:paraId="5699D076">
      <w:pPr>
        <w:pStyle w:val="93"/>
      </w:pPr>
      <w:r>
        <w:rPr>
          <w:rFonts w:hint="eastAsia"/>
        </w:rPr>
        <w:t>（3）固体废物分析情况汇总</w:t>
      </w:r>
    </w:p>
    <w:p w14:paraId="65DF169B">
      <w:pPr>
        <w:pStyle w:val="93"/>
      </w:pPr>
      <w:r>
        <w:rPr>
          <w:rFonts w:hint="eastAsia"/>
        </w:rPr>
        <w:t>本项目固废产生及处置情况见下表。</w:t>
      </w:r>
    </w:p>
    <w:p w14:paraId="3A732D0C">
      <w:pPr>
        <w:pStyle w:val="86"/>
      </w:pPr>
      <w:r>
        <w:rPr>
          <w:rFonts w:hint="eastAsia"/>
        </w:rPr>
        <w:t>项目固废产生及处置情况一览表     单位：t/a</w:t>
      </w:r>
    </w:p>
    <w:tbl>
      <w:tblPr>
        <w:tblStyle w:val="38"/>
        <w:tblW w:w="9780" w:type="dxa"/>
        <w:jc w:val="center"/>
        <w:tblLayout w:type="autofit"/>
        <w:tblCellMar>
          <w:top w:w="0" w:type="dxa"/>
          <w:left w:w="108" w:type="dxa"/>
          <w:bottom w:w="0" w:type="dxa"/>
          <w:right w:w="108" w:type="dxa"/>
        </w:tblCellMar>
      </w:tblPr>
      <w:tblGrid>
        <w:gridCol w:w="960"/>
        <w:gridCol w:w="2300"/>
        <w:gridCol w:w="1100"/>
        <w:gridCol w:w="960"/>
        <w:gridCol w:w="1420"/>
        <w:gridCol w:w="960"/>
        <w:gridCol w:w="2080"/>
      </w:tblGrid>
      <w:tr w14:paraId="5B357FBE">
        <w:tblPrEx>
          <w:tblCellMar>
            <w:top w:w="0" w:type="dxa"/>
            <w:left w:w="108" w:type="dxa"/>
            <w:bottom w:w="0" w:type="dxa"/>
            <w:right w:w="108" w:type="dxa"/>
          </w:tblCellMar>
        </w:tblPrEx>
        <w:trPr>
          <w:trHeight w:val="288" w:hRule="atLeast"/>
          <w:jc w:val="center"/>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14:paraId="6F93FF0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序号</w:t>
            </w:r>
          </w:p>
        </w:tc>
        <w:tc>
          <w:tcPr>
            <w:tcW w:w="2300" w:type="dxa"/>
            <w:tcBorders>
              <w:top w:val="single" w:color="auto" w:sz="4" w:space="0"/>
              <w:left w:val="nil"/>
              <w:bottom w:val="single" w:color="auto" w:sz="4" w:space="0"/>
              <w:right w:val="single" w:color="auto" w:sz="4" w:space="0"/>
            </w:tcBorders>
            <w:shd w:val="clear" w:color="auto" w:fill="auto"/>
            <w:vAlign w:val="center"/>
          </w:tcPr>
          <w:p w14:paraId="1BAC597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固废名称</w:t>
            </w:r>
          </w:p>
        </w:tc>
        <w:tc>
          <w:tcPr>
            <w:tcW w:w="1100" w:type="dxa"/>
            <w:tcBorders>
              <w:top w:val="single" w:color="auto" w:sz="4" w:space="0"/>
              <w:left w:val="nil"/>
              <w:bottom w:val="single" w:color="auto" w:sz="4" w:space="0"/>
              <w:right w:val="single" w:color="auto" w:sz="4" w:space="0"/>
            </w:tcBorders>
            <w:shd w:val="clear" w:color="auto" w:fill="auto"/>
            <w:vAlign w:val="center"/>
          </w:tcPr>
          <w:p w14:paraId="3DF0BF2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产生工序</w:t>
            </w:r>
          </w:p>
        </w:tc>
        <w:tc>
          <w:tcPr>
            <w:tcW w:w="960" w:type="dxa"/>
            <w:tcBorders>
              <w:top w:val="single" w:color="auto" w:sz="4" w:space="0"/>
              <w:left w:val="nil"/>
              <w:bottom w:val="single" w:color="auto" w:sz="4" w:space="0"/>
              <w:right w:val="single" w:color="auto" w:sz="4" w:space="0"/>
            </w:tcBorders>
            <w:shd w:val="clear" w:color="auto" w:fill="auto"/>
            <w:vAlign w:val="center"/>
          </w:tcPr>
          <w:p w14:paraId="57E16F3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形态</w:t>
            </w:r>
          </w:p>
        </w:tc>
        <w:tc>
          <w:tcPr>
            <w:tcW w:w="1420" w:type="dxa"/>
            <w:tcBorders>
              <w:top w:val="single" w:color="auto" w:sz="4" w:space="0"/>
              <w:left w:val="nil"/>
              <w:bottom w:val="single" w:color="auto" w:sz="4" w:space="0"/>
              <w:right w:val="single" w:color="auto" w:sz="4" w:space="0"/>
            </w:tcBorders>
            <w:shd w:val="clear" w:color="auto" w:fill="auto"/>
            <w:vAlign w:val="center"/>
          </w:tcPr>
          <w:p w14:paraId="7E737D9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主要成分</w:t>
            </w:r>
          </w:p>
        </w:tc>
        <w:tc>
          <w:tcPr>
            <w:tcW w:w="960" w:type="dxa"/>
            <w:tcBorders>
              <w:top w:val="single" w:color="auto" w:sz="4" w:space="0"/>
              <w:left w:val="nil"/>
              <w:bottom w:val="single" w:color="auto" w:sz="4" w:space="0"/>
              <w:right w:val="single" w:color="auto" w:sz="4" w:space="0"/>
            </w:tcBorders>
            <w:shd w:val="clear" w:color="auto" w:fill="auto"/>
            <w:vAlign w:val="center"/>
          </w:tcPr>
          <w:p w14:paraId="2FA6256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产生量</w:t>
            </w:r>
          </w:p>
        </w:tc>
        <w:tc>
          <w:tcPr>
            <w:tcW w:w="2080" w:type="dxa"/>
            <w:tcBorders>
              <w:top w:val="single" w:color="auto" w:sz="4" w:space="0"/>
              <w:left w:val="nil"/>
              <w:bottom w:val="single" w:color="auto" w:sz="4" w:space="0"/>
              <w:right w:val="single" w:color="auto" w:sz="4" w:space="0"/>
            </w:tcBorders>
            <w:shd w:val="clear" w:color="auto" w:fill="auto"/>
            <w:vAlign w:val="center"/>
          </w:tcPr>
          <w:p w14:paraId="13F5E3E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处置方式</w:t>
            </w:r>
          </w:p>
        </w:tc>
      </w:tr>
      <w:tr w14:paraId="200B468C">
        <w:tblPrEx>
          <w:tblCellMar>
            <w:top w:w="0" w:type="dxa"/>
            <w:left w:w="108" w:type="dxa"/>
            <w:bottom w:w="0" w:type="dxa"/>
            <w:right w:w="108" w:type="dxa"/>
          </w:tblCellMar>
        </w:tblPrEx>
        <w:trPr>
          <w:trHeight w:val="5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2E727FE7">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2300" w:type="dxa"/>
            <w:tcBorders>
              <w:top w:val="nil"/>
              <w:left w:val="nil"/>
              <w:bottom w:val="single" w:color="auto" w:sz="4" w:space="0"/>
              <w:right w:val="single" w:color="auto" w:sz="4" w:space="0"/>
            </w:tcBorders>
            <w:shd w:val="clear" w:color="auto" w:fill="auto"/>
            <w:vAlign w:val="center"/>
          </w:tcPr>
          <w:p w14:paraId="79A19FA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陆域生活垃圾</w:t>
            </w:r>
          </w:p>
        </w:tc>
        <w:tc>
          <w:tcPr>
            <w:tcW w:w="1100" w:type="dxa"/>
            <w:tcBorders>
              <w:top w:val="nil"/>
              <w:left w:val="nil"/>
              <w:bottom w:val="single" w:color="auto" w:sz="4" w:space="0"/>
              <w:right w:val="single" w:color="auto" w:sz="4" w:space="0"/>
            </w:tcBorders>
            <w:shd w:val="clear" w:color="auto" w:fill="auto"/>
            <w:vAlign w:val="center"/>
          </w:tcPr>
          <w:p w14:paraId="4875ADB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港口员工生活</w:t>
            </w:r>
          </w:p>
        </w:tc>
        <w:tc>
          <w:tcPr>
            <w:tcW w:w="960" w:type="dxa"/>
            <w:tcBorders>
              <w:top w:val="nil"/>
              <w:left w:val="nil"/>
              <w:bottom w:val="single" w:color="auto" w:sz="4" w:space="0"/>
              <w:right w:val="single" w:color="auto" w:sz="4" w:space="0"/>
            </w:tcBorders>
            <w:shd w:val="clear" w:color="auto" w:fill="auto"/>
            <w:vAlign w:val="center"/>
          </w:tcPr>
          <w:p w14:paraId="65972C2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固态</w:t>
            </w:r>
          </w:p>
        </w:tc>
        <w:tc>
          <w:tcPr>
            <w:tcW w:w="1420" w:type="dxa"/>
            <w:tcBorders>
              <w:top w:val="nil"/>
              <w:left w:val="nil"/>
              <w:bottom w:val="single" w:color="auto" w:sz="4" w:space="0"/>
              <w:right w:val="single" w:color="auto" w:sz="4" w:space="0"/>
            </w:tcBorders>
            <w:shd w:val="clear" w:color="auto" w:fill="auto"/>
            <w:vAlign w:val="center"/>
          </w:tcPr>
          <w:p w14:paraId="73860E7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食品、杂物、纸屑等</w:t>
            </w:r>
          </w:p>
        </w:tc>
        <w:tc>
          <w:tcPr>
            <w:tcW w:w="960" w:type="dxa"/>
            <w:tcBorders>
              <w:top w:val="nil"/>
              <w:left w:val="nil"/>
              <w:bottom w:val="single" w:color="auto" w:sz="4" w:space="0"/>
              <w:right w:val="single" w:color="auto" w:sz="4" w:space="0"/>
            </w:tcBorders>
            <w:shd w:val="clear" w:color="auto" w:fill="auto"/>
            <w:vAlign w:val="center"/>
          </w:tcPr>
          <w:p w14:paraId="78E4CDF4">
            <w:pPr>
              <w:spacing w:line="240" w:lineRule="auto"/>
              <w:ind w:firstLine="0" w:firstLineChars="0"/>
              <w:jc w:val="center"/>
              <w:rPr>
                <w:rFonts w:eastAsia="等线" w:cs="Times New Roman"/>
                <w:kern w:val="0"/>
                <w:sz w:val="21"/>
              </w:rPr>
            </w:pPr>
            <w:r>
              <w:rPr>
                <w:rFonts w:eastAsia="等线" w:cs="Times New Roman"/>
                <w:kern w:val="0"/>
                <w:sz w:val="21"/>
              </w:rPr>
              <w:t>22.28</w:t>
            </w:r>
          </w:p>
        </w:tc>
        <w:tc>
          <w:tcPr>
            <w:tcW w:w="2080" w:type="dxa"/>
            <w:tcBorders>
              <w:top w:val="nil"/>
              <w:left w:val="nil"/>
              <w:bottom w:val="single" w:color="auto" w:sz="4" w:space="0"/>
              <w:right w:val="single" w:color="auto" w:sz="4" w:space="0"/>
            </w:tcBorders>
            <w:shd w:val="clear" w:color="auto" w:fill="auto"/>
            <w:vAlign w:val="center"/>
          </w:tcPr>
          <w:p w14:paraId="7CBDFFC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委托环卫部门定期清运</w:t>
            </w:r>
          </w:p>
        </w:tc>
      </w:tr>
      <w:tr w14:paraId="7168EE28">
        <w:tblPrEx>
          <w:tblCellMar>
            <w:top w:w="0" w:type="dxa"/>
            <w:left w:w="108" w:type="dxa"/>
            <w:bottom w:w="0" w:type="dxa"/>
            <w:right w:w="108" w:type="dxa"/>
          </w:tblCellMar>
        </w:tblPrEx>
        <w:trPr>
          <w:trHeight w:val="5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6B9E3210">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2300" w:type="dxa"/>
            <w:tcBorders>
              <w:top w:val="nil"/>
              <w:left w:val="nil"/>
              <w:bottom w:val="single" w:color="auto" w:sz="4" w:space="0"/>
              <w:right w:val="single" w:color="auto" w:sz="4" w:space="0"/>
            </w:tcBorders>
            <w:shd w:val="clear" w:color="auto" w:fill="auto"/>
            <w:vAlign w:val="center"/>
          </w:tcPr>
          <w:p w14:paraId="2EF37B6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船舶生活垃圾</w:t>
            </w:r>
          </w:p>
        </w:tc>
        <w:tc>
          <w:tcPr>
            <w:tcW w:w="1100" w:type="dxa"/>
            <w:tcBorders>
              <w:top w:val="nil"/>
              <w:left w:val="nil"/>
              <w:bottom w:val="single" w:color="auto" w:sz="4" w:space="0"/>
              <w:right w:val="single" w:color="auto" w:sz="4" w:space="0"/>
            </w:tcBorders>
            <w:shd w:val="clear" w:color="auto" w:fill="auto"/>
            <w:vAlign w:val="center"/>
          </w:tcPr>
          <w:p w14:paraId="4DD23EB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船员生活</w:t>
            </w:r>
          </w:p>
        </w:tc>
        <w:tc>
          <w:tcPr>
            <w:tcW w:w="960" w:type="dxa"/>
            <w:tcBorders>
              <w:top w:val="nil"/>
              <w:left w:val="nil"/>
              <w:bottom w:val="single" w:color="auto" w:sz="4" w:space="0"/>
              <w:right w:val="single" w:color="auto" w:sz="4" w:space="0"/>
            </w:tcBorders>
            <w:shd w:val="clear" w:color="auto" w:fill="auto"/>
            <w:vAlign w:val="center"/>
          </w:tcPr>
          <w:p w14:paraId="15BBD41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固态</w:t>
            </w:r>
          </w:p>
        </w:tc>
        <w:tc>
          <w:tcPr>
            <w:tcW w:w="1420" w:type="dxa"/>
            <w:tcBorders>
              <w:top w:val="nil"/>
              <w:left w:val="nil"/>
              <w:bottom w:val="single" w:color="auto" w:sz="4" w:space="0"/>
              <w:right w:val="single" w:color="auto" w:sz="4" w:space="0"/>
            </w:tcBorders>
            <w:shd w:val="clear" w:color="auto" w:fill="auto"/>
            <w:vAlign w:val="center"/>
          </w:tcPr>
          <w:p w14:paraId="61C403E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食品、杂物、纸屑等</w:t>
            </w:r>
          </w:p>
        </w:tc>
        <w:tc>
          <w:tcPr>
            <w:tcW w:w="960" w:type="dxa"/>
            <w:tcBorders>
              <w:top w:val="nil"/>
              <w:left w:val="nil"/>
              <w:bottom w:val="single" w:color="auto" w:sz="4" w:space="0"/>
              <w:right w:val="single" w:color="auto" w:sz="4" w:space="0"/>
            </w:tcBorders>
            <w:shd w:val="clear" w:color="auto" w:fill="auto"/>
            <w:vAlign w:val="center"/>
          </w:tcPr>
          <w:p w14:paraId="37D7237E">
            <w:pPr>
              <w:spacing w:line="240" w:lineRule="auto"/>
              <w:ind w:firstLine="0" w:firstLineChars="0"/>
              <w:jc w:val="center"/>
              <w:rPr>
                <w:rFonts w:eastAsia="等线" w:cs="Times New Roman"/>
                <w:kern w:val="0"/>
                <w:sz w:val="21"/>
              </w:rPr>
            </w:pPr>
            <w:r>
              <w:rPr>
                <w:rFonts w:eastAsia="等线" w:cs="Times New Roman"/>
                <w:kern w:val="0"/>
                <w:sz w:val="21"/>
              </w:rPr>
              <w:t>16.34</w:t>
            </w:r>
          </w:p>
        </w:tc>
        <w:tc>
          <w:tcPr>
            <w:tcW w:w="2080" w:type="dxa"/>
            <w:tcBorders>
              <w:top w:val="nil"/>
              <w:left w:val="nil"/>
              <w:bottom w:val="single" w:color="auto" w:sz="4" w:space="0"/>
              <w:right w:val="single" w:color="auto" w:sz="4" w:space="0"/>
            </w:tcBorders>
            <w:shd w:val="clear" w:color="auto" w:fill="auto"/>
            <w:vAlign w:val="center"/>
          </w:tcPr>
          <w:p w14:paraId="5379597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委托环卫部门定期清运</w:t>
            </w:r>
          </w:p>
        </w:tc>
      </w:tr>
      <w:tr w14:paraId="50491FE6">
        <w:tblPrEx>
          <w:tblCellMar>
            <w:top w:w="0" w:type="dxa"/>
            <w:left w:w="108" w:type="dxa"/>
            <w:bottom w:w="0" w:type="dxa"/>
            <w:right w:w="108" w:type="dxa"/>
          </w:tblCellMar>
        </w:tblPrEx>
        <w:trPr>
          <w:trHeight w:val="5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618577E1">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2300" w:type="dxa"/>
            <w:tcBorders>
              <w:top w:val="nil"/>
              <w:left w:val="nil"/>
              <w:bottom w:val="single" w:color="auto" w:sz="4" w:space="0"/>
              <w:right w:val="single" w:color="auto" w:sz="4" w:space="0"/>
            </w:tcBorders>
            <w:shd w:val="clear" w:color="auto" w:fill="auto"/>
            <w:vAlign w:val="center"/>
          </w:tcPr>
          <w:p w14:paraId="5854DC9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装卸作业</w:t>
            </w:r>
            <w:r>
              <w:rPr>
                <w:rFonts w:hint="eastAsia" w:ascii="宋体" w:hAnsi="宋体" w:eastAsia="宋体" w:cs="宋体"/>
                <w:kern w:val="0"/>
                <w:sz w:val="21"/>
                <w:lang w:eastAsia="zh-CN"/>
              </w:rPr>
              <w:t>产生</w:t>
            </w:r>
            <w:r>
              <w:rPr>
                <w:rFonts w:hint="eastAsia" w:ascii="宋体" w:hAnsi="宋体" w:eastAsia="宋体" w:cs="宋体"/>
                <w:kern w:val="0"/>
                <w:sz w:val="21"/>
              </w:rPr>
              <w:t>的固体废物</w:t>
            </w:r>
          </w:p>
        </w:tc>
        <w:tc>
          <w:tcPr>
            <w:tcW w:w="1100" w:type="dxa"/>
            <w:tcBorders>
              <w:top w:val="nil"/>
              <w:left w:val="nil"/>
              <w:bottom w:val="single" w:color="auto" w:sz="4" w:space="0"/>
              <w:right w:val="single" w:color="auto" w:sz="4" w:space="0"/>
            </w:tcBorders>
            <w:shd w:val="clear" w:color="auto" w:fill="auto"/>
            <w:vAlign w:val="center"/>
          </w:tcPr>
          <w:p w14:paraId="4AA03FC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装卸过程</w:t>
            </w:r>
          </w:p>
        </w:tc>
        <w:tc>
          <w:tcPr>
            <w:tcW w:w="960" w:type="dxa"/>
            <w:tcBorders>
              <w:top w:val="nil"/>
              <w:left w:val="nil"/>
              <w:bottom w:val="single" w:color="auto" w:sz="4" w:space="0"/>
              <w:right w:val="single" w:color="auto" w:sz="4" w:space="0"/>
            </w:tcBorders>
            <w:shd w:val="clear" w:color="auto" w:fill="auto"/>
            <w:vAlign w:val="center"/>
          </w:tcPr>
          <w:p w14:paraId="00BAF5A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固态</w:t>
            </w:r>
          </w:p>
        </w:tc>
        <w:tc>
          <w:tcPr>
            <w:tcW w:w="1420" w:type="dxa"/>
            <w:tcBorders>
              <w:top w:val="nil"/>
              <w:left w:val="nil"/>
              <w:bottom w:val="single" w:color="auto" w:sz="4" w:space="0"/>
              <w:right w:val="single" w:color="auto" w:sz="4" w:space="0"/>
            </w:tcBorders>
            <w:shd w:val="clear" w:color="auto" w:fill="auto"/>
            <w:vAlign w:val="center"/>
          </w:tcPr>
          <w:p w14:paraId="1F6FE5E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散落的煤炭</w:t>
            </w:r>
          </w:p>
        </w:tc>
        <w:tc>
          <w:tcPr>
            <w:tcW w:w="960" w:type="dxa"/>
            <w:tcBorders>
              <w:top w:val="nil"/>
              <w:left w:val="nil"/>
              <w:bottom w:val="single" w:color="auto" w:sz="4" w:space="0"/>
              <w:right w:val="single" w:color="auto" w:sz="4" w:space="0"/>
            </w:tcBorders>
            <w:shd w:val="clear" w:color="auto" w:fill="auto"/>
            <w:vAlign w:val="center"/>
          </w:tcPr>
          <w:p w14:paraId="22D2E87F">
            <w:pPr>
              <w:spacing w:line="240" w:lineRule="auto"/>
              <w:ind w:firstLine="0" w:firstLineChars="0"/>
              <w:jc w:val="center"/>
              <w:rPr>
                <w:rFonts w:eastAsia="等线" w:cs="Times New Roman"/>
                <w:kern w:val="0"/>
                <w:sz w:val="21"/>
              </w:rPr>
            </w:pPr>
            <w:r>
              <w:rPr>
                <w:rFonts w:eastAsia="等线" w:cs="Times New Roman"/>
                <w:kern w:val="0"/>
                <w:sz w:val="21"/>
              </w:rPr>
              <w:t>5.6</w:t>
            </w:r>
          </w:p>
        </w:tc>
        <w:tc>
          <w:tcPr>
            <w:tcW w:w="2080" w:type="dxa"/>
            <w:tcBorders>
              <w:top w:val="nil"/>
              <w:left w:val="nil"/>
              <w:bottom w:val="single" w:color="auto" w:sz="4" w:space="0"/>
              <w:right w:val="single" w:color="auto" w:sz="4" w:space="0"/>
            </w:tcBorders>
            <w:shd w:val="clear" w:color="auto" w:fill="auto"/>
            <w:vAlign w:val="center"/>
          </w:tcPr>
          <w:p w14:paraId="102E038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委托环卫部门定期清运</w:t>
            </w:r>
          </w:p>
        </w:tc>
      </w:tr>
      <w:tr w14:paraId="05E63D8D">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2059AD4F">
            <w:pPr>
              <w:spacing w:line="240" w:lineRule="auto"/>
              <w:ind w:firstLine="0" w:firstLineChars="0"/>
              <w:jc w:val="center"/>
              <w:rPr>
                <w:rFonts w:eastAsia="等线" w:cs="Times New Roman"/>
                <w:kern w:val="0"/>
                <w:sz w:val="21"/>
              </w:rPr>
            </w:pPr>
            <w:r>
              <w:rPr>
                <w:rFonts w:eastAsia="等线" w:cs="Times New Roman"/>
                <w:kern w:val="0"/>
                <w:sz w:val="21"/>
              </w:rPr>
              <w:t>4</w:t>
            </w:r>
          </w:p>
        </w:tc>
        <w:tc>
          <w:tcPr>
            <w:tcW w:w="2300" w:type="dxa"/>
            <w:tcBorders>
              <w:top w:val="nil"/>
              <w:left w:val="nil"/>
              <w:bottom w:val="single" w:color="auto" w:sz="4" w:space="0"/>
              <w:right w:val="single" w:color="auto" w:sz="4" w:space="0"/>
            </w:tcBorders>
            <w:shd w:val="clear" w:color="auto" w:fill="auto"/>
            <w:vAlign w:val="center"/>
          </w:tcPr>
          <w:p w14:paraId="2B5A7D5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机修废油</w:t>
            </w:r>
          </w:p>
        </w:tc>
        <w:tc>
          <w:tcPr>
            <w:tcW w:w="1100" w:type="dxa"/>
            <w:tcBorders>
              <w:top w:val="nil"/>
              <w:left w:val="nil"/>
              <w:bottom w:val="single" w:color="auto" w:sz="4" w:space="0"/>
              <w:right w:val="single" w:color="auto" w:sz="4" w:space="0"/>
            </w:tcBorders>
            <w:shd w:val="clear" w:color="auto" w:fill="auto"/>
            <w:vAlign w:val="center"/>
          </w:tcPr>
          <w:p w14:paraId="4986B9E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设备维修</w:t>
            </w:r>
          </w:p>
        </w:tc>
        <w:tc>
          <w:tcPr>
            <w:tcW w:w="960" w:type="dxa"/>
            <w:tcBorders>
              <w:top w:val="nil"/>
              <w:left w:val="nil"/>
              <w:bottom w:val="single" w:color="auto" w:sz="4" w:space="0"/>
              <w:right w:val="single" w:color="auto" w:sz="4" w:space="0"/>
            </w:tcBorders>
            <w:shd w:val="clear" w:color="auto" w:fill="auto"/>
            <w:vAlign w:val="center"/>
          </w:tcPr>
          <w:p w14:paraId="5096000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液态</w:t>
            </w:r>
          </w:p>
        </w:tc>
        <w:tc>
          <w:tcPr>
            <w:tcW w:w="1420" w:type="dxa"/>
            <w:tcBorders>
              <w:top w:val="nil"/>
              <w:left w:val="nil"/>
              <w:bottom w:val="single" w:color="auto" w:sz="4" w:space="0"/>
              <w:right w:val="single" w:color="auto" w:sz="4" w:space="0"/>
            </w:tcBorders>
            <w:shd w:val="clear" w:color="auto" w:fill="auto"/>
            <w:vAlign w:val="center"/>
          </w:tcPr>
          <w:p w14:paraId="258CAA3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废油</w:t>
            </w:r>
          </w:p>
        </w:tc>
        <w:tc>
          <w:tcPr>
            <w:tcW w:w="960" w:type="dxa"/>
            <w:tcBorders>
              <w:top w:val="nil"/>
              <w:left w:val="nil"/>
              <w:bottom w:val="single" w:color="auto" w:sz="4" w:space="0"/>
              <w:right w:val="single" w:color="auto" w:sz="4" w:space="0"/>
            </w:tcBorders>
            <w:shd w:val="clear" w:color="auto" w:fill="auto"/>
            <w:vAlign w:val="center"/>
          </w:tcPr>
          <w:p w14:paraId="206BFD38">
            <w:pPr>
              <w:spacing w:line="240" w:lineRule="auto"/>
              <w:ind w:firstLine="0" w:firstLineChars="0"/>
              <w:jc w:val="center"/>
              <w:rPr>
                <w:rFonts w:eastAsia="等线" w:cs="Times New Roman"/>
                <w:kern w:val="0"/>
                <w:sz w:val="21"/>
              </w:rPr>
            </w:pPr>
            <w:r>
              <w:rPr>
                <w:rFonts w:eastAsia="等线" w:cs="Times New Roman"/>
                <w:kern w:val="0"/>
                <w:sz w:val="21"/>
              </w:rPr>
              <w:t>0.2</w:t>
            </w:r>
          </w:p>
        </w:tc>
        <w:tc>
          <w:tcPr>
            <w:tcW w:w="2080" w:type="dxa"/>
            <w:tcBorders>
              <w:top w:val="nil"/>
              <w:left w:val="nil"/>
              <w:bottom w:val="single" w:color="auto" w:sz="4" w:space="0"/>
              <w:right w:val="single" w:color="auto" w:sz="4" w:space="0"/>
            </w:tcBorders>
            <w:shd w:val="clear" w:color="auto" w:fill="auto"/>
            <w:vAlign w:val="center"/>
          </w:tcPr>
          <w:p w14:paraId="69DE0803">
            <w:pPr>
              <w:pStyle w:val="196"/>
            </w:pPr>
            <w:r>
              <w:rPr>
                <w:rFonts w:hint="eastAsia"/>
              </w:rPr>
              <w:t>委托有资质单位处理</w:t>
            </w:r>
          </w:p>
        </w:tc>
      </w:tr>
      <w:tr w14:paraId="793A82BE">
        <w:tblPrEx>
          <w:tblCellMar>
            <w:top w:w="0" w:type="dxa"/>
            <w:left w:w="108" w:type="dxa"/>
            <w:bottom w:w="0" w:type="dxa"/>
            <w:right w:w="108" w:type="dxa"/>
          </w:tblCellMar>
        </w:tblPrEx>
        <w:trPr>
          <w:trHeight w:val="576"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6CD3F142">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2300" w:type="dxa"/>
            <w:tcBorders>
              <w:top w:val="nil"/>
              <w:left w:val="nil"/>
              <w:bottom w:val="single" w:color="auto" w:sz="4" w:space="0"/>
              <w:right w:val="single" w:color="auto" w:sz="4" w:space="0"/>
            </w:tcBorders>
            <w:shd w:val="clear" w:color="auto" w:fill="auto"/>
            <w:vAlign w:val="center"/>
          </w:tcPr>
          <w:p w14:paraId="19DB632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废含油抹布及手套</w:t>
            </w:r>
          </w:p>
        </w:tc>
        <w:tc>
          <w:tcPr>
            <w:tcW w:w="1100" w:type="dxa"/>
            <w:tcBorders>
              <w:top w:val="nil"/>
              <w:left w:val="nil"/>
              <w:bottom w:val="single" w:color="auto" w:sz="4" w:space="0"/>
              <w:right w:val="single" w:color="auto" w:sz="4" w:space="0"/>
            </w:tcBorders>
            <w:shd w:val="clear" w:color="auto" w:fill="auto"/>
            <w:vAlign w:val="center"/>
          </w:tcPr>
          <w:p w14:paraId="10783B9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设备维修</w:t>
            </w:r>
          </w:p>
        </w:tc>
        <w:tc>
          <w:tcPr>
            <w:tcW w:w="960" w:type="dxa"/>
            <w:tcBorders>
              <w:top w:val="nil"/>
              <w:left w:val="nil"/>
              <w:bottom w:val="single" w:color="auto" w:sz="4" w:space="0"/>
              <w:right w:val="single" w:color="auto" w:sz="4" w:space="0"/>
            </w:tcBorders>
            <w:shd w:val="clear" w:color="auto" w:fill="auto"/>
            <w:vAlign w:val="center"/>
          </w:tcPr>
          <w:p w14:paraId="6F92066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固态</w:t>
            </w:r>
          </w:p>
        </w:tc>
        <w:tc>
          <w:tcPr>
            <w:tcW w:w="1420" w:type="dxa"/>
            <w:tcBorders>
              <w:top w:val="nil"/>
              <w:left w:val="nil"/>
              <w:bottom w:val="single" w:color="auto" w:sz="4" w:space="0"/>
              <w:right w:val="single" w:color="auto" w:sz="4" w:space="0"/>
            </w:tcBorders>
            <w:shd w:val="clear" w:color="auto" w:fill="auto"/>
            <w:vAlign w:val="center"/>
          </w:tcPr>
          <w:p w14:paraId="500DCB9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废油、抹布等</w:t>
            </w:r>
          </w:p>
        </w:tc>
        <w:tc>
          <w:tcPr>
            <w:tcW w:w="960" w:type="dxa"/>
            <w:tcBorders>
              <w:top w:val="nil"/>
              <w:left w:val="nil"/>
              <w:bottom w:val="single" w:color="auto" w:sz="4" w:space="0"/>
              <w:right w:val="single" w:color="auto" w:sz="4" w:space="0"/>
            </w:tcBorders>
            <w:shd w:val="clear" w:color="auto" w:fill="auto"/>
            <w:vAlign w:val="center"/>
          </w:tcPr>
          <w:p w14:paraId="3C47E553">
            <w:pPr>
              <w:spacing w:line="240" w:lineRule="auto"/>
              <w:ind w:firstLine="0" w:firstLineChars="0"/>
              <w:jc w:val="center"/>
              <w:rPr>
                <w:rFonts w:eastAsia="等线" w:cs="Times New Roman"/>
                <w:kern w:val="0"/>
                <w:sz w:val="21"/>
              </w:rPr>
            </w:pPr>
            <w:r>
              <w:rPr>
                <w:rFonts w:eastAsia="等线" w:cs="Times New Roman"/>
                <w:kern w:val="0"/>
                <w:sz w:val="21"/>
              </w:rPr>
              <w:t>0.02</w:t>
            </w:r>
          </w:p>
        </w:tc>
        <w:tc>
          <w:tcPr>
            <w:tcW w:w="2080" w:type="dxa"/>
            <w:tcBorders>
              <w:top w:val="nil"/>
              <w:left w:val="nil"/>
              <w:bottom w:val="single" w:color="auto" w:sz="4" w:space="0"/>
              <w:right w:val="single" w:color="auto" w:sz="4" w:space="0"/>
            </w:tcBorders>
            <w:shd w:val="clear" w:color="auto" w:fill="auto"/>
            <w:vAlign w:val="center"/>
          </w:tcPr>
          <w:p w14:paraId="2D3584F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混入生活垃圾后委托环卫部门定期清运</w:t>
            </w:r>
          </w:p>
        </w:tc>
      </w:tr>
      <w:tr w14:paraId="3C489CFA">
        <w:tblPrEx>
          <w:tblCellMar>
            <w:top w:w="0" w:type="dxa"/>
            <w:left w:w="108" w:type="dxa"/>
            <w:bottom w:w="0" w:type="dxa"/>
            <w:right w:w="108" w:type="dxa"/>
          </w:tblCellMar>
        </w:tblPrEx>
        <w:trPr>
          <w:trHeight w:val="288" w:hRule="atLeast"/>
          <w:jc w:val="center"/>
        </w:trPr>
        <w:tc>
          <w:tcPr>
            <w:tcW w:w="960" w:type="dxa"/>
            <w:tcBorders>
              <w:top w:val="nil"/>
              <w:left w:val="single" w:color="auto" w:sz="4" w:space="0"/>
              <w:bottom w:val="single" w:color="auto" w:sz="4" w:space="0"/>
              <w:right w:val="single" w:color="auto" w:sz="4" w:space="0"/>
            </w:tcBorders>
            <w:shd w:val="clear" w:color="auto" w:fill="auto"/>
            <w:vAlign w:val="center"/>
          </w:tcPr>
          <w:p w14:paraId="54B6A7C3">
            <w:pPr>
              <w:spacing w:line="240" w:lineRule="auto"/>
              <w:ind w:firstLine="0" w:firstLineChars="0"/>
              <w:jc w:val="center"/>
              <w:rPr>
                <w:rFonts w:eastAsia="等线" w:cs="Times New Roman"/>
                <w:kern w:val="0"/>
                <w:sz w:val="21"/>
              </w:rPr>
            </w:pPr>
            <w:bookmarkStart w:id="222" w:name="RANGE!A27"/>
            <w:r>
              <w:rPr>
                <w:rFonts w:eastAsia="等线" w:cs="Times New Roman"/>
                <w:kern w:val="0"/>
                <w:sz w:val="21"/>
              </w:rPr>
              <w:t>6</w:t>
            </w:r>
            <w:bookmarkEnd w:id="222"/>
          </w:p>
        </w:tc>
        <w:tc>
          <w:tcPr>
            <w:tcW w:w="2300" w:type="dxa"/>
            <w:tcBorders>
              <w:top w:val="nil"/>
              <w:left w:val="nil"/>
              <w:bottom w:val="single" w:color="auto" w:sz="4" w:space="0"/>
              <w:right w:val="single" w:color="auto" w:sz="4" w:space="0"/>
            </w:tcBorders>
            <w:shd w:val="clear" w:color="auto" w:fill="auto"/>
            <w:vAlign w:val="center"/>
          </w:tcPr>
          <w:p w14:paraId="7E4EBDA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废金属物</w:t>
            </w:r>
          </w:p>
        </w:tc>
        <w:tc>
          <w:tcPr>
            <w:tcW w:w="1100" w:type="dxa"/>
            <w:tcBorders>
              <w:top w:val="nil"/>
              <w:left w:val="nil"/>
              <w:bottom w:val="single" w:color="auto" w:sz="4" w:space="0"/>
              <w:right w:val="single" w:color="auto" w:sz="4" w:space="0"/>
            </w:tcBorders>
            <w:shd w:val="clear" w:color="auto" w:fill="auto"/>
            <w:vAlign w:val="center"/>
          </w:tcPr>
          <w:p w14:paraId="2DCF8DE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除铁器</w:t>
            </w:r>
          </w:p>
        </w:tc>
        <w:tc>
          <w:tcPr>
            <w:tcW w:w="960" w:type="dxa"/>
            <w:tcBorders>
              <w:top w:val="nil"/>
              <w:left w:val="nil"/>
              <w:bottom w:val="single" w:color="auto" w:sz="4" w:space="0"/>
              <w:right w:val="single" w:color="auto" w:sz="4" w:space="0"/>
            </w:tcBorders>
            <w:shd w:val="clear" w:color="auto" w:fill="auto"/>
            <w:vAlign w:val="center"/>
          </w:tcPr>
          <w:p w14:paraId="0E82F0A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固态</w:t>
            </w:r>
          </w:p>
        </w:tc>
        <w:tc>
          <w:tcPr>
            <w:tcW w:w="1420" w:type="dxa"/>
            <w:tcBorders>
              <w:top w:val="nil"/>
              <w:left w:val="nil"/>
              <w:bottom w:val="single" w:color="auto" w:sz="4" w:space="0"/>
              <w:right w:val="single" w:color="auto" w:sz="4" w:space="0"/>
            </w:tcBorders>
            <w:shd w:val="clear" w:color="auto" w:fill="auto"/>
            <w:vAlign w:val="center"/>
          </w:tcPr>
          <w:p w14:paraId="50569FB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废金属</w:t>
            </w:r>
          </w:p>
        </w:tc>
        <w:tc>
          <w:tcPr>
            <w:tcW w:w="960" w:type="dxa"/>
            <w:tcBorders>
              <w:top w:val="nil"/>
              <w:left w:val="nil"/>
              <w:bottom w:val="single" w:color="auto" w:sz="4" w:space="0"/>
              <w:right w:val="single" w:color="auto" w:sz="4" w:space="0"/>
            </w:tcBorders>
            <w:shd w:val="clear" w:color="auto" w:fill="auto"/>
            <w:vAlign w:val="center"/>
          </w:tcPr>
          <w:p w14:paraId="263AFF89">
            <w:pPr>
              <w:spacing w:line="240" w:lineRule="auto"/>
              <w:ind w:firstLine="0" w:firstLineChars="0"/>
              <w:jc w:val="center"/>
              <w:rPr>
                <w:rFonts w:eastAsia="等线" w:cs="Times New Roman"/>
                <w:kern w:val="0"/>
                <w:sz w:val="21"/>
              </w:rPr>
            </w:pPr>
            <w:r>
              <w:rPr>
                <w:rFonts w:eastAsia="等线" w:cs="Times New Roman"/>
                <w:kern w:val="0"/>
                <w:sz w:val="21"/>
              </w:rPr>
              <w:t>112</w:t>
            </w:r>
          </w:p>
        </w:tc>
        <w:tc>
          <w:tcPr>
            <w:tcW w:w="2080" w:type="dxa"/>
            <w:tcBorders>
              <w:top w:val="nil"/>
              <w:left w:val="nil"/>
              <w:bottom w:val="single" w:color="auto" w:sz="4" w:space="0"/>
              <w:right w:val="single" w:color="auto" w:sz="4" w:space="0"/>
            </w:tcBorders>
            <w:shd w:val="clear" w:color="auto" w:fill="auto"/>
            <w:vAlign w:val="center"/>
          </w:tcPr>
          <w:p w14:paraId="4069F77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外售综合利用</w:t>
            </w:r>
          </w:p>
        </w:tc>
      </w:tr>
    </w:tbl>
    <w:p w14:paraId="48BAF47E">
      <w:pPr>
        <w:ind w:firstLine="480"/>
      </w:pPr>
      <w:r>
        <w:rPr>
          <w:rFonts w:hint="eastAsia"/>
        </w:rPr>
        <w:t>（4）危险固体废物分析情况汇总</w:t>
      </w:r>
    </w:p>
    <w:p w14:paraId="47425F2A">
      <w:pPr>
        <w:pStyle w:val="86"/>
      </w:pPr>
      <w:r>
        <w:rPr>
          <w:rFonts w:hint="eastAsia"/>
        </w:rPr>
        <w:t>本项目危险废物产生及处置情况表</w:t>
      </w:r>
    </w:p>
    <w:tbl>
      <w:tblPr>
        <w:tblStyle w:val="38"/>
        <w:tblW w:w="52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956"/>
        <w:gridCol w:w="948"/>
        <w:gridCol w:w="1050"/>
        <w:gridCol w:w="929"/>
        <w:gridCol w:w="947"/>
        <w:gridCol w:w="529"/>
        <w:gridCol w:w="789"/>
        <w:gridCol w:w="725"/>
        <w:gridCol w:w="788"/>
        <w:gridCol w:w="706"/>
        <w:gridCol w:w="725"/>
      </w:tblGrid>
      <w:tr w14:paraId="7F0CC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01" w:type="dxa"/>
            <w:vAlign w:val="center"/>
          </w:tcPr>
          <w:p w14:paraId="58499C7B">
            <w:pPr>
              <w:pStyle w:val="196"/>
            </w:pPr>
            <w:r>
              <w:rPr>
                <w:rFonts w:hint="eastAsia"/>
              </w:rPr>
              <w:t>序号</w:t>
            </w:r>
          </w:p>
        </w:tc>
        <w:tc>
          <w:tcPr>
            <w:tcW w:w="933" w:type="dxa"/>
            <w:vAlign w:val="center"/>
          </w:tcPr>
          <w:p w14:paraId="1B050CCD">
            <w:pPr>
              <w:pStyle w:val="196"/>
            </w:pPr>
            <w:r>
              <w:rPr>
                <w:rFonts w:hint="eastAsia"/>
              </w:rPr>
              <w:t>危险废物名称</w:t>
            </w:r>
          </w:p>
        </w:tc>
        <w:tc>
          <w:tcPr>
            <w:tcW w:w="925" w:type="dxa"/>
            <w:vAlign w:val="center"/>
          </w:tcPr>
          <w:p w14:paraId="2BC8E074">
            <w:pPr>
              <w:pStyle w:val="196"/>
            </w:pPr>
            <w:r>
              <w:rPr>
                <w:rFonts w:hint="eastAsia"/>
              </w:rPr>
              <w:t>危险废物类别</w:t>
            </w:r>
          </w:p>
        </w:tc>
        <w:tc>
          <w:tcPr>
            <w:tcW w:w="1024" w:type="dxa"/>
            <w:vAlign w:val="center"/>
          </w:tcPr>
          <w:p w14:paraId="54577CA9">
            <w:pPr>
              <w:pStyle w:val="196"/>
            </w:pPr>
            <w:r>
              <w:rPr>
                <w:rFonts w:hint="eastAsia"/>
              </w:rPr>
              <w:t>危险废物代码</w:t>
            </w:r>
          </w:p>
        </w:tc>
        <w:tc>
          <w:tcPr>
            <w:tcW w:w="906" w:type="dxa"/>
            <w:vAlign w:val="center"/>
          </w:tcPr>
          <w:p w14:paraId="3B5633EA">
            <w:pPr>
              <w:pStyle w:val="196"/>
            </w:pPr>
            <w:r>
              <w:rPr>
                <w:rFonts w:hint="eastAsia"/>
              </w:rPr>
              <w:t>产生量（t/a）</w:t>
            </w:r>
          </w:p>
        </w:tc>
        <w:tc>
          <w:tcPr>
            <w:tcW w:w="924" w:type="dxa"/>
            <w:vAlign w:val="center"/>
          </w:tcPr>
          <w:p w14:paraId="75126DA6">
            <w:pPr>
              <w:pStyle w:val="196"/>
            </w:pPr>
            <w:r>
              <w:rPr>
                <w:rFonts w:hint="eastAsia"/>
              </w:rPr>
              <w:t>产生工序及装置</w:t>
            </w:r>
          </w:p>
        </w:tc>
        <w:tc>
          <w:tcPr>
            <w:tcW w:w="516" w:type="dxa"/>
            <w:vAlign w:val="center"/>
          </w:tcPr>
          <w:p w14:paraId="5F056ABF">
            <w:pPr>
              <w:pStyle w:val="196"/>
            </w:pPr>
            <w:r>
              <w:rPr>
                <w:rFonts w:hint="eastAsia"/>
              </w:rPr>
              <w:t>形态</w:t>
            </w:r>
          </w:p>
        </w:tc>
        <w:tc>
          <w:tcPr>
            <w:tcW w:w="770" w:type="dxa"/>
            <w:vAlign w:val="center"/>
          </w:tcPr>
          <w:p w14:paraId="6DDCFB86">
            <w:pPr>
              <w:pStyle w:val="196"/>
            </w:pPr>
            <w:r>
              <w:rPr>
                <w:rFonts w:hint="eastAsia"/>
              </w:rPr>
              <w:t>主要成分</w:t>
            </w:r>
          </w:p>
        </w:tc>
        <w:tc>
          <w:tcPr>
            <w:tcW w:w="707" w:type="dxa"/>
            <w:vAlign w:val="center"/>
          </w:tcPr>
          <w:p w14:paraId="51AA3139">
            <w:pPr>
              <w:pStyle w:val="196"/>
            </w:pPr>
            <w:r>
              <w:rPr>
                <w:rFonts w:hint="eastAsia"/>
              </w:rPr>
              <w:t>有害成分</w:t>
            </w:r>
          </w:p>
        </w:tc>
        <w:tc>
          <w:tcPr>
            <w:tcW w:w="769" w:type="dxa"/>
            <w:vAlign w:val="center"/>
          </w:tcPr>
          <w:p w14:paraId="092F4721">
            <w:pPr>
              <w:pStyle w:val="196"/>
            </w:pPr>
            <w:r>
              <w:rPr>
                <w:rFonts w:hint="eastAsia"/>
              </w:rPr>
              <w:t>产废周期</w:t>
            </w:r>
          </w:p>
        </w:tc>
        <w:tc>
          <w:tcPr>
            <w:tcW w:w="689" w:type="dxa"/>
            <w:vAlign w:val="center"/>
          </w:tcPr>
          <w:p w14:paraId="75C87448">
            <w:pPr>
              <w:pStyle w:val="196"/>
            </w:pPr>
            <w:r>
              <w:rPr>
                <w:rFonts w:hint="eastAsia"/>
              </w:rPr>
              <w:t>危险特性</w:t>
            </w:r>
          </w:p>
        </w:tc>
        <w:tc>
          <w:tcPr>
            <w:tcW w:w="707" w:type="dxa"/>
            <w:vAlign w:val="center"/>
          </w:tcPr>
          <w:p w14:paraId="2621F04F">
            <w:pPr>
              <w:pStyle w:val="196"/>
            </w:pPr>
            <w:r>
              <w:rPr>
                <w:rFonts w:hint="eastAsia"/>
              </w:rPr>
              <w:t>污染防治措施</w:t>
            </w:r>
          </w:p>
        </w:tc>
      </w:tr>
      <w:tr w14:paraId="2F89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1" w:type="dxa"/>
            <w:vAlign w:val="center"/>
          </w:tcPr>
          <w:p w14:paraId="29404023">
            <w:pPr>
              <w:pStyle w:val="196"/>
            </w:pPr>
            <w:r>
              <w:rPr>
                <w:rFonts w:hint="eastAsia"/>
              </w:rPr>
              <w:t>1</w:t>
            </w:r>
          </w:p>
        </w:tc>
        <w:tc>
          <w:tcPr>
            <w:tcW w:w="933" w:type="dxa"/>
            <w:vAlign w:val="center"/>
          </w:tcPr>
          <w:p w14:paraId="20E95290">
            <w:pPr>
              <w:pStyle w:val="196"/>
            </w:pPr>
            <w:r>
              <w:rPr>
                <w:rFonts w:hint="eastAsia"/>
              </w:rPr>
              <w:t>机修废油</w:t>
            </w:r>
          </w:p>
        </w:tc>
        <w:tc>
          <w:tcPr>
            <w:tcW w:w="925" w:type="dxa"/>
            <w:vAlign w:val="center"/>
          </w:tcPr>
          <w:p w14:paraId="32111B9B">
            <w:pPr>
              <w:pStyle w:val="196"/>
            </w:pPr>
            <w:r>
              <w:rPr>
                <w:rFonts w:hint="eastAsia"/>
              </w:rPr>
              <w:t>HW08</w:t>
            </w:r>
          </w:p>
        </w:tc>
        <w:tc>
          <w:tcPr>
            <w:tcW w:w="1024" w:type="dxa"/>
            <w:vAlign w:val="center"/>
          </w:tcPr>
          <w:p w14:paraId="555CD31D">
            <w:pPr>
              <w:pStyle w:val="196"/>
            </w:pPr>
            <w:r>
              <w:rPr>
                <w:rFonts w:hint="eastAsia"/>
              </w:rPr>
              <w:t>900-214-08</w:t>
            </w:r>
          </w:p>
        </w:tc>
        <w:tc>
          <w:tcPr>
            <w:tcW w:w="906" w:type="dxa"/>
            <w:vAlign w:val="center"/>
          </w:tcPr>
          <w:p w14:paraId="651BD626">
            <w:pPr>
              <w:pStyle w:val="196"/>
            </w:pPr>
            <w:r>
              <w:rPr>
                <w:rFonts w:hint="eastAsia"/>
              </w:rPr>
              <w:t>0.2</w:t>
            </w:r>
          </w:p>
        </w:tc>
        <w:tc>
          <w:tcPr>
            <w:tcW w:w="924" w:type="dxa"/>
            <w:vAlign w:val="center"/>
          </w:tcPr>
          <w:p w14:paraId="77F36F1B">
            <w:pPr>
              <w:pStyle w:val="196"/>
            </w:pPr>
            <w:r>
              <w:rPr>
                <w:rFonts w:hint="eastAsia"/>
              </w:rPr>
              <w:t>设备维修</w:t>
            </w:r>
          </w:p>
        </w:tc>
        <w:tc>
          <w:tcPr>
            <w:tcW w:w="516" w:type="dxa"/>
            <w:vAlign w:val="center"/>
          </w:tcPr>
          <w:p w14:paraId="50FA4FF3">
            <w:pPr>
              <w:pStyle w:val="196"/>
            </w:pPr>
            <w:r>
              <w:rPr>
                <w:rFonts w:hint="eastAsia"/>
              </w:rPr>
              <w:t>液态</w:t>
            </w:r>
          </w:p>
        </w:tc>
        <w:tc>
          <w:tcPr>
            <w:tcW w:w="770" w:type="dxa"/>
            <w:vAlign w:val="center"/>
          </w:tcPr>
          <w:p w14:paraId="2DDA01E8">
            <w:pPr>
              <w:pStyle w:val="196"/>
            </w:pPr>
            <w:r>
              <w:rPr>
                <w:rFonts w:hint="eastAsia"/>
              </w:rPr>
              <w:t>废油</w:t>
            </w:r>
          </w:p>
        </w:tc>
        <w:tc>
          <w:tcPr>
            <w:tcW w:w="707" w:type="dxa"/>
            <w:vAlign w:val="center"/>
          </w:tcPr>
          <w:p w14:paraId="1F87F8F3">
            <w:pPr>
              <w:pStyle w:val="196"/>
            </w:pPr>
            <w:r>
              <w:rPr>
                <w:rFonts w:hint="eastAsia"/>
              </w:rPr>
              <w:t>废油</w:t>
            </w:r>
          </w:p>
        </w:tc>
        <w:tc>
          <w:tcPr>
            <w:tcW w:w="769" w:type="dxa"/>
            <w:vAlign w:val="center"/>
          </w:tcPr>
          <w:p w14:paraId="3E6649AF">
            <w:pPr>
              <w:pStyle w:val="196"/>
            </w:pPr>
            <w:r>
              <w:rPr>
                <w:rFonts w:hint="eastAsia"/>
              </w:rPr>
              <w:t>1年/次</w:t>
            </w:r>
          </w:p>
        </w:tc>
        <w:tc>
          <w:tcPr>
            <w:tcW w:w="689" w:type="dxa"/>
            <w:vAlign w:val="center"/>
          </w:tcPr>
          <w:p w14:paraId="75259C62">
            <w:pPr>
              <w:pStyle w:val="196"/>
            </w:pPr>
            <w:r>
              <w:rPr>
                <w:rFonts w:hint="eastAsia"/>
              </w:rPr>
              <w:t>T</w:t>
            </w:r>
            <w:r>
              <w:rPr>
                <w:rFonts w:hint="eastAsia"/>
                <w:lang w:eastAsia="zh-CN"/>
              </w:rPr>
              <w:t>,</w:t>
            </w:r>
            <w:r>
              <w:rPr>
                <w:rFonts w:hint="eastAsia"/>
              </w:rPr>
              <w:t>I</w:t>
            </w:r>
          </w:p>
        </w:tc>
        <w:tc>
          <w:tcPr>
            <w:tcW w:w="707" w:type="dxa"/>
            <w:vAlign w:val="center"/>
          </w:tcPr>
          <w:p w14:paraId="3EED4553">
            <w:pPr>
              <w:pStyle w:val="196"/>
            </w:pPr>
            <w:r>
              <w:rPr>
                <w:rFonts w:hint="eastAsia"/>
              </w:rPr>
              <w:t>委托有资质单位处置</w:t>
            </w:r>
          </w:p>
        </w:tc>
      </w:tr>
    </w:tbl>
    <w:p w14:paraId="55CDCA0F">
      <w:pPr>
        <w:pStyle w:val="93"/>
      </w:pPr>
      <w:r>
        <w:rPr>
          <w:rFonts w:hint="eastAsia"/>
        </w:rPr>
        <w:t>综上所述，项目产生的固废都能得到合理处置，不会产生二次污染，处置合理。</w:t>
      </w:r>
    </w:p>
    <w:p w14:paraId="52CD7FDC">
      <w:pPr>
        <w:pStyle w:val="82"/>
      </w:pPr>
      <w:r>
        <w:rPr>
          <w:rFonts w:hint="eastAsia"/>
        </w:rPr>
        <w:t>噪声污染源强分析</w:t>
      </w:r>
    </w:p>
    <w:p w14:paraId="30AEEFAB">
      <w:pPr>
        <w:pStyle w:val="93"/>
      </w:pPr>
      <w:r>
        <w:rPr>
          <w:rFonts w:hint="eastAsia"/>
        </w:rPr>
        <w:t>本项目建成后，噪声源主要来自码头各类机械如皮带输送机、卸船机等发出的噪声以及来往船舶噪声，其噪声源</w:t>
      </w:r>
      <w:r>
        <w:rPr>
          <w:rFonts w:hint="eastAsia"/>
          <w:lang w:eastAsia="zh-CN"/>
        </w:rPr>
        <w:t>强度</w:t>
      </w:r>
      <w:r>
        <w:rPr>
          <w:rFonts w:hint="eastAsia"/>
        </w:rPr>
        <w:t>约为75~100dB(A)。声源主要集中在码头及转运站附近区域。根据同类项目类比分析，本项目各主要声源的噪声源强见表3.8-20。</w:t>
      </w:r>
    </w:p>
    <w:p w14:paraId="422D374E">
      <w:pPr>
        <w:pStyle w:val="86"/>
      </w:pPr>
      <w:r>
        <w:rPr>
          <w:rFonts w:hint="eastAsia"/>
        </w:rPr>
        <w:t>营运期噪声一览表</w:t>
      </w:r>
    </w:p>
    <w:tbl>
      <w:tblPr>
        <w:tblStyle w:val="38"/>
        <w:tblW w:w="5390" w:type="pct"/>
        <w:jc w:val="center"/>
        <w:tblLayout w:type="autofit"/>
        <w:tblCellMar>
          <w:top w:w="0" w:type="dxa"/>
          <w:left w:w="108" w:type="dxa"/>
          <w:bottom w:w="0" w:type="dxa"/>
          <w:right w:w="108" w:type="dxa"/>
        </w:tblCellMar>
      </w:tblPr>
      <w:tblGrid>
        <w:gridCol w:w="601"/>
        <w:gridCol w:w="1345"/>
        <w:gridCol w:w="953"/>
        <w:gridCol w:w="1789"/>
        <w:gridCol w:w="711"/>
        <w:gridCol w:w="711"/>
        <w:gridCol w:w="721"/>
        <w:gridCol w:w="1275"/>
        <w:gridCol w:w="1161"/>
        <w:gridCol w:w="743"/>
      </w:tblGrid>
      <w:tr w14:paraId="6C8EB011">
        <w:tblPrEx>
          <w:tblCellMar>
            <w:top w:w="0" w:type="dxa"/>
            <w:left w:w="108" w:type="dxa"/>
            <w:bottom w:w="0" w:type="dxa"/>
            <w:right w:w="108" w:type="dxa"/>
          </w:tblCellMar>
        </w:tblPrEx>
        <w:trPr>
          <w:trHeight w:val="576" w:hRule="atLeast"/>
          <w:jc w:val="center"/>
        </w:trPr>
        <w:tc>
          <w:tcPr>
            <w:tcW w:w="3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BAF906A">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序号</w:t>
            </w:r>
          </w:p>
        </w:tc>
        <w:tc>
          <w:tcPr>
            <w:tcW w:w="68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440D9E">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设备名称</w:t>
            </w:r>
          </w:p>
        </w:tc>
        <w:tc>
          <w:tcPr>
            <w:tcW w:w="48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CB61CE">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数量（台</w:t>
            </w:r>
            <w:r>
              <w:rPr>
                <w:rFonts w:eastAsia="宋体" w:cs="Times New Roman"/>
                <w:b/>
                <w:bCs/>
                <w:kern w:val="0"/>
                <w:sz w:val="21"/>
              </w:rPr>
              <w:t>/</w:t>
            </w:r>
            <w:r>
              <w:rPr>
                <w:rFonts w:hint="eastAsia" w:ascii="宋体" w:hAnsi="宋体" w:eastAsia="宋体" w:cs="宋体"/>
                <w:b/>
                <w:bCs/>
                <w:kern w:val="0"/>
                <w:sz w:val="21"/>
              </w:rPr>
              <w:t>套）</w:t>
            </w:r>
          </w:p>
        </w:tc>
        <w:tc>
          <w:tcPr>
            <w:tcW w:w="8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73FBF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型号</w:t>
            </w:r>
          </w:p>
        </w:tc>
        <w:tc>
          <w:tcPr>
            <w:tcW w:w="1097" w:type="pct"/>
            <w:gridSpan w:val="3"/>
            <w:tcBorders>
              <w:top w:val="single" w:color="auto" w:sz="4" w:space="0"/>
              <w:left w:val="nil"/>
              <w:bottom w:val="single" w:color="auto" w:sz="4" w:space="0"/>
              <w:right w:val="single" w:color="auto" w:sz="4" w:space="0"/>
            </w:tcBorders>
            <w:shd w:val="clear" w:color="auto" w:fill="auto"/>
            <w:vAlign w:val="center"/>
          </w:tcPr>
          <w:p w14:paraId="6F9634A7">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空间相对位置（</w:t>
            </w:r>
            <w:r>
              <w:rPr>
                <w:rFonts w:eastAsia="宋体" w:cs="Times New Roman"/>
                <w:b/>
                <w:bCs/>
                <w:kern w:val="0"/>
                <w:sz w:val="21"/>
              </w:rPr>
              <w:t>m</w:t>
            </w:r>
            <w:r>
              <w:rPr>
                <w:rFonts w:hint="eastAsia" w:ascii="宋体" w:hAnsi="宋体" w:eastAsia="宋体" w:cs="宋体"/>
                <w:b/>
                <w:bCs/>
                <w:kern w:val="0"/>
                <w:sz w:val="21"/>
              </w:rPr>
              <w:t>）</w:t>
            </w:r>
          </w:p>
        </w:tc>
        <w:tc>
          <w:tcPr>
            <w:tcW w:w="64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6EE98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声功率级</w:t>
            </w:r>
            <w:r>
              <w:rPr>
                <w:rFonts w:eastAsia="宋体" w:cs="Times New Roman"/>
                <w:b/>
                <w:bCs/>
                <w:kern w:val="0"/>
                <w:sz w:val="21"/>
              </w:rPr>
              <w:t>dB</w:t>
            </w:r>
            <w:r>
              <w:rPr>
                <w:rFonts w:hint="eastAsia" w:ascii="宋体" w:hAnsi="宋体" w:eastAsia="宋体" w:cs="宋体"/>
                <w:b/>
                <w:bCs/>
                <w:kern w:val="0"/>
                <w:sz w:val="21"/>
              </w:rPr>
              <w:t>（</w:t>
            </w:r>
            <w:r>
              <w:rPr>
                <w:rFonts w:eastAsia="宋体" w:cs="Times New Roman"/>
                <w:b/>
                <w:bCs/>
                <w:kern w:val="0"/>
                <w:sz w:val="21"/>
              </w:rPr>
              <w:t>A</w:t>
            </w:r>
            <w:r>
              <w:rPr>
                <w:rFonts w:hint="eastAsia" w:ascii="宋体" w:hAnsi="宋体" w:eastAsia="宋体" w:cs="宋体"/>
                <w:b/>
                <w:bCs/>
                <w:kern w:val="0"/>
                <w:sz w:val="21"/>
              </w:rPr>
              <w:t>）</w:t>
            </w:r>
          </w:p>
        </w:tc>
        <w:tc>
          <w:tcPr>
            <w:tcW w:w="58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01811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治理措施</w:t>
            </w:r>
          </w:p>
        </w:tc>
        <w:tc>
          <w:tcPr>
            <w:tcW w:w="3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C206E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运行时段</w:t>
            </w:r>
          </w:p>
        </w:tc>
      </w:tr>
      <w:tr w14:paraId="1C9A42C9">
        <w:tblPrEx>
          <w:tblCellMar>
            <w:top w:w="0" w:type="dxa"/>
            <w:left w:w="108" w:type="dxa"/>
            <w:bottom w:w="0" w:type="dxa"/>
            <w:right w:w="108" w:type="dxa"/>
          </w:tblCellMar>
        </w:tblPrEx>
        <w:trPr>
          <w:trHeight w:val="276" w:hRule="atLeast"/>
          <w:jc w:val="center"/>
        </w:trPr>
        <w:tc>
          <w:tcPr>
            <w:tcW w:w="309" w:type="pct"/>
            <w:vMerge w:val="continue"/>
            <w:tcBorders>
              <w:top w:val="single" w:color="auto" w:sz="4" w:space="0"/>
              <w:left w:val="single" w:color="auto" w:sz="4" w:space="0"/>
              <w:bottom w:val="single" w:color="auto" w:sz="4" w:space="0"/>
              <w:right w:val="single" w:color="auto" w:sz="4" w:space="0"/>
            </w:tcBorders>
            <w:vAlign w:val="center"/>
          </w:tcPr>
          <w:p w14:paraId="39055D35">
            <w:pPr>
              <w:spacing w:line="240" w:lineRule="auto"/>
              <w:ind w:firstLine="0" w:firstLineChars="0"/>
              <w:rPr>
                <w:rFonts w:hint="eastAsia" w:ascii="宋体" w:hAnsi="宋体" w:eastAsia="宋体" w:cs="宋体"/>
                <w:b/>
                <w:bCs/>
                <w:kern w:val="0"/>
                <w:sz w:val="21"/>
              </w:rPr>
            </w:pPr>
          </w:p>
        </w:tc>
        <w:tc>
          <w:tcPr>
            <w:tcW w:w="681" w:type="pct"/>
            <w:vMerge w:val="continue"/>
            <w:tcBorders>
              <w:top w:val="single" w:color="auto" w:sz="4" w:space="0"/>
              <w:left w:val="single" w:color="auto" w:sz="4" w:space="0"/>
              <w:bottom w:val="single" w:color="auto" w:sz="4" w:space="0"/>
              <w:right w:val="single" w:color="auto" w:sz="4" w:space="0"/>
            </w:tcBorders>
            <w:vAlign w:val="center"/>
          </w:tcPr>
          <w:p w14:paraId="1DD59CC9">
            <w:pPr>
              <w:spacing w:line="240" w:lineRule="auto"/>
              <w:ind w:firstLine="0" w:firstLineChars="0"/>
              <w:rPr>
                <w:rFonts w:hint="eastAsia" w:ascii="宋体" w:hAnsi="宋体" w:eastAsia="宋体" w:cs="宋体"/>
                <w:b/>
                <w:bCs/>
                <w:kern w:val="0"/>
                <w:sz w:val="21"/>
              </w:rPr>
            </w:pPr>
          </w:p>
        </w:tc>
        <w:tc>
          <w:tcPr>
            <w:tcW w:w="485" w:type="pct"/>
            <w:vMerge w:val="continue"/>
            <w:tcBorders>
              <w:top w:val="single" w:color="auto" w:sz="4" w:space="0"/>
              <w:left w:val="single" w:color="auto" w:sz="4" w:space="0"/>
              <w:bottom w:val="single" w:color="auto" w:sz="4" w:space="0"/>
              <w:right w:val="single" w:color="auto" w:sz="4" w:space="0"/>
            </w:tcBorders>
            <w:vAlign w:val="center"/>
          </w:tcPr>
          <w:p w14:paraId="26EC9F64">
            <w:pPr>
              <w:spacing w:line="240" w:lineRule="auto"/>
              <w:ind w:firstLine="0" w:firstLineChars="0"/>
              <w:rPr>
                <w:rFonts w:hint="eastAsia" w:ascii="宋体" w:hAnsi="宋体" w:eastAsia="宋体" w:cs="宋体"/>
                <w:b/>
                <w:bCs/>
                <w:kern w:val="0"/>
                <w:sz w:val="21"/>
              </w:rPr>
            </w:pPr>
          </w:p>
        </w:tc>
        <w:tc>
          <w:tcPr>
            <w:tcW w:w="813" w:type="pct"/>
            <w:vMerge w:val="continue"/>
            <w:tcBorders>
              <w:top w:val="single" w:color="auto" w:sz="4" w:space="0"/>
              <w:left w:val="single" w:color="auto" w:sz="4" w:space="0"/>
              <w:bottom w:val="single" w:color="auto" w:sz="4" w:space="0"/>
              <w:right w:val="single" w:color="auto" w:sz="4" w:space="0"/>
            </w:tcBorders>
            <w:vAlign w:val="center"/>
          </w:tcPr>
          <w:p w14:paraId="5EAB8708">
            <w:pPr>
              <w:spacing w:line="240" w:lineRule="auto"/>
              <w:ind w:firstLine="0" w:firstLineChars="0"/>
              <w:rPr>
                <w:rFonts w:hint="eastAsia" w:ascii="宋体" w:hAnsi="宋体" w:eastAsia="宋体" w:cs="宋体"/>
                <w:b/>
                <w:bCs/>
                <w:kern w:val="0"/>
                <w:sz w:val="21"/>
              </w:rPr>
            </w:pPr>
          </w:p>
        </w:tc>
        <w:tc>
          <w:tcPr>
            <w:tcW w:w="364" w:type="pct"/>
            <w:tcBorders>
              <w:top w:val="nil"/>
              <w:left w:val="nil"/>
              <w:bottom w:val="single" w:color="auto" w:sz="4" w:space="0"/>
              <w:right w:val="single" w:color="auto" w:sz="4" w:space="0"/>
            </w:tcBorders>
            <w:shd w:val="clear" w:color="auto" w:fill="auto"/>
            <w:vAlign w:val="center"/>
          </w:tcPr>
          <w:p w14:paraId="75683796">
            <w:pPr>
              <w:spacing w:line="240" w:lineRule="auto"/>
              <w:ind w:firstLine="0" w:firstLineChars="0"/>
              <w:jc w:val="center"/>
              <w:rPr>
                <w:rFonts w:eastAsia="等线" w:cs="Times New Roman"/>
                <w:b/>
                <w:bCs/>
                <w:kern w:val="0"/>
                <w:sz w:val="21"/>
              </w:rPr>
            </w:pPr>
            <w:r>
              <w:rPr>
                <w:rFonts w:eastAsia="等线" w:cs="Times New Roman"/>
                <w:b/>
                <w:bCs/>
                <w:kern w:val="0"/>
                <w:sz w:val="21"/>
              </w:rPr>
              <w:t>X</w:t>
            </w:r>
          </w:p>
        </w:tc>
        <w:tc>
          <w:tcPr>
            <w:tcW w:w="364" w:type="pct"/>
            <w:tcBorders>
              <w:top w:val="nil"/>
              <w:left w:val="nil"/>
              <w:bottom w:val="single" w:color="auto" w:sz="4" w:space="0"/>
              <w:right w:val="single" w:color="auto" w:sz="4" w:space="0"/>
            </w:tcBorders>
            <w:shd w:val="clear" w:color="auto" w:fill="auto"/>
            <w:vAlign w:val="center"/>
          </w:tcPr>
          <w:p w14:paraId="3A297519">
            <w:pPr>
              <w:spacing w:line="240" w:lineRule="auto"/>
              <w:ind w:firstLine="0" w:firstLineChars="0"/>
              <w:jc w:val="center"/>
              <w:rPr>
                <w:rFonts w:eastAsia="等线" w:cs="Times New Roman"/>
                <w:b/>
                <w:bCs/>
                <w:kern w:val="0"/>
                <w:sz w:val="21"/>
              </w:rPr>
            </w:pPr>
            <w:r>
              <w:rPr>
                <w:rFonts w:eastAsia="等线" w:cs="Times New Roman"/>
                <w:b/>
                <w:bCs/>
                <w:kern w:val="0"/>
                <w:sz w:val="21"/>
              </w:rPr>
              <w:t>Y</w:t>
            </w:r>
          </w:p>
        </w:tc>
        <w:tc>
          <w:tcPr>
            <w:tcW w:w="369" w:type="pct"/>
            <w:tcBorders>
              <w:top w:val="nil"/>
              <w:left w:val="nil"/>
              <w:bottom w:val="single" w:color="auto" w:sz="4" w:space="0"/>
              <w:right w:val="single" w:color="auto" w:sz="4" w:space="0"/>
            </w:tcBorders>
            <w:shd w:val="clear" w:color="auto" w:fill="auto"/>
            <w:vAlign w:val="center"/>
          </w:tcPr>
          <w:p w14:paraId="637E0072">
            <w:pPr>
              <w:spacing w:line="240" w:lineRule="auto"/>
              <w:ind w:firstLine="0" w:firstLineChars="0"/>
              <w:jc w:val="center"/>
              <w:rPr>
                <w:rFonts w:eastAsia="等线" w:cs="Times New Roman"/>
                <w:b/>
                <w:bCs/>
                <w:kern w:val="0"/>
                <w:sz w:val="21"/>
              </w:rPr>
            </w:pPr>
            <w:r>
              <w:rPr>
                <w:rFonts w:eastAsia="等线" w:cs="Times New Roman"/>
                <w:b/>
                <w:bCs/>
                <w:kern w:val="0"/>
                <w:sz w:val="21"/>
              </w:rPr>
              <w:t>Z</w:t>
            </w:r>
          </w:p>
        </w:tc>
        <w:tc>
          <w:tcPr>
            <w:tcW w:w="646" w:type="pct"/>
            <w:vMerge w:val="continue"/>
            <w:tcBorders>
              <w:top w:val="single" w:color="auto" w:sz="4" w:space="0"/>
              <w:left w:val="single" w:color="auto" w:sz="4" w:space="0"/>
              <w:bottom w:val="single" w:color="auto" w:sz="4" w:space="0"/>
              <w:right w:val="single" w:color="auto" w:sz="4" w:space="0"/>
            </w:tcBorders>
            <w:vAlign w:val="center"/>
          </w:tcPr>
          <w:p w14:paraId="73E3F060">
            <w:pPr>
              <w:spacing w:line="240" w:lineRule="auto"/>
              <w:ind w:firstLine="0" w:firstLineChars="0"/>
              <w:rPr>
                <w:rFonts w:hint="eastAsia" w:ascii="宋体" w:hAnsi="宋体" w:eastAsia="宋体" w:cs="宋体"/>
                <w:b/>
                <w:bCs/>
                <w:kern w:val="0"/>
                <w:sz w:val="21"/>
              </w:rPr>
            </w:pPr>
          </w:p>
        </w:tc>
        <w:tc>
          <w:tcPr>
            <w:tcW w:w="589" w:type="pct"/>
            <w:vMerge w:val="continue"/>
            <w:tcBorders>
              <w:top w:val="single" w:color="auto" w:sz="4" w:space="0"/>
              <w:left w:val="single" w:color="auto" w:sz="4" w:space="0"/>
              <w:bottom w:val="single" w:color="auto" w:sz="4" w:space="0"/>
              <w:right w:val="single" w:color="auto" w:sz="4" w:space="0"/>
            </w:tcBorders>
            <w:vAlign w:val="center"/>
          </w:tcPr>
          <w:p w14:paraId="0A898059">
            <w:pPr>
              <w:spacing w:line="240" w:lineRule="auto"/>
              <w:ind w:firstLine="0" w:firstLineChars="0"/>
              <w:rPr>
                <w:rFonts w:hint="eastAsia" w:ascii="宋体" w:hAnsi="宋体" w:eastAsia="宋体" w:cs="宋体"/>
                <w:b/>
                <w:bCs/>
                <w:kern w:val="0"/>
                <w:sz w:val="21"/>
              </w:rPr>
            </w:pPr>
          </w:p>
        </w:tc>
        <w:tc>
          <w:tcPr>
            <w:tcW w:w="380" w:type="pct"/>
            <w:vMerge w:val="continue"/>
            <w:tcBorders>
              <w:top w:val="single" w:color="auto" w:sz="4" w:space="0"/>
              <w:left w:val="single" w:color="auto" w:sz="4" w:space="0"/>
              <w:bottom w:val="single" w:color="auto" w:sz="4" w:space="0"/>
              <w:right w:val="single" w:color="auto" w:sz="4" w:space="0"/>
            </w:tcBorders>
            <w:vAlign w:val="center"/>
          </w:tcPr>
          <w:p w14:paraId="580D9858">
            <w:pPr>
              <w:spacing w:line="240" w:lineRule="auto"/>
              <w:ind w:firstLine="0" w:firstLineChars="0"/>
              <w:rPr>
                <w:rFonts w:hint="eastAsia" w:ascii="宋体" w:hAnsi="宋体" w:eastAsia="宋体" w:cs="宋体"/>
                <w:b/>
                <w:bCs/>
                <w:kern w:val="0"/>
                <w:sz w:val="21"/>
              </w:rPr>
            </w:pPr>
          </w:p>
        </w:tc>
      </w:tr>
      <w:tr w14:paraId="2EC9D151">
        <w:tblPrEx>
          <w:tblCellMar>
            <w:top w:w="0" w:type="dxa"/>
            <w:left w:w="108" w:type="dxa"/>
            <w:bottom w:w="0" w:type="dxa"/>
            <w:right w:w="108" w:type="dxa"/>
          </w:tblCellMar>
        </w:tblPrEx>
        <w:trPr>
          <w:trHeight w:val="288"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14:paraId="6500D230">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681" w:type="pct"/>
            <w:tcBorders>
              <w:top w:val="nil"/>
              <w:left w:val="nil"/>
              <w:bottom w:val="single" w:color="auto" w:sz="4" w:space="0"/>
              <w:right w:val="single" w:color="auto" w:sz="4" w:space="0"/>
            </w:tcBorders>
            <w:shd w:val="clear" w:color="auto" w:fill="auto"/>
            <w:vAlign w:val="center"/>
          </w:tcPr>
          <w:p w14:paraId="6B8C6BF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桥式抓斗卸船机</w:t>
            </w:r>
          </w:p>
        </w:tc>
        <w:tc>
          <w:tcPr>
            <w:tcW w:w="485" w:type="pct"/>
            <w:tcBorders>
              <w:top w:val="nil"/>
              <w:left w:val="nil"/>
              <w:bottom w:val="single" w:color="auto" w:sz="4" w:space="0"/>
              <w:right w:val="single" w:color="auto" w:sz="4" w:space="0"/>
            </w:tcBorders>
            <w:shd w:val="clear" w:color="auto" w:fill="auto"/>
            <w:vAlign w:val="center"/>
          </w:tcPr>
          <w:p w14:paraId="05174F48">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813" w:type="pct"/>
            <w:tcBorders>
              <w:top w:val="nil"/>
              <w:left w:val="nil"/>
              <w:bottom w:val="single" w:color="auto" w:sz="4" w:space="0"/>
              <w:right w:val="single" w:color="auto" w:sz="4" w:space="0"/>
            </w:tcBorders>
            <w:shd w:val="clear" w:color="auto" w:fill="auto"/>
            <w:vAlign w:val="center"/>
          </w:tcPr>
          <w:p w14:paraId="6A494190">
            <w:pPr>
              <w:spacing w:line="240" w:lineRule="auto"/>
              <w:ind w:firstLine="0" w:firstLineChars="0"/>
              <w:jc w:val="center"/>
              <w:rPr>
                <w:rFonts w:eastAsia="等线" w:cs="Times New Roman"/>
                <w:kern w:val="0"/>
                <w:sz w:val="21"/>
              </w:rPr>
            </w:pPr>
            <w:r>
              <w:rPr>
                <w:rFonts w:eastAsia="等线" w:cs="Times New Roman"/>
                <w:kern w:val="0"/>
                <w:sz w:val="21"/>
              </w:rPr>
              <w:t>400t/h</w:t>
            </w:r>
            <w:r>
              <w:rPr>
                <w:rFonts w:hint="eastAsia" w:eastAsia="等线" w:cs="Times New Roman"/>
                <w:kern w:val="0"/>
                <w:sz w:val="21"/>
                <w:lang w:eastAsia="zh-CN"/>
              </w:rPr>
              <w:t>,</w:t>
            </w:r>
            <w:r>
              <w:rPr>
                <w:rFonts w:eastAsia="等线" w:cs="Times New Roman"/>
                <w:kern w:val="0"/>
                <w:sz w:val="21"/>
              </w:rPr>
              <w:t>400kW</w:t>
            </w:r>
          </w:p>
        </w:tc>
        <w:tc>
          <w:tcPr>
            <w:tcW w:w="364" w:type="pct"/>
            <w:tcBorders>
              <w:top w:val="nil"/>
              <w:left w:val="nil"/>
              <w:bottom w:val="single" w:color="auto" w:sz="4" w:space="0"/>
              <w:right w:val="single" w:color="auto" w:sz="4" w:space="0"/>
            </w:tcBorders>
            <w:shd w:val="clear" w:color="auto" w:fill="auto"/>
            <w:vAlign w:val="center"/>
          </w:tcPr>
          <w:p w14:paraId="17652B4C">
            <w:pPr>
              <w:spacing w:line="240" w:lineRule="auto"/>
              <w:ind w:firstLine="0" w:firstLineChars="0"/>
              <w:jc w:val="center"/>
              <w:rPr>
                <w:rFonts w:eastAsia="等线" w:cs="Times New Roman"/>
                <w:kern w:val="0"/>
                <w:sz w:val="21"/>
              </w:rPr>
            </w:pPr>
            <w:r>
              <w:rPr>
                <w:rFonts w:eastAsia="等线" w:cs="Times New Roman"/>
                <w:kern w:val="0"/>
                <w:sz w:val="21"/>
              </w:rPr>
              <w:t>-20</w:t>
            </w:r>
          </w:p>
        </w:tc>
        <w:tc>
          <w:tcPr>
            <w:tcW w:w="364" w:type="pct"/>
            <w:tcBorders>
              <w:top w:val="nil"/>
              <w:left w:val="nil"/>
              <w:bottom w:val="single" w:color="auto" w:sz="4" w:space="0"/>
              <w:right w:val="single" w:color="auto" w:sz="4" w:space="0"/>
            </w:tcBorders>
            <w:shd w:val="clear" w:color="auto" w:fill="auto"/>
            <w:vAlign w:val="center"/>
          </w:tcPr>
          <w:p w14:paraId="1F3AD15D">
            <w:pPr>
              <w:spacing w:line="240" w:lineRule="auto"/>
              <w:ind w:firstLine="0" w:firstLineChars="0"/>
              <w:jc w:val="center"/>
              <w:rPr>
                <w:rFonts w:eastAsia="等线" w:cs="Times New Roman"/>
                <w:kern w:val="0"/>
                <w:sz w:val="21"/>
              </w:rPr>
            </w:pPr>
            <w:r>
              <w:rPr>
                <w:rFonts w:eastAsia="等线" w:cs="Times New Roman"/>
                <w:kern w:val="0"/>
                <w:sz w:val="21"/>
              </w:rPr>
              <w:t>110</w:t>
            </w:r>
          </w:p>
        </w:tc>
        <w:tc>
          <w:tcPr>
            <w:tcW w:w="369" w:type="pct"/>
            <w:tcBorders>
              <w:top w:val="nil"/>
              <w:left w:val="nil"/>
              <w:bottom w:val="single" w:color="auto" w:sz="4" w:space="0"/>
              <w:right w:val="single" w:color="auto" w:sz="4" w:space="0"/>
            </w:tcBorders>
            <w:shd w:val="clear" w:color="auto" w:fill="auto"/>
            <w:vAlign w:val="center"/>
          </w:tcPr>
          <w:p w14:paraId="2E7E8C97">
            <w:pPr>
              <w:spacing w:line="240" w:lineRule="auto"/>
              <w:ind w:firstLine="0" w:firstLineChars="0"/>
              <w:jc w:val="center"/>
              <w:rPr>
                <w:rFonts w:eastAsia="等线" w:cs="Times New Roman"/>
                <w:kern w:val="0"/>
                <w:sz w:val="21"/>
              </w:rPr>
            </w:pPr>
            <w:r>
              <w:rPr>
                <w:rFonts w:eastAsia="等线" w:cs="Times New Roman"/>
                <w:kern w:val="0"/>
                <w:sz w:val="21"/>
              </w:rPr>
              <w:t>18</w:t>
            </w:r>
          </w:p>
        </w:tc>
        <w:tc>
          <w:tcPr>
            <w:tcW w:w="646" w:type="pct"/>
            <w:tcBorders>
              <w:top w:val="nil"/>
              <w:left w:val="nil"/>
              <w:bottom w:val="single" w:color="auto" w:sz="4" w:space="0"/>
              <w:right w:val="single" w:color="auto" w:sz="4" w:space="0"/>
            </w:tcBorders>
            <w:shd w:val="clear" w:color="auto" w:fill="auto"/>
            <w:vAlign w:val="center"/>
          </w:tcPr>
          <w:p w14:paraId="47E45259">
            <w:pPr>
              <w:spacing w:line="240" w:lineRule="auto"/>
              <w:ind w:firstLine="0" w:firstLineChars="0"/>
              <w:jc w:val="center"/>
              <w:rPr>
                <w:rFonts w:eastAsia="等线" w:cs="Times New Roman"/>
                <w:kern w:val="0"/>
                <w:sz w:val="21"/>
              </w:rPr>
            </w:pPr>
            <w:r>
              <w:rPr>
                <w:rFonts w:eastAsia="等线" w:cs="Times New Roman"/>
                <w:kern w:val="0"/>
                <w:sz w:val="21"/>
              </w:rPr>
              <w:t>85</w:t>
            </w:r>
          </w:p>
        </w:tc>
        <w:tc>
          <w:tcPr>
            <w:tcW w:w="589" w:type="pct"/>
            <w:tcBorders>
              <w:top w:val="nil"/>
              <w:left w:val="nil"/>
              <w:bottom w:val="single" w:color="auto" w:sz="4" w:space="0"/>
              <w:right w:val="single" w:color="auto" w:sz="4" w:space="0"/>
            </w:tcBorders>
            <w:shd w:val="clear" w:color="auto" w:fill="auto"/>
            <w:vAlign w:val="center"/>
          </w:tcPr>
          <w:p w14:paraId="1D3803D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减振</w:t>
            </w:r>
          </w:p>
        </w:tc>
        <w:tc>
          <w:tcPr>
            <w:tcW w:w="380" w:type="pct"/>
            <w:vMerge w:val="restart"/>
            <w:tcBorders>
              <w:top w:val="nil"/>
              <w:left w:val="single" w:color="auto" w:sz="4" w:space="0"/>
              <w:bottom w:val="single" w:color="auto" w:sz="4" w:space="0"/>
              <w:right w:val="single" w:color="auto" w:sz="4" w:space="0"/>
            </w:tcBorders>
            <w:shd w:val="clear" w:color="auto" w:fill="auto"/>
            <w:vAlign w:val="center"/>
          </w:tcPr>
          <w:p w14:paraId="08F80AFA">
            <w:pPr>
              <w:spacing w:line="240" w:lineRule="auto"/>
              <w:ind w:firstLine="0" w:firstLineChars="0"/>
              <w:jc w:val="center"/>
              <w:rPr>
                <w:rFonts w:eastAsia="等线" w:cs="Times New Roman"/>
                <w:kern w:val="0"/>
                <w:sz w:val="21"/>
              </w:rPr>
            </w:pPr>
            <w:r>
              <w:rPr>
                <w:rFonts w:eastAsia="等线" w:cs="Times New Roman"/>
                <w:kern w:val="0"/>
                <w:sz w:val="21"/>
              </w:rPr>
              <w:t>24h</w:t>
            </w:r>
            <w:r>
              <w:rPr>
                <w:rFonts w:hint="eastAsia" w:ascii="宋体" w:hAnsi="宋体" w:eastAsia="宋体" w:cs="Times New Roman"/>
                <w:kern w:val="0"/>
                <w:sz w:val="21"/>
              </w:rPr>
              <w:t>，间断</w:t>
            </w:r>
          </w:p>
        </w:tc>
      </w:tr>
      <w:tr w14:paraId="1F6C1A60">
        <w:tblPrEx>
          <w:tblCellMar>
            <w:top w:w="0" w:type="dxa"/>
            <w:left w:w="108" w:type="dxa"/>
            <w:bottom w:w="0" w:type="dxa"/>
            <w:right w:w="108" w:type="dxa"/>
          </w:tblCellMar>
        </w:tblPrEx>
        <w:trPr>
          <w:trHeight w:val="288"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14:paraId="0F6FE89F">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681" w:type="pct"/>
            <w:tcBorders>
              <w:top w:val="nil"/>
              <w:left w:val="nil"/>
              <w:bottom w:val="single" w:color="auto" w:sz="4" w:space="0"/>
              <w:right w:val="single" w:color="auto" w:sz="4" w:space="0"/>
            </w:tcBorders>
            <w:shd w:val="clear" w:color="auto" w:fill="auto"/>
            <w:vAlign w:val="center"/>
          </w:tcPr>
          <w:p w14:paraId="533BC73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皮带输送机</w:t>
            </w:r>
          </w:p>
        </w:tc>
        <w:tc>
          <w:tcPr>
            <w:tcW w:w="485" w:type="pct"/>
            <w:tcBorders>
              <w:top w:val="nil"/>
              <w:left w:val="nil"/>
              <w:bottom w:val="single" w:color="auto" w:sz="4" w:space="0"/>
              <w:right w:val="single" w:color="auto" w:sz="4" w:space="0"/>
            </w:tcBorders>
            <w:shd w:val="clear" w:color="auto" w:fill="auto"/>
            <w:vAlign w:val="center"/>
          </w:tcPr>
          <w:p w14:paraId="375696AC">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13" w:type="pct"/>
            <w:tcBorders>
              <w:top w:val="nil"/>
              <w:left w:val="nil"/>
              <w:bottom w:val="single" w:color="auto" w:sz="4" w:space="0"/>
              <w:right w:val="single" w:color="auto" w:sz="4" w:space="0"/>
            </w:tcBorders>
            <w:shd w:val="clear" w:color="auto" w:fill="auto"/>
            <w:vAlign w:val="center"/>
          </w:tcPr>
          <w:p w14:paraId="0FDF0A78">
            <w:pPr>
              <w:spacing w:line="240" w:lineRule="auto"/>
              <w:ind w:firstLine="0" w:firstLineChars="0"/>
              <w:jc w:val="center"/>
              <w:rPr>
                <w:rFonts w:eastAsia="等线" w:cs="Times New Roman"/>
                <w:kern w:val="0"/>
                <w:sz w:val="21"/>
              </w:rPr>
            </w:pPr>
            <w:r>
              <w:rPr>
                <w:rFonts w:eastAsia="等线" w:cs="Times New Roman"/>
                <w:kern w:val="0"/>
                <w:sz w:val="21"/>
              </w:rPr>
              <w:t>B=1.2m</w:t>
            </w:r>
            <w:r>
              <w:rPr>
                <w:rFonts w:hint="eastAsia" w:eastAsia="等线" w:cs="Times New Roman"/>
                <w:kern w:val="0"/>
                <w:sz w:val="21"/>
                <w:lang w:eastAsia="zh-CN"/>
              </w:rPr>
              <w:t>,</w:t>
            </w:r>
            <w:r>
              <w:rPr>
                <w:rFonts w:eastAsia="等线" w:cs="Times New Roman"/>
                <w:kern w:val="0"/>
                <w:sz w:val="21"/>
              </w:rPr>
              <w:t>V=2.5m/s</w:t>
            </w:r>
          </w:p>
        </w:tc>
        <w:tc>
          <w:tcPr>
            <w:tcW w:w="364" w:type="pct"/>
            <w:tcBorders>
              <w:top w:val="nil"/>
              <w:left w:val="nil"/>
              <w:bottom w:val="single" w:color="auto" w:sz="4" w:space="0"/>
              <w:right w:val="single" w:color="auto" w:sz="4" w:space="0"/>
            </w:tcBorders>
            <w:shd w:val="clear" w:color="auto" w:fill="auto"/>
            <w:vAlign w:val="center"/>
          </w:tcPr>
          <w:p w14:paraId="7AA16A18">
            <w:pPr>
              <w:spacing w:line="240" w:lineRule="auto"/>
              <w:ind w:firstLine="0" w:firstLineChars="0"/>
              <w:jc w:val="center"/>
              <w:rPr>
                <w:rFonts w:eastAsia="等线" w:cs="Times New Roman"/>
                <w:kern w:val="0"/>
                <w:sz w:val="21"/>
              </w:rPr>
            </w:pPr>
            <w:r>
              <w:rPr>
                <w:rFonts w:eastAsia="等线" w:cs="Times New Roman"/>
                <w:kern w:val="0"/>
                <w:sz w:val="21"/>
              </w:rPr>
              <w:t>-50</w:t>
            </w:r>
          </w:p>
        </w:tc>
        <w:tc>
          <w:tcPr>
            <w:tcW w:w="364" w:type="pct"/>
            <w:tcBorders>
              <w:top w:val="nil"/>
              <w:left w:val="nil"/>
              <w:bottom w:val="single" w:color="auto" w:sz="4" w:space="0"/>
              <w:right w:val="single" w:color="auto" w:sz="4" w:space="0"/>
            </w:tcBorders>
            <w:shd w:val="clear" w:color="auto" w:fill="auto"/>
            <w:vAlign w:val="center"/>
          </w:tcPr>
          <w:p w14:paraId="1D700605">
            <w:pPr>
              <w:spacing w:line="240" w:lineRule="auto"/>
              <w:ind w:firstLine="0" w:firstLineChars="0"/>
              <w:jc w:val="center"/>
              <w:rPr>
                <w:rFonts w:eastAsia="等线" w:cs="Times New Roman"/>
                <w:kern w:val="0"/>
                <w:sz w:val="21"/>
              </w:rPr>
            </w:pPr>
            <w:r>
              <w:rPr>
                <w:rFonts w:eastAsia="等线" w:cs="Times New Roman"/>
                <w:kern w:val="0"/>
                <w:sz w:val="21"/>
              </w:rPr>
              <w:t>60</w:t>
            </w:r>
          </w:p>
        </w:tc>
        <w:tc>
          <w:tcPr>
            <w:tcW w:w="369" w:type="pct"/>
            <w:tcBorders>
              <w:top w:val="nil"/>
              <w:left w:val="nil"/>
              <w:bottom w:val="single" w:color="auto" w:sz="4" w:space="0"/>
              <w:right w:val="single" w:color="auto" w:sz="4" w:space="0"/>
            </w:tcBorders>
            <w:shd w:val="clear" w:color="auto" w:fill="auto"/>
            <w:vAlign w:val="center"/>
          </w:tcPr>
          <w:p w14:paraId="6DA3A57C">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646" w:type="pct"/>
            <w:tcBorders>
              <w:top w:val="nil"/>
              <w:left w:val="nil"/>
              <w:bottom w:val="single" w:color="auto" w:sz="4" w:space="0"/>
              <w:right w:val="single" w:color="auto" w:sz="4" w:space="0"/>
            </w:tcBorders>
            <w:shd w:val="clear" w:color="auto" w:fill="auto"/>
            <w:vAlign w:val="center"/>
          </w:tcPr>
          <w:p w14:paraId="3A1084AD">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589" w:type="pct"/>
            <w:tcBorders>
              <w:top w:val="nil"/>
              <w:left w:val="nil"/>
              <w:bottom w:val="single" w:color="auto" w:sz="4" w:space="0"/>
              <w:right w:val="single" w:color="auto" w:sz="4" w:space="0"/>
            </w:tcBorders>
            <w:shd w:val="clear" w:color="auto" w:fill="auto"/>
            <w:vAlign w:val="center"/>
          </w:tcPr>
          <w:p w14:paraId="26BEB9C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隔声、减振</w:t>
            </w:r>
          </w:p>
        </w:tc>
        <w:tc>
          <w:tcPr>
            <w:tcW w:w="380" w:type="pct"/>
            <w:vMerge w:val="continue"/>
            <w:tcBorders>
              <w:top w:val="nil"/>
              <w:left w:val="single" w:color="auto" w:sz="4" w:space="0"/>
              <w:bottom w:val="single" w:color="auto" w:sz="4" w:space="0"/>
              <w:right w:val="single" w:color="auto" w:sz="4" w:space="0"/>
            </w:tcBorders>
            <w:vAlign w:val="center"/>
          </w:tcPr>
          <w:p w14:paraId="7DEA4528">
            <w:pPr>
              <w:spacing w:line="240" w:lineRule="auto"/>
              <w:ind w:firstLine="0" w:firstLineChars="0"/>
              <w:rPr>
                <w:rFonts w:eastAsia="等线" w:cs="Times New Roman"/>
                <w:kern w:val="0"/>
                <w:sz w:val="21"/>
              </w:rPr>
            </w:pPr>
          </w:p>
        </w:tc>
      </w:tr>
      <w:tr w14:paraId="511A4195">
        <w:tblPrEx>
          <w:tblCellMar>
            <w:top w:w="0" w:type="dxa"/>
            <w:left w:w="108" w:type="dxa"/>
            <w:bottom w:w="0" w:type="dxa"/>
            <w:right w:w="108" w:type="dxa"/>
          </w:tblCellMar>
        </w:tblPrEx>
        <w:trPr>
          <w:trHeight w:val="288"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14:paraId="113C9EAF">
            <w:pPr>
              <w:spacing w:line="240" w:lineRule="auto"/>
              <w:ind w:firstLine="0" w:firstLineChars="0"/>
              <w:jc w:val="center"/>
              <w:rPr>
                <w:rFonts w:eastAsia="等线" w:cs="Times New Roman"/>
                <w:kern w:val="0"/>
                <w:sz w:val="21"/>
              </w:rPr>
            </w:pPr>
            <w:r>
              <w:rPr>
                <w:rFonts w:eastAsia="等线" w:cs="Times New Roman"/>
                <w:kern w:val="0"/>
                <w:sz w:val="21"/>
              </w:rPr>
              <w:t>4</w:t>
            </w:r>
          </w:p>
        </w:tc>
        <w:tc>
          <w:tcPr>
            <w:tcW w:w="681" w:type="pct"/>
            <w:tcBorders>
              <w:top w:val="nil"/>
              <w:left w:val="nil"/>
              <w:bottom w:val="single" w:color="auto" w:sz="4" w:space="0"/>
              <w:right w:val="single" w:color="auto" w:sz="4" w:space="0"/>
            </w:tcBorders>
            <w:shd w:val="clear" w:color="auto" w:fill="auto"/>
            <w:vAlign w:val="center"/>
          </w:tcPr>
          <w:p w14:paraId="5DA04FD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转运站</w:t>
            </w:r>
          </w:p>
        </w:tc>
        <w:tc>
          <w:tcPr>
            <w:tcW w:w="485" w:type="pct"/>
            <w:tcBorders>
              <w:top w:val="nil"/>
              <w:left w:val="nil"/>
              <w:bottom w:val="single" w:color="auto" w:sz="4" w:space="0"/>
              <w:right w:val="single" w:color="auto" w:sz="4" w:space="0"/>
            </w:tcBorders>
            <w:shd w:val="clear" w:color="auto" w:fill="auto"/>
            <w:vAlign w:val="center"/>
          </w:tcPr>
          <w:p w14:paraId="6A2350F4">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13" w:type="pct"/>
            <w:tcBorders>
              <w:top w:val="nil"/>
              <w:left w:val="nil"/>
              <w:bottom w:val="single" w:color="auto" w:sz="4" w:space="0"/>
              <w:right w:val="single" w:color="auto" w:sz="4" w:space="0"/>
            </w:tcBorders>
            <w:shd w:val="clear" w:color="auto" w:fill="auto"/>
            <w:vAlign w:val="center"/>
          </w:tcPr>
          <w:p w14:paraId="67E591C8">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64" w:type="pct"/>
            <w:tcBorders>
              <w:top w:val="nil"/>
              <w:left w:val="nil"/>
              <w:bottom w:val="single" w:color="auto" w:sz="4" w:space="0"/>
              <w:right w:val="single" w:color="auto" w:sz="4" w:space="0"/>
            </w:tcBorders>
            <w:shd w:val="clear" w:color="auto" w:fill="auto"/>
            <w:vAlign w:val="center"/>
          </w:tcPr>
          <w:p w14:paraId="6D168A22">
            <w:pPr>
              <w:spacing w:line="240" w:lineRule="auto"/>
              <w:ind w:firstLine="0" w:firstLineChars="0"/>
              <w:jc w:val="center"/>
              <w:rPr>
                <w:rFonts w:eastAsia="等线" w:cs="Times New Roman"/>
                <w:kern w:val="0"/>
                <w:sz w:val="21"/>
              </w:rPr>
            </w:pPr>
            <w:r>
              <w:rPr>
                <w:rFonts w:eastAsia="等线" w:cs="Times New Roman"/>
                <w:kern w:val="0"/>
                <w:sz w:val="21"/>
              </w:rPr>
              <w:t>-140</w:t>
            </w:r>
          </w:p>
        </w:tc>
        <w:tc>
          <w:tcPr>
            <w:tcW w:w="364" w:type="pct"/>
            <w:tcBorders>
              <w:top w:val="nil"/>
              <w:left w:val="nil"/>
              <w:bottom w:val="single" w:color="auto" w:sz="4" w:space="0"/>
              <w:right w:val="single" w:color="auto" w:sz="4" w:space="0"/>
            </w:tcBorders>
            <w:shd w:val="clear" w:color="auto" w:fill="auto"/>
            <w:vAlign w:val="center"/>
          </w:tcPr>
          <w:p w14:paraId="14BE2A72">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369" w:type="pct"/>
            <w:tcBorders>
              <w:top w:val="nil"/>
              <w:left w:val="nil"/>
              <w:bottom w:val="single" w:color="auto" w:sz="4" w:space="0"/>
              <w:right w:val="single" w:color="auto" w:sz="4" w:space="0"/>
            </w:tcBorders>
            <w:shd w:val="clear" w:color="auto" w:fill="auto"/>
            <w:vAlign w:val="center"/>
          </w:tcPr>
          <w:p w14:paraId="5E6F2710">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646" w:type="pct"/>
            <w:tcBorders>
              <w:top w:val="nil"/>
              <w:left w:val="nil"/>
              <w:bottom w:val="single" w:color="auto" w:sz="4" w:space="0"/>
              <w:right w:val="single" w:color="auto" w:sz="4" w:space="0"/>
            </w:tcBorders>
            <w:shd w:val="clear" w:color="auto" w:fill="auto"/>
            <w:vAlign w:val="center"/>
          </w:tcPr>
          <w:p w14:paraId="693A6DDF">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589" w:type="pct"/>
            <w:tcBorders>
              <w:top w:val="nil"/>
              <w:left w:val="nil"/>
              <w:bottom w:val="single" w:color="auto" w:sz="4" w:space="0"/>
              <w:right w:val="single" w:color="auto" w:sz="4" w:space="0"/>
            </w:tcBorders>
            <w:shd w:val="clear" w:color="auto" w:fill="auto"/>
            <w:vAlign w:val="center"/>
          </w:tcPr>
          <w:p w14:paraId="0195F4C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80" w:type="pct"/>
            <w:vMerge w:val="continue"/>
            <w:tcBorders>
              <w:top w:val="nil"/>
              <w:left w:val="single" w:color="auto" w:sz="4" w:space="0"/>
              <w:bottom w:val="single" w:color="auto" w:sz="4" w:space="0"/>
              <w:right w:val="single" w:color="auto" w:sz="4" w:space="0"/>
            </w:tcBorders>
            <w:vAlign w:val="center"/>
          </w:tcPr>
          <w:p w14:paraId="70DC5E4A">
            <w:pPr>
              <w:spacing w:line="240" w:lineRule="auto"/>
              <w:ind w:firstLine="0" w:firstLineChars="0"/>
              <w:rPr>
                <w:rFonts w:eastAsia="等线" w:cs="Times New Roman"/>
                <w:kern w:val="0"/>
                <w:sz w:val="21"/>
              </w:rPr>
            </w:pPr>
          </w:p>
        </w:tc>
      </w:tr>
      <w:tr w14:paraId="444DDC85">
        <w:tblPrEx>
          <w:tblCellMar>
            <w:top w:w="0" w:type="dxa"/>
            <w:left w:w="108" w:type="dxa"/>
            <w:bottom w:w="0" w:type="dxa"/>
            <w:right w:w="108" w:type="dxa"/>
          </w:tblCellMar>
        </w:tblPrEx>
        <w:trPr>
          <w:trHeight w:val="336"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14:paraId="7752CA84">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681" w:type="pct"/>
            <w:tcBorders>
              <w:top w:val="nil"/>
              <w:left w:val="nil"/>
              <w:bottom w:val="single" w:color="auto" w:sz="4" w:space="0"/>
              <w:right w:val="single" w:color="auto" w:sz="4" w:space="0"/>
            </w:tcBorders>
            <w:shd w:val="clear" w:color="auto" w:fill="auto"/>
            <w:vAlign w:val="center"/>
          </w:tcPr>
          <w:p w14:paraId="3E301E8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转运站风机</w:t>
            </w:r>
          </w:p>
        </w:tc>
        <w:tc>
          <w:tcPr>
            <w:tcW w:w="485" w:type="pct"/>
            <w:tcBorders>
              <w:top w:val="nil"/>
              <w:left w:val="nil"/>
              <w:bottom w:val="single" w:color="auto" w:sz="4" w:space="0"/>
              <w:right w:val="single" w:color="auto" w:sz="4" w:space="0"/>
            </w:tcBorders>
            <w:shd w:val="clear" w:color="auto" w:fill="auto"/>
            <w:vAlign w:val="center"/>
          </w:tcPr>
          <w:p w14:paraId="5710863F">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13" w:type="pct"/>
            <w:tcBorders>
              <w:top w:val="nil"/>
              <w:left w:val="nil"/>
              <w:bottom w:val="single" w:color="auto" w:sz="4" w:space="0"/>
              <w:right w:val="single" w:color="auto" w:sz="4" w:space="0"/>
            </w:tcBorders>
            <w:shd w:val="clear" w:color="auto" w:fill="auto"/>
            <w:vAlign w:val="center"/>
          </w:tcPr>
          <w:p w14:paraId="2FFB113B">
            <w:pPr>
              <w:spacing w:line="240" w:lineRule="auto"/>
              <w:ind w:firstLine="0" w:firstLineChars="0"/>
              <w:jc w:val="center"/>
              <w:rPr>
                <w:rFonts w:eastAsia="等线" w:cs="Times New Roman"/>
                <w:kern w:val="0"/>
                <w:sz w:val="21"/>
              </w:rPr>
            </w:pPr>
            <w:r>
              <w:rPr>
                <w:rFonts w:eastAsia="等线" w:cs="Times New Roman"/>
                <w:kern w:val="0"/>
                <w:sz w:val="21"/>
              </w:rPr>
              <w:t>5000m</w:t>
            </w:r>
            <w:r>
              <w:rPr>
                <w:rFonts w:eastAsia="等线" w:cs="Times New Roman"/>
                <w:kern w:val="0"/>
                <w:sz w:val="21"/>
                <w:vertAlign w:val="superscript"/>
              </w:rPr>
              <w:t>3</w:t>
            </w:r>
            <w:r>
              <w:rPr>
                <w:rFonts w:eastAsia="等线" w:cs="Times New Roman"/>
                <w:kern w:val="0"/>
                <w:sz w:val="21"/>
              </w:rPr>
              <w:t>/h</w:t>
            </w:r>
            <w:r>
              <w:rPr>
                <w:rFonts w:hint="eastAsia" w:eastAsia="等线" w:cs="Times New Roman"/>
                <w:kern w:val="0"/>
                <w:sz w:val="21"/>
                <w:lang w:eastAsia="zh-CN"/>
              </w:rPr>
              <w:t>,</w:t>
            </w:r>
            <w:r>
              <w:rPr>
                <w:rFonts w:eastAsia="等线" w:cs="Times New Roman"/>
                <w:kern w:val="0"/>
                <w:sz w:val="21"/>
              </w:rPr>
              <w:t>75kW</w:t>
            </w:r>
          </w:p>
        </w:tc>
        <w:tc>
          <w:tcPr>
            <w:tcW w:w="364" w:type="pct"/>
            <w:tcBorders>
              <w:top w:val="nil"/>
              <w:left w:val="nil"/>
              <w:bottom w:val="single" w:color="auto" w:sz="4" w:space="0"/>
              <w:right w:val="single" w:color="auto" w:sz="4" w:space="0"/>
            </w:tcBorders>
            <w:shd w:val="clear" w:color="auto" w:fill="auto"/>
            <w:vAlign w:val="center"/>
          </w:tcPr>
          <w:p w14:paraId="4DD0BEF4">
            <w:pPr>
              <w:spacing w:line="240" w:lineRule="auto"/>
              <w:ind w:firstLine="0" w:firstLineChars="0"/>
              <w:jc w:val="center"/>
              <w:rPr>
                <w:rFonts w:eastAsia="等线" w:cs="Times New Roman"/>
                <w:kern w:val="0"/>
                <w:sz w:val="21"/>
              </w:rPr>
            </w:pPr>
            <w:r>
              <w:rPr>
                <w:rFonts w:eastAsia="等线" w:cs="Times New Roman"/>
                <w:kern w:val="0"/>
                <w:sz w:val="21"/>
              </w:rPr>
              <w:t>-140</w:t>
            </w:r>
          </w:p>
        </w:tc>
        <w:tc>
          <w:tcPr>
            <w:tcW w:w="364" w:type="pct"/>
            <w:tcBorders>
              <w:top w:val="nil"/>
              <w:left w:val="nil"/>
              <w:bottom w:val="single" w:color="auto" w:sz="4" w:space="0"/>
              <w:right w:val="single" w:color="auto" w:sz="4" w:space="0"/>
            </w:tcBorders>
            <w:shd w:val="clear" w:color="auto" w:fill="auto"/>
            <w:vAlign w:val="center"/>
          </w:tcPr>
          <w:p w14:paraId="5C3A6B29">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369" w:type="pct"/>
            <w:tcBorders>
              <w:top w:val="nil"/>
              <w:left w:val="nil"/>
              <w:bottom w:val="single" w:color="auto" w:sz="4" w:space="0"/>
              <w:right w:val="single" w:color="auto" w:sz="4" w:space="0"/>
            </w:tcBorders>
            <w:shd w:val="clear" w:color="auto" w:fill="auto"/>
            <w:vAlign w:val="center"/>
          </w:tcPr>
          <w:p w14:paraId="482DD98A">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646" w:type="pct"/>
            <w:tcBorders>
              <w:top w:val="nil"/>
              <w:left w:val="nil"/>
              <w:bottom w:val="single" w:color="auto" w:sz="4" w:space="0"/>
              <w:right w:val="single" w:color="auto" w:sz="4" w:space="0"/>
            </w:tcBorders>
            <w:shd w:val="clear" w:color="auto" w:fill="auto"/>
            <w:vAlign w:val="center"/>
          </w:tcPr>
          <w:p w14:paraId="21FF4E37">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589" w:type="pct"/>
            <w:tcBorders>
              <w:top w:val="nil"/>
              <w:left w:val="nil"/>
              <w:bottom w:val="single" w:color="auto" w:sz="4" w:space="0"/>
              <w:right w:val="single" w:color="auto" w:sz="4" w:space="0"/>
            </w:tcBorders>
            <w:shd w:val="clear" w:color="auto" w:fill="auto"/>
            <w:vAlign w:val="center"/>
          </w:tcPr>
          <w:p w14:paraId="5A68479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80" w:type="pct"/>
            <w:vMerge w:val="continue"/>
            <w:tcBorders>
              <w:top w:val="nil"/>
              <w:left w:val="single" w:color="auto" w:sz="4" w:space="0"/>
              <w:bottom w:val="single" w:color="auto" w:sz="4" w:space="0"/>
              <w:right w:val="single" w:color="auto" w:sz="4" w:space="0"/>
            </w:tcBorders>
            <w:vAlign w:val="center"/>
          </w:tcPr>
          <w:p w14:paraId="6D8FE4EA">
            <w:pPr>
              <w:spacing w:line="240" w:lineRule="auto"/>
              <w:ind w:firstLine="0" w:firstLineChars="0"/>
              <w:rPr>
                <w:rFonts w:eastAsia="等线" w:cs="Times New Roman"/>
                <w:kern w:val="0"/>
                <w:sz w:val="21"/>
              </w:rPr>
            </w:pPr>
          </w:p>
        </w:tc>
      </w:tr>
      <w:tr w14:paraId="6F7FE1F4">
        <w:tblPrEx>
          <w:tblCellMar>
            <w:top w:w="0" w:type="dxa"/>
            <w:left w:w="108" w:type="dxa"/>
            <w:bottom w:w="0" w:type="dxa"/>
            <w:right w:w="108" w:type="dxa"/>
          </w:tblCellMar>
        </w:tblPrEx>
        <w:trPr>
          <w:trHeight w:val="288" w:hRule="atLeast"/>
          <w:jc w:val="center"/>
        </w:trPr>
        <w:tc>
          <w:tcPr>
            <w:tcW w:w="309" w:type="pct"/>
            <w:tcBorders>
              <w:top w:val="nil"/>
              <w:left w:val="single" w:color="auto" w:sz="4" w:space="0"/>
              <w:bottom w:val="single" w:color="auto" w:sz="4" w:space="0"/>
              <w:right w:val="single" w:color="auto" w:sz="4" w:space="0"/>
            </w:tcBorders>
            <w:shd w:val="clear" w:color="auto" w:fill="auto"/>
            <w:vAlign w:val="center"/>
          </w:tcPr>
          <w:p w14:paraId="7A11A95D">
            <w:pPr>
              <w:spacing w:line="240" w:lineRule="auto"/>
              <w:ind w:firstLine="0" w:firstLineChars="0"/>
              <w:jc w:val="center"/>
              <w:rPr>
                <w:rFonts w:eastAsia="等线" w:cs="Times New Roman"/>
                <w:kern w:val="0"/>
                <w:sz w:val="21"/>
              </w:rPr>
            </w:pPr>
            <w:r>
              <w:rPr>
                <w:rFonts w:eastAsia="等线" w:cs="Times New Roman"/>
                <w:kern w:val="0"/>
                <w:sz w:val="21"/>
              </w:rPr>
              <w:t>6</w:t>
            </w:r>
          </w:p>
        </w:tc>
        <w:tc>
          <w:tcPr>
            <w:tcW w:w="681" w:type="pct"/>
            <w:tcBorders>
              <w:top w:val="nil"/>
              <w:left w:val="nil"/>
              <w:bottom w:val="single" w:color="auto" w:sz="4" w:space="0"/>
              <w:right w:val="single" w:color="auto" w:sz="4" w:space="0"/>
            </w:tcBorders>
            <w:shd w:val="clear" w:color="auto" w:fill="auto"/>
            <w:vAlign w:val="center"/>
          </w:tcPr>
          <w:p w14:paraId="129B46D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船舶发动机</w:t>
            </w:r>
          </w:p>
        </w:tc>
        <w:tc>
          <w:tcPr>
            <w:tcW w:w="485" w:type="pct"/>
            <w:tcBorders>
              <w:top w:val="nil"/>
              <w:left w:val="nil"/>
              <w:bottom w:val="single" w:color="auto" w:sz="4" w:space="0"/>
              <w:right w:val="single" w:color="auto" w:sz="4" w:space="0"/>
            </w:tcBorders>
            <w:shd w:val="clear" w:color="auto" w:fill="auto"/>
            <w:vAlign w:val="center"/>
          </w:tcPr>
          <w:p w14:paraId="69F8F82C">
            <w:pPr>
              <w:spacing w:line="240" w:lineRule="auto"/>
              <w:ind w:firstLine="0" w:firstLineChars="0"/>
              <w:jc w:val="center"/>
              <w:rPr>
                <w:rFonts w:eastAsia="等线" w:cs="Times New Roman"/>
                <w:kern w:val="0"/>
                <w:sz w:val="21"/>
              </w:rPr>
            </w:pPr>
            <w:r>
              <w:rPr>
                <w:rFonts w:eastAsia="等线" w:cs="Times New Roman"/>
                <w:kern w:val="0"/>
                <w:sz w:val="21"/>
              </w:rPr>
              <w:t>/</w:t>
            </w:r>
          </w:p>
        </w:tc>
        <w:tc>
          <w:tcPr>
            <w:tcW w:w="813" w:type="pct"/>
            <w:tcBorders>
              <w:top w:val="nil"/>
              <w:left w:val="nil"/>
              <w:bottom w:val="single" w:color="auto" w:sz="4" w:space="0"/>
              <w:right w:val="single" w:color="auto" w:sz="4" w:space="0"/>
            </w:tcBorders>
            <w:shd w:val="clear" w:color="auto" w:fill="auto"/>
            <w:vAlign w:val="center"/>
          </w:tcPr>
          <w:p w14:paraId="0F55A2ED">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64" w:type="pct"/>
            <w:tcBorders>
              <w:top w:val="nil"/>
              <w:left w:val="nil"/>
              <w:bottom w:val="single" w:color="auto" w:sz="4" w:space="0"/>
              <w:right w:val="single" w:color="auto" w:sz="4" w:space="0"/>
            </w:tcBorders>
            <w:shd w:val="clear" w:color="auto" w:fill="auto"/>
            <w:vAlign w:val="center"/>
          </w:tcPr>
          <w:p w14:paraId="63582A00">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64" w:type="pct"/>
            <w:tcBorders>
              <w:top w:val="nil"/>
              <w:left w:val="nil"/>
              <w:bottom w:val="single" w:color="auto" w:sz="4" w:space="0"/>
              <w:right w:val="single" w:color="auto" w:sz="4" w:space="0"/>
            </w:tcBorders>
            <w:shd w:val="clear" w:color="auto" w:fill="auto"/>
            <w:vAlign w:val="center"/>
          </w:tcPr>
          <w:p w14:paraId="48501BEA">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69" w:type="pct"/>
            <w:tcBorders>
              <w:top w:val="nil"/>
              <w:left w:val="nil"/>
              <w:bottom w:val="single" w:color="auto" w:sz="4" w:space="0"/>
              <w:right w:val="single" w:color="auto" w:sz="4" w:space="0"/>
            </w:tcBorders>
            <w:shd w:val="clear" w:color="auto" w:fill="auto"/>
            <w:vAlign w:val="center"/>
          </w:tcPr>
          <w:p w14:paraId="444BB8A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646" w:type="pct"/>
            <w:tcBorders>
              <w:top w:val="nil"/>
              <w:left w:val="nil"/>
              <w:bottom w:val="single" w:color="auto" w:sz="4" w:space="0"/>
              <w:right w:val="single" w:color="auto" w:sz="4" w:space="0"/>
            </w:tcBorders>
            <w:shd w:val="clear" w:color="auto" w:fill="auto"/>
            <w:vAlign w:val="center"/>
          </w:tcPr>
          <w:p w14:paraId="27F78D93">
            <w:pPr>
              <w:spacing w:line="240" w:lineRule="auto"/>
              <w:ind w:firstLine="0" w:firstLineChars="0"/>
              <w:jc w:val="center"/>
              <w:rPr>
                <w:rFonts w:eastAsia="等线" w:cs="Times New Roman"/>
                <w:kern w:val="0"/>
                <w:sz w:val="21"/>
              </w:rPr>
            </w:pPr>
            <w:r>
              <w:rPr>
                <w:rFonts w:eastAsia="等线" w:cs="Times New Roman"/>
                <w:kern w:val="0"/>
                <w:sz w:val="21"/>
              </w:rPr>
              <w:t>72</w:t>
            </w:r>
          </w:p>
        </w:tc>
        <w:tc>
          <w:tcPr>
            <w:tcW w:w="589" w:type="pct"/>
            <w:tcBorders>
              <w:top w:val="nil"/>
              <w:left w:val="nil"/>
              <w:bottom w:val="single" w:color="auto" w:sz="4" w:space="0"/>
              <w:right w:val="single" w:color="auto" w:sz="4" w:space="0"/>
            </w:tcBorders>
            <w:shd w:val="clear" w:color="auto" w:fill="auto"/>
            <w:vAlign w:val="center"/>
          </w:tcPr>
          <w:p w14:paraId="5EFF0F0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80" w:type="pct"/>
            <w:vMerge w:val="continue"/>
            <w:tcBorders>
              <w:top w:val="nil"/>
              <w:left w:val="single" w:color="auto" w:sz="4" w:space="0"/>
              <w:bottom w:val="single" w:color="auto" w:sz="4" w:space="0"/>
              <w:right w:val="single" w:color="auto" w:sz="4" w:space="0"/>
            </w:tcBorders>
            <w:vAlign w:val="center"/>
          </w:tcPr>
          <w:p w14:paraId="79EF6197">
            <w:pPr>
              <w:spacing w:line="240" w:lineRule="auto"/>
              <w:ind w:firstLine="0" w:firstLineChars="0"/>
              <w:rPr>
                <w:rFonts w:eastAsia="等线" w:cs="Times New Roman"/>
                <w:kern w:val="0"/>
                <w:sz w:val="21"/>
              </w:rPr>
            </w:pPr>
          </w:p>
        </w:tc>
      </w:tr>
    </w:tbl>
    <w:p w14:paraId="180C3079">
      <w:pPr>
        <w:pStyle w:val="196"/>
      </w:pPr>
    </w:p>
    <w:p w14:paraId="26AC5BEA">
      <w:pPr>
        <w:pStyle w:val="82"/>
      </w:pPr>
      <w:r>
        <w:rPr>
          <w:rFonts w:hint="eastAsia"/>
        </w:rPr>
        <w:t>污染物排放量汇总</w:t>
      </w:r>
    </w:p>
    <w:p w14:paraId="3D4EDE33">
      <w:pPr>
        <w:pStyle w:val="93"/>
      </w:pPr>
      <w:r>
        <w:rPr>
          <w:rFonts w:hint="eastAsia"/>
        </w:rPr>
        <w:t>本项目码头营运期“三废”排放汇总见表3.8-21。</w:t>
      </w:r>
    </w:p>
    <w:p w14:paraId="15AF1B3A">
      <w:pPr>
        <w:pStyle w:val="86"/>
      </w:pPr>
      <w:r>
        <w:rPr>
          <w:rFonts w:hint="eastAsia"/>
        </w:rPr>
        <w:t>污染物产生和排放量汇总表</w:t>
      </w:r>
    </w:p>
    <w:tbl>
      <w:tblPr>
        <w:tblStyle w:val="38"/>
        <w:tblW w:w="4882" w:type="pct"/>
        <w:jc w:val="center"/>
        <w:tblLayout w:type="autofit"/>
        <w:tblCellMar>
          <w:top w:w="0" w:type="dxa"/>
          <w:left w:w="108" w:type="dxa"/>
          <w:bottom w:w="0" w:type="dxa"/>
          <w:right w:w="108" w:type="dxa"/>
        </w:tblCellMar>
      </w:tblPr>
      <w:tblGrid>
        <w:gridCol w:w="939"/>
        <w:gridCol w:w="939"/>
        <w:gridCol w:w="1482"/>
        <w:gridCol w:w="1697"/>
        <w:gridCol w:w="1231"/>
        <w:gridCol w:w="1181"/>
        <w:gridCol w:w="1598"/>
      </w:tblGrid>
      <w:tr w14:paraId="2BAF99DE">
        <w:tblPrEx>
          <w:tblCellMar>
            <w:top w:w="0" w:type="dxa"/>
            <w:left w:w="108" w:type="dxa"/>
            <w:bottom w:w="0" w:type="dxa"/>
            <w:right w:w="108" w:type="dxa"/>
          </w:tblCellMar>
        </w:tblPrEx>
        <w:trPr>
          <w:trHeight w:val="540" w:hRule="atLeast"/>
          <w:jc w:val="center"/>
        </w:trPr>
        <w:tc>
          <w:tcPr>
            <w:tcW w:w="103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B44B9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种类</w:t>
            </w:r>
          </w:p>
        </w:tc>
        <w:tc>
          <w:tcPr>
            <w:tcW w:w="817" w:type="pct"/>
            <w:tcBorders>
              <w:top w:val="single" w:color="auto" w:sz="4" w:space="0"/>
              <w:left w:val="nil"/>
              <w:bottom w:val="single" w:color="auto" w:sz="4" w:space="0"/>
              <w:right w:val="single" w:color="auto" w:sz="4" w:space="0"/>
            </w:tcBorders>
            <w:shd w:val="clear" w:color="auto" w:fill="auto"/>
            <w:vAlign w:val="center"/>
          </w:tcPr>
          <w:p w14:paraId="14C50A0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污染物名称</w:t>
            </w:r>
          </w:p>
        </w:tc>
        <w:tc>
          <w:tcPr>
            <w:tcW w:w="936" w:type="pct"/>
            <w:tcBorders>
              <w:top w:val="single" w:color="auto" w:sz="4" w:space="0"/>
              <w:left w:val="nil"/>
              <w:bottom w:val="single" w:color="auto" w:sz="4" w:space="0"/>
              <w:right w:val="single" w:color="auto" w:sz="4" w:space="0"/>
            </w:tcBorders>
            <w:shd w:val="clear" w:color="auto" w:fill="auto"/>
            <w:vAlign w:val="center"/>
          </w:tcPr>
          <w:p w14:paraId="661E28C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产生量（</w:t>
            </w:r>
            <w:r>
              <w:rPr>
                <w:rFonts w:eastAsia="宋体" w:cs="Times New Roman"/>
                <w:kern w:val="0"/>
                <w:sz w:val="21"/>
              </w:rPr>
              <w:t>t/a</w:t>
            </w:r>
            <w:r>
              <w:rPr>
                <w:rFonts w:hint="eastAsia" w:ascii="宋体" w:hAnsi="宋体" w:eastAsia="宋体" w:cs="宋体"/>
                <w:kern w:val="0"/>
                <w:sz w:val="21"/>
              </w:rPr>
              <w:t>）</w:t>
            </w:r>
          </w:p>
        </w:tc>
        <w:tc>
          <w:tcPr>
            <w:tcW w:w="679" w:type="pct"/>
            <w:tcBorders>
              <w:top w:val="single" w:color="auto" w:sz="4" w:space="0"/>
              <w:left w:val="nil"/>
              <w:bottom w:val="single" w:color="auto" w:sz="4" w:space="0"/>
              <w:right w:val="single" w:color="auto" w:sz="4" w:space="0"/>
            </w:tcBorders>
            <w:shd w:val="clear" w:color="auto" w:fill="auto"/>
            <w:vAlign w:val="center"/>
          </w:tcPr>
          <w:p w14:paraId="2E0F0E4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削减量（</w:t>
            </w:r>
            <w:r>
              <w:rPr>
                <w:rFonts w:eastAsia="宋体" w:cs="Times New Roman"/>
                <w:kern w:val="0"/>
                <w:sz w:val="21"/>
              </w:rPr>
              <w:t>t/a</w:t>
            </w:r>
            <w:r>
              <w:rPr>
                <w:rFonts w:hint="eastAsia" w:ascii="宋体" w:hAnsi="宋体" w:eastAsia="宋体" w:cs="宋体"/>
                <w:kern w:val="0"/>
                <w:sz w:val="21"/>
              </w:rPr>
              <w:t>）</w:t>
            </w:r>
          </w:p>
        </w:tc>
        <w:tc>
          <w:tcPr>
            <w:tcW w:w="651" w:type="pct"/>
            <w:tcBorders>
              <w:top w:val="single" w:color="auto" w:sz="4" w:space="0"/>
              <w:left w:val="nil"/>
              <w:bottom w:val="single" w:color="auto" w:sz="4" w:space="0"/>
              <w:right w:val="single" w:color="auto" w:sz="4" w:space="0"/>
            </w:tcBorders>
            <w:shd w:val="clear" w:color="auto" w:fill="auto"/>
            <w:vAlign w:val="center"/>
          </w:tcPr>
          <w:p w14:paraId="12A42F5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接管量（</w:t>
            </w:r>
            <w:r>
              <w:rPr>
                <w:rFonts w:eastAsia="宋体" w:cs="Times New Roman"/>
                <w:kern w:val="0"/>
                <w:sz w:val="21"/>
              </w:rPr>
              <w:t>t/a</w:t>
            </w:r>
            <w:r>
              <w:rPr>
                <w:rFonts w:hint="eastAsia" w:ascii="宋体" w:hAnsi="宋体" w:eastAsia="宋体" w:cs="宋体"/>
                <w:kern w:val="0"/>
                <w:sz w:val="21"/>
              </w:rPr>
              <w:t>）</w:t>
            </w:r>
          </w:p>
        </w:tc>
        <w:tc>
          <w:tcPr>
            <w:tcW w:w="881" w:type="pct"/>
            <w:tcBorders>
              <w:top w:val="single" w:color="auto" w:sz="4" w:space="0"/>
              <w:left w:val="nil"/>
              <w:bottom w:val="single" w:color="auto" w:sz="4" w:space="0"/>
              <w:right w:val="single" w:color="auto" w:sz="4" w:space="0"/>
            </w:tcBorders>
            <w:shd w:val="clear" w:color="auto" w:fill="auto"/>
            <w:vAlign w:val="center"/>
          </w:tcPr>
          <w:p w14:paraId="3FB8B2C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排放量（</w:t>
            </w:r>
            <w:r>
              <w:rPr>
                <w:rFonts w:eastAsia="宋体" w:cs="Times New Roman"/>
                <w:kern w:val="0"/>
                <w:sz w:val="21"/>
              </w:rPr>
              <w:t>t/a</w:t>
            </w:r>
            <w:r>
              <w:rPr>
                <w:rFonts w:hint="eastAsia" w:ascii="宋体" w:hAnsi="宋体" w:eastAsia="宋体" w:cs="宋体"/>
                <w:kern w:val="0"/>
                <w:sz w:val="21"/>
              </w:rPr>
              <w:t>）</w:t>
            </w:r>
          </w:p>
        </w:tc>
      </w:tr>
      <w:tr w14:paraId="6FDA190B">
        <w:tblPrEx>
          <w:tblCellMar>
            <w:top w:w="0" w:type="dxa"/>
            <w:left w:w="108" w:type="dxa"/>
            <w:bottom w:w="0" w:type="dxa"/>
            <w:right w:w="108" w:type="dxa"/>
          </w:tblCellMar>
        </w:tblPrEx>
        <w:trPr>
          <w:trHeight w:val="280" w:hRule="atLeast"/>
          <w:jc w:val="center"/>
        </w:trPr>
        <w:tc>
          <w:tcPr>
            <w:tcW w:w="518" w:type="pct"/>
            <w:vMerge w:val="restart"/>
            <w:tcBorders>
              <w:top w:val="nil"/>
              <w:left w:val="single" w:color="auto" w:sz="4" w:space="0"/>
              <w:bottom w:val="single" w:color="auto" w:sz="4" w:space="0"/>
              <w:right w:val="single" w:color="auto" w:sz="4" w:space="0"/>
            </w:tcBorders>
            <w:shd w:val="clear" w:color="auto" w:fill="auto"/>
            <w:vAlign w:val="center"/>
          </w:tcPr>
          <w:p w14:paraId="0AAEB31E">
            <w:pPr>
              <w:spacing w:line="240" w:lineRule="auto"/>
              <w:ind w:firstLine="0" w:firstLineChars="0"/>
              <w:jc w:val="center"/>
              <w:rPr>
                <w:rFonts w:hint="eastAsia" w:ascii="宋体" w:hAnsi="宋体" w:eastAsia="宋体" w:cs="宋体"/>
                <w:kern w:val="0"/>
                <w:sz w:val="21"/>
              </w:rPr>
            </w:pPr>
            <w:bookmarkStart w:id="223" w:name="RANGE!A3"/>
            <w:r>
              <w:rPr>
                <w:rFonts w:hint="eastAsia" w:ascii="宋体" w:hAnsi="宋体" w:eastAsia="宋体" w:cs="宋体"/>
                <w:kern w:val="0"/>
                <w:sz w:val="21"/>
              </w:rPr>
              <w:t>废水</w:t>
            </w:r>
            <w:bookmarkEnd w:id="223"/>
          </w:p>
        </w:tc>
        <w:tc>
          <w:tcPr>
            <w:tcW w:w="518" w:type="pct"/>
            <w:vMerge w:val="restart"/>
            <w:tcBorders>
              <w:top w:val="nil"/>
              <w:left w:val="single" w:color="auto" w:sz="4" w:space="0"/>
              <w:bottom w:val="single" w:color="auto" w:sz="4" w:space="0"/>
              <w:right w:val="single" w:color="auto" w:sz="4" w:space="0"/>
            </w:tcBorders>
            <w:shd w:val="clear" w:color="auto" w:fill="auto"/>
            <w:vAlign w:val="center"/>
          </w:tcPr>
          <w:p w14:paraId="6B1A34B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陆域及船舶生活污水</w:t>
            </w:r>
          </w:p>
        </w:tc>
        <w:tc>
          <w:tcPr>
            <w:tcW w:w="817" w:type="pct"/>
            <w:tcBorders>
              <w:top w:val="nil"/>
              <w:left w:val="nil"/>
              <w:bottom w:val="single" w:color="auto" w:sz="4" w:space="0"/>
              <w:right w:val="single" w:color="auto" w:sz="4" w:space="0"/>
            </w:tcBorders>
            <w:shd w:val="clear" w:color="auto" w:fill="auto"/>
            <w:vAlign w:val="center"/>
          </w:tcPr>
          <w:p w14:paraId="6765B19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废水量</w:t>
            </w:r>
          </w:p>
        </w:tc>
        <w:tc>
          <w:tcPr>
            <w:tcW w:w="936" w:type="pct"/>
            <w:tcBorders>
              <w:top w:val="nil"/>
              <w:left w:val="nil"/>
              <w:bottom w:val="single" w:color="auto" w:sz="4" w:space="0"/>
              <w:right w:val="single" w:color="auto" w:sz="4" w:space="0"/>
            </w:tcBorders>
            <w:shd w:val="clear" w:color="auto" w:fill="auto"/>
            <w:vAlign w:val="center"/>
          </w:tcPr>
          <w:p w14:paraId="4359D407">
            <w:pPr>
              <w:spacing w:line="240" w:lineRule="auto"/>
              <w:ind w:firstLine="0" w:firstLineChars="0"/>
              <w:jc w:val="center"/>
              <w:rPr>
                <w:rFonts w:eastAsia="等线" w:cs="Times New Roman"/>
                <w:kern w:val="0"/>
                <w:sz w:val="21"/>
              </w:rPr>
            </w:pPr>
            <w:r>
              <w:rPr>
                <w:rFonts w:eastAsia="等线" w:cs="Times New Roman"/>
                <w:sz w:val="21"/>
              </w:rPr>
              <w:t>2138.45</w:t>
            </w:r>
          </w:p>
        </w:tc>
        <w:tc>
          <w:tcPr>
            <w:tcW w:w="679" w:type="pct"/>
            <w:tcBorders>
              <w:top w:val="nil"/>
              <w:left w:val="nil"/>
              <w:bottom w:val="single" w:color="auto" w:sz="4" w:space="0"/>
              <w:right w:val="single" w:color="auto" w:sz="4" w:space="0"/>
            </w:tcBorders>
            <w:shd w:val="clear" w:color="auto" w:fill="auto"/>
            <w:vAlign w:val="center"/>
          </w:tcPr>
          <w:p w14:paraId="6827EDE7">
            <w:pPr>
              <w:spacing w:line="240" w:lineRule="auto"/>
              <w:ind w:firstLine="0" w:firstLineChars="0"/>
              <w:jc w:val="center"/>
              <w:rPr>
                <w:rFonts w:eastAsia="等线" w:cs="Times New Roman"/>
                <w:kern w:val="0"/>
                <w:sz w:val="21"/>
              </w:rPr>
            </w:pPr>
            <w:r>
              <w:rPr>
                <w:rFonts w:eastAsia="等线" w:cs="Times New Roman"/>
                <w:sz w:val="21"/>
              </w:rPr>
              <w:t>2138.45</w:t>
            </w:r>
          </w:p>
        </w:tc>
        <w:tc>
          <w:tcPr>
            <w:tcW w:w="651" w:type="pct"/>
            <w:tcBorders>
              <w:top w:val="nil"/>
              <w:left w:val="nil"/>
              <w:bottom w:val="single" w:color="auto" w:sz="4" w:space="0"/>
              <w:right w:val="single" w:color="auto" w:sz="4" w:space="0"/>
            </w:tcBorders>
            <w:shd w:val="clear" w:color="auto" w:fill="auto"/>
            <w:vAlign w:val="center"/>
          </w:tcPr>
          <w:p w14:paraId="5EDE9D32">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1D415EAF">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0BFCE79C">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1CFFA10D">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15D2327D">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3BE792D1">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936" w:type="pct"/>
            <w:tcBorders>
              <w:top w:val="nil"/>
              <w:left w:val="nil"/>
              <w:bottom w:val="single" w:color="auto" w:sz="4" w:space="0"/>
              <w:right w:val="single" w:color="auto" w:sz="4" w:space="0"/>
            </w:tcBorders>
            <w:shd w:val="clear" w:color="auto" w:fill="auto"/>
            <w:vAlign w:val="center"/>
          </w:tcPr>
          <w:p w14:paraId="3DF8389D">
            <w:pPr>
              <w:spacing w:line="240" w:lineRule="auto"/>
              <w:ind w:firstLine="0" w:firstLineChars="0"/>
              <w:jc w:val="center"/>
              <w:rPr>
                <w:rFonts w:eastAsia="等线" w:cs="Times New Roman"/>
                <w:kern w:val="0"/>
                <w:sz w:val="21"/>
              </w:rPr>
            </w:pPr>
            <w:r>
              <w:rPr>
                <w:rFonts w:eastAsia="等线" w:cs="Times New Roman"/>
                <w:sz w:val="21"/>
              </w:rPr>
              <w:t>0.86</w:t>
            </w:r>
          </w:p>
        </w:tc>
        <w:tc>
          <w:tcPr>
            <w:tcW w:w="679" w:type="pct"/>
            <w:tcBorders>
              <w:top w:val="nil"/>
              <w:left w:val="nil"/>
              <w:bottom w:val="single" w:color="auto" w:sz="4" w:space="0"/>
              <w:right w:val="single" w:color="auto" w:sz="4" w:space="0"/>
            </w:tcBorders>
            <w:shd w:val="clear" w:color="auto" w:fill="auto"/>
            <w:vAlign w:val="center"/>
          </w:tcPr>
          <w:p w14:paraId="76A0ACF5">
            <w:pPr>
              <w:spacing w:line="240" w:lineRule="auto"/>
              <w:ind w:firstLine="0" w:firstLineChars="0"/>
              <w:jc w:val="center"/>
              <w:rPr>
                <w:rFonts w:eastAsia="等线" w:cs="Times New Roman"/>
                <w:kern w:val="0"/>
                <w:sz w:val="21"/>
              </w:rPr>
            </w:pPr>
            <w:r>
              <w:rPr>
                <w:rFonts w:eastAsia="等线" w:cs="Times New Roman"/>
                <w:sz w:val="21"/>
              </w:rPr>
              <w:t>0.86</w:t>
            </w:r>
          </w:p>
        </w:tc>
        <w:tc>
          <w:tcPr>
            <w:tcW w:w="651" w:type="pct"/>
            <w:tcBorders>
              <w:top w:val="nil"/>
              <w:left w:val="nil"/>
              <w:bottom w:val="single" w:color="auto" w:sz="4" w:space="0"/>
              <w:right w:val="single" w:color="auto" w:sz="4" w:space="0"/>
            </w:tcBorders>
            <w:shd w:val="clear" w:color="auto" w:fill="auto"/>
            <w:vAlign w:val="center"/>
          </w:tcPr>
          <w:p w14:paraId="0D182F9D">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73E75035">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57A55730">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004E03F2">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4BFA1E33">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556568B6">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936" w:type="pct"/>
            <w:tcBorders>
              <w:top w:val="nil"/>
              <w:left w:val="nil"/>
              <w:bottom w:val="single" w:color="auto" w:sz="4" w:space="0"/>
              <w:right w:val="single" w:color="auto" w:sz="4" w:space="0"/>
            </w:tcBorders>
            <w:shd w:val="clear" w:color="auto" w:fill="auto"/>
            <w:vAlign w:val="center"/>
          </w:tcPr>
          <w:p w14:paraId="2E6F02B5">
            <w:pPr>
              <w:spacing w:line="240" w:lineRule="auto"/>
              <w:ind w:firstLine="0" w:firstLineChars="0"/>
              <w:jc w:val="center"/>
              <w:rPr>
                <w:rFonts w:eastAsia="等线" w:cs="Times New Roman"/>
                <w:kern w:val="0"/>
                <w:sz w:val="21"/>
              </w:rPr>
            </w:pPr>
            <w:r>
              <w:rPr>
                <w:rFonts w:eastAsia="等线" w:cs="Times New Roman"/>
                <w:sz w:val="21"/>
              </w:rPr>
              <w:t>0.64</w:t>
            </w:r>
          </w:p>
        </w:tc>
        <w:tc>
          <w:tcPr>
            <w:tcW w:w="679" w:type="pct"/>
            <w:tcBorders>
              <w:top w:val="nil"/>
              <w:left w:val="nil"/>
              <w:bottom w:val="single" w:color="auto" w:sz="4" w:space="0"/>
              <w:right w:val="single" w:color="auto" w:sz="4" w:space="0"/>
            </w:tcBorders>
            <w:shd w:val="clear" w:color="auto" w:fill="auto"/>
            <w:vAlign w:val="center"/>
          </w:tcPr>
          <w:p w14:paraId="73C7A581">
            <w:pPr>
              <w:spacing w:line="240" w:lineRule="auto"/>
              <w:ind w:firstLine="0" w:firstLineChars="0"/>
              <w:jc w:val="center"/>
              <w:rPr>
                <w:rFonts w:eastAsia="等线" w:cs="Times New Roman"/>
                <w:kern w:val="0"/>
                <w:sz w:val="21"/>
              </w:rPr>
            </w:pPr>
            <w:r>
              <w:rPr>
                <w:rFonts w:eastAsia="等线" w:cs="Times New Roman"/>
                <w:sz w:val="21"/>
              </w:rPr>
              <w:t>0.64</w:t>
            </w:r>
          </w:p>
        </w:tc>
        <w:tc>
          <w:tcPr>
            <w:tcW w:w="651" w:type="pct"/>
            <w:tcBorders>
              <w:top w:val="nil"/>
              <w:left w:val="nil"/>
              <w:bottom w:val="single" w:color="auto" w:sz="4" w:space="0"/>
              <w:right w:val="single" w:color="auto" w:sz="4" w:space="0"/>
            </w:tcBorders>
            <w:shd w:val="clear" w:color="auto" w:fill="auto"/>
            <w:vAlign w:val="center"/>
          </w:tcPr>
          <w:p w14:paraId="4D253834">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27EA03ED">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172371A0">
        <w:tblPrEx>
          <w:tblCellMar>
            <w:top w:w="0" w:type="dxa"/>
            <w:left w:w="108" w:type="dxa"/>
            <w:bottom w:w="0" w:type="dxa"/>
            <w:right w:w="108" w:type="dxa"/>
          </w:tblCellMar>
        </w:tblPrEx>
        <w:trPr>
          <w:trHeight w:val="31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7D0EC033">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39F056B8">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543BA3CA">
            <w:pPr>
              <w:spacing w:line="240" w:lineRule="auto"/>
              <w:ind w:firstLine="0" w:firstLineChars="0"/>
              <w:jc w:val="center"/>
              <w:rPr>
                <w:rFonts w:eastAsia="等线" w:cs="Times New Roman"/>
                <w:kern w:val="0"/>
                <w:sz w:val="21"/>
              </w:rPr>
            </w:pPr>
            <w:r>
              <w:rPr>
                <w:rFonts w:eastAsia="等线" w:cs="Times New Roman"/>
                <w:kern w:val="0"/>
                <w:sz w:val="21"/>
              </w:rPr>
              <w:t>NH</w:t>
            </w:r>
            <w:r>
              <w:rPr>
                <w:rFonts w:eastAsia="等线" w:cs="Times New Roman"/>
                <w:kern w:val="0"/>
                <w:sz w:val="21"/>
                <w:vertAlign w:val="subscript"/>
              </w:rPr>
              <w:t>3</w:t>
            </w:r>
            <w:r>
              <w:rPr>
                <w:rFonts w:eastAsia="等线" w:cs="Times New Roman"/>
                <w:kern w:val="0"/>
                <w:sz w:val="21"/>
              </w:rPr>
              <w:t>-N</w:t>
            </w:r>
          </w:p>
        </w:tc>
        <w:tc>
          <w:tcPr>
            <w:tcW w:w="936" w:type="pct"/>
            <w:tcBorders>
              <w:top w:val="nil"/>
              <w:left w:val="nil"/>
              <w:bottom w:val="single" w:color="auto" w:sz="4" w:space="0"/>
              <w:right w:val="single" w:color="auto" w:sz="4" w:space="0"/>
            </w:tcBorders>
            <w:shd w:val="clear" w:color="auto" w:fill="auto"/>
            <w:vAlign w:val="center"/>
          </w:tcPr>
          <w:p w14:paraId="0F075926">
            <w:pPr>
              <w:spacing w:line="240" w:lineRule="auto"/>
              <w:ind w:firstLine="0" w:firstLineChars="0"/>
              <w:jc w:val="center"/>
              <w:rPr>
                <w:rFonts w:eastAsia="等线" w:cs="Times New Roman"/>
                <w:kern w:val="0"/>
                <w:sz w:val="21"/>
              </w:rPr>
            </w:pPr>
            <w:r>
              <w:rPr>
                <w:rFonts w:eastAsia="等线" w:cs="Times New Roman"/>
                <w:sz w:val="21"/>
              </w:rPr>
              <w:t>0.075</w:t>
            </w:r>
          </w:p>
        </w:tc>
        <w:tc>
          <w:tcPr>
            <w:tcW w:w="679" w:type="pct"/>
            <w:tcBorders>
              <w:top w:val="nil"/>
              <w:left w:val="nil"/>
              <w:bottom w:val="single" w:color="auto" w:sz="4" w:space="0"/>
              <w:right w:val="single" w:color="auto" w:sz="4" w:space="0"/>
            </w:tcBorders>
            <w:shd w:val="clear" w:color="auto" w:fill="auto"/>
            <w:vAlign w:val="center"/>
          </w:tcPr>
          <w:p w14:paraId="27F3B556">
            <w:pPr>
              <w:spacing w:line="240" w:lineRule="auto"/>
              <w:ind w:firstLine="0" w:firstLineChars="0"/>
              <w:jc w:val="center"/>
              <w:rPr>
                <w:rFonts w:eastAsia="等线" w:cs="Times New Roman"/>
                <w:kern w:val="0"/>
                <w:sz w:val="21"/>
              </w:rPr>
            </w:pPr>
            <w:r>
              <w:rPr>
                <w:rFonts w:eastAsia="等线" w:cs="Times New Roman"/>
                <w:sz w:val="21"/>
              </w:rPr>
              <w:t>0.075</w:t>
            </w:r>
          </w:p>
        </w:tc>
        <w:tc>
          <w:tcPr>
            <w:tcW w:w="651" w:type="pct"/>
            <w:tcBorders>
              <w:top w:val="nil"/>
              <w:left w:val="nil"/>
              <w:bottom w:val="single" w:color="auto" w:sz="4" w:space="0"/>
              <w:right w:val="single" w:color="auto" w:sz="4" w:space="0"/>
            </w:tcBorders>
            <w:shd w:val="clear" w:color="auto" w:fill="auto"/>
            <w:vAlign w:val="center"/>
          </w:tcPr>
          <w:p w14:paraId="4B80765D">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1A49AAA0">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65D420D1">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45CAD520">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115F09D7">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06092F16">
            <w:pPr>
              <w:spacing w:line="240" w:lineRule="auto"/>
              <w:ind w:firstLine="0" w:firstLineChars="0"/>
              <w:jc w:val="center"/>
              <w:rPr>
                <w:rFonts w:eastAsia="等线" w:cs="Times New Roman"/>
                <w:kern w:val="0"/>
                <w:sz w:val="21"/>
              </w:rPr>
            </w:pPr>
            <w:r>
              <w:rPr>
                <w:rFonts w:eastAsia="等线" w:cs="Times New Roman"/>
                <w:kern w:val="0"/>
                <w:sz w:val="21"/>
              </w:rPr>
              <w:t>TN</w:t>
            </w:r>
          </w:p>
        </w:tc>
        <w:tc>
          <w:tcPr>
            <w:tcW w:w="936" w:type="pct"/>
            <w:tcBorders>
              <w:top w:val="nil"/>
              <w:left w:val="nil"/>
              <w:bottom w:val="single" w:color="auto" w:sz="4" w:space="0"/>
              <w:right w:val="single" w:color="auto" w:sz="4" w:space="0"/>
            </w:tcBorders>
            <w:shd w:val="clear" w:color="auto" w:fill="auto"/>
            <w:vAlign w:val="center"/>
          </w:tcPr>
          <w:p w14:paraId="29601864">
            <w:pPr>
              <w:spacing w:line="240" w:lineRule="auto"/>
              <w:ind w:firstLine="0" w:firstLineChars="0"/>
              <w:jc w:val="center"/>
              <w:rPr>
                <w:rFonts w:eastAsia="等线" w:cs="Times New Roman"/>
                <w:kern w:val="0"/>
                <w:sz w:val="21"/>
              </w:rPr>
            </w:pPr>
            <w:r>
              <w:rPr>
                <w:rFonts w:eastAsia="等线" w:cs="Times New Roman"/>
                <w:sz w:val="21"/>
              </w:rPr>
              <w:t>0.10</w:t>
            </w:r>
          </w:p>
        </w:tc>
        <w:tc>
          <w:tcPr>
            <w:tcW w:w="679" w:type="pct"/>
            <w:tcBorders>
              <w:top w:val="nil"/>
              <w:left w:val="nil"/>
              <w:bottom w:val="single" w:color="auto" w:sz="4" w:space="0"/>
              <w:right w:val="single" w:color="auto" w:sz="4" w:space="0"/>
            </w:tcBorders>
            <w:shd w:val="clear" w:color="auto" w:fill="auto"/>
            <w:vAlign w:val="center"/>
          </w:tcPr>
          <w:p w14:paraId="66946D0C">
            <w:pPr>
              <w:spacing w:line="240" w:lineRule="auto"/>
              <w:ind w:firstLine="0" w:firstLineChars="0"/>
              <w:jc w:val="center"/>
              <w:rPr>
                <w:rFonts w:eastAsia="等线" w:cs="Times New Roman"/>
                <w:kern w:val="0"/>
                <w:sz w:val="21"/>
              </w:rPr>
            </w:pPr>
            <w:r>
              <w:rPr>
                <w:rFonts w:eastAsia="等线" w:cs="Times New Roman"/>
                <w:sz w:val="21"/>
              </w:rPr>
              <w:t>0.10</w:t>
            </w:r>
          </w:p>
        </w:tc>
        <w:tc>
          <w:tcPr>
            <w:tcW w:w="651" w:type="pct"/>
            <w:tcBorders>
              <w:top w:val="nil"/>
              <w:left w:val="nil"/>
              <w:bottom w:val="single" w:color="auto" w:sz="4" w:space="0"/>
              <w:right w:val="single" w:color="auto" w:sz="4" w:space="0"/>
            </w:tcBorders>
            <w:shd w:val="clear" w:color="auto" w:fill="auto"/>
            <w:vAlign w:val="center"/>
          </w:tcPr>
          <w:p w14:paraId="67285274">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10F017F7">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694F3806">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15FBD3B6">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78F5A22A">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025B162E">
            <w:pPr>
              <w:spacing w:line="240" w:lineRule="auto"/>
              <w:ind w:firstLine="0" w:firstLineChars="0"/>
              <w:jc w:val="center"/>
              <w:rPr>
                <w:rFonts w:eastAsia="等线" w:cs="Times New Roman"/>
                <w:kern w:val="0"/>
                <w:sz w:val="21"/>
              </w:rPr>
            </w:pPr>
            <w:r>
              <w:rPr>
                <w:rFonts w:eastAsia="等线" w:cs="Times New Roman"/>
                <w:kern w:val="0"/>
                <w:sz w:val="21"/>
              </w:rPr>
              <w:t>TP</w:t>
            </w:r>
          </w:p>
        </w:tc>
        <w:tc>
          <w:tcPr>
            <w:tcW w:w="936" w:type="pct"/>
            <w:tcBorders>
              <w:top w:val="nil"/>
              <w:left w:val="nil"/>
              <w:bottom w:val="single" w:color="auto" w:sz="4" w:space="0"/>
              <w:right w:val="single" w:color="auto" w:sz="4" w:space="0"/>
            </w:tcBorders>
            <w:shd w:val="clear" w:color="auto" w:fill="auto"/>
            <w:vAlign w:val="center"/>
          </w:tcPr>
          <w:p w14:paraId="7B6E8BFE">
            <w:pPr>
              <w:spacing w:line="240" w:lineRule="auto"/>
              <w:ind w:firstLine="0" w:firstLineChars="0"/>
              <w:jc w:val="center"/>
              <w:rPr>
                <w:rFonts w:eastAsia="等线" w:cs="Times New Roman"/>
                <w:kern w:val="0"/>
                <w:sz w:val="21"/>
              </w:rPr>
            </w:pPr>
            <w:r>
              <w:rPr>
                <w:rFonts w:eastAsia="等线" w:cs="Times New Roman"/>
                <w:sz w:val="21"/>
              </w:rPr>
              <w:t>0.011</w:t>
            </w:r>
          </w:p>
        </w:tc>
        <w:tc>
          <w:tcPr>
            <w:tcW w:w="679" w:type="pct"/>
            <w:tcBorders>
              <w:top w:val="nil"/>
              <w:left w:val="nil"/>
              <w:bottom w:val="single" w:color="auto" w:sz="4" w:space="0"/>
              <w:right w:val="single" w:color="auto" w:sz="4" w:space="0"/>
            </w:tcBorders>
            <w:shd w:val="clear" w:color="auto" w:fill="auto"/>
            <w:vAlign w:val="center"/>
          </w:tcPr>
          <w:p w14:paraId="5AFD92B3">
            <w:pPr>
              <w:spacing w:line="240" w:lineRule="auto"/>
              <w:ind w:firstLine="0" w:firstLineChars="0"/>
              <w:jc w:val="center"/>
              <w:rPr>
                <w:rFonts w:eastAsia="等线" w:cs="Times New Roman"/>
                <w:kern w:val="0"/>
                <w:sz w:val="21"/>
              </w:rPr>
            </w:pPr>
            <w:r>
              <w:rPr>
                <w:rFonts w:eastAsia="等线" w:cs="Times New Roman"/>
                <w:sz w:val="21"/>
              </w:rPr>
              <w:t>0.011</w:t>
            </w:r>
          </w:p>
        </w:tc>
        <w:tc>
          <w:tcPr>
            <w:tcW w:w="651" w:type="pct"/>
            <w:tcBorders>
              <w:top w:val="nil"/>
              <w:left w:val="nil"/>
              <w:bottom w:val="single" w:color="auto" w:sz="4" w:space="0"/>
              <w:right w:val="single" w:color="auto" w:sz="4" w:space="0"/>
            </w:tcBorders>
            <w:shd w:val="clear" w:color="auto" w:fill="auto"/>
            <w:vAlign w:val="center"/>
          </w:tcPr>
          <w:p w14:paraId="4CF1BE82">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71266720">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125200D0">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1F2532B2">
            <w:pPr>
              <w:spacing w:line="240" w:lineRule="auto"/>
              <w:ind w:firstLine="0" w:firstLineChars="0"/>
              <w:rPr>
                <w:rFonts w:hint="eastAsia" w:ascii="宋体" w:hAnsi="宋体" w:eastAsia="宋体" w:cs="宋体"/>
                <w:kern w:val="0"/>
                <w:sz w:val="21"/>
              </w:rPr>
            </w:pPr>
          </w:p>
        </w:tc>
        <w:tc>
          <w:tcPr>
            <w:tcW w:w="518" w:type="pct"/>
            <w:vMerge w:val="restart"/>
            <w:tcBorders>
              <w:top w:val="nil"/>
              <w:left w:val="single" w:color="auto" w:sz="4" w:space="0"/>
              <w:bottom w:val="single" w:color="auto" w:sz="4" w:space="0"/>
              <w:right w:val="single" w:color="auto" w:sz="4" w:space="0"/>
            </w:tcBorders>
            <w:shd w:val="clear" w:color="auto" w:fill="auto"/>
            <w:vAlign w:val="center"/>
          </w:tcPr>
          <w:p w14:paraId="71169B7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生产废水</w:t>
            </w:r>
          </w:p>
        </w:tc>
        <w:tc>
          <w:tcPr>
            <w:tcW w:w="817" w:type="pct"/>
            <w:tcBorders>
              <w:top w:val="nil"/>
              <w:left w:val="nil"/>
              <w:bottom w:val="single" w:color="auto" w:sz="4" w:space="0"/>
              <w:right w:val="single" w:color="auto" w:sz="4" w:space="0"/>
            </w:tcBorders>
            <w:shd w:val="clear" w:color="auto" w:fill="auto"/>
            <w:vAlign w:val="center"/>
          </w:tcPr>
          <w:p w14:paraId="0B565AE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废水量</w:t>
            </w:r>
          </w:p>
        </w:tc>
        <w:tc>
          <w:tcPr>
            <w:tcW w:w="936" w:type="pct"/>
            <w:tcBorders>
              <w:top w:val="nil"/>
              <w:left w:val="nil"/>
              <w:bottom w:val="single" w:color="auto" w:sz="4" w:space="0"/>
              <w:right w:val="single" w:color="auto" w:sz="4" w:space="0"/>
            </w:tcBorders>
            <w:shd w:val="clear" w:color="auto" w:fill="auto"/>
            <w:vAlign w:val="center"/>
          </w:tcPr>
          <w:p w14:paraId="0AE923F6">
            <w:pPr>
              <w:spacing w:line="240" w:lineRule="auto"/>
              <w:ind w:firstLine="0" w:firstLineChars="0"/>
              <w:jc w:val="center"/>
              <w:rPr>
                <w:rFonts w:eastAsia="等线" w:cs="Times New Roman"/>
                <w:kern w:val="0"/>
                <w:sz w:val="21"/>
              </w:rPr>
            </w:pPr>
            <w:r>
              <w:rPr>
                <w:rFonts w:eastAsia="等线" w:cs="Times New Roman"/>
                <w:sz w:val="21"/>
              </w:rPr>
              <w:t>3442.74</w:t>
            </w:r>
          </w:p>
        </w:tc>
        <w:tc>
          <w:tcPr>
            <w:tcW w:w="679" w:type="pct"/>
            <w:tcBorders>
              <w:top w:val="nil"/>
              <w:left w:val="nil"/>
              <w:bottom w:val="single" w:color="auto" w:sz="4" w:space="0"/>
              <w:right w:val="single" w:color="auto" w:sz="4" w:space="0"/>
            </w:tcBorders>
            <w:shd w:val="clear" w:color="auto" w:fill="auto"/>
            <w:vAlign w:val="center"/>
          </w:tcPr>
          <w:p w14:paraId="2D154D04">
            <w:pPr>
              <w:spacing w:line="240" w:lineRule="auto"/>
              <w:ind w:firstLine="0" w:firstLineChars="0"/>
              <w:jc w:val="center"/>
              <w:rPr>
                <w:rFonts w:eastAsia="等线" w:cs="Times New Roman"/>
                <w:kern w:val="0"/>
                <w:sz w:val="21"/>
              </w:rPr>
            </w:pPr>
            <w:r>
              <w:rPr>
                <w:rFonts w:eastAsia="等线" w:cs="Times New Roman"/>
                <w:sz w:val="21"/>
              </w:rPr>
              <w:t>3442.74</w:t>
            </w:r>
          </w:p>
        </w:tc>
        <w:tc>
          <w:tcPr>
            <w:tcW w:w="651" w:type="pct"/>
            <w:tcBorders>
              <w:top w:val="nil"/>
              <w:left w:val="nil"/>
              <w:bottom w:val="single" w:color="auto" w:sz="4" w:space="0"/>
              <w:right w:val="single" w:color="auto" w:sz="4" w:space="0"/>
            </w:tcBorders>
            <w:shd w:val="clear" w:color="auto" w:fill="auto"/>
            <w:vAlign w:val="center"/>
          </w:tcPr>
          <w:p w14:paraId="25385238">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7CB6F7EC">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24507CB3">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6EF5EA93">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6B350063">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6B5CC0E3">
            <w:pPr>
              <w:spacing w:line="240" w:lineRule="auto"/>
              <w:ind w:firstLine="0" w:firstLineChars="0"/>
              <w:jc w:val="center"/>
              <w:rPr>
                <w:rFonts w:eastAsia="等线" w:cs="Times New Roman"/>
                <w:kern w:val="0"/>
                <w:sz w:val="21"/>
              </w:rPr>
            </w:pPr>
            <w:r>
              <w:rPr>
                <w:rFonts w:eastAsia="等线" w:cs="Times New Roman"/>
                <w:kern w:val="0"/>
                <w:sz w:val="21"/>
              </w:rPr>
              <w:t>COD</w:t>
            </w:r>
          </w:p>
        </w:tc>
        <w:tc>
          <w:tcPr>
            <w:tcW w:w="936" w:type="pct"/>
            <w:tcBorders>
              <w:top w:val="nil"/>
              <w:left w:val="nil"/>
              <w:bottom w:val="single" w:color="auto" w:sz="4" w:space="0"/>
              <w:right w:val="single" w:color="auto" w:sz="4" w:space="0"/>
            </w:tcBorders>
            <w:shd w:val="clear" w:color="auto" w:fill="auto"/>
            <w:vAlign w:val="center"/>
          </w:tcPr>
          <w:p w14:paraId="6060A618">
            <w:pPr>
              <w:spacing w:line="240" w:lineRule="auto"/>
              <w:ind w:firstLine="0" w:firstLineChars="0"/>
              <w:jc w:val="center"/>
              <w:rPr>
                <w:rFonts w:eastAsia="等线" w:cs="Times New Roman"/>
                <w:kern w:val="0"/>
                <w:sz w:val="21"/>
              </w:rPr>
            </w:pPr>
            <w:r>
              <w:rPr>
                <w:rFonts w:eastAsia="等线" w:cs="Times New Roman"/>
                <w:sz w:val="21"/>
              </w:rPr>
              <w:t>0.25</w:t>
            </w:r>
          </w:p>
        </w:tc>
        <w:tc>
          <w:tcPr>
            <w:tcW w:w="679" w:type="pct"/>
            <w:tcBorders>
              <w:top w:val="nil"/>
              <w:left w:val="nil"/>
              <w:bottom w:val="single" w:color="auto" w:sz="4" w:space="0"/>
              <w:right w:val="single" w:color="auto" w:sz="4" w:space="0"/>
            </w:tcBorders>
            <w:shd w:val="clear" w:color="auto" w:fill="auto"/>
            <w:vAlign w:val="center"/>
          </w:tcPr>
          <w:p w14:paraId="76D0DAA1">
            <w:pPr>
              <w:spacing w:line="240" w:lineRule="auto"/>
              <w:ind w:firstLine="0" w:firstLineChars="0"/>
              <w:jc w:val="center"/>
              <w:rPr>
                <w:rFonts w:eastAsia="等线" w:cs="Times New Roman"/>
                <w:kern w:val="0"/>
                <w:sz w:val="21"/>
              </w:rPr>
            </w:pPr>
            <w:r>
              <w:rPr>
                <w:rFonts w:eastAsia="等线" w:cs="Times New Roman"/>
                <w:sz w:val="21"/>
              </w:rPr>
              <w:t xml:space="preserve">0.25 </w:t>
            </w:r>
          </w:p>
        </w:tc>
        <w:tc>
          <w:tcPr>
            <w:tcW w:w="651" w:type="pct"/>
            <w:tcBorders>
              <w:top w:val="nil"/>
              <w:left w:val="nil"/>
              <w:bottom w:val="single" w:color="auto" w:sz="4" w:space="0"/>
              <w:right w:val="single" w:color="auto" w:sz="4" w:space="0"/>
            </w:tcBorders>
            <w:shd w:val="clear" w:color="auto" w:fill="auto"/>
            <w:vAlign w:val="center"/>
          </w:tcPr>
          <w:p w14:paraId="4560529E">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1B4E4241">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003F7863">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3ECCA4A3">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4BD4D13D">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3E6BEAB3">
            <w:pPr>
              <w:spacing w:line="240" w:lineRule="auto"/>
              <w:ind w:firstLine="0" w:firstLineChars="0"/>
              <w:jc w:val="center"/>
              <w:rPr>
                <w:rFonts w:eastAsia="等线" w:cs="Times New Roman"/>
                <w:kern w:val="0"/>
                <w:sz w:val="21"/>
              </w:rPr>
            </w:pPr>
            <w:r>
              <w:rPr>
                <w:rFonts w:eastAsia="等线" w:cs="Times New Roman"/>
                <w:kern w:val="0"/>
                <w:sz w:val="21"/>
              </w:rPr>
              <w:t>SS</w:t>
            </w:r>
          </w:p>
        </w:tc>
        <w:tc>
          <w:tcPr>
            <w:tcW w:w="936" w:type="pct"/>
            <w:tcBorders>
              <w:top w:val="nil"/>
              <w:left w:val="nil"/>
              <w:bottom w:val="single" w:color="auto" w:sz="4" w:space="0"/>
              <w:right w:val="single" w:color="auto" w:sz="4" w:space="0"/>
            </w:tcBorders>
            <w:shd w:val="clear" w:color="auto" w:fill="auto"/>
            <w:vAlign w:val="center"/>
          </w:tcPr>
          <w:p w14:paraId="4D17B130">
            <w:pPr>
              <w:spacing w:line="240" w:lineRule="auto"/>
              <w:ind w:firstLine="0" w:firstLineChars="0"/>
              <w:jc w:val="center"/>
              <w:rPr>
                <w:rFonts w:eastAsia="等线" w:cs="Times New Roman"/>
                <w:kern w:val="0"/>
                <w:sz w:val="21"/>
              </w:rPr>
            </w:pPr>
            <w:r>
              <w:rPr>
                <w:rFonts w:eastAsia="等线" w:cs="Times New Roman"/>
                <w:sz w:val="21"/>
              </w:rPr>
              <w:t>2.18</w:t>
            </w:r>
          </w:p>
        </w:tc>
        <w:tc>
          <w:tcPr>
            <w:tcW w:w="679" w:type="pct"/>
            <w:tcBorders>
              <w:top w:val="nil"/>
              <w:left w:val="nil"/>
              <w:bottom w:val="single" w:color="auto" w:sz="4" w:space="0"/>
              <w:right w:val="single" w:color="auto" w:sz="4" w:space="0"/>
            </w:tcBorders>
            <w:shd w:val="clear" w:color="auto" w:fill="auto"/>
            <w:vAlign w:val="center"/>
          </w:tcPr>
          <w:p w14:paraId="20F56850">
            <w:pPr>
              <w:spacing w:line="240" w:lineRule="auto"/>
              <w:ind w:firstLine="0" w:firstLineChars="0"/>
              <w:jc w:val="center"/>
              <w:rPr>
                <w:rFonts w:eastAsia="等线" w:cs="Times New Roman"/>
                <w:kern w:val="0"/>
                <w:sz w:val="21"/>
              </w:rPr>
            </w:pPr>
            <w:r>
              <w:rPr>
                <w:rFonts w:eastAsia="等线" w:cs="Times New Roman"/>
                <w:sz w:val="21"/>
              </w:rPr>
              <w:t xml:space="preserve">2.18 </w:t>
            </w:r>
          </w:p>
        </w:tc>
        <w:tc>
          <w:tcPr>
            <w:tcW w:w="651" w:type="pct"/>
            <w:tcBorders>
              <w:top w:val="nil"/>
              <w:left w:val="nil"/>
              <w:bottom w:val="single" w:color="auto" w:sz="4" w:space="0"/>
              <w:right w:val="single" w:color="auto" w:sz="4" w:space="0"/>
            </w:tcBorders>
            <w:shd w:val="clear" w:color="auto" w:fill="auto"/>
            <w:vAlign w:val="center"/>
          </w:tcPr>
          <w:p w14:paraId="01AF91CB">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4778CC39">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401051CF">
        <w:tblPrEx>
          <w:tblCellMar>
            <w:top w:w="0" w:type="dxa"/>
            <w:left w:w="108" w:type="dxa"/>
            <w:bottom w:w="0" w:type="dxa"/>
            <w:right w:w="108" w:type="dxa"/>
          </w:tblCellMar>
        </w:tblPrEx>
        <w:trPr>
          <w:trHeight w:val="280" w:hRule="atLeast"/>
          <w:jc w:val="center"/>
        </w:trPr>
        <w:tc>
          <w:tcPr>
            <w:tcW w:w="518" w:type="pct"/>
            <w:vMerge w:val="continue"/>
            <w:tcBorders>
              <w:top w:val="nil"/>
              <w:left w:val="single" w:color="auto" w:sz="4" w:space="0"/>
              <w:bottom w:val="single" w:color="auto" w:sz="4" w:space="0"/>
              <w:right w:val="single" w:color="auto" w:sz="4" w:space="0"/>
            </w:tcBorders>
            <w:vAlign w:val="center"/>
          </w:tcPr>
          <w:p w14:paraId="1DFA11A2">
            <w:pPr>
              <w:spacing w:line="240" w:lineRule="auto"/>
              <w:ind w:firstLine="0" w:firstLineChars="0"/>
              <w:rPr>
                <w:rFonts w:hint="eastAsia" w:ascii="宋体" w:hAnsi="宋体" w:eastAsia="宋体" w:cs="宋体"/>
                <w:kern w:val="0"/>
                <w:sz w:val="21"/>
              </w:rPr>
            </w:pPr>
          </w:p>
        </w:tc>
        <w:tc>
          <w:tcPr>
            <w:tcW w:w="518" w:type="pct"/>
            <w:vMerge w:val="continue"/>
            <w:tcBorders>
              <w:top w:val="nil"/>
              <w:left w:val="single" w:color="auto" w:sz="4" w:space="0"/>
              <w:bottom w:val="single" w:color="auto" w:sz="4" w:space="0"/>
              <w:right w:val="single" w:color="auto" w:sz="4" w:space="0"/>
            </w:tcBorders>
            <w:vAlign w:val="center"/>
          </w:tcPr>
          <w:p w14:paraId="1D833904">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4E2F030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石油类</w:t>
            </w:r>
          </w:p>
        </w:tc>
        <w:tc>
          <w:tcPr>
            <w:tcW w:w="936" w:type="pct"/>
            <w:tcBorders>
              <w:top w:val="nil"/>
              <w:left w:val="nil"/>
              <w:bottom w:val="single" w:color="auto" w:sz="4" w:space="0"/>
              <w:right w:val="single" w:color="auto" w:sz="4" w:space="0"/>
            </w:tcBorders>
            <w:shd w:val="clear" w:color="auto" w:fill="auto"/>
            <w:vAlign w:val="center"/>
          </w:tcPr>
          <w:p w14:paraId="7C94F731">
            <w:pPr>
              <w:spacing w:line="240" w:lineRule="auto"/>
              <w:ind w:firstLine="0" w:firstLineChars="0"/>
              <w:jc w:val="center"/>
              <w:rPr>
                <w:rFonts w:eastAsia="等线" w:cs="Times New Roman"/>
                <w:kern w:val="0"/>
                <w:sz w:val="21"/>
              </w:rPr>
            </w:pPr>
            <w:r>
              <w:rPr>
                <w:rFonts w:eastAsia="等线" w:cs="Times New Roman"/>
                <w:sz w:val="21"/>
              </w:rPr>
              <w:t>0.8</w:t>
            </w:r>
            <w:r>
              <w:rPr>
                <w:rFonts w:hint="eastAsia" w:eastAsia="等线" w:cs="Times New Roman"/>
                <w:sz w:val="21"/>
              </w:rPr>
              <w:t>2</w:t>
            </w:r>
          </w:p>
        </w:tc>
        <w:tc>
          <w:tcPr>
            <w:tcW w:w="679" w:type="pct"/>
            <w:tcBorders>
              <w:top w:val="nil"/>
              <w:left w:val="nil"/>
              <w:bottom w:val="single" w:color="auto" w:sz="4" w:space="0"/>
              <w:right w:val="single" w:color="auto" w:sz="4" w:space="0"/>
            </w:tcBorders>
            <w:shd w:val="clear" w:color="auto" w:fill="auto"/>
            <w:vAlign w:val="center"/>
          </w:tcPr>
          <w:p w14:paraId="79DBFB19">
            <w:pPr>
              <w:spacing w:line="240" w:lineRule="auto"/>
              <w:ind w:firstLine="0" w:firstLineChars="0"/>
              <w:jc w:val="center"/>
              <w:rPr>
                <w:rFonts w:eastAsia="等线" w:cs="Times New Roman"/>
                <w:kern w:val="0"/>
                <w:sz w:val="21"/>
              </w:rPr>
            </w:pPr>
            <w:r>
              <w:rPr>
                <w:rFonts w:eastAsia="等线" w:cs="Times New Roman"/>
                <w:sz w:val="21"/>
              </w:rPr>
              <w:t>0.8</w:t>
            </w:r>
            <w:r>
              <w:rPr>
                <w:rFonts w:hint="eastAsia" w:eastAsia="等线" w:cs="Times New Roman"/>
                <w:sz w:val="21"/>
              </w:rPr>
              <w:t>2</w:t>
            </w:r>
            <w:r>
              <w:rPr>
                <w:rFonts w:eastAsia="等线" w:cs="Times New Roman"/>
                <w:sz w:val="21"/>
              </w:rPr>
              <w:t xml:space="preserve"> </w:t>
            </w:r>
          </w:p>
        </w:tc>
        <w:tc>
          <w:tcPr>
            <w:tcW w:w="651" w:type="pct"/>
            <w:tcBorders>
              <w:top w:val="nil"/>
              <w:left w:val="nil"/>
              <w:bottom w:val="single" w:color="auto" w:sz="4" w:space="0"/>
              <w:right w:val="single" w:color="auto" w:sz="4" w:space="0"/>
            </w:tcBorders>
            <w:shd w:val="clear" w:color="auto" w:fill="auto"/>
            <w:vAlign w:val="center"/>
          </w:tcPr>
          <w:p w14:paraId="073CE84B">
            <w:pPr>
              <w:spacing w:line="240" w:lineRule="auto"/>
              <w:ind w:firstLine="0" w:firstLineChars="0"/>
              <w:jc w:val="center"/>
              <w:rPr>
                <w:rFonts w:eastAsia="等线" w:cs="Times New Roman"/>
                <w:kern w:val="0"/>
                <w:sz w:val="21"/>
              </w:rPr>
            </w:pPr>
            <w:r>
              <w:rPr>
                <w:rFonts w:eastAsia="等线" w:cs="Times New Roman"/>
                <w:sz w:val="21"/>
              </w:rPr>
              <w:t>0</w:t>
            </w:r>
          </w:p>
        </w:tc>
        <w:tc>
          <w:tcPr>
            <w:tcW w:w="881" w:type="pct"/>
            <w:tcBorders>
              <w:top w:val="nil"/>
              <w:left w:val="nil"/>
              <w:bottom w:val="single" w:color="auto" w:sz="4" w:space="0"/>
              <w:right w:val="single" w:color="auto" w:sz="4" w:space="0"/>
            </w:tcBorders>
            <w:shd w:val="clear" w:color="auto" w:fill="auto"/>
            <w:vAlign w:val="center"/>
          </w:tcPr>
          <w:p w14:paraId="46A8429D">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7CEA0615">
        <w:tblPrEx>
          <w:tblCellMar>
            <w:top w:w="0" w:type="dxa"/>
            <w:left w:w="108" w:type="dxa"/>
            <w:bottom w:w="0" w:type="dxa"/>
            <w:right w:w="108" w:type="dxa"/>
          </w:tblCellMar>
        </w:tblPrEx>
        <w:trPr>
          <w:trHeight w:val="310" w:hRule="atLeast"/>
          <w:jc w:val="center"/>
        </w:trPr>
        <w:tc>
          <w:tcPr>
            <w:tcW w:w="103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1F44B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废气</w:t>
            </w:r>
          </w:p>
        </w:tc>
        <w:tc>
          <w:tcPr>
            <w:tcW w:w="817" w:type="pct"/>
            <w:tcBorders>
              <w:top w:val="nil"/>
              <w:left w:val="nil"/>
              <w:bottom w:val="single" w:color="auto" w:sz="4" w:space="0"/>
              <w:right w:val="single" w:color="auto" w:sz="4" w:space="0"/>
            </w:tcBorders>
            <w:shd w:val="clear" w:color="auto" w:fill="auto"/>
            <w:vAlign w:val="center"/>
          </w:tcPr>
          <w:p w14:paraId="439B39FB">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936" w:type="pct"/>
            <w:tcBorders>
              <w:top w:val="nil"/>
              <w:left w:val="nil"/>
              <w:bottom w:val="single" w:color="auto" w:sz="4" w:space="0"/>
              <w:right w:val="single" w:color="auto" w:sz="4" w:space="0"/>
            </w:tcBorders>
            <w:shd w:val="clear" w:color="auto" w:fill="auto"/>
            <w:vAlign w:val="center"/>
          </w:tcPr>
          <w:p w14:paraId="350C1971">
            <w:pPr>
              <w:spacing w:line="240" w:lineRule="auto"/>
              <w:ind w:firstLine="0" w:firstLineChars="0"/>
              <w:jc w:val="center"/>
              <w:rPr>
                <w:rFonts w:eastAsia="等线" w:cs="Times New Roman"/>
                <w:kern w:val="0"/>
                <w:sz w:val="21"/>
              </w:rPr>
            </w:pPr>
            <w:r>
              <w:rPr>
                <w:rFonts w:eastAsia="等线" w:cs="Times New Roman"/>
                <w:kern w:val="0"/>
                <w:sz w:val="21"/>
              </w:rPr>
              <w:t>0.00056</w:t>
            </w:r>
          </w:p>
        </w:tc>
        <w:tc>
          <w:tcPr>
            <w:tcW w:w="679" w:type="pct"/>
            <w:tcBorders>
              <w:top w:val="nil"/>
              <w:left w:val="nil"/>
              <w:bottom w:val="single" w:color="auto" w:sz="4" w:space="0"/>
              <w:right w:val="single" w:color="auto" w:sz="4" w:space="0"/>
            </w:tcBorders>
            <w:shd w:val="clear" w:color="auto" w:fill="auto"/>
            <w:vAlign w:val="center"/>
          </w:tcPr>
          <w:p w14:paraId="2C38D3ED">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651" w:type="pct"/>
            <w:tcBorders>
              <w:top w:val="nil"/>
              <w:left w:val="nil"/>
              <w:bottom w:val="single" w:color="auto" w:sz="4" w:space="0"/>
              <w:right w:val="single" w:color="auto" w:sz="4" w:space="0"/>
            </w:tcBorders>
            <w:shd w:val="clear" w:color="auto" w:fill="auto"/>
            <w:vAlign w:val="center"/>
          </w:tcPr>
          <w:p w14:paraId="1B26F6B4">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40D3156E">
            <w:pPr>
              <w:spacing w:line="240" w:lineRule="auto"/>
              <w:ind w:firstLine="0" w:firstLineChars="0"/>
              <w:jc w:val="center"/>
              <w:rPr>
                <w:rFonts w:eastAsia="等线" w:cs="Times New Roman"/>
                <w:kern w:val="0"/>
                <w:sz w:val="21"/>
              </w:rPr>
            </w:pPr>
            <w:r>
              <w:rPr>
                <w:rFonts w:eastAsia="等线" w:cs="Times New Roman"/>
                <w:kern w:val="0"/>
                <w:sz w:val="21"/>
              </w:rPr>
              <w:t xml:space="preserve">0.00056 </w:t>
            </w:r>
          </w:p>
        </w:tc>
      </w:tr>
      <w:tr w14:paraId="69150159">
        <w:tblPrEx>
          <w:tblCellMar>
            <w:top w:w="0" w:type="dxa"/>
            <w:left w:w="108" w:type="dxa"/>
            <w:bottom w:w="0" w:type="dxa"/>
            <w:right w:w="108" w:type="dxa"/>
          </w:tblCellMar>
        </w:tblPrEx>
        <w:trPr>
          <w:trHeight w:val="280" w:hRule="atLeast"/>
          <w:jc w:val="center"/>
        </w:trPr>
        <w:tc>
          <w:tcPr>
            <w:tcW w:w="1036" w:type="pct"/>
            <w:gridSpan w:val="2"/>
            <w:vMerge w:val="continue"/>
            <w:tcBorders>
              <w:top w:val="single" w:color="auto" w:sz="4" w:space="0"/>
              <w:left w:val="single" w:color="auto" w:sz="4" w:space="0"/>
              <w:bottom w:val="single" w:color="auto" w:sz="4" w:space="0"/>
              <w:right w:val="single" w:color="auto" w:sz="4" w:space="0"/>
            </w:tcBorders>
            <w:vAlign w:val="center"/>
          </w:tcPr>
          <w:p w14:paraId="38F84DC3">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28CC0EAE">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936" w:type="pct"/>
            <w:tcBorders>
              <w:top w:val="nil"/>
              <w:left w:val="nil"/>
              <w:bottom w:val="single" w:color="auto" w:sz="4" w:space="0"/>
              <w:right w:val="single" w:color="auto" w:sz="4" w:space="0"/>
            </w:tcBorders>
            <w:shd w:val="clear" w:color="auto" w:fill="auto"/>
            <w:vAlign w:val="center"/>
          </w:tcPr>
          <w:p w14:paraId="375BDEB6">
            <w:pPr>
              <w:spacing w:line="240" w:lineRule="auto"/>
              <w:ind w:firstLine="0" w:firstLineChars="0"/>
              <w:jc w:val="center"/>
              <w:rPr>
                <w:rFonts w:eastAsia="等线" w:cs="Times New Roman"/>
                <w:kern w:val="0"/>
                <w:sz w:val="21"/>
              </w:rPr>
            </w:pPr>
            <w:r>
              <w:rPr>
                <w:rFonts w:eastAsia="等线" w:cs="Times New Roman"/>
                <w:kern w:val="0"/>
                <w:sz w:val="21"/>
              </w:rPr>
              <w:t>0.33</w:t>
            </w:r>
          </w:p>
        </w:tc>
        <w:tc>
          <w:tcPr>
            <w:tcW w:w="679" w:type="pct"/>
            <w:tcBorders>
              <w:top w:val="nil"/>
              <w:left w:val="nil"/>
              <w:bottom w:val="single" w:color="auto" w:sz="4" w:space="0"/>
              <w:right w:val="single" w:color="auto" w:sz="4" w:space="0"/>
            </w:tcBorders>
            <w:shd w:val="clear" w:color="auto" w:fill="auto"/>
            <w:vAlign w:val="center"/>
          </w:tcPr>
          <w:p w14:paraId="5A7BBA1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651" w:type="pct"/>
            <w:tcBorders>
              <w:top w:val="nil"/>
              <w:left w:val="nil"/>
              <w:bottom w:val="single" w:color="auto" w:sz="4" w:space="0"/>
              <w:right w:val="single" w:color="auto" w:sz="4" w:space="0"/>
            </w:tcBorders>
            <w:shd w:val="clear" w:color="auto" w:fill="auto"/>
            <w:vAlign w:val="center"/>
          </w:tcPr>
          <w:p w14:paraId="579FEE1C">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2D7E8084">
            <w:pPr>
              <w:spacing w:line="240" w:lineRule="auto"/>
              <w:ind w:firstLine="0" w:firstLineChars="0"/>
              <w:jc w:val="center"/>
              <w:rPr>
                <w:rFonts w:eastAsia="等线" w:cs="Times New Roman"/>
                <w:kern w:val="0"/>
                <w:sz w:val="21"/>
              </w:rPr>
            </w:pPr>
            <w:r>
              <w:rPr>
                <w:rFonts w:eastAsia="等线" w:cs="Times New Roman"/>
                <w:kern w:val="0"/>
                <w:sz w:val="21"/>
              </w:rPr>
              <w:t>0.33</w:t>
            </w:r>
          </w:p>
        </w:tc>
      </w:tr>
      <w:tr w14:paraId="71161C5A">
        <w:tblPrEx>
          <w:tblCellMar>
            <w:top w:w="0" w:type="dxa"/>
            <w:left w:w="108" w:type="dxa"/>
            <w:bottom w:w="0" w:type="dxa"/>
            <w:right w:w="108" w:type="dxa"/>
          </w:tblCellMar>
        </w:tblPrEx>
        <w:trPr>
          <w:trHeight w:val="310" w:hRule="atLeast"/>
          <w:jc w:val="center"/>
        </w:trPr>
        <w:tc>
          <w:tcPr>
            <w:tcW w:w="1036" w:type="pct"/>
            <w:gridSpan w:val="2"/>
            <w:vMerge w:val="continue"/>
            <w:tcBorders>
              <w:top w:val="single" w:color="auto" w:sz="4" w:space="0"/>
              <w:left w:val="single" w:color="auto" w:sz="4" w:space="0"/>
              <w:bottom w:val="single" w:color="auto" w:sz="4" w:space="0"/>
              <w:right w:val="single" w:color="auto" w:sz="4" w:space="0"/>
            </w:tcBorders>
            <w:vAlign w:val="center"/>
          </w:tcPr>
          <w:p w14:paraId="65E1926A">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19BAD99B">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936" w:type="pct"/>
            <w:tcBorders>
              <w:top w:val="nil"/>
              <w:left w:val="nil"/>
              <w:bottom w:val="single" w:color="auto" w:sz="4" w:space="0"/>
              <w:right w:val="single" w:color="auto" w:sz="4" w:space="0"/>
            </w:tcBorders>
            <w:shd w:val="clear" w:color="auto" w:fill="auto"/>
            <w:vAlign w:val="center"/>
          </w:tcPr>
          <w:p w14:paraId="303AD4C5">
            <w:pPr>
              <w:spacing w:line="240" w:lineRule="auto"/>
              <w:ind w:firstLine="0" w:firstLineChars="0"/>
              <w:jc w:val="center"/>
              <w:rPr>
                <w:rFonts w:eastAsia="等线" w:cs="Times New Roman"/>
                <w:kern w:val="0"/>
                <w:sz w:val="21"/>
              </w:rPr>
            </w:pPr>
            <w:r>
              <w:rPr>
                <w:rFonts w:eastAsia="等线" w:cs="Times New Roman"/>
                <w:kern w:val="0"/>
                <w:sz w:val="21"/>
              </w:rPr>
              <w:t>0.046</w:t>
            </w:r>
          </w:p>
        </w:tc>
        <w:tc>
          <w:tcPr>
            <w:tcW w:w="679" w:type="pct"/>
            <w:tcBorders>
              <w:top w:val="nil"/>
              <w:left w:val="nil"/>
              <w:bottom w:val="single" w:color="auto" w:sz="4" w:space="0"/>
              <w:right w:val="single" w:color="auto" w:sz="4" w:space="0"/>
            </w:tcBorders>
            <w:shd w:val="clear" w:color="auto" w:fill="auto"/>
            <w:vAlign w:val="center"/>
          </w:tcPr>
          <w:p w14:paraId="5C014BA7">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651" w:type="pct"/>
            <w:tcBorders>
              <w:top w:val="nil"/>
              <w:left w:val="nil"/>
              <w:bottom w:val="single" w:color="auto" w:sz="4" w:space="0"/>
              <w:right w:val="single" w:color="auto" w:sz="4" w:space="0"/>
            </w:tcBorders>
            <w:shd w:val="clear" w:color="auto" w:fill="auto"/>
            <w:vAlign w:val="center"/>
          </w:tcPr>
          <w:p w14:paraId="38C02773">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3EB64231">
            <w:pPr>
              <w:spacing w:line="240" w:lineRule="auto"/>
              <w:ind w:firstLine="0" w:firstLineChars="0"/>
              <w:jc w:val="center"/>
              <w:rPr>
                <w:rFonts w:eastAsia="等线" w:cs="Times New Roman"/>
                <w:kern w:val="0"/>
                <w:sz w:val="21"/>
              </w:rPr>
            </w:pPr>
            <w:r>
              <w:rPr>
                <w:rFonts w:eastAsia="等线" w:cs="Times New Roman"/>
                <w:kern w:val="0"/>
                <w:sz w:val="21"/>
              </w:rPr>
              <w:t>0.046</w:t>
            </w:r>
          </w:p>
        </w:tc>
      </w:tr>
      <w:tr w14:paraId="5528EEBA">
        <w:tblPrEx>
          <w:tblCellMar>
            <w:top w:w="0" w:type="dxa"/>
            <w:left w:w="108" w:type="dxa"/>
            <w:bottom w:w="0" w:type="dxa"/>
            <w:right w:w="108" w:type="dxa"/>
          </w:tblCellMar>
        </w:tblPrEx>
        <w:trPr>
          <w:trHeight w:val="280" w:hRule="atLeast"/>
          <w:jc w:val="center"/>
        </w:trPr>
        <w:tc>
          <w:tcPr>
            <w:tcW w:w="1036" w:type="pct"/>
            <w:gridSpan w:val="2"/>
            <w:vMerge w:val="continue"/>
            <w:tcBorders>
              <w:top w:val="single" w:color="auto" w:sz="4" w:space="0"/>
              <w:left w:val="single" w:color="auto" w:sz="4" w:space="0"/>
              <w:bottom w:val="single" w:color="auto" w:sz="4" w:space="0"/>
              <w:right w:val="single" w:color="auto" w:sz="4" w:space="0"/>
            </w:tcBorders>
            <w:vAlign w:val="center"/>
          </w:tcPr>
          <w:p w14:paraId="784A9EA1">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61B4831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颗粒物</w:t>
            </w:r>
          </w:p>
        </w:tc>
        <w:tc>
          <w:tcPr>
            <w:tcW w:w="936" w:type="pct"/>
            <w:tcBorders>
              <w:top w:val="nil"/>
              <w:left w:val="nil"/>
              <w:bottom w:val="single" w:color="auto" w:sz="4" w:space="0"/>
              <w:right w:val="single" w:color="auto" w:sz="4" w:space="0"/>
            </w:tcBorders>
            <w:shd w:val="clear" w:color="auto" w:fill="auto"/>
            <w:vAlign w:val="center"/>
          </w:tcPr>
          <w:p w14:paraId="65160C41">
            <w:pPr>
              <w:spacing w:line="240" w:lineRule="auto"/>
              <w:ind w:firstLine="0" w:firstLineChars="0"/>
              <w:jc w:val="center"/>
              <w:rPr>
                <w:rFonts w:eastAsia="等线" w:cs="Times New Roman"/>
                <w:kern w:val="0"/>
                <w:sz w:val="21"/>
              </w:rPr>
            </w:pPr>
            <w:r>
              <w:rPr>
                <w:rFonts w:eastAsia="等线" w:cs="Times New Roman"/>
                <w:sz w:val="21"/>
              </w:rPr>
              <w:t>33.533</w:t>
            </w:r>
          </w:p>
        </w:tc>
        <w:tc>
          <w:tcPr>
            <w:tcW w:w="679" w:type="pct"/>
            <w:tcBorders>
              <w:top w:val="nil"/>
              <w:left w:val="nil"/>
              <w:bottom w:val="single" w:color="auto" w:sz="4" w:space="0"/>
              <w:right w:val="single" w:color="auto" w:sz="4" w:space="0"/>
            </w:tcBorders>
            <w:shd w:val="clear" w:color="auto" w:fill="auto"/>
            <w:vAlign w:val="center"/>
          </w:tcPr>
          <w:p w14:paraId="19E0FFF8">
            <w:pPr>
              <w:spacing w:line="240" w:lineRule="auto"/>
              <w:ind w:firstLine="0" w:firstLineChars="0"/>
              <w:jc w:val="center"/>
              <w:rPr>
                <w:rFonts w:eastAsia="等线" w:cs="Times New Roman"/>
                <w:kern w:val="0"/>
                <w:sz w:val="21"/>
              </w:rPr>
            </w:pPr>
            <w:r>
              <w:rPr>
                <w:rFonts w:eastAsia="等线" w:cs="Times New Roman"/>
                <w:sz w:val="21"/>
              </w:rPr>
              <w:t xml:space="preserve">29.817 </w:t>
            </w:r>
          </w:p>
        </w:tc>
        <w:tc>
          <w:tcPr>
            <w:tcW w:w="651" w:type="pct"/>
            <w:tcBorders>
              <w:top w:val="nil"/>
              <w:left w:val="nil"/>
              <w:bottom w:val="single" w:color="auto" w:sz="4" w:space="0"/>
              <w:right w:val="single" w:color="auto" w:sz="4" w:space="0"/>
            </w:tcBorders>
            <w:shd w:val="clear" w:color="auto" w:fill="auto"/>
            <w:vAlign w:val="bottom"/>
          </w:tcPr>
          <w:p w14:paraId="67C88537">
            <w:pPr>
              <w:spacing w:line="240" w:lineRule="auto"/>
              <w:ind w:firstLine="0" w:firstLineChars="0"/>
              <w:jc w:val="center"/>
              <w:rPr>
                <w:rFonts w:eastAsia="等线" w:cs="Times New Roman"/>
                <w:kern w:val="0"/>
                <w:sz w:val="21"/>
              </w:rPr>
            </w:pPr>
            <w:r>
              <w:rPr>
                <w:rFonts w:hint="eastAsia"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12AB6AB2">
            <w:pPr>
              <w:spacing w:line="240" w:lineRule="auto"/>
              <w:ind w:firstLine="0" w:firstLineChars="0"/>
              <w:jc w:val="center"/>
              <w:rPr>
                <w:rFonts w:eastAsia="等线" w:cs="Times New Roman"/>
                <w:kern w:val="0"/>
                <w:sz w:val="21"/>
              </w:rPr>
            </w:pPr>
            <w:r>
              <w:rPr>
                <w:rFonts w:eastAsia="等线" w:cs="Times New Roman"/>
                <w:sz w:val="21"/>
              </w:rPr>
              <w:t>3.715</w:t>
            </w:r>
          </w:p>
        </w:tc>
      </w:tr>
      <w:tr w14:paraId="0C5D5172">
        <w:tblPrEx>
          <w:tblCellMar>
            <w:top w:w="0" w:type="dxa"/>
            <w:left w:w="108" w:type="dxa"/>
            <w:bottom w:w="0" w:type="dxa"/>
            <w:right w:w="108" w:type="dxa"/>
          </w:tblCellMar>
        </w:tblPrEx>
        <w:trPr>
          <w:trHeight w:val="280" w:hRule="atLeast"/>
          <w:jc w:val="center"/>
        </w:trPr>
        <w:tc>
          <w:tcPr>
            <w:tcW w:w="1036"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5B3B0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固废</w:t>
            </w:r>
          </w:p>
        </w:tc>
        <w:tc>
          <w:tcPr>
            <w:tcW w:w="817" w:type="pct"/>
            <w:tcBorders>
              <w:top w:val="nil"/>
              <w:left w:val="nil"/>
              <w:bottom w:val="single" w:color="auto" w:sz="4" w:space="0"/>
              <w:right w:val="single" w:color="auto" w:sz="4" w:space="0"/>
            </w:tcBorders>
            <w:shd w:val="clear" w:color="auto" w:fill="auto"/>
            <w:vAlign w:val="center"/>
          </w:tcPr>
          <w:p w14:paraId="2CF42CC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一般固废</w:t>
            </w:r>
          </w:p>
        </w:tc>
        <w:tc>
          <w:tcPr>
            <w:tcW w:w="936" w:type="pct"/>
            <w:tcBorders>
              <w:top w:val="nil"/>
              <w:left w:val="nil"/>
              <w:bottom w:val="single" w:color="auto" w:sz="4" w:space="0"/>
              <w:right w:val="single" w:color="auto" w:sz="4" w:space="0"/>
            </w:tcBorders>
            <w:shd w:val="clear" w:color="auto" w:fill="auto"/>
            <w:vAlign w:val="center"/>
          </w:tcPr>
          <w:p w14:paraId="2E66685F">
            <w:pPr>
              <w:spacing w:line="240" w:lineRule="auto"/>
              <w:ind w:firstLine="0" w:firstLineChars="0"/>
              <w:jc w:val="center"/>
              <w:rPr>
                <w:rFonts w:eastAsia="等线" w:cs="Times New Roman"/>
                <w:kern w:val="0"/>
                <w:sz w:val="21"/>
              </w:rPr>
            </w:pPr>
            <w:r>
              <w:rPr>
                <w:rFonts w:eastAsia="等线" w:cs="Times New Roman"/>
                <w:kern w:val="0"/>
                <w:sz w:val="21"/>
              </w:rPr>
              <w:t>156.22</w:t>
            </w:r>
          </w:p>
        </w:tc>
        <w:tc>
          <w:tcPr>
            <w:tcW w:w="679" w:type="pct"/>
            <w:tcBorders>
              <w:top w:val="nil"/>
              <w:left w:val="nil"/>
              <w:bottom w:val="single" w:color="auto" w:sz="4" w:space="0"/>
              <w:right w:val="single" w:color="auto" w:sz="4" w:space="0"/>
            </w:tcBorders>
            <w:shd w:val="clear" w:color="auto" w:fill="auto"/>
            <w:vAlign w:val="center"/>
          </w:tcPr>
          <w:p w14:paraId="29BEC015">
            <w:pPr>
              <w:spacing w:line="240" w:lineRule="auto"/>
              <w:ind w:firstLine="0" w:firstLineChars="0"/>
              <w:jc w:val="center"/>
              <w:rPr>
                <w:rFonts w:eastAsia="等线" w:cs="Times New Roman"/>
                <w:kern w:val="0"/>
                <w:sz w:val="21"/>
              </w:rPr>
            </w:pPr>
            <w:r>
              <w:rPr>
                <w:rFonts w:eastAsia="等线" w:cs="Times New Roman"/>
                <w:kern w:val="0"/>
                <w:sz w:val="21"/>
              </w:rPr>
              <w:t>156.22</w:t>
            </w:r>
          </w:p>
        </w:tc>
        <w:tc>
          <w:tcPr>
            <w:tcW w:w="651" w:type="pct"/>
            <w:tcBorders>
              <w:top w:val="nil"/>
              <w:left w:val="nil"/>
              <w:bottom w:val="single" w:color="auto" w:sz="4" w:space="0"/>
              <w:right w:val="single" w:color="auto" w:sz="4" w:space="0"/>
            </w:tcBorders>
            <w:shd w:val="clear" w:color="auto" w:fill="auto"/>
            <w:vAlign w:val="center"/>
          </w:tcPr>
          <w:p w14:paraId="15DBA89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26E077B6">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34A52402">
        <w:tblPrEx>
          <w:tblCellMar>
            <w:top w:w="0" w:type="dxa"/>
            <w:left w:w="108" w:type="dxa"/>
            <w:bottom w:w="0" w:type="dxa"/>
            <w:right w:w="108" w:type="dxa"/>
          </w:tblCellMar>
        </w:tblPrEx>
        <w:trPr>
          <w:trHeight w:val="280" w:hRule="atLeast"/>
          <w:jc w:val="center"/>
        </w:trPr>
        <w:tc>
          <w:tcPr>
            <w:tcW w:w="1036" w:type="pct"/>
            <w:gridSpan w:val="2"/>
            <w:vMerge w:val="continue"/>
            <w:tcBorders>
              <w:top w:val="single" w:color="auto" w:sz="4" w:space="0"/>
              <w:left w:val="single" w:color="auto" w:sz="4" w:space="0"/>
              <w:bottom w:val="single" w:color="auto" w:sz="4" w:space="0"/>
              <w:right w:val="single" w:color="auto" w:sz="4" w:space="0"/>
            </w:tcBorders>
            <w:vAlign w:val="center"/>
          </w:tcPr>
          <w:p w14:paraId="730A2B19">
            <w:pPr>
              <w:spacing w:line="240" w:lineRule="auto"/>
              <w:ind w:firstLine="0" w:firstLineChars="0"/>
              <w:rPr>
                <w:rFonts w:hint="eastAsia" w:ascii="宋体" w:hAnsi="宋体" w:eastAsia="宋体" w:cs="宋体"/>
                <w:kern w:val="0"/>
                <w:sz w:val="21"/>
              </w:rPr>
            </w:pPr>
          </w:p>
        </w:tc>
        <w:tc>
          <w:tcPr>
            <w:tcW w:w="817" w:type="pct"/>
            <w:tcBorders>
              <w:top w:val="nil"/>
              <w:left w:val="nil"/>
              <w:bottom w:val="single" w:color="auto" w:sz="4" w:space="0"/>
              <w:right w:val="single" w:color="auto" w:sz="4" w:space="0"/>
            </w:tcBorders>
            <w:shd w:val="clear" w:color="auto" w:fill="auto"/>
            <w:vAlign w:val="center"/>
          </w:tcPr>
          <w:p w14:paraId="6824501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危险废物</w:t>
            </w:r>
          </w:p>
        </w:tc>
        <w:tc>
          <w:tcPr>
            <w:tcW w:w="936" w:type="pct"/>
            <w:tcBorders>
              <w:top w:val="nil"/>
              <w:left w:val="nil"/>
              <w:bottom w:val="single" w:color="auto" w:sz="4" w:space="0"/>
              <w:right w:val="single" w:color="auto" w:sz="4" w:space="0"/>
            </w:tcBorders>
            <w:shd w:val="clear" w:color="auto" w:fill="auto"/>
            <w:vAlign w:val="center"/>
          </w:tcPr>
          <w:p w14:paraId="5422A0C8">
            <w:pPr>
              <w:spacing w:line="240" w:lineRule="auto"/>
              <w:ind w:firstLine="0" w:firstLineChars="0"/>
              <w:jc w:val="center"/>
              <w:rPr>
                <w:rFonts w:eastAsia="等线" w:cs="Times New Roman"/>
                <w:kern w:val="0"/>
                <w:sz w:val="21"/>
              </w:rPr>
            </w:pPr>
            <w:r>
              <w:rPr>
                <w:rFonts w:eastAsia="等线" w:cs="Times New Roman"/>
                <w:kern w:val="0"/>
                <w:sz w:val="21"/>
              </w:rPr>
              <w:t>0.974</w:t>
            </w:r>
          </w:p>
        </w:tc>
        <w:tc>
          <w:tcPr>
            <w:tcW w:w="679" w:type="pct"/>
            <w:tcBorders>
              <w:top w:val="nil"/>
              <w:left w:val="nil"/>
              <w:bottom w:val="single" w:color="auto" w:sz="4" w:space="0"/>
              <w:right w:val="single" w:color="auto" w:sz="4" w:space="0"/>
            </w:tcBorders>
            <w:shd w:val="clear" w:color="auto" w:fill="auto"/>
            <w:vAlign w:val="center"/>
          </w:tcPr>
          <w:p w14:paraId="4F7F0B98">
            <w:pPr>
              <w:spacing w:line="240" w:lineRule="auto"/>
              <w:ind w:firstLine="0" w:firstLineChars="0"/>
              <w:jc w:val="center"/>
              <w:rPr>
                <w:rFonts w:eastAsia="等线" w:cs="Times New Roman"/>
                <w:kern w:val="0"/>
                <w:sz w:val="21"/>
              </w:rPr>
            </w:pPr>
            <w:r>
              <w:rPr>
                <w:rFonts w:eastAsia="等线" w:cs="Times New Roman"/>
                <w:kern w:val="0"/>
                <w:sz w:val="21"/>
              </w:rPr>
              <w:t>0.974</w:t>
            </w:r>
          </w:p>
        </w:tc>
        <w:tc>
          <w:tcPr>
            <w:tcW w:w="651" w:type="pct"/>
            <w:tcBorders>
              <w:top w:val="nil"/>
              <w:left w:val="nil"/>
              <w:bottom w:val="single" w:color="auto" w:sz="4" w:space="0"/>
              <w:right w:val="single" w:color="auto" w:sz="4" w:space="0"/>
            </w:tcBorders>
            <w:shd w:val="clear" w:color="auto" w:fill="auto"/>
            <w:vAlign w:val="center"/>
          </w:tcPr>
          <w:p w14:paraId="57ECB87C">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81" w:type="pct"/>
            <w:tcBorders>
              <w:top w:val="nil"/>
              <w:left w:val="nil"/>
              <w:bottom w:val="single" w:color="auto" w:sz="4" w:space="0"/>
              <w:right w:val="single" w:color="auto" w:sz="4" w:space="0"/>
            </w:tcBorders>
            <w:shd w:val="clear" w:color="auto" w:fill="auto"/>
            <w:vAlign w:val="center"/>
          </w:tcPr>
          <w:p w14:paraId="2F6E46F6">
            <w:pPr>
              <w:spacing w:line="240" w:lineRule="auto"/>
              <w:ind w:firstLine="0" w:firstLineChars="0"/>
              <w:jc w:val="center"/>
              <w:rPr>
                <w:rFonts w:eastAsia="等线" w:cs="Times New Roman"/>
                <w:kern w:val="0"/>
                <w:sz w:val="21"/>
              </w:rPr>
            </w:pPr>
            <w:r>
              <w:rPr>
                <w:rFonts w:eastAsia="等线" w:cs="Times New Roman"/>
                <w:kern w:val="0"/>
                <w:sz w:val="21"/>
              </w:rPr>
              <w:t>0</w:t>
            </w:r>
          </w:p>
        </w:tc>
      </w:tr>
    </w:tbl>
    <w:p w14:paraId="3E6335FF">
      <w:pPr>
        <w:pStyle w:val="196"/>
      </w:pPr>
    </w:p>
    <w:p w14:paraId="7F1B463C">
      <w:pPr>
        <w:pStyle w:val="93"/>
      </w:pPr>
      <w:r>
        <w:rPr>
          <w:rFonts w:hint="eastAsia"/>
        </w:rPr>
        <w:t>本项目建造前后主要污染物产生量的对比情况详见表3.8-22。</w:t>
      </w:r>
    </w:p>
    <w:p w14:paraId="54625A64">
      <w:pPr>
        <w:pStyle w:val="86"/>
      </w:pPr>
      <w:r>
        <w:rPr>
          <w:rFonts w:hint="eastAsia"/>
        </w:rPr>
        <w:t>本项目投运后全厂污染物排放“三本账”核算情况（单位：t/a）</w:t>
      </w:r>
    </w:p>
    <w:tbl>
      <w:tblPr>
        <w:tblStyle w:val="38"/>
        <w:tblW w:w="5000" w:type="pct"/>
        <w:jc w:val="center"/>
        <w:tblLayout w:type="autofit"/>
        <w:tblCellMar>
          <w:top w:w="0" w:type="dxa"/>
          <w:left w:w="108" w:type="dxa"/>
          <w:bottom w:w="0" w:type="dxa"/>
          <w:right w:w="108" w:type="dxa"/>
        </w:tblCellMar>
      </w:tblPr>
      <w:tblGrid>
        <w:gridCol w:w="1210"/>
        <w:gridCol w:w="1011"/>
        <w:gridCol w:w="763"/>
        <w:gridCol w:w="2013"/>
        <w:gridCol w:w="1613"/>
        <w:gridCol w:w="1813"/>
        <w:gridCol w:w="863"/>
      </w:tblGrid>
      <w:tr w14:paraId="39C9BDF0">
        <w:tblPrEx>
          <w:tblCellMar>
            <w:top w:w="0" w:type="dxa"/>
            <w:left w:w="108" w:type="dxa"/>
            <w:bottom w:w="0" w:type="dxa"/>
            <w:right w:w="108" w:type="dxa"/>
          </w:tblCellMar>
        </w:tblPrEx>
        <w:trPr>
          <w:trHeight w:val="576" w:hRule="atLeast"/>
          <w:jc w:val="center"/>
        </w:trPr>
        <w:tc>
          <w:tcPr>
            <w:tcW w:w="651" w:type="pct"/>
            <w:tcBorders>
              <w:top w:val="single" w:color="auto" w:sz="4" w:space="0"/>
              <w:left w:val="single" w:color="auto" w:sz="4" w:space="0"/>
              <w:bottom w:val="single" w:color="auto" w:sz="4" w:space="0"/>
              <w:right w:val="single" w:color="auto" w:sz="4" w:space="0"/>
            </w:tcBorders>
            <w:shd w:val="clear" w:color="auto" w:fill="auto"/>
            <w:vAlign w:val="center"/>
          </w:tcPr>
          <w:p w14:paraId="5C328C1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种类</w:t>
            </w:r>
          </w:p>
        </w:tc>
        <w:tc>
          <w:tcPr>
            <w:tcW w:w="545" w:type="pct"/>
            <w:tcBorders>
              <w:top w:val="single" w:color="auto" w:sz="4" w:space="0"/>
              <w:left w:val="nil"/>
              <w:bottom w:val="single" w:color="auto" w:sz="4" w:space="0"/>
              <w:right w:val="single" w:color="auto" w:sz="4" w:space="0"/>
            </w:tcBorders>
            <w:shd w:val="clear" w:color="auto" w:fill="auto"/>
            <w:vAlign w:val="center"/>
          </w:tcPr>
          <w:p w14:paraId="1A342492">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污染物名称</w:t>
            </w:r>
          </w:p>
        </w:tc>
        <w:tc>
          <w:tcPr>
            <w:tcW w:w="412" w:type="pct"/>
            <w:tcBorders>
              <w:top w:val="single" w:color="auto" w:sz="4" w:space="0"/>
              <w:left w:val="nil"/>
              <w:bottom w:val="single" w:color="auto" w:sz="4" w:space="0"/>
              <w:right w:val="single" w:color="auto" w:sz="4" w:space="0"/>
            </w:tcBorders>
            <w:shd w:val="clear" w:color="auto" w:fill="auto"/>
            <w:vAlign w:val="center"/>
          </w:tcPr>
          <w:p w14:paraId="5D6BB7F3">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现有排放量</w:t>
            </w:r>
          </w:p>
        </w:tc>
        <w:tc>
          <w:tcPr>
            <w:tcW w:w="1082" w:type="pct"/>
            <w:tcBorders>
              <w:top w:val="single" w:color="auto" w:sz="4" w:space="0"/>
              <w:left w:val="nil"/>
              <w:bottom w:val="single" w:color="auto" w:sz="4" w:space="0"/>
              <w:right w:val="single" w:color="auto" w:sz="4" w:space="0"/>
            </w:tcBorders>
            <w:shd w:val="clear" w:color="auto" w:fill="auto"/>
            <w:noWrap/>
            <w:vAlign w:val="center"/>
          </w:tcPr>
          <w:p w14:paraId="087CC6FD">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本项目污染物排放量</w:t>
            </w:r>
          </w:p>
        </w:tc>
        <w:tc>
          <w:tcPr>
            <w:tcW w:w="868" w:type="pct"/>
            <w:tcBorders>
              <w:top w:val="single" w:color="auto" w:sz="4" w:space="0"/>
              <w:left w:val="nil"/>
              <w:bottom w:val="single" w:color="auto" w:sz="4" w:space="0"/>
              <w:right w:val="single" w:color="auto" w:sz="4" w:space="0"/>
            </w:tcBorders>
            <w:shd w:val="clear" w:color="auto" w:fill="auto"/>
            <w:noWrap/>
            <w:vAlign w:val="center"/>
          </w:tcPr>
          <w:p w14:paraId="35EA85FE">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“以新带老”量</w:t>
            </w:r>
          </w:p>
        </w:tc>
        <w:tc>
          <w:tcPr>
            <w:tcW w:w="975" w:type="pct"/>
            <w:tcBorders>
              <w:top w:val="single" w:color="auto" w:sz="4" w:space="0"/>
              <w:left w:val="nil"/>
              <w:bottom w:val="single" w:color="auto" w:sz="4" w:space="0"/>
              <w:right w:val="single" w:color="auto" w:sz="4" w:space="0"/>
            </w:tcBorders>
            <w:shd w:val="clear" w:color="auto" w:fill="auto"/>
            <w:noWrap/>
            <w:vAlign w:val="center"/>
          </w:tcPr>
          <w:p w14:paraId="01232FF4">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全厂污染物排放量</w:t>
            </w:r>
          </w:p>
        </w:tc>
        <w:tc>
          <w:tcPr>
            <w:tcW w:w="466" w:type="pct"/>
            <w:tcBorders>
              <w:top w:val="single" w:color="auto" w:sz="4" w:space="0"/>
              <w:left w:val="nil"/>
              <w:bottom w:val="single" w:color="auto" w:sz="4" w:space="0"/>
              <w:right w:val="single" w:color="auto" w:sz="4" w:space="0"/>
            </w:tcBorders>
            <w:shd w:val="clear" w:color="auto" w:fill="auto"/>
            <w:noWrap/>
            <w:vAlign w:val="center"/>
          </w:tcPr>
          <w:p w14:paraId="3DF34C7A">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增减量</w:t>
            </w:r>
          </w:p>
        </w:tc>
      </w:tr>
      <w:tr w14:paraId="24E69C0E">
        <w:tblPrEx>
          <w:tblCellMar>
            <w:top w:w="0" w:type="dxa"/>
            <w:left w:w="108" w:type="dxa"/>
            <w:bottom w:w="0" w:type="dxa"/>
            <w:right w:w="108" w:type="dxa"/>
          </w:tblCellMar>
        </w:tblPrEx>
        <w:trPr>
          <w:trHeight w:val="324" w:hRule="atLeast"/>
          <w:jc w:val="center"/>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14:paraId="0B88686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有组织废气</w:t>
            </w:r>
          </w:p>
        </w:tc>
        <w:tc>
          <w:tcPr>
            <w:tcW w:w="545" w:type="pct"/>
            <w:tcBorders>
              <w:top w:val="nil"/>
              <w:left w:val="nil"/>
              <w:bottom w:val="single" w:color="auto" w:sz="4" w:space="0"/>
              <w:right w:val="single" w:color="auto" w:sz="4" w:space="0"/>
            </w:tcBorders>
            <w:shd w:val="clear" w:color="auto" w:fill="auto"/>
            <w:vAlign w:val="center"/>
          </w:tcPr>
          <w:p w14:paraId="0B1AAE9C">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412" w:type="pct"/>
            <w:tcBorders>
              <w:top w:val="nil"/>
              <w:left w:val="nil"/>
              <w:bottom w:val="single" w:color="auto" w:sz="4" w:space="0"/>
              <w:right w:val="single" w:color="auto" w:sz="4" w:space="0"/>
            </w:tcBorders>
            <w:shd w:val="clear" w:color="auto" w:fill="auto"/>
            <w:noWrap/>
            <w:vAlign w:val="center"/>
          </w:tcPr>
          <w:p w14:paraId="19A95311">
            <w:pPr>
              <w:spacing w:line="240" w:lineRule="auto"/>
              <w:ind w:firstLine="0" w:firstLineChars="0"/>
              <w:jc w:val="center"/>
              <w:rPr>
                <w:rFonts w:eastAsia="等线" w:cs="Times New Roman"/>
                <w:kern w:val="0"/>
                <w:sz w:val="21"/>
              </w:rPr>
            </w:pPr>
            <w:r>
              <w:rPr>
                <w:rFonts w:eastAsia="等线" w:cs="Times New Roman"/>
                <w:kern w:val="0"/>
                <w:sz w:val="21"/>
              </w:rPr>
              <w:t>67.79</w:t>
            </w:r>
          </w:p>
        </w:tc>
        <w:tc>
          <w:tcPr>
            <w:tcW w:w="1082" w:type="pct"/>
            <w:tcBorders>
              <w:top w:val="nil"/>
              <w:left w:val="nil"/>
              <w:bottom w:val="single" w:color="auto" w:sz="4" w:space="0"/>
              <w:right w:val="single" w:color="auto" w:sz="4" w:space="0"/>
            </w:tcBorders>
            <w:shd w:val="clear" w:color="auto" w:fill="auto"/>
            <w:noWrap/>
            <w:vAlign w:val="center"/>
          </w:tcPr>
          <w:p w14:paraId="0FE47617">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4A930BB3">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0634A67A">
            <w:pPr>
              <w:spacing w:line="240" w:lineRule="auto"/>
              <w:ind w:firstLine="0" w:firstLineChars="0"/>
              <w:jc w:val="center"/>
              <w:rPr>
                <w:rFonts w:eastAsia="等线" w:cs="Times New Roman"/>
                <w:kern w:val="0"/>
                <w:sz w:val="21"/>
              </w:rPr>
            </w:pPr>
            <w:r>
              <w:rPr>
                <w:rFonts w:eastAsia="等线" w:cs="Times New Roman"/>
                <w:kern w:val="0"/>
                <w:sz w:val="21"/>
              </w:rPr>
              <w:t>67.79</w:t>
            </w:r>
          </w:p>
        </w:tc>
        <w:tc>
          <w:tcPr>
            <w:tcW w:w="466" w:type="pct"/>
            <w:tcBorders>
              <w:top w:val="nil"/>
              <w:left w:val="nil"/>
              <w:bottom w:val="single" w:color="auto" w:sz="4" w:space="0"/>
              <w:right w:val="single" w:color="auto" w:sz="4" w:space="0"/>
            </w:tcBorders>
            <w:shd w:val="clear" w:color="auto" w:fill="auto"/>
            <w:noWrap/>
            <w:vAlign w:val="center"/>
          </w:tcPr>
          <w:p w14:paraId="2CE33EA2">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1EC35A52">
        <w:tblPrEx>
          <w:tblCellMar>
            <w:top w:w="0" w:type="dxa"/>
            <w:left w:w="108" w:type="dxa"/>
            <w:bottom w:w="0" w:type="dxa"/>
            <w:right w:w="108" w:type="dxa"/>
          </w:tblCellMar>
        </w:tblPrEx>
        <w:trPr>
          <w:trHeight w:val="276"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3DFD7856">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3FFE5E5F">
            <w:pPr>
              <w:spacing w:line="240" w:lineRule="auto"/>
              <w:ind w:firstLine="0" w:firstLineChars="0"/>
              <w:jc w:val="center"/>
              <w:rPr>
                <w:rFonts w:eastAsia="等线" w:cs="Times New Roman"/>
                <w:kern w:val="0"/>
                <w:sz w:val="21"/>
              </w:rPr>
            </w:pPr>
            <w:r>
              <w:rPr>
                <w:rFonts w:eastAsia="等线" w:cs="Times New Roman"/>
                <w:kern w:val="0"/>
                <w:sz w:val="21"/>
              </w:rPr>
              <w:t>NOx</w:t>
            </w:r>
          </w:p>
        </w:tc>
        <w:tc>
          <w:tcPr>
            <w:tcW w:w="412" w:type="pct"/>
            <w:tcBorders>
              <w:top w:val="nil"/>
              <w:left w:val="nil"/>
              <w:bottom w:val="single" w:color="auto" w:sz="4" w:space="0"/>
              <w:right w:val="single" w:color="auto" w:sz="4" w:space="0"/>
            </w:tcBorders>
            <w:shd w:val="clear" w:color="auto" w:fill="auto"/>
            <w:noWrap/>
            <w:vAlign w:val="center"/>
          </w:tcPr>
          <w:p w14:paraId="1C774844">
            <w:pPr>
              <w:spacing w:line="240" w:lineRule="auto"/>
              <w:ind w:firstLine="0" w:firstLineChars="0"/>
              <w:jc w:val="center"/>
              <w:rPr>
                <w:rFonts w:eastAsia="等线" w:cs="Times New Roman"/>
                <w:kern w:val="0"/>
                <w:sz w:val="21"/>
              </w:rPr>
            </w:pPr>
            <w:r>
              <w:rPr>
                <w:rFonts w:eastAsia="等线" w:cs="Times New Roman"/>
                <w:kern w:val="0"/>
                <w:sz w:val="21"/>
              </w:rPr>
              <w:t>87.75</w:t>
            </w:r>
          </w:p>
        </w:tc>
        <w:tc>
          <w:tcPr>
            <w:tcW w:w="1082" w:type="pct"/>
            <w:tcBorders>
              <w:top w:val="nil"/>
              <w:left w:val="nil"/>
              <w:bottom w:val="single" w:color="auto" w:sz="4" w:space="0"/>
              <w:right w:val="single" w:color="auto" w:sz="4" w:space="0"/>
            </w:tcBorders>
            <w:shd w:val="clear" w:color="auto" w:fill="auto"/>
            <w:noWrap/>
            <w:vAlign w:val="center"/>
          </w:tcPr>
          <w:p w14:paraId="271C25C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7DE3262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0E3B899A">
            <w:pPr>
              <w:spacing w:line="240" w:lineRule="auto"/>
              <w:ind w:firstLine="0" w:firstLineChars="0"/>
              <w:jc w:val="center"/>
              <w:rPr>
                <w:rFonts w:eastAsia="等线" w:cs="Times New Roman"/>
                <w:kern w:val="0"/>
                <w:sz w:val="21"/>
              </w:rPr>
            </w:pPr>
            <w:r>
              <w:rPr>
                <w:rFonts w:eastAsia="等线" w:cs="Times New Roman"/>
                <w:kern w:val="0"/>
                <w:sz w:val="21"/>
              </w:rPr>
              <w:t>87.75</w:t>
            </w:r>
          </w:p>
        </w:tc>
        <w:tc>
          <w:tcPr>
            <w:tcW w:w="466" w:type="pct"/>
            <w:tcBorders>
              <w:top w:val="nil"/>
              <w:left w:val="nil"/>
              <w:bottom w:val="single" w:color="auto" w:sz="4" w:space="0"/>
              <w:right w:val="single" w:color="auto" w:sz="4" w:space="0"/>
            </w:tcBorders>
            <w:shd w:val="clear" w:color="auto" w:fill="auto"/>
            <w:noWrap/>
            <w:vAlign w:val="center"/>
          </w:tcPr>
          <w:p w14:paraId="1D1A8DEC">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60DD9F52">
        <w:tblPrEx>
          <w:tblCellMar>
            <w:top w:w="0" w:type="dxa"/>
            <w:left w:w="108" w:type="dxa"/>
            <w:bottom w:w="0" w:type="dxa"/>
            <w:right w:w="108" w:type="dxa"/>
          </w:tblCellMar>
        </w:tblPrEx>
        <w:trPr>
          <w:trHeight w:val="288"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476CCF7C">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34609DC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烟尘</w:t>
            </w:r>
          </w:p>
        </w:tc>
        <w:tc>
          <w:tcPr>
            <w:tcW w:w="412" w:type="pct"/>
            <w:tcBorders>
              <w:top w:val="nil"/>
              <w:left w:val="nil"/>
              <w:bottom w:val="single" w:color="auto" w:sz="4" w:space="0"/>
              <w:right w:val="single" w:color="auto" w:sz="4" w:space="0"/>
            </w:tcBorders>
            <w:shd w:val="clear" w:color="auto" w:fill="auto"/>
            <w:noWrap/>
            <w:vAlign w:val="center"/>
          </w:tcPr>
          <w:p w14:paraId="79913A3F">
            <w:pPr>
              <w:spacing w:line="240" w:lineRule="auto"/>
              <w:ind w:firstLine="0" w:firstLineChars="0"/>
              <w:jc w:val="center"/>
              <w:rPr>
                <w:rFonts w:eastAsia="等线" w:cs="Times New Roman"/>
                <w:kern w:val="0"/>
                <w:sz w:val="21"/>
              </w:rPr>
            </w:pPr>
            <w:r>
              <w:rPr>
                <w:rFonts w:eastAsia="等线" w:cs="Times New Roman"/>
                <w:kern w:val="0"/>
                <w:sz w:val="21"/>
              </w:rPr>
              <w:t>9.09</w:t>
            </w:r>
          </w:p>
        </w:tc>
        <w:tc>
          <w:tcPr>
            <w:tcW w:w="1082" w:type="pct"/>
            <w:tcBorders>
              <w:top w:val="nil"/>
              <w:left w:val="nil"/>
              <w:bottom w:val="single" w:color="auto" w:sz="4" w:space="0"/>
              <w:right w:val="single" w:color="auto" w:sz="4" w:space="0"/>
            </w:tcBorders>
            <w:shd w:val="clear" w:color="auto" w:fill="auto"/>
            <w:noWrap/>
            <w:vAlign w:val="center"/>
          </w:tcPr>
          <w:p w14:paraId="53747F1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373D8208">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4DB24878">
            <w:pPr>
              <w:spacing w:line="240" w:lineRule="auto"/>
              <w:ind w:firstLine="0" w:firstLineChars="0"/>
              <w:jc w:val="center"/>
              <w:rPr>
                <w:rFonts w:eastAsia="等线" w:cs="Times New Roman"/>
                <w:kern w:val="0"/>
                <w:sz w:val="21"/>
              </w:rPr>
            </w:pPr>
            <w:r>
              <w:rPr>
                <w:rFonts w:eastAsia="等线" w:cs="Times New Roman"/>
                <w:kern w:val="0"/>
                <w:sz w:val="21"/>
              </w:rPr>
              <w:t>9.09</w:t>
            </w:r>
          </w:p>
        </w:tc>
        <w:tc>
          <w:tcPr>
            <w:tcW w:w="466" w:type="pct"/>
            <w:tcBorders>
              <w:top w:val="nil"/>
              <w:left w:val="nil"/>
              <w:bottom w:val="single" w:color="auto" w:sz="4" w:space="0"/>
              <w:right w:val="single" w:color="auto" w:sz="4" w:space="0"/>
            </w:tcBorders>
            <w:shd w:val="clear" w:color="auto" w:fill="auto"/>
            <w:noWrap/>
            <w:vAlign w:val="center"/>
          </w:tcPr>
          <w:p w14:paraId="4B92FC15">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7C8D6A35">
        <w:tblPrEx>
          <w:tblCellMar>
            <w:top w:w="0" w:type="dxa"/>
            <w:left w:w="108" w:type="dxa"/>
            <w:bottom w:w="0" w:type="dxa"/>
            <w:right w:w="108" w:type="dxa"/>
          </w:tblCellMar>
        </w:tblPrEx>
        <w:trPr>
          <w:trHeight w:val="324"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313609FF">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012A431F">
            <w:pPr>
              <w:spacing w:line="240" w:lineRule="auto"/>
              <w:ind w:firstLine="0" w:firstLineChars="0"/>
              <w:jc w:val="center"/>
              <w:rPr>
                <w:rFonts w:eastAsia="等线" w:cs="Times New Roman"/>
                <w:kern w:val="0"/>
                <w:sz w:val="21"/>
              </w:rPr>
            </w:pPr>
            <w:r>
              <w:rPr>
                <w:rFonts w:eastAsia="等线" w:cs="Times New Roman"/>
                <w:kern w:val="0"/>
                <w:sz w:val="21"/>
              </w:rPr>
              <w:t>NH</w:t>
            </w:r>
            <w:r>
              <w:rPr>
                <w:rFonts w:eastAsia="等线" w:cs="Times New Roman"/>
                <w:kern w:val="0"/>
                <w:sz w:val="21"/>
                <w:vertAlign w:val="subscript"/>
              </w:rPr>
              <w:t>3</w:t>
            </w:r>
          </w:p>
        </w:tc>
        <w:tc>
          <w:tcPr>
            <w:tcW w:w="412" w:type="pct"/>
            <w:tcBorders>
              <w:top w:val="nil"/>
              <w:left w:val="nil"/>
              <w:bottom w:val="single" w:color="auto" w:sz="4" w:space="0"/>
              <w:right w:val="single" w:color="auto" w:sz="4" w:space="0"/>
            </w:tcBorders>
            <w:shd w:val="clear" w:color="auto" w:fill="auto"/>
            <w:noWrap/>
            <w:vAlign w:val="center"/>
          </w:tcPr>
          <w:p w14:paraId="4D5DBAAD">
            <w:pPr>
              <w:spacing w:line="240" w:lineRule="auto"/>
              <w:ind w:firstLine="0" w:firstLineChars="0"/>
              <w:jc w:val="center"/>
              <w:rPr>
                <w:rFonts w:eastAsia="等线" w:cs="Times New Roman"/>
                <w:kern w:val="0"/>
                <w:sz w:val="21"/>
              </w:rPr>
            </w:pPr>
            <w:r>
              <w:rPr>
                <w:rFonts w:eastAsia="等线" w:cs="Times New Roman"/>
                <w:kern w:val="0"/>
                <w:sz w:val="21"/>
              </w:rPr>
              <w:t>2.22</w:t>
            </w:r>
          </w:p>
        </w:tc>
        <w:tc>
          <w:tcPr>
            <w:tcW w:w="1082" w:type="pct"/>
            <w:tcBorders>
              <w:top w:val="nil"/>
              <w:left w:val="nil"/>
              <w:bottom w:val="single" w:color="auto" w:sz="4" w:space="0"/>
              <w:right w:val="single" w:color="auto" w:sz="4" w:space="0"/>
            </w:tcBorders>
            <w:shd w:val="clear" w:color="auto" w:fill="auto"/>
            <w:noWrap/>
            <w:vAlign w:val="center"/>
          </w:tcPr>
          <w:p w14:paraId="1FCF6474">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724D80C4">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2251DC1C">
            <w:pPr>
              <w:spacing w:line="240" w:lineRule="auto"/>
              <w:ind w:firstLine="0" w:firstLineChars="0"/>
              <w:jc w:val="center"/>
              <w:rPr>
                <w:rFonts w:eastAsia="等线" w:cs="Times New Roman"/>
                <w:kern w:val="0"/>
                <w:sz w:val="21"/>
              </w:rPr>
            </w:pPr>
            <w:r>
              <w:rPr>
                <w:rFonts w:eastAsia="等线" w:cs="Times New Roman"/>
                <w:kern w:val="0"/>
                <w:sz w:val="21"/>
              </w:rPr>
              <w:t>2.22</w:t>
            </w:r>
          </w:p>
        </w:tc>
        <w:tc>
          <w:tcPr>
            <w:tcW w:w="466" w:type="pct"/>
            <w:tcBorders>
              <w:top w:val="nil"/>
              <w:left w:val="nil"/>
              <w:bottom w:val="single" w:color="auto" w:sz="4" w:space="0"/>
              <w:right w:val="single" w:color="auto" w:sz="4" w:space="0"/>
            </w:tcBorders>
            <w:shd w:val="clear" w:color="auto" w:fill="auto"/>
            <w:noWrap/>
            <w:vAlign w:val="center"/>
          </w:tcPr>
          <w:p w14:paraId="3975F038">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0724E4DB">
        <w:tblPrEx>
          <w:tblCellMar>
            <w:top w:w="0" w:type="dxa"/>
            <w:left w:w="108" w:type="dxa"/>
            <w:bottom w:w="0" w:type="dxa"/>
            <w:right w:w="108" w:type="dxa"/>
          </w:tblCellMar>
        </w:tblPrEx>
        <w:trPr>
          <w:trHeight w:val="276"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58307999">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56B5D6A5">
            <w:pPr>
              <w:spacing w:line="240" w:lineRule="auto"/>
              <w:ind w:firstLine="0" w:firstLineChars="0"/>
              <w:jc w:val="center"/>
              <w:rPr>
                <w:rFonts w:eastAsia="等线" w:cs="Times New Roman"/>
                <w:kern w:val="0"/>
                <w:sz w:val="21"/>
              </w:rPr>
            </w:pPr>
            <w:r>
              <w:rPr>
                <w:rFonts w:eastAsia="等线" w:cs="Times New Roman"/>
                <w:kern w:val="0"/>
                <w:sz w:val="21"/>
              </w:rPr>
              <w:t>Hg</w:t>
            </w:r>
          </w:p>
        </w:tc>
        <w:tc>
          <w:tcPr>
            <w:tcW w:w="412" w:type="pct"/>
            <w:tcBorders>
              <w:top w:val="nil"/>
              <w:left w:val="nil"/>
              <w:bottom w:val="single" w:color="auto" w:sz="4" w:space="0"/>
              <w:right w:val="single" w:color="auto" w:sz="4" w:space="0"/>
            </w:tcBorders>
            <w:shd w:val="clear" w:color="auto" w:fill="auto"/>
            <w:noWrap/>
            <w:vAlign w:val="center"/>
          </w:tcPr>
          <w:p w14:paraId="18F85FA5">
            <w:pPr>
              <w:spacing w:line="240" w:lineRule="auto"/>
              <w:ind w:firstLine="0" w:firstLineChars="0"/>
              <w:jc w:val="center"/>
              <w:rPr>
                <w:rFonts w:eastAsia="等线" w:cs="Times New Roman"/>
                <w:kern w:val="0"/>
                <w:sz w:val="21"/>
              </w:rPr>
            </w:pPr>
            <w:r>
              <w:rPr>
                <w:rFonts w:eastAsia="等线" w:cs="Times New Roman"/>
                <w:kern w:val="0"/>
                <w:sz w:val="21"/>
              </w:rPr>
              <w:t>0.0134</w:t>
            </w:r>
          </w:p>
        </w:tc>
        <w:tc>
          <w:tcPr>
            <w:tcW w:w="1082" w:type="pct"/>
            <w:tcBorders>
              <w:top w:val="nil"/>
              <w:left w:val="nil"/>
              <w:bottom w:val="single" w:color="auto" w:sz="4" w:space="0"/>
              <w:right w:val="single" w:color="auto" w:sz="4" w:space="0"/>
            </w:tcBorders>
            <w:shd w:val="clear" w:color="auto" w:fill="auto"/>
            <w:noWrap/>
            <w:vAlign w:val="center"/>
          </w:tcPr>
          <w:p w14:paraId="0B79FF68">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6247F0AD">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7CE90A04">
            <w:pPr>
              <w:spacing w:line="240" w:lineRule="auto"/>
              <w:ind w:firstLine="0" w:firstLineChars="0"/>
              <w:jc w:val="center"/>
              <w:rPr>
                <w:rFonts w:eastAsia="等线" w:cs="Times New Roman"/>
                <w:kern w:val="0"/>
                <w:sz w:val="21"/>
              </w:rPr>
            </w:pPr>
            <w:r>
              <w:rPr>
                <w:rFonts w:eastAsia="等线" w:cs="Times New Roman"/>
                <w:kern w:val="0"/>
                <w:sz w:val="21"/>
              </w:rPr>
              <w:t>0.0134</w:t>
            </w:r>
          </w:p>
        </w:tc>
        <w:tc>
          <w:tcPr>
            <w:tcW w:w="466" w:type="pct"/>
            <w:tcBorders>
              <w:top w:val="nil"/>
              <w:left w:val="nil"/>
              <w:bottom w:val="single" w:color="auto" w:sz="4" w:space="0"/>
              <w:right w:val="single" w:color="auto" w:sz="4" w:space="0"/>
            </w:tcBorders>
            <w:shd w:val="clear" w:color="auto" w:fill="auto"/>
            <w:noWrap/>
            <w:vAlign w:val="center"/>
          </w:tcPr>
          <w:p w14:paraId="13322E3F">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04993C9D">
        <w:tblPrEx>
          <w:tblCellMar>
            <w:top w:w="0" w:type="dxa"/>
            <w:left w:w="108" w:type="dxa"/>
            <w:bottom w:w="0" w:type="dxa"/>
            <w:right w:w="108" w:type="dxa"/>
          </w:tblCellMar>
        </w:tblPrEx>
        <w:trPr>
          <w:trHeight w:val="324" w:hRule="atLeast"/>
          <w:jc w:val="center"/>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14:paraId="2D6C615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无组织废气</w:t>
            </w:r>
          </w:p>
        </w:tc>
        <w:tc>
          <w:tcPr>
            <w:tcW w:w="545" w:type="pct"/>
            <w:tcBorders>
              <w:top w:val="nil"/>
              <w:left w:val="nil"/>
              <w:bottom w:val="single" w:color="auto" w:sz="4" w:space="0"/>
              <w:right w:val="single" w:color="auto" w:sz="4" w:space="0"/>
            </w:tcBorders>
            <w:shd w:val="clear" w:color="auto" w:fill="auto"/>
            <w:vAlign w:val="center"/>
          </w:tcPr>
          <w:p w14:paraId="31DF9196">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412" w:type="pct"/>
            <w:tcBorders>
              <w:top w:val="nil"/>
              <w:left w:val="nil"/>
              <w:bottom w:val="single" w:color="auto" w:sz="4" w:space="0"/>
              <w:right w:val="single" w:color="auto" w:sz="4" w:space="0"/>
            </w:tcBorders>
            <w:shd w:val="clear" w:color="auto" w:fill="auto"/>
            <w:noWrap/>
            <w:vAlign w:val="center"/>
          </w:tcPr>
          <w:p w14:paraId="68E103CD">
            <w:pPr>
              <w:spacing w:line="240" w:lineRule="auto"/>
              <w:ind w:firstLine="0" w:firstLineChars="0"/>
              <w:jc w:val="center"/>
              <w:rPr>
                <w:rFonts w:eastAsia="等线" w:cs="Times New Roman"/>
                <w:kern w:val="0"/>
                <w:sz w:val="21"/>
              </w:rPr>
            </w:pPr>
            <w:r>
              <w:rPr>
                <w:rFonts w:eastAsia="等线" w:cs="Times New Roman"/>
                <w:kern w:val="0"/>
                <w:sz w:val="21"/>
              </w:rPr>
              <w:t>　</w:t>
            </w:r>
          </w:p>
        </w:tc>
        <w:tc>
          <w:tcPr>
            <w:tcW w:w="1082" w:type="pct"/>
            <w:tcBorders>
              <w:top w:val="nil"/>
              <w:left w:val="nil"/>
              <w:bottom w:val="single" w:color="auto" w:sz="4" w:space="0"/>
              <w:right w:val="single" w:color="auto" w:sz="4" w:space="0"/>
            </w:tcBorders>
            <w:shd w:val="clear" w:color="auto" w:fill="auto"/>
            <w:noWrap/>
            <w:vAlign w:val="center"/>
          </w:tcPr>
          <w:p w14:paraId="1B5BC749">
            <w:pPr>
              <w:spacing w:line="240" w:lineRule="auto"/>
              <w:ind w:firstLine="0" w:firstLineChars="0"/>
              <w:jc w:val="center"/>
              <w:rPr>
                <w:rFonts w:eastAsia="等线" w:cs="Times New Roman"/>
                <w:kern w:val="0"/>
                <w:sz w:val="21"/>
              </w:rPr>
            </w:pPr>
            <w:r>
              <w:rPr>
                <w:rFonts w:eastAsia="等线" w:cs="Times New Roman"/>
                <w:kern w:val="0"/>
                <w:sz w:val="21"/>
              </w:rPr>
              <w:t>0.00056</w:t>
            </w:r>
          </w:p>
        </w:tc>
        <w:tc>
          <w:tcPr>
            <w:tcW w:w="868" w:type="pct"/>
            <w:tcBorders>
              <w:top w:val="nil"/>
              <w:left w:val="nil"/>
              <w:bottom w:val="single" w:color="auto" w:sz="4" w:space="0"/>
              <w:right w:val="single" w:color="auto" w:sz="4" w:space="0"/>
            </w:tcBorders>
            <w:shd w:val="clear" w:color="auto" w:fill="auto"/>
            <w:noWrap/>
            <w:vAlign w:val="center"/>
          </w:tcPr>
          <w:p w14:paraId="2AF90001">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2D8200F4">
            <w:pPr>
              <w:spacing w:line="240" w:lineRule="auto"/>
              <w:ind w:firstLine="0" w:firstLineChars="0"/>
              <w:jc w:val="center"/>
              <w:rPr>
                <w:rFonts w:eastAsia="等线" w:cs="Times New Roman"/>
                <w:kern w:val="0"/>
                <w:sz w:val="21"/>
              </w:rPr>
            </w:pPr>
            <w:r>
              <w:rPr>
                <w:rFonts w:eastAsia="等线" w:cs="Times New Roman"/>
                <w:kern w:val="0"/>
                <w:sz w:val="21"/>
              </w:rPr>
              <w:t>0.00056</w:t>
            </w:r>
          </w:p>
        </w:tc>
        <w:tc>
          <w:tcPr>
            <w:tcW w:w="466" w:type="pct"/>
            <w:tcBorders>
              <w:top w:val="nil"/>
              <w:left w:val="nil"/>
              <w:bottom w:val="single" w:color="auto" w:sz="4" w:space="0"/>
              <w:right w:val="single" w:color="auto" w:sz="4" w:space="0"/>
            </w:tcBorders>
            <w:shd w:val="clear" w:color="auto" w:fill="auto"/>
            <w:noWrap/>
            <w:vAlign w:val="center"/>
          </w:tcPr>
          <w:p w14:paraId="6F6B5B44">
            <w:pPr>
              <w:spacing w:line="240" w:lineRule="auto"/>
              <w:ind w:firstLine="0" w:firstLineChars="0"/>
              <w:jc w:val="center"/>
              <w:rPr>
                <w:rFonts w:eastAsia="等线" w:cs="Times New Roman"/>
                <w:kern w:val="0"/>
                <w:sz w:val="21"/>
              </w:rPr>
            </w:pPr>
            <w:r>
              <w:rPr>
                <w:rFonts w:eastAsia="等线" w:cs="Times New Roman"/>
                <w:kern w:val="0"/>
                <w:sz w:val="21"/>
              </w:rPr>
              <w:t>0.00056</w:t>
            </w:r>
          </w:p>
        </w:tc>
      </w:tr>
      <w:tr w14:paraId="0B17E327">
        <w:tblPrEx>
          <w:tblCellMar>
            <w:top w:w="0" w:type="dxa"/>
            <w:left w:w="108" w:type="dxa"/>
            <w:bottom w:w="0" w:type="dxa"/>
            <w:right w:w="108" w:type="dxa"/>
          </w:tblCellMar>
        </w:tblPrEx>
        <w:trPr>
          <w:trHeight w:val="276"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05B6FEB9">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5856AEB6">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412" w:type="pct"/>
            <w:tcBorders>
              <w:top w:val="nil"/>
              <w:left w:val="nil"/>
              <w:bottom w:val="single" w:color="auto" w:sz="4" w:space="0"/>
              <w:right w:val="single" w:color="auto" w:sz="4" w:space="0"/>
            </w:tcBorders>
            <w:shd w:val="clear" w:color="auto" w:fill="auto"/>
            <w:noWrap/>
            <w:vAlign w:val="center"/>
          </w:tcPr>
          <w:p w14:paraId="10795C1B">
            <w:pPr>
              <w:spacing w:line="240" w:lineRule="auto"/>
              <w:ind w:firstLine="0" w:firstLineChars="0"/>
              <w:jc w:val="center"/>
              <w:rPr>
                <w:rFonts w:eastAsia="等线" w:cs="Times New Roman"/>
                <w:kern w:val="0"/>
                <w:sz w:val="21"/>
              </w:rPr>
            </w:pPr>
            <w:r>
              <w:rPr>
                <w:rFonts w:eastAsia="等线" w:cs="Times New Roman"/>
                <w:kern w:val="0"/>
                <w:sz w:val="21"/>
              </w:rPr>
              <w:t>　</w:t>
            </w:r>
          </w:p>
        </w:tc>
        <w:tc>
          <w:tcPr>
            <w:tcW w:w="1082" w:type="pct"/>
            <w:tcBorders>
              <w:top w:val="nil"/>
              <w:left w:val="nil"/>
              <w:bottom w:val="single" w:color="auto" w:sz="4" w:space="0"/>
              <w:right w:val="single" w:color="auto" w:sz="4" w:space="0"/>
            </w:tcBorders>
            <w:shd w:val="clear" w:color="auto" w:fill="auto"/>
            <w:noWrap/>
            <w:vAlign w:val="center"/>
          </w:tcPr>
          <w:p w14:paraId="1ACF1F13">
            <w:pPr>
              <w:spacing w:line="240" w:lineRule="auto"/>
              <w:ind w:firstLine="0" w:firstLineChars="0"/>
              <w:jc w:val="center"/>
              <w:rPr>
                <w:rFonts w:eastAsia="等线" w:cs="Times New Roman"/>
                <w:kern w:val="0"/>
                <w:sz w:val="21"/>
              </w:rPr>
            </w:pPr>
            <w:r>
              <w:rPr>
                <w:rFonts w:eastAsia="等线" w:cs="Times New Roman"/>
                <w:kern w:val="0"/>
                <w:sz w:val="21"/>
              </w:rPr>
              <w:t>0.33</w:t>
            </w:r>
          </w:p>
        </w:tc>
        <w:tc>
          <w:tcPr>
            <w:tcW w:w="868" w:type="pct"/>
            <w:tcBorders>
              <w:top w:val="nil"/>
              <w:left w:val="nil"/>
              <w:bottom w:val="single" w:color="auto" w:sz="4" w:space="0"/>
              <w:right w:val="single" w:color="auto" w:sz="4" w:space="0"/>
            </w:tcBorders>
            <w:shd w:val="clear" w:color="auto" w:fill="auto"/>
            <w:noWrap/>
            <w:vAlign w:val="center"/>
          </w:tcPr>
          <w:p w14:paraId="16E7D64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57140203">
            <w:pPr>
              <w:spacing w:line="240" w:lineRule="auto"/>
              <w:ind w:firstLine="0" w:firstLineChars="0"/>
              <w:jc w:val="center"/>
              <w:rPr>
                <w:rFonts w:eastAsia="等线" w:cs="Times New Roman"/>
                <w:kern w:val="0"/>
                <w:sz w:val="21"/>
              </w:rPr>
            </w:pPr>
            <w:r>
              <w:rPr>
                <w:rFonts w:eastAsia="等线" w:cs="Times New Roman"/>
                <w:kern w:val="0"/>
                <w:sz w:val="21"/>
              </w:rPr>
              <w:t>0.33</w:t>
            </w:r>
          </w:p>
        </w:tc>
        <w:tc>
          <w:tcPr>
            <w:tcW w:w="466" w:type="pct"/>
            <w:tcBorders>
              <w:top w:val="nil"/>
              <w:left w:val="nil"/>
              <w:bottom w:val="single" w:color="auto" w:sz="4" w:space="0"/>
              <w:right w:val="single" w:color="auto" w:sz="4" w:space="0"/>
            </w:tcBorders>
            <w:shd w:val="clear" w:color="auto" w:fill="auto"/>
            <w:noWrap/>
            <w:vAlign w:val="center"/>
          </w:tcPr>
          <w:p w14:paraId="359E0AFA">
            <w:pPr>
              <w:spacing w:line="240" w:lineRule="auto"/>
              <w:ind w:firstLine="0" w:firstLineChars="0"/>
              <w:jc w:val="center"/>
              <w:rPr>
                <w:rFonts w:eastAsia="等线" w:cs="Times New Roman"/>
                <w:kern w:val="0"/>
                <w:sz w:val="21"/>
              </w:rPr>
            </w:pPr>
            <w:r>
              <w:rPr>
                <w:rFonts w:eastAsia="等线" w:cs="Times New Roman"/>
                <w:kern w:val="0"/>
                <w:sz w:val="21"/>
              </w:rPr>
              <w:t>0.33</w:t>
            </w:r>
          </w:p>
        </w:tc>
      </w:tr>
      <w:tr w14:paraId="2BC2929A">
        <w:tblPrEx>
          <w:tblCellMar>
            <w:top w:w="0" w:type="dxa"/>
            <w:left w:w="108" w:type="dxa"/>
            <w:bottom w:w="0" w:type="dxa"/>
            <w:right w:w="108" w:type="dxa"/>
          </w:tblCellMar>
        </w:tblPrEx>
        <w:trPr>
          <w:trHeight w:val="324"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2E7209D7">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67F03932">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412" w:type="pct"/>
            <w:tcBorders>
              <w:top w:val="nil"/>
              <w:left w:val="nil"/>
              <w:bottom w:val="single" w:color="auto" w:sz="4" w:space="0"/>
              <w:right w:val="single" w:color="auto" w:sz="4" w:space="0"/>
            </w:tcBorders>
            <w:shd w:val="clear" w:color="auto" w:fill="auto"/>
            <w:noWrap/>
            <w:vAlign w:val="center"/>
          </w:tcPr>
          <w:p w14:paraId="05CF26EF">
            <w:pPr>
              <w:spacing w:line="240" w:lineRule="auto"/>
              <w:ind w:firstLine="0" w:firstLineChars="0"/>
              <w:jc w:val="center"/>
              <w:rPr>
                <w:rFonts w:eastAsia="等线" w:cs="Times New Roman"/>
                <w:kern w:val="0"/>
                <w:sz w:val="21"/>
              </w:rPr>
            </w:pPr>
            <w:r>
              <w:rPr>
                <w:rFonts w:eastAsia="等线" w:cs="Times New Roman"/>
                <w:kern w:val="0"/>
                <w:sz w:val="21"/>
              </w:rPr>
              <w:t>　</w:t>
            </w:r>
          </w:p>
        </w:tc>
        <w:tc>
          <w:tcPr>
            <w:tcW w:w="1082" w:type="pct"/>
            <w:tcBorders>
              <w:top w:val="nil"/>
              <w:left w:val="nil"/>
              <w:bottom w:val="single" w:color="auto" w:sz="4" w:space="0"/>
              <w:right w:val="single" w:color="auto" w:sz="4" w:space="0"/>
            </w:tcBorders>
            <w:shd w:val="clear" w:color="auto" w:fill="auto"/>
            <w:noWrap/>
            <w:vAlign w:val="center"/>
          </w:tcPr>
          <w:p w14:paraId="77154449">
            <w:pPr>
              <w:spacing w:line="240" w:lineRule="auto"/>
              <w:ind w:firstLine="0" w:firstLineChars="0"/>
              <w:jc w:val="center"/>
              <w:rPr>
                <w:rFonts w:eastAsia="等线" w:cs="Times New Roman"/>
                <w:kern w:val="0"/>
                <w:sz w:val="21"/>
              </w:rPr>
            </w:pPr>
            <w:r>
              <w:rPr>
                <w:rFonts w:eastAsia="等线" w:cs="Times New Roman"/>
                <w:kern w:val="0"/>
                <w:sz w:val="21"/>
              </w:rPr>
              <w:t>0.046</w:t>
            </w:r>
          </w:p>
        </w:tc>
        <w:tc>
          <w:tcPr>
            <w:tcW w:w="868" w:type="pct"/>
            <w:tcBorders>
              <w:top w:val="nil"/>
              <w:left w:val="nil"/>
              <w:bottom w:val="single" w:color="auto" w:sz="4" w:space="0"/>
              <w:right w:val="single" w:color="auto" w:sz="4" w:space="0"/>
            </w:tcBorders>
            <w:shd w:val="clear" w:color="auto" w:fill="auto"/>
            <w:noWrap/>
            <w:vAlign w:val="center"/>
          </w:tcPr>
          <w:p w14:paraId="05E99DD5">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6E58AAD9">
            <w:pPr>
              <w:spacing w:line="240" w:lineRule="auto"/>
              <w:ind w:firstLine="0" w:firstLineChars="0"/>
              <w:jc w:val="center"/>
              <w:rPr>
                <w:rFonts w:eastAsia="等线" w:cs="Times New Roman"/>
                <w:kern w:val="0"/>
                <w:sz w:val="21"/>
              </w:rPr>
            </w:pPr>
            <w:r>
              <w:rPr>
                <w:rFonts w:eastAsia="等线" w:cs="Times New Roman"/>
                <w:kern w:val="0"/>
                <w:sz w:val="21"/>
              </w:rPr>
              <w:t>0.046</w:t>
            </w:r>
          </w:p>
        </w:tc>
        <w:tc>
          <w:tcPr>
            <w:tcW w:w="466" w:type="pct"/>
            <w:tcBorders>
              <w:top w:val="nil"/>
              <w:left w:val="nil"/>
              <w:bottom w:val="single" w:color="auto" w:sz="4" w:space="0"/>
              <w:right w:val="single" w:color="auto" w:sz="4" w:space="0"/>
            </w:tcBorders>
            <w:shd w:val="clear" w:color="auto" w:fill="auto"/>
            <w:noWrap/>
            <w:vAlign w:val="center"/>
          </w:tcPr>
          <w:p w14:paraId="5A9F490E">
            <w:pPr>
              <w:spacing w:line="240" w:lineRule="auto"/>
              <w:ind w:firstLine="0" w:firstLineChars="0"/>
              <w:jc w:val="center"/>
              <w:rPr>
                <w:rFonts w:eastAsia="等线" w:cs="Times New Roman"/>
                <w:kern w:val="0"/>
                <w:sz w:val="21"/>
              </w:rPr>
            </w:pPr>
            <w:r>
              <w:rPr>
                <w:rFonts w:eastAsia="等线" w:cs="Times New Roman"/>
                <w:kern w:val="0"/>
                <w:sz w:val="21"/>
              </w:rPr>
              <w:t>0.046</w:t>
            </w:r>
          </w:p>
        </w:tc>
      </w:tr>
      <w:tr w14:paraId="2AA98C49">
        <w:tblPrEx>
          <w:tblCellMar>
            <w:top w:w="0" w:type="dxa"/>
            <w:left w:w="108" w:type="dxa"/>
            <w:bottom w:w="0" w:type="dxa"/>
            <w:right w:w="108" w:type="dxa"/>
          </w:tblCellMar>
        </w:tblPrEx>
        <w:trPr>
          <w:trHeight w:val="288"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627EE2BA">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vAlign w:val="center"/>
          </w:tcPr>
          <w:p w14:paraId="38CCF00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颗粒物</w:t>
            </w:r>
          </w:p>
        </w:tc>
        <w:tc>
          <w:tcPr>
            <w:tcW w:w="412" w:type="pct"/>
            <w:tcBorders>
              <w:top w:val="nil"/>
              <w:left w:val="nil"/>
              <w:bottom w:val="single" w:color="auto" w:sz="4" w:space="0"/>
              <w:right w:val="single" w:color="auto" w:sz="4" w:space="0"/>
            </w:tcBorders>
            <w:shd w:val="clear" w:color="auto" w:fill="auto"/>
            <w:noWrap/>
            <w:vAlign w:val="center"/>
          </w:tcPr>
          <w:p w14:paraId="2921436A">
            <w:pPr>
              <w:spacing w:line="240" w:lineRule="auto"/>
              <w:ind w:firstLine="0" w:firstLineChars="0"/>
              <w:jc w:val="center"/>
              <w:rPr>
                <w:rFonts w:eastAsia="等线" w:cs="Times New Roman"/>
                <w:kern w:val="0"/>
                <w:sz w:val="21"/>
              </w:rPr>
            </w:pPr>
            <w:r>
              <w:rPr>
                <w:rFonts w:eastAsia="等线" w:cs="Times New Roman"/>
                <w:kern w:val="0"/>
                <w:sz w:val="21"/>
              </w:rPr>
              <w:t>6.05</w:t>
            </w:r>
          </w:p>
        </w:tc>
        <w:tc>
          <w:tcPr>
            <w:tcW w:w="1082" w:type="pct"/>
            <w:tcBorders>
              <w:top w:val="nil"/>
              <w:left w:val="nil"/>
              <w:bottom w:val="single" w:color="auto" w:sz="4" w:space="0"/>
              <w:right w:val="single" w:color="auto" w:sz="4" w:space="0"/>
            </w:tcBorders>
            <w:shd w:val="clear" w:color="auto" w:fill="auto"/>
            <w:noWrap/>
            <w:vAlign w:val="center"/>
          </w:tcPr>
          <w:p w14:paraId="7C24118C">
            <w:pPr>
              <w:spacing w:line="240" w:lineRule="auto"/>
              <w:ind w:firstLine="0" w:firstLineChars="0"/>
              <w:jc w:val="center"/>
              <w:rPr>
                <w:rFonts w:eastAsia="等线" w:cs="Times New Roman"/>
                <w:kern w:val="0"/>
                <w:sz w:val="21"/>
              </w:rPr>
            </w:pPr>
            <w:r>
              <w:rPr>
                <w:rFonts w:eastAsia="等线" w:cs="Times New Roman"/>
                <w:kern w:val="0"/>
                <w:sz w:val="21"/>
              </w:rPr>
              <w:t>3.715</w:t>
            </w:r>
          </w:p>
        </w:tc>
        <w:tc>
          <w:tcPr>
            <w:tcW w:w="868" w:type="pct"/>
            <w:tcBorders>
              <w:top w:val="nil"/>
              <w:left w:val="nil"/>
              <w:bottom w:val="single" w:color="auto" w:sz="4" w:space="0"/>
              <w:right w:val="single" w:color="auto" w:sz="4" w:space="0"/>
            </w:tcBorders>
            <w:shd w:val="clear" w:color="auto" w:fill="auto"/>
            <w:noWrap/>
            <w:vAlign w:val="center"/>
          </w:tcPr>
          <w:p w14:paraId="0EC2121C">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463D8587">
            <w:pPr>
              <w:spacing w:line="240" w:lineRule="auto"/>
              <w:ind w:firstLine="0" w:firstLineChars="0"/>
              <w:jc w:val="center"/>
              <w:rPr>
                <w:rFonts w:eastAsia="等线" w:cs="Times New Roman"/>
                <w:kern w:val="0"/>
                <w:sz w:val="21"/>
              </w:rPr>
            </w:pPr>
            <w:r>
              <w:rPr>
                <w:rFonts w:eastAsia="等线" w:cs="Times New Roman"/>
                <w:sz w:val="21"/>
              </w:rPr>
              <w:t>9.76</w:t>
            </w:r>
          </w:p>
        </w:tc>
        <w:tc>
          <w:tcPr>
            <w:tcW w:w="466" w:type="pct"/>
            <w:tcBorders>
              <w:top w:val="nil"/>
              <w:left w:val="nil"/>
              <w:bottom w:val="single" w:color="auto" w:sz="4" w:space="0"/>
              <w:right w:val="single" w:color="auto" w:sz="4" w:space="0"/>
            </w:tcBorders>
            <w:shd w:val="clear" w:color="auto" w:fill="auto"/>
            <w:noWrap/>
            <w:vAlign w:val="center"/>
          </w:tcPr>
          <w:p w14:paraId="41385F37">
            <w:pPr>
              <w:spacing w:line="240" w:lineRule="auto"/>
              <w:ind w:firstLine="0" w:firstLineChars="0"/>
              <w:jc w:val="center"/>
              <w:rPr>
                <w:rFonts w:eastAsia="等线" w:cs="Times New Roman"/>
                <w:kern w:val="0"/>
                <w:sz w:val="21"/>
              </w:rPr>
            </w:pPr>
            <w:r>
              <w:rPr>
                <w:rFonts w:eastAsia="等线" w:cs="Times New Roman"/>
                <w:sz w:val="21"/>
              </w:rPr>
              <w:t>3.715</w:t>
            </w:r>
          </w:p>
        </w:tc>
      </w:tr>
      <w:tr w14:paraId="27F22DB8">
        <w:tblPrEx>
          <w:tblCellMar>
            <w:top w:w="0" w:type="dxa"/>
            <w:left w:w="108" w:type="dxa"/>
            <w:bottom w:w="0" w:type="dxa"/>
            <w:right w:w="108" w:type="dxa"/>
          </w:tblCellMar>
        </w:tblPrEx>
        <w:trPr>
          <w:trHeight w:val="288" w:hRule="atLeast"/>
          <w:jc w:val="center"/>
        </w:trPr>
        <w:tc>
          <w:tcPr>
            <w:tcW w:w="651" w:type="pct"/>
            <w:tcBorders>
              <w:top w:val="nil"/>
              <w:left w:val="single" w:color="auto" w:sz="4" w:space="0"/>
              <w:bottom w:val="single" w:color="auto" w:sz="4" w:space="0"/>
              <w:right w:val="single" w:color="auto" w:sz="4" w:space="0"/>
            </w:tcBorders>
            <w:shd w:val="clear" w:color="auto" w:fill="auto"/>
            <w:noWrap/>
            <w:vAlign w:val="center"/>
          </w:tcPr>
          <w:p w14:paraId="4577950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废水</w:t>
            </w:r>
          </w:p>
        </w:tc>
        <w:tc>
          <w:tcPr>
            <w:tcW w:w="545" w:type="pct"/>
            <w:tcBorders>
              <w:top w:val="nil"/>
              <w:left w:val="nil"/>
              <w:bottom w:val="single" w:color="auto" w:sz="4" w:space="0"/>
              <w:right w:val="single" w:color="auto" w:sz="4" w:space="0"/>
            </w:tcBorders>
            <w:shd w:val="clear" w:color="auto" w:fill="auto"/>
            <w:noWrap/>
            <w:vAlign w:val="center"/>
          </w:tcPr>
          <w:p w14:paraId="179DE6F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废水量</w:t>
            </w:r>
          </w:p>
        </w:tc>
        <w:tc>
          <w:tcPr>
            <w:tcW w:w="412" w:type="pct"/>
            <w:tcBorders>
              <w:top w:val="nil"/>
              <w:left w:val="nil"/>
              <w:bottom w:val="single" w:color="auto" w:sz="4" w:space="0"/>
              <w:right w:val="single" w:color="auto" w:sz="4" w:space="0"/>
            </w:tcBorders>
            <w:shd w:val="clear" w:color="auto" w:fill="auto"/>
            <w:noWrap/>
            <w:vAlign w:val="center"/>
          </w:tcPr>
          <w:p w14:paraId="1FB28A5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1082" w:type="pct"/>
            <w:tcBorders>
              <w:top w:val="nil"/>
              <w:left w:val="nil"/>
              <w:bottom w:val="single" w:color="auto" w:sz="4" w:space="0"/>
              <w:right w:val="single" w:color="auto" w:sz="4" w:space="0"/>
            </w:tcBorders>
            <w:shd w:val="clear" w:color="auto" w:fill="auto"/>
            <w:noWrap/>
            <w:vAlign w:val="center"/>
          </w:tcPr>
          <w:p w14:paraId="1F72FC8F">
            <w:pPr>
              <w:spacing w:line="240" w:lineRule="auto"/>
              <w:ind w:firstLine="0" w:firstLineChars="0"/>
              <w:jc w:val="center"/>
              <w:rPr>
                <w:rFonts w:eastAsia="等线" w:cs="Times New Roman"/>
                <w:kern w:val="0"/>
                <w:sz w:val="21"/>
              </w:rPr>
            </w:pPr>
            <w:r>
              <w:rPr>
                <w:rFonts w:eastAsia="等线" w:cs="Times New Roman"/>
                <w:kern w:val="0"/>
                <w:sz w:val="21"/>
              </w:rPr>
              <w:t xml:space="preserve">0.0 </w:t>
            </w:r>
          </w:p>
        </w:tc>
        <w:tc>
          <w:tcPr>
            <w:tcW w:w="868" w:type="pct"/>
            <w:tcBorders>
              <w:top w:val="nil"/>
              <w:left w:val="nil"/>
              <w:bottom w:val="single" w:color="auto" w:sz="4" w:space="0"/>
              <w:right w:val="single" w:color="auto" w:sz="4" w:space="0"/>
            </w:tcBorders>
            <w:shd w:val="clear" w:color="auto" w:fill="auto"/>
            <w:noWrap/>
            <w:vAlign w:val="center"/>
          </w:tcPr>
          <w:p w14:paraId="194FCD92">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258E28C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66" w:type="pct"/>
            <w:tcBorders>
              <w:top w:val="nil"/>
              <w:left w:val="nil"/>
              <w:bottom w:val="single" w:color="auto" w:sz="4" w:space="0"/>
              <w:right w:val="single" w:color="auto" w:sz="4" w:space="0"/>
            </w:tcBorders>
            <w:shd w:val="clear" w:color="auto" w:fill="auto"/>
            <w:noWrap/>
            <w:vAlign w:val="center"/>
          </w:tcPr>
          <w:p w14:paraId="59BFA38D">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3A1DB037">
        <w:tblPrEx>
          <w:tblCellMar>
            <w:top w:w="0" w:type="dxa"/>
            <w:left w:w="108" w:type="dxa"/>
            <w:bottom w:w="0" w:type="dxa"/>
            <w:right w:w="108" w:type="dxa"/>
          </w:tblCellMar>
        </w:tblPrEx>
        <w:trPr>
          <w:trHeight w:val="288" w:hRule="atLeast"/>
          <w:jc w:val="center"/>
        </w:trPr>
        <w:tc>
          <w:tcPr>
            <w:tcW w:w="651" w:type="pct"/>
            <w:vMerge w:val="restart"/>
            <w:tcBorders>
              <w:top w:val="nil"/>
              <w:left w:val="single" w:color="auto" w:sz="4" w:space="0"/>
              <w:bottom w:val="single" w:color="auto" w:sz="4" w:space="0"/>
              <w:right w:val="single" w:color="auto" w:sz="4" w:space="0"/>
            </w:tcBorders>
            <w:shd w:val="clear" w:color="auto" w:fill="auto"/>
            <w:noWrap/>
            <w:vAlign w:val="center"/>
          </w:tcPr>
          <w:p w14:paraId="10D0A8F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固废</w:t>
            </w:r>
          </w:p>
        </w:tc>
        <w:tc>
          <w:tcPr>
            <w:tcW w:w="545" w:type="pct"/>
            <w:tcBorders>
              <w:top w:val="nil"/>
              <w:left w:val="nil"/>
              <w:bottom w:val="single" w:color="auto" w:sz="4" w:space="0"/>
              <w:right w:val="single" w:color="auto" w:sz="4" w:space="0"/>
            </w:tcBorders>
            <w:shd w:val="clear" w:color="auto" w:fill="auto"/>
            <w:noWrap/>
            <w:vAlign w:val="center"/>
          </w:tcPr>
          <w:p w14:paraId="2FEFADC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一般固废</w:t>
            </w:r>
          </w:p>
        </w:tc>
        <w:tc>
          <w:tcPr>
            <w:tcW w:w="412" w:type="pct"/>
            <w:tcBorders>
              <w:top w:val="nil"/>
              <w:left w:val="nil"/>
              <w:bottom w:val="single" w:color="auto" w:sz="4" w:space="0"/>
              <w:right w:val="single" w:color="auto" w:sz="4" w:space="0"/>
            </w:tcBorders>
            <w:shd w:val="clear" w:color="auto" w:fill="auto"/>
            <w:noWrap/>
            <w:vAlign w:val="center"/>
          </w:tcPr>
          <w:p w14:paraId="18EA8A28">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1082" w:type="pct"/>
            <w:tcBorders>
              <w:top w:val="nil"/>
              <w:left w:val="nil"/>
              <w:bottom w:val="single" w:color="auto" w:sz="4" w:space="0"/>
              <w:right w:val="single" w:color="auto" w:sz="4" w:space="0"/>
            </w:tcBorders>
            <w:shd w:val="clear" w:color="auto" w:fill="auto"/>
            <w:noWrap/>
            <w:vAlign w:val="center"/>
          </w:tcPr>
          <w:p w14:paraId="78C2D25B">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650CE53E">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3AC362D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66" w:type="pct"/>
            <w:tcBorders>
              <w:top w:val="nil"/>
              <w:left w:val="nil"/>
              <w:bottom w:val="single" w:color="auto" w:sz="4" w:space="0"/>
              <w:right w:val="single" w:color="auto" w:sz="4" w:space="0"/>
            </w:tcBorders>
            <w:shd w:val="clear" w:color="auto" w:fill="auto"/>
            <w:noWrap/>
            <w:vAlign w:val="center"/>
          </w:tcPr>
          <w:p w14:paraId="74B40B2D">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6CCBAE60">
        <w:tblPrEx>
          <w:tblCellMar>
            <w:top w:w="0" w:type="dxa"/>
            <w:left w:w="108" w:type="dxa"/>
            <w:bottom w:w="0" w:type="dxa"/>
            <w:right w:w="108" w:type="dxa"/>
          </w:tblCellMar>
        </w:tblPrEx>
        <w:trPr>
          <w:trHeight w:val="288"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1FFDF2FE">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noWrap/>
            <w:vAlign w:val="center"/>
          </w:tcPr>
          <w:p w14:paraId="6C5FB8E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危险废物</w:t>
            </w:r>
          </w:p>
        </w:tc>
        <w:tc>
          <w:tcPr>
            <w:tcW w:w="412" w:type="pct"/>
            <w:tcBorders>
              <w:top w:val="nil"/>
              <w:left w:val="nil"/>
              <w:bottom w:val="single" w:color="auto" w:sz="4" w:space="0"/>
              <w:right w:val="single" w:color="auto" w:sz="4" w:space="0"/>
            </w:tcBorders>
            <w:shd w:val="clear" w:color="auto" w:fill="auto"/>
            <w:noWrap/>
            <w:vAlign w:val="center"/>
          </w:tcPr>
          <w:p w14:paraId="2F45BD27">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1082" w:type="pct"/>
            <w:tcBorders>
              <w:top w:val="nil"/>
              <w:left w:val="nil"/>
              <w:bottom w:val="single" w:color="auto" w:sz="4" w:space="0"/>
              <w:right w:val="single" w:color="auto" w:sz="4" w:space="0"/>
            </w:tcBorders>
            <w:shd w:val="clear" w:color="auto" w:fill="auto"/>
            <w:noWrap/>
            <w:vAlign w:val="center"/>
          </w:tcPr>
          <w:p w14:paraId="21765A69">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54772E6F">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7B3D2C51">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66" w:type="pct"/>
            <w:tcBorders>
              <w:top w:val="nil"/>
              <w:left w:val="nil"/>
              <w:bottom w:val="single" w:color="auto" w:sz="4" w:space="0"/>
              <w:right w:val="single" w:color="auto" w:sz="4" w:space="0"/>
            </w:tcBorders>
            <w:shd w:val="clear" w:color="auto" w:fill="auto"/>
            <w:noWrap/>
            <w:vAlign w:val="center"/>
          </w:tcPr>
          <w:p w14:paraId="74DA1104">
            <w:pPr>
              <w:spacing w:line="240" w:lineRule="auto"/>
              <w:ind w:firstLine="0" w:firstLineChars="0"/>
              <w:jc w:val="center"/>
              <w:rPr>
                <w:rFonts w:eastAsia="等线" w:cs="Times New Roman"/>
                <w:kern w:val="0"/>
                <w:sz w:val="21"/>
              </w:rPr>
            </w:pPr>
            <w:r>
              <w:rPr>
                <w:rFonts w:eastAsia="等线" w:cs="Times New Roman"/>
                <w:kern w:val="0"/>
                <w:sz w:val="21"/>
              </w:rPr>
              <w:t>0</w:t>
            </w:r>
          </w:p>
        </w:tc>
      </w:tr>
      <w:tr w14:paraId="22CA0AD0">
        <w:tblPrEx>
          <w:tblCellMar>
            <w:top w:w="0" w:type="dxa"/>
            <w:left w:w="108" w:type="dxa"/>
            <w:bottom w:w="0" w:type="dxa"/>
            <w:right w:w="108" w:type="dxa"/>
          </w:tblCellMar>
        </w:tblPrEx>
        <w:trPr>
          <w:trHeight w:val="288" w:hRule="atLeast"/>
          <w:jc w:val="center"/>
        </w:trPr>
        <w:tc>
          <w:tcPr>
            <w:tcW w:w="651" w:type="pct"/>
            <w:vMerge w:val="continue"/>
            <w:tcBorders>
              <w:top w:val="nil"/>
              <w:left w:val="single" w:color="auto" w:sz="4" w:space="0"/>
              <w:bottom w:val="single" w:color="auto" w:sz="4" w:space="0"/>
              <w:right w:val="single" w:color="auto" w:sz="4" w:space="0"/>
            </w:tcBorders>
            <w:vAlign w:val="center"/>
          </w:tcPr>
          <w:p w14:paraId="5CED96AE">
            <w:pPr>
              <w:spacing w:line="240" w:lineRule="auto"/>
              <w:ind w:firstLine="0" w:firstLineChars="0"/>
              <w:rPr>
                <w:rFonts w:hint="eastAsia" w:ascii="宋体" w:hAnsi="宋体" w:eastAsia="宋体" w:cs="宋体"/>
                <w:kern w:val="0"/>
                <w:sz w:val="21"/>
              </w:rPr>
            </w:pPr>
          </w:p>
        </w:tc>
        <w:tc>
          <w:tcPr>
            <w:tcW w:w="545" w:type="pct"/>
            <w:tcBorders>
              <w:top w:val="nil"/>
              <w:left w:val="nil"/>
              <w:bottom w:val="single" w:color="auto" w:sz="4" w:space="0"/>
              <w:right w:val="single" w:color="auto" w:sz="4" w:space="0"/>
            </w:tcBorders>
            <w:shd w:val="clear" w:color="auto" w:fill="auto"/>
            <w:noWrap/>
            <w:vAlign w:val="center"/>
          </w:tcPr>
          <w:p w14:paraId="21BA6A2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生活垃圾</w:t>
            </w:r>
          </w:p>
        </w:tc>
        <w:tc>
          <w:tcPr>
            <w:tcW w:w="412" w:type="pct"/>
            <w:tcBorders>
              <w:top w:val="nil"/>
              <w:left w:val="nil"/>
              <w:bottom w:val="single" w:color="auto" w:sz="4" w:space="0"/>
              <w:right w:val="single" w:color="auto" w:sz="4" w:space="0"/>
            </w:tcBorders>
            <w:shd w:val="clear" w:color="auto" w:fill="auto"/>
            <w:noWrap/>
            <w:vAlign w:val="center"/>
          </w:tcPr>
          <w:p w14:paraId="078724F3">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1082" w:type="pct"/>
            <w:tcBorders>
              <w:top w:val="nil"/>
              <w:left w:val="nil"/>
              <w:bottom w:val="single" w:color="auto" w:sz="4" w:space="0"/>
              <w:right w:val="single" w:color="auto" w:sz="4" w:space="0"/>
            </w:tcBorders>
            <w:shd w:val="clear" w:color="auto" w:fill="auto"/>
            <w:noWrap/>
            <w:vAlign w:val="center"/>
          </w:tcPr>
          <w:p w14:paraId="66A13C64">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868" w:type="pct"/>
            <w:tcBorders>
              <w:top w:val="nil"/>
              <w:left w:val="nil"/>
              <w:bottom w:val="single" w:color="auto" w:sz="4" w:space="0"/>
              <w:right w:val="single" w:color="auto" w:sz="4" w:space="0"/>
            </w:tcBorders>
            <w:shd w:val="clear" w:color="auto" w:fill="auto"/>
            <w:noWrap/>
            <w:vAlign w:val="center"/>
          </w:tcPr>
          <w:p w14:paraId="5296B86C">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975" w:type="pct"/>
            <w:tcBorders>
              <w:top w:val="nil"/>
              <w:left w:val="nil"/>
              <w:bottom w:val="single" w:color="auto" w:sz="4" w:space="0"/>
              <w:right w:val="single" w:color="auto" w:sz="4" w:space="0"/>
            </w:tcBorders>
            <w:shd w:val="clear" w:color="auto" w:fill="auto"/>
            <w:noWrap/>
            <w:vAlign w:val="center"/>
          </w:tcPr>
          <w:p w14:paraId="7B2DD6E1">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66" w:type="pct"/>
            <w:tcBorders>
              <w:top w:val="nil"/>
              <w:left w:val="nil"/>
              <w:bottom w:val="single" w:color="auto" w:sz="4" w:space="0"/>
              <w:right w:val="single" w:color="auto" w:sz="4" w:space="0"/>
            </w:tcBorders>
            <w:shd w:val="clear" w:color="auto" w:fill="auto"/>
            <w:noWrap/>
            <w:vAlign w:val="center"/>
          </w:tcPr>
          <w:p w14:paraId="2899792A">
            <w:pPr>
              <w:spacing w:line="240" w:lineRule="auto"/>
              <w:ind w:firstLine="0" w:firstLineChars="0"/>
              <w:jc w:val="center"/>
              <w:rPr>
                <w:rFonts w:eastAsia="等线" w:cs="Times New Roman"/>
                <w:kern w:val="0"/>
                <w:sz w:val="21"/>
              </w:rPr>
            </w:pPr>
            <w:r>
              <w:rPr>
                <w:rFonts w:eastAsia="等线" w:cs="Times New Roman"/>
                <w:kern w:val="0"/>
                <w:sz w:val="21"/>
              </w:rPr>
              <w:t>0</w:t>
            </w:r>
          </w:p>
        </w:tc>
      </w:tr>
    </w:tbl>
    <w:p w14:paraId="3C0D9D23">
      <w:pPr>
        <w:pStyle w:val="80"/>
      </w:pPr>
      <w:bookmarkStart w:id="224" w:name="_Toc386"/>
      <w:bookmarkEnd w:id="224"/>
      <w:bookmarkStart w:id="225" w:name="_Toc182171816"/>
      <w:r>
        <w:rPr>
          <w:rFonts w:hint="eastAsia"/>
        </w:rPr>
        <w:t>清洁生产分析</w:t>
      </w:r>
      <w:bookmarkEnd w:id="225"/>
    </w:p>
    <w:p w14:paraId="71521DCE">
      <w:pPr>
        <w:pStyle w:val="82"/>
      </w:pPr>
      <w:r>
        <w:rPr>
          <w:rFonts w:hint="eastAsia"/>
        </w:rPr>
        <w:t>货物清洁性分析</w:t>
      </w:r>
    </w:p>
    <w:p w14:paraId="764E5CB9">
      <w:pPr>
        <w:pStyle w:val="93"/>
      </w:pPr>
      <w:r>
        <w:rPr>
          <w:rFonts w:hint="eastAsia"/>
        </w:rPr>
        <w:t>拟建项目主要运输散货煤炭，属于块状货物，卸船过程中粉尘较少，采取环保措施后，对环境空气的影响较小。</w:t>
      </w:r>
    </w:p>
    <w:p w14:paraId="37480CD5">
      <w:pPr>
        <w:pStyle w:val="82"/>
      </w:pPr>
      <w:r>
        <w:rPr>
          <w:rFonts w:hint="eastAsia"/>
        </w:rPr>
        <w:t>生产工艺设备设施的先进性分析</w:t>
      </w:r>
    </w:p>
    <w:p w14:paraId="6221294F">
      <w:pPr>
        <w:ind w:firstLine="480"/>
      </w:pPr>
      <w:r>
        <w:rPr>
          <w:rFonts w:hint="eastAsia"/>
        </w:rPr>
        <w:t>散杂货码头装卸船作业采用船型适应性、物料适应性及可靠性较强的桥式抓斗卸船机进行装卸船作业。</w:t>
      </w:r>
    </w:p>
    <w:p w14:paraId="2D3AA50D">
      <w:pPr>
        <w:pStyle w:val="82"/>
      </w:pPr>
      <w:r>
        <w:rPr>
          <w:rFonts w:hint="eastAsia"/>
        </w:rPr>
        <w:t>节能措施</w:t>
      </w:r>
    </w:p>
    <w:p w14:paraId="3DDAA609">
      <w:pPr>
        <w:pStyle w:val="93"/>
      </w:pPr>
      <w:r>
        <w:rPr>
          <w:rFonts w:hint="eastAsia"/>
        </w:rPr>
        <w:t>（1）港口陆域布置</w:t>
      </w:r>
    </w:p>
    <w:p w14:paraId="08207799">
      <w:pPr>
        <w:pStyle w:val="93"/>
      </w:pPr>
      <w:r>
        <w:rPr>
          <w:rFonts w:hint="eastAsia"/>
        </w:rPr>
        <w:t>本工程总平面按照节能的原则合理布置，即按生产区、辅助区和生活区等使用功能分区。前方作业区按货种就近配有堆场，减少了水平运输距离，港区内设有环形道路布置合理，平面顺适，方便物流的运转，从而节约能源，降低能耗。</w:t>
      </w:r>
    </w:p>
    <w:p w14:paraId="6098D144">
      <w:pPr>
        <w:pStyle w:val="93"/>
      </w:pPr>
      <w:r>
        <w:rPr>
          <w:rFonts w:hint="eastAsia"/>
        </w:rPr>
        <w:t>（2）装卸工艺和装卸机械</w:t>
      </w:r>
    </w:p>
    <w:p w14:paraId="61A10FBE">
      <w:pPr>
        <w:pStyle w:val="93"/>
      </w:pPr>
      <w:r>
        <w:rPr>
          <w:rFonts w:hint="eastAsia"/>
          <w:lang w:val="en-US"/>
        </w:rPr>
        <w:t>对各能耗点实施计量，及时发现不正常用电。选用优质节能的装卸工艺设备。流动机械设备尽量选用电力驱动方式，以节约能源及保护环境。对装卸工艺设备经常进行维护保养，使其保持良好的工作状态。对启动频繁的设备，采用变频控制；对带载启动的设备，采用降压启动方式，以节约用电。</w:t>
      </w:r>
    </w:p>
    <w:p w14:paraId="7AE5D764">
      <w:pPr>
        <w:pStyle w:val="93"/>
      </w:pPr>
      <w:r>
        <w:rPr>
          <w:rFonts w:hint="eastAsia"/>
        </w:rPr>
        <w:t>（3）供电照明</w:t>
      </w:r>
    </w:p>
    <w:p w14:paraId="5E8522B1">
      <w:pPr>
        <w:ind w:firstLine="480"/>
      </w:pPr>
      <w:r>
        <w:rPr>
          <w:rFonts w:hint="eastAsia"/>
        </w:rPr>
        <w:t>因港区范围较大，为节约用电，对港区照明采用集中控制和分散控制相结合，以避免大面积照明产生的浪费。选用节能的 LED 灯照明。采用调速给水泵，适应变工况运行的需要，节省用电。对码头用电采用低压电容自动补偿柜对功率因数进行补偿，补偿后因数不低于 0.9。</w:t>
      </w:r>
    </w:p>
    <w:p w14:paraId="3490DACF">
      <w:pPr>
        <w:pStyle w:val="82"/>
      </w:pPr>
      <w:r>
        <w:rPr>
          <w:rFonts w:hint="eastAsia"/>
        </w:rPr>
        <w:t>污染物排放分析</w:t>
      </w:r>
    </w:p>
    <w:p w14:paraId="3427105D">
      <w:pPr>
        <w:pStyle w:val="93"/>
      </w:pPr>
      <w:r>
        <w:rPr>
          <w:rFonts w:hint="eastAsia"/>
        </w:rPr>
        <w:t xml:space="preserve">（1）生活垃圾按照分类要求进行分类收集；垃圾日产日清，垃圾收集区域无暴露积存垃圾。 </w:t>
      </w:r>
    </w:p>
    <w:p w14:paraId="59AB9F78">
      <w:pPr>
        <w:pStyle w:val="93"/>
      </w:pPr>
      <w:r>
        <w:rPr>
          <w:rFonts w:hint="eastAsia"/>
        </w:rPr>
        <w:t xml:space="preserve">（2）疏浚作业要求采用防治疏浚悬浮泥沙扩散污染的措施。定期委托有资质的公司对码头水域进行疏浚作业，要求执行过程做好防污染措施，减少疏浚过程中悬浮泥沙扩散污染。 </w:t>
      </w:r>
    </w:p>
    <w:p w14:paraId="281196B6">
      <w:pPr>
        <w:pStyle w:val="93"/>
        <w:rPr>
          <w:bCs/>
        </w:rPr>
      </w:pPr>
      <w:r>
        <w:rPr>
          <w:rFonts w:hint="eastAsia"/>
        </w:rPr>
        <w:t>根据本项目码头与同类型码头进行类比分析（表3.9-1），分析本项目码头的清洁生产性，选取的码头设计船型均为1000DWT型船舶，运输货种为散货、件杂货等，具有可比性。根据表3.9-1，本项目码头</w:t>
      </w:r>
      <w:r>
        <w:rPr>
          <w:rFonts w:hint="eastAsia"/>
          <w:bCs/>
        </w:rPr>
        <w:t>岸线利用率为0.62万吨/m，仅比金湖物流园码头项目的0.5万吨/m略高，岸线利用率偏低；本码头废水全部回用，回用水率达100%，远高于同类码头；对应的，在单位吞吐量废水排放量（m</w:t>
      </w:r>
      <w:r>
        <w:rPr>
          <w:rFonts w:hint="eastAsia"/>
          <w:bCs/>
          <w:vertAlign w:val="superscript"/>
        </w:rPr>
        <w:t>3</w:t>
      </w:r>
      <w:r>
        <w:rPr>
          <w:rFonts w:hint="eastAsia"/>
          <w:bCs/>
        </w:rPr>
        <w:t>/t）、单位吞吐量COD排放量（t/万t）方面能够做到零排放，均优于同类码头项目。</w:t>
      </w:r>
    </w:p>
    <w:p w14:paraId="45CF8EF8">
      <w:pPr>
        <w:pStyle w:val="86"/>
      </w:pPr>
      <w:r>
        <w:rPr>
          <w:rFonts w:hint="eastAsia"/>
        </w:rPr>
        <w:t>本项目岸线利用率、污染物排放与同类型码头类比</w:t>
      </w:r>
    </w:p>
    <w:tbl>
      <w:tblPr>
        <w:tblStyle w:val="38"/>
        <w:tblW w:w="9100" w:type="dxa"/>
        <w:tblInd w:w="0" w:type="dxa"/>
        <w:tblLayout w:type="autofit"/>
        <w:tblCellMar>
          <w:top w:w="0" w:type="dxa"/>
          <w:left w:w="108" w:type="dxa"/>
          <w:bottom w:w="0" w:type="dxa"/>
          <w:right w:w="108" w:type="dxa"/>
        </w:tblCellMar>
      </w:tblPr>
      <w:tblGrid>
        <w:gridCol w:w="2300"/>
        <w:gridCol w:w="1220"/>
        <w:gridCol w:w="2060"/>
        <w:gridCol w:w="1800"/>
        <w:gridCol w:w="1720"/>
      </w:tblGrid>
      <w:tr w14:paraId="51864626">
        <w:tblPrEx>
          <w:tblCellMar>
            <w:top w:w="0" w:type="dxa"/>
            <w:left w:w="108" w:type="dxa"/>
            <w:bottom w:w="0" w:type="dxa"/>
            <w:right w:w="108" w:type="dxa"/>
          </w:tblCellMar>
        </w:tblPrEx>
        <w:trPr>
          <w:trHeight w:val="576" w:hRule="atLeast"/>
        </w:trPr>
        <w:tc>
          <w:tcPr>
            <w:tcW w:w="2300" w:type="dxa"/>
            <w:tcBorders>
              <w:top w:val="single" w:color="auto" w:sz="4" w:space="0"/>
              <w:left w:val="single" w:color="auto" w:sz="4" w:space="0"/>
              <w:bottom w:val="single" w:color="auto" w:sz="4" w:space="0"/>
              <w:right w:val="single" w:color="auto" w:sz="4" w:space="0"/>
            </w:tcBorders>
            <w:shd w:val="clear" w:color="auto" w:fill="auto"/>
            <w:vAlign w:val="center"/>
          </w:tcPr>
          <w:p w14:paraId="46ACAB8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指标</w:t>
            </w:r>
          </w:p>
        </w:tc>
        <w:tc>
          <w:tcPr>
            <w:tcW w:w="1220" w:type="dxa"/>
            <w:tcBorders>
              <w:top w:val="single" w:color="auto" w:sz="4" w:space="0"/>
              <w:left w:val="nil"/>
              <w:bottom w:val="single" w:color="auto" w:sz="4" w:space="0"/>
              <w:right w:val="single" w:color="auto" w:sz="4" w:space="0"/>
            </w:tcBorders>
            <w:shd w:val="clear" w:color="auto" w:fill="auto"/>
            <w:vAlign w:val="center"/>
          </w:tcPr>
          <w:p w14:paraId="693DB91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本项目</w:t>
            </w:r>
          </w:p>
        </w:tc>
        <w:tc>
          <w:tcPr>
            <w:tcW w:w="2060" w:type="dxa"/>
            <w:tcBorders>
              <w:top w:val="single" w:color="auto" w:sz="4" w:space="0"/>
              <w:left w:val="nil"/>
              <w:bottom w:val="single" w:color="auto" w:sz="4" w:space="0"/>
              <w:right w:val="single" w:color="auto" w:sz="4" w:space="0"/>
            </w:tcBorders>
            <w:shd w:val="clear" w:color="auto" w:fill="auto"/>
            <w:vAlign w:val="center"/>
          </w:tcPr>
          <w:p w14:paraId="7FF310D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宿迁港汇达港务码头项目</w:t>
            </w:r>
          </w:p>
        </w:tc>
        <w:tc>
          <w:tcPr>
            <w:tcW w:w="1800" w:type="dxa"/>
            <w:tcBorders>
              <w:top w:val="single" w:color="auto" w:sz="4" w:space="0"/>
              <w:left w:val="nil"/>
              <w:bottom w:val="single" w:color="auto" w:sz="4" w:space="0"/>
              <w:right w:val="single" w:color="auto" w:sz="4" w:space="0"/>
            </w:tcBorders>
            <w:shd w:val="clear" w:color="auto" w:fill="auto"/>
            <w:vAlign w:val="center"/>
          </w:tcPr>
          <w:p w14:paraId="2AD994E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金湖物流园码头项目</w:t>
            </w:r>
          </w:p>
        </w:tc>
        <w:tc>
          <w:tcPr>
            <w:tcW w:w="1720" w:type="dxa"/>
            <w:tcBorders>
              <w:top w:val="single" w:color="auto" w:sz="4" w:space="0"/>
              <w:left w:val="nil"/>
              <w:bottom w:val="single" w:color="auto" w:sz="4" w:space="0"/>
              <w:right w:val="single" w:color="auto" w:sz="4" w:space="0"/>
            </w:tcBorders>
            <w:shd w:val="clear" w:color="auto" w:fill="auto"/>
            <w:vAlign w:val="center"/>
          </w:tcPr>
          <w:p w14:paraId="7832D79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宜春港樟树港区码头</w:t>
            </w:r>
          </w:p>
        </w:tc>
      </w:tr>
      <w:tr w14:paraId="19A97831">
        <w:tblPrEx>
          <w:tblCellMar>
            <w:top w:w="0" w:type="dxa"/>
            <w:left w:w="108" w:type="dxa"/>
            <w:bottom w:w="0" w:type="dxa"/>
            <w:right w:w="108" w:type="dxa"/>
          </w:tblCellMar>
        </w:tblPrEx>
        <w:trPr>
          <w:trHeight w:val="288" w:hRule="atLeast"/>
        </w:trPr>
        <w:tc>
          <w:tcPr>
            <w:tcW w:w="2300" w:type="dxa"/>
            <w:tcBorders>
              <w:top w:val="nil"/>
              <w:left w:val="single" w:color="auto" w:sz="4" w:space="0"/>
              <w:bottom w:val="single" w:color="auto" w:sz="4" w:space="0"/>
              <w:right w:val="single" w:color="auto" w:sz="4" w:space="0"/>
            </w:tcBorders>
            <w:shd w:val="clear" w:color="auto" w:fill="auto"/>
            <w:vAlign w:val="center"/>
          </w:tcPr>
          <w:p w14:paraId="273E0EE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岸线利用率（万吨</w:t>
            </w:r>
            <w:r>
              <w:rPr>
                <w:rFonts w:eastAsia="宋体" w:cs="Times New Roman"/>
                <w:kern w:val="0"/>
                <w:sz w:val="21"/>
              </w:rPr>
              <w:t>/m</w:t>
            </w:r>
            <w:r>
              <w:rPr>
                <w:rFonts w:hint="eastAsia" w:ascii="宋体" w:hAnsi="宋体" w:eastAsia="宋体" w:cs="宋体"/>
                <w:kern w:val="0"/>
                <w:sz w:val="21"/>
              </w:rPr>
              <w:t>）</w:t>
            </w:r>
          </w:p>
        </w:tc>
        <w:tc>
          <w:tcPr>
            <w:tcW w:w="1220" w:type="dxa"/>
            <w:tcBorders>
              <w:top w:val="nil"/>
              <w:left w:val="nil"/>
              <w:bottom w:val="single" w:color="auto" w:sz="4" w:space="0"/>
              <w:right w:val="single" w:color="auto" w:sz="4" w:space="0"/>
            </w:tcBorders>
            <w:shd w:val="clear" w:color="auto" w:fill="auto"/>
            <w:vAlign w:val="center"/>
          </w:tcPr>
          <w:p w14:paraId="12CF5BE3">
            <w:pPr>
              <w:spacing w:line="240" w:lineRule="auto"/>
              <w:ind w:firstLine="0" w:firstLineChars="0"/>
              <w:jc w:val="center"/>
              <w:rPr>
                <w:rFonts w:eastAsia="等线" w:cs="Times New Roman"/>
                <w:kern w:val="0"/>
                <w:sz w:val="21"/>
              </w:rPr>
            </w:pPr>
            <w:r>
              <w:rPr>
                <w:rFonts w:eastAsia="等线" w:cs="Times New Roman"/>
                <w:kern w:val="0"/>
                <w:sz w:val="21"/>
              </w:rPr>
              <w:t>0.62</w:t>
            </w:r>
          </w:p>
        </w:tc>
        <w:tc>
          <w:tcPr>
            <w:tcW w:w="2060" w:type="dxa"/>
            <w:tcBorders>
              <w:top w:val="nil"/>
              <w:left w:val="nil"/>
              <w:bottom w:val="single" w:color="auto" w:sz="4" w:space="0"/>
              <w:right w:val="single" w:color="auto" w:sz="4" w:space="0"/>
            </w:tcBorders>
            <w:shd w:val="clear" w:color="auto" w:fill="auto"/>
            <w:vAlign w:val="center"/>
          </w:tcPr>
          <w:p w14:paraId="3804D960">
            <w:pPr>
              <w:spacing w:line="240" w:lineRule="auto"/>
              <w:ind w:firstLine="0" w:firstLineChars="0"/>
              <w:jc w:val="center"/>
              <w:rPr>
                <w:rFonts w:eastAsia="等线" w:cs="Times New Roman"/>
                <w:kern w:val="0"/>
                <w:sz w:val="21"/>
              </w:rPr>
            </w:pPr>
            <w:r>
              <w:rPr>
                <w:rFonts w:eastAsia="等线" w:cs="Times New Roman"/>
                <w:kern w:val="0"/>
                <w:sz w:val="21"/>
              </w:rPr>
              <w:t>2.58</w:t>
            </w:r>
          </w:p>
        </w:tc>
        <w:tc>
          <w:tcPr>
            <w:tcW w:w="1800" w:type="dxa"/>
            <w:tcBorders>
              <w:top w:val="nil"/>
              <w:left w:val="nil"/>
              <w:bottom w:val="single" w:color="auto" w:sz="4" w:space="0"/>
              <w:right w:val="single" w:color="auto" w:sz="4" w:space="0"/>
            </w:tcBorders>
            <w:shd w:val="clear" w:color="auto" w:fill="auto"/>
            <w:vAlign w:val="center"/>
          </w:tcPr>
          <w:p w14:paraId="2D13FD69">
            <w:pPr>
              <w:spacing w:line="240" w:lineRule="auto"/>
              <w:ind w:firstLine="0" w:firstLineChars="0"/>
              <w:jc w:val="center"/>
              <w:rPr>
                <w:rFonts w:eastAsia="等线" w:cs="Times New Roman"/>
                <w:kern w:val="0"/>
                <w:sz w:val="21"/>
              </w:rPr>
            </w:pPr>
            <w:r>
              <w:rPr>
                <w:rFonts w:eastAsia="等线" w:cs="Times New Roman"/>
                <w:kern w:val="0"/>
                <w:sz w:val="21"/>
              </w:rPr>
              <w:t>0.5</w:t>
            </w:r>
          </w:p>
        </w:tc>
        <w:tc>
          <w:tcPr>
            <w:tcW w:w="1720" w:type="dxa"/>
            <w:tcBorders>
              <w:top w:val="nil"/>
              <w:left w:val="nil"/>
              <w:bottom w:val="single" w:color="auto" w:sz="4" w:space="0"/>
              <w:right w:val="single" w:color="auto" w:sz="4" w:space="0"/>
            </w:tcBorders>
            <w:shd w:val="clear" w:color="auto" w:fill="auto"/>
            <w:vAlign w:val="center"/>
          </w:tcPr>
          <w:p w14:paraId="72ED6E32">
            <w:pPr>
              <w:spacing w:line="240" w:lineRule="auto"/>
              <w:ind w:firstLine="0" w:firstLineChars="0"/>
              <w:jc w:val="center"/>
              <w:rPr>
                <w:rFonts w:eastAsia="等线" w:cs="Times New Roman"/>
                <w:kern w:val="0"/>
                <w:sz w:val="21"/>
              </w:rPr>
            </w:pPr>
            <w:r>
              <w:rPr>
                <w:rFonts w:eastAsia="等线" w:cs="Times New Roman"/>
                <w:kern w:val="0"/>
                <w:sz w:val="21"/>
              </w:rPr>
              <w:t>1.03</w:t>
            </w:r>
          </w:p>
        </w:tc>
      </w:tr>
      <w:tr w14:paraId="4EB0931D">
        <w:tblPrEx>
          <w:tblCellMar>
            <w:top w:w="0" w:type="dxa"/>
            <w:left w:w="108" w:type="dxa"/>
            <w:bottom w:w="0" w:type="dxa"/>
            <w:right w:w="108" w:type="dxa"/>
          </w:tblCellMar>
        </w:tblPrEx>
        <w:trPr>
          <w:trHeight w:val="288" w:hRule="atLeast"/>
        </w:trPr>
        <w:tc>
          <w:tcPr>
            <w:tcW w:w="2300" w:type="dxa"/>
            <w:tcBorders>
              <w:top w:val="nil"/>
              <w:left w:val="single" w:color="auto" w:sz="4" w:space="0"/>
              <w:bottom w:val="single" w:color="auto" w:sz="4" w:space="0"/>
              <w:right w:val="single" w:color="auto" w:sz="4" w:space="0"/>
            </w:tcBorders>
            <w:shd w:val="clear" w:color="auto" w:fill="auto"/>
            <w:vAlign w:val="center"/>
          </w:tcPr>
          <w:p w14:paraId="1574A56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回用水率（</w:t>
            </w:r>
            <w:r>
              <w:rPr>
                <w:rFonts w:eastAsia="宋体" w:cs="Times New Roman"/>
                <w:kern w:val="0"/>
                <w:sz w:val="21"/>
              </w:rPr>
              <w:t>%</w:t>
            </w:r>
            <w:r>
              <w:rPr>
                <w:rFonts w:hint="eastAsia" w:ascii="宋体" w:hAnsi="宋体" w:eastAsia="宋体" w:cs="宋体"/>
                <w:kern w:val="0"/>
                <w:sz w:val="21"/>
              </w:rPr>
              <w:t>）</w:t>
            </w:r>
          </w:p>
        </w:tc>
        <w:tc>
          <w:tcPr>
            <w:tcW w:w="1220" w:type="dxa"/>
            <w:tcBorders>
              <w:top w:val="nil"/>
              <w:left w:val="nil"/>
              <w:bottom w:val="single" w:color="auto" w:sz="4" w:space="0"/>
              <w:right w:val="single" w:color="auto" w:sz="4" w:space="0"/>
            </w:tcBorders>
            <w:shd w:val="clear" w:color="auto" w:fill="auto"/>
            <w:vAlign w:val="center"/>
          </w:tcPr>
          <w:p w14:paraId="36F928D8">
            <w:pPr>
              <w:spacing w:line="240" w:lineRule="auto"/>
              <w:ind w:firstLine="0" w:firstLineChars="0"/>
              <w:jc w:val="center"/>
              <w:rPr>
                <w:rFonts w:eastAsia="等线" w:cs="Times New Roman"/>
                <w:kern w:val="0"/>
                <w:sz w:val="21"/>
              </w:rPr>
            </w:pPr>
            <w:r>
              <w:rPr>
                <w:rFonts w:eastAsia="等线" w:cs="Times New Roman"/>
                <w:kern w:val="0"/>
                <w:sz w:val="21"/>
              </w:rPr>
              <w:t>100</w:t>
            </w:r>
          </w:p>
        </w:tc>
        <w:tc>
          <w:tcPr>
            <w:tcW w:w="2060" w:type="dxa"/>
            <w:tcBorders>
              <w:top w:val="nil"/>
              <w:left w:val="nil"/>
              <w:bottom w:val="single" w:color="auto" w:sz="4" w:space="0"/>
              <w:right w:val="single" w:color="auto" w:sz="4" w:space="0"/>
            </w:tcBorders>
            <w:shd w:val="clear" w:color="auto" w:fill="auto"/>
            <w:vAlign w:val="center"/>
          </w:tcPr>
          <w:p w14:paraId="0FA0BF90">
            <w:pPr>
              <w:spacing w:line="240" w:lineRule="auto"/>
              <w:ind w:firstLine="0" w:firstLineChars="0"/>
              <w:jc w:val="center"/>
              <w:rPr>
                <w:rFonts w:eastAsia="等线" w:cs="Times New Roman"/>
                <w:kern w:val="0"/>
                <w:sz w:val="21"/>
              </w:rPr>
            </w:pPr>
            <w:r>
              <w:rPr>
                <w:rFonts w:eastAsia="等线" w:cs="Times New Roman"/>
                <w:kern w:val="0"/>
                <w:sz w:val="21"/>
              </w:rPr>
              <w:t>10</w:t>
            </w:r>
          </w:p>
        </w:tc>
        <w:tc>
          <w:tcPr>
            <w:tcW w:w="1800" w:type="dxa"/>
            <w:tcBorders>
              <w:top w:val="nil"/>
              <w:left w:val="nil"/>
              <w:bottom w:val="single" w:color="auto" w:sz="4" w:space="0"/>
              <w:right w:val="single" w:color="auto" w:sz="4" w:space="0"/>
            </w:tcBorders>
            <w:shd w:val="clear" w:color="auto" w:fill="auto"/>
            <w:vAlign w:val="center"/>
          </w:tcPr>
          <w:p w14:paraId="24E1A9AB">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1720" w:type="dxa"/>
            <w:tcBorders>
              <w:top w:val="nil"/>
              <w:left w:val="nil"/>
              <w:bottom w:val="single" w:color="auto" w:sz="4" w:space="0"/>
              <w:right w:val="single" w:color="auto" w:sz="4" w:space="0"/>
            </w:tcBorders>
            <w:shd w:val="clear" w:color="auto" w:fill="auto"/>
            <w:vAlign w:val="center"/>
          </w:tcPr>
          <w:p w14:paraId="0036BB00">
            <w:pPr>
              <w:spacing w:line="240" w:lineRule="auto"/>
              <w:ind w:firstLine="0" w:firstLineChars="0"/>
              <w:jc w:val="center"/>
              <w:rPr>
                <w:rFonts w:eastAsia="等线" w:cs="Times New Roman"/>
                <w:kern w:val="0"/>
                <w:sz w:val="21"/>
              </w:rPr>
            </w:pPr>
            <w:r>
              <w:rPr>
                <w:rFonts w:eastAsia="等线" w:cs="Times New Roman"/>
                <w:kern w:val="0"/>
                <w:sz w:val="21"/>
              </w:rPr>
              <w:t>50</w:t>
            </w:r>
          </w:p>
        </w:tc>
      </w:tr>
      <w:tr w14:paraId="697BAD57">
        <w:tblPrEx>
          <w:tblCellMar>
            <w:top w:w="0" w:type="dxa"/>
            <w:left w:w="108" w:type="dxa"/>
            <w:bottom w:w="0" w:type="dxa"/>
            <w:right w:w="108" w:type="dxa"/>
          </w:tblCellMar>
        </w:tblPrEx>
        <w:trPr>
          <w:trHeight w:val="624" w:hRule="atLeast"/>
        </w:trPr>
        <w:tc>
          <w:tcPr>
            <w:tcW w:w="2300" w:type="dxa"/>
            <w:tcBorders>
              <w:top w:val="nil"/>
              <w:left w:val="single" w:color="auto" w:sz="4" w:space="0"/>
              <w:bottom w:val="single" w:color="auto" w:sz="4" w:space="0"/>
              <w:right w:val="single" w:color="auto" w:sz="4" w:space="0"/>
            </w:tcBorders>
            <w:shd w:val="clear" w:color="auto" w:fill="auto"/>
            <w:vAlign w:val="center"/>
          </w:tcPr>
          <w:p w14:paraId="6708AE8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单位吞吐量废水排放量（</w:t>
            </w:r>
            <w:r>
              <w:rPr>
                <w:rFonts w:eastAsia="宋体" w:cs="Times New Roman"/>
                <w:kern w:val="0"/>
                <w:sz w:val="21"/>
              </w:rPr>
              <w:t>m</w:t>
            </w:r>
            <w:r>
              <w:rPr>
                <w:rFonts w:eastAsia="宋体" w:cs="Times New Roman"/>
                <w:kern w:val="0"/>
                <w:sz w:val="21"/>
                <w:vertAlign w:val="superscript"/>
              </w:rPr>
              <w:t>3</w:t>
            </w:r>
            <w:r>
              <w:rPr>
                <w:rFonts w:eastAsia="宋体" w:cs="Times New Roman"/>
                <w:kern w:val="0"/>
                <w:sz w:val="21"/>
              </w:rPr>
              <w:t>/t</w:t>
            </w:r>
            <w:r>
              <w:rPr>
                <w:rFonts w:hint="eastAsia" w:ascii="宋体" w:hAnsi="宋体" w:eastAsia="宋体" w:cs="宋体"/>
                <w:kern w:val="0"/>
                <w:sz w:val="21"/>
              </w:rPr>
              <w:t>）</w:t>
            </w:r>
          </w:p>
        </w:tc>
        <w:tc>
          <w:tcPr>
            <w:tcW w:w="1220" w:type="dxa"/>
            <w:tcBorders>
              <w:top w:val="nil"/>
              <w:left w:val="nil"/>
              <w:bottom w:val="single" w:color="auto" w:sz="4" w:space="0"/>
              <w:right w:val="single" w:color="auto" w:sz="4" w:space="0"/>
            </w:tcBorders>
            <w:shd w:val="clear" w:color="auto" w:fill="auto"/>
            <w:vAlign w:val="center"/>
          </w:tcPr>
          <w:p w14:paraId="531B737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2060" w:type="dxa"/>
            <w:tcBorders>
              <w:top w:val="nil"/>
              <w:left w:val="nil"/>
              <w:bottom w:val="single" w:color="auto" w:sz="4" w:space="0"/>
              <w:right w:val="single" w:color="auto" w:sz="4" w:space="0"/>
            </w:tcBorders>
            <w:shd w:val="clear" w:color="auto" w:fill="auto"/>
            <w:vAlign w:val="center"/>
          </w:tcPr>
          <w:p w14:paraId="5F296595">
            <w:pPr>
              <w:spacing w:line="240" w:lineRule="auto"/>
              <w:ind w:firstLine="0" w:firstLineChars="0"/>
              <w:jc w:val="center"/>
              <w:rPr>
                <w:rFonts w:eastAsia="等线" w:cs="Times New Roman"/>
                <w:kern w:val="0"/>
                <w:sz w:val="21"/>
              </w:rPr>
            </w:pPr>
            <w:r>
              <w:rPr>
                <w:rFonts w:eastAsia="等线" w:cs="Times New Roman"/>
                <w:kern w:val="0"/>
                <w:sz w:val="21"/>
              </w:rPr>
              <w:t>0.0088</w:t>
            </w:r>
          </w:p>
        </w:tc>
        <w:tc>
          <w:tcPr>
            <w:tcW w:w="1800" w:type="dxa"/>
            <w:tcBorders>
              <w:top w:val="nil"/>
              <w:left w:val="nil"/>
              <w:bottom w:val="single" w:color="auto" w:sz="4" w:space="0"/>
              <w:right w:val="single" w:color="auto" w:sz="4" w:space="0"/>
            </w:tcBorders>
            <w:shd w:val="clear" w:color="auto" w:fill="auto"/>
            <w:vAlign w:val="center"/>
          </w:tcPr>
          <w:p w14:paraId="522AFEA9">
            <w:pPr>
              <w:spacing w:line="240" w:lineRule="auto"/>
              <w:ind w:firstLine="0" w:firstLineChars="0"/>
              <w:jc w:val="center"/>
              <w:rPr>
                <w:rFonts w:eastAsia="等线" w:cs="Times New Roman"/>
                <w:kern w:val="0"/>
                <w:sz w:val="21"/>
              </w:rPr>
            </w:pPr>
            <w:r>
              <w:rPr>
                <w:rFonts w:eastAsia="等线" w:cs="Times New Roman"/>
                <w:kern w:val="0"/>
                <w:sz w:val="21"/>
              </w:rPr>
              <w:t>0.013</w:t>
            </w:r>
          </w:p>
        </w:tc>
        <w:tc>
          <w:tcPr>
            <w:tcW w:w="1720" w:type="dxa"/>
            <w:tcBorders>
              <w:top w:val="nil"/>
              <w:left w:val="nil"/>
              <w:bottom w:val="single" w:color="auto" w:sz="4" w:space="0"/>
              <w:right w:val="single" w:color="auto" w:sz="4" w:space="0"/>
            </w:tcBorders>
            <w:shd w:val="clear" w:color="auto" w:fill="auto"/>
            <w:vAlign w:val="center"/>
          </w:tcPr>
          <w:p w14:paraId="56788B0F">
            <w:pPr>
              <w:spacing w:line="240" w:lineRule="auto"/>
              <w:ind w:firstLine="0" w:firstLineChars="0"/>
              <w:jc w:val="center"/>
              <w:rPr>
                <w:rFonts w:eastAsia="等线" w:cs="Times New Roman"/>
                <w:kern w:val="0"/>
                <w:sz w:val="21"/>
              </w:rPr>
            </w:pPr>
            <w:r>
              <w:rPr>
                <w:rFonts w:eastAsia="等线" w:cs="Times New Roman"/>
                <w:kern w:val="0"/>
                <w:sz w:val="21"/>
              </w:rPr>
              <w:t>0.003</w:t>
            </w:r>
          </w:p>
        </w:tc>
      </w:tr>
      <w:tr w14:paraId="14D9F2E1">
        <w:tblPrEx>
          <w:tblCellMar>
            <w:top w:w="0" w:type="dxa"/>
            <w:left w:w="108" w:type="dxa"/>
            <w:bottom w:w="0" w:type="dxa"/>
            <w:right w:w="108" w:type="dxa"/>
          </w:tblCellMar>
        </w:tblPrEx>
        <w:trPr>
          <w:trHeight w:val="576" w:hRule="atLeast"/>
        </w:trPr>
        <w:tc>
          <w:tcPr>
            <w:tcW w:w="2300" w:type="dxa"/>
            <w:tcBorders>
              <w:top w:val="nil"/>
              <w:left w:val="single" w:color="auto" w:sz="4" w:space="0"/>
              <w:bottom w:val="single" w:color="auto" w:sz="4" w:space="0"/>
              <w:right w:val="single" w:color="auto" w:sz="4" w:space="0"/>
            </w:tcBorders>
            <w:shd w:val="clear" w:color="auto" w:fill="auto"/>
            <w:vAlign w:val="center"/>
          </w:tcPr>
          <w:p w14:paraId="48B5DC3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单位吞吐量</w:t>
            </w:r>
            <w:r>
              <w:rPr>
                <w:rFonts w:eastAsia="宋体" w:cs="Times New Roman"/>
                <w:kern w:val="0"/>
                <w:sz w:val="21"/>
              </w:rPr>
              <w:t>COD</w:t>
            </w:r>
            <w:r>
              <w:rPr>
                <w:rFonts w:hint="eastAsia" w:ascii="宋体" w:hAnsi="宋体" w:eastAsia="宋体" w:cs="宋体"/>
                <w:kern w:val="0"/>
                <w:sz w:val="21"/>
              </w:rPr>
              <w:t>排放量（</w:t>
            </w:r>
            <w:r>
              <w:rPr>
                <w:rFonts w:eastAsia="宋体" w:cs="Times New Roman"/>
                <w:kern w:val="0"/>
                <w:sz w:val="21"/>
              </w:rPr>
              <w:t>t/</w:t>
            </w:r>
            <w:r>
              <w:rPr>
                <w:rFonts w:hint="eastAsia" w:ascii="宋体" w:hAnsi="宋体" w:eastAsia="宋体" w:cs="宋体"/>
                <w:kern w:val="0"/>
                <w:sz w:val="21"/>
              </w:rPr>
              <w:t>万</w:t>
            </w:r>
            <w:r>
              <w:rPr>
                <w:rFonts w:eastAsia="宋体" w:cs="Times New Roman"/>
                <w:kern w:val="0"/>
                <w:sz w:val="21"/>
              </w:rPr>
              <w:t>t</w:t>
            </w:r>
            <w:r>
              <w:rPr>
                <w:rFonts w:hint="eastAsia" w:ascii="宋体" w:hAnsi="宋体" w:eastAsia="宋体" w:cs="宋体"/>
                <w:kern w:val="0"/>
                <w:sz w:val="21"/>
              </w:rPr>
              <w:t>）</w:t>
            </w:r>
          </w:p>
        </w:tc>
        <w:tc>
          <w:tcPr>
            <w:tcW w:w="1220" w:type="dxa"/>
            <w:tcBorders>
              <w:top w:val="nil"/>
              <w:left w:val="nil"/>
              <w:bottom w:val="single" w:color="auto" w:sz="4" w:space="0"/>
              <w:right w:val="single" w:color="auto" w:sz="4" w:space="0"/>
            </w:tcBorders>
            <w:shd w:val="clear" w:color="auto" w:fill="auto"/>
            <w:vAlign w:val="center"/>
          </w:tcPr>
          <w:p w14:paraId="03CDFC41">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2060" w:type="dxa"/>
            <w:tcBorders>
              <w:top w:val="nil"/>
              <w:left w:val="nil"/>
              <w:bottom w:val="single" w:color="auto" w:sz="4" w:space="0"/>
              <w:right w:val="single" w:color="auto" w:sz="4" w:space="0"/>
            </w:tcBorders>
            <w:shd w:val="clear" w:color="auto" w:fill="auto"/>
            <w:vAlign w:val="center"/>
          </w:tcPr>
          <w:p w14:paraId="10530E07">
            <w:pPr>
              <w:spacing w:line="240" w:lineRule="auto"/>
              <w:ind w:firstLine="0" w:firstLineChars="0"/>
              <w:jc w:val="center"/>
              <w:rPr>
                <w:rFonts w:eastAsia="等线" w:cs="Times New Roman"/>
                <w:kern w:val="0"/>
                <w:sz w:val="21"/>
              </w:rPr>
            </w:pPr>
            <w:r>
              <w:rPr>
                <w:rFonts w:eastAsia="等线" w:cs="Times New Roman"/>
                <w:kern w:val="0"/>
                <w:sz w:val="21"/>
              </w:rPr>
              <w:t>0.0044</w:t>
            </w:r>
          </w:p>
        </w:tc>
        <w:tc>
          <w:tcPr>
            <w:tcW w:w="1800" w:type="dxa"/>
            <w:tcBorders>
              <w:top w:val="nil"/>
              <w:left w:val="nil"/>
              <w:bottom w:val="single" w:color="auto" w:sz="4" w:space="0"/>
              <w:right w:val="single" w:color="auto" w:sz="4" w:space="0"/>
            </w:tcBorders>
            <w:shd w:val="clear" w:color="auto" w:fill="auto"/>
            <w:vAlign w:val="center"/>
          </w:tcPr>
          <w:p w14:paraId="5D4DCFCC">
            <w:pPr>
              <w:spacing w:line="240" w:lineRule="auto"/>
              <w:ind w:firstLine="0" w:firstLineChars="0"/>
              <w:jc w:val="center"/>
              <w:rPr>
                <w:rFonts w:eastAsia="等线" w:cs="Times New Roman"/>
                <w:kern w:val="0"/>
                <w:sz w:val="21"/>
              </w:rPr>
            </w:pPr>
            <w:r>
              <w:rPr>
                <w:rFonts w:eastAsia="等线" w:cs="Times New Roman"/>
                <w:kern w:val="0"/>
                <w:sz w:val="21"/>
              </w:rPr>
              <w:t>0.0067</w:t>
            </w:r>
          </w:p>
        </w:tc>
        <w:tc>
          <w:tcPr>
            <w:tcW w:w="1720" w:type="dxa"/>
            <w:tcBorders>
              <w:top w:val="nil"/>
              <w:left w:val="nil"/>
              <w:bottom w:val="single" w:color="auto" w:sz="4" w:space="0"/>
              <w:right w:val="single" w:color="auto" w:sz="4" w:space="0"/>
            </w:tcBorders>
            <w:shd w:val="clear" w:color="auto" w:fill="auto"/>
            <w:vAlign w:val="center"/>
          </w:tcPr>
          <w:p w14:paraId="0D29BA3A">
            <w:pPr>
              <w:spacing w:line="240" w:lineRule="auto"/>
              <w:ind w:firstLine="0" w:firstLineChars="0"/>
              <w:jc w:val="center"/>
              <w:rPr>
                <w:rFonts w:eastAsia="等线" w:cs="Times New Roman"/>
                <w:kern w:val="0"/>
                <w:sz w:val="21"/>
              </w:rPr>
            </w:pPr>
            <w:r>
              <w:rPr>
                <w:rFonts w:eastAsia="等线" w:cs="Times New Roman"/>
                <w:kern w:val="0"/>
                <w:sz w:val="21"/>
              </w:rPr>
              <w:t>0.0014</w:t>
            </w:r>
          </w:p>
        </w:tc>
      </w:tr>
    </w:tbl>
    <w:p w14:paraId="084750DF">
      <w:pPr>
        <w:pStyle w:val="196"/>
      </w:pPr>
    </w:p>
    <w:p w14:paraId="429E0D80">
      <w:pPr>
        <w:ind w:firstLine="482"/>
        <w:rPr>
          <w:b/>
          <w:bCs/>
        </w:rPr>
        <w:sectPr>
          <w:pgSz w:w="11906" w:h="16838"/>
          <w:pgMar w:top="1418" w:right="1418" w:bottom="1418" w:left="1418" w:header="851" w:footer="992" w:gutter="0"/>
          <w:cols w:space="720" w:num="1"/>
          <w:docGrid w:type="lines" w:linePitch="312" w:charSpace="0"/>
        </w:sectPr>
      </w:pPr>
    </w:p>
    <w:p w14:paraId="2AD51267">
      <w:pPr>
        <w:pStyle w:val="76"/>
      </w:pPr>
      <w:bookmarkStart w:id="226" w:name="_Toc17260"/>
      <w:bookmarkEnd w:id="226"/>
      <w:bookmarkStart w:id="227" w:name="_Toc182171817"/>
      <w:bookmarkStart w:id="228" w:name="_Toc21295"/>
      <w:bookmarkStart w:id="229" w:name="OLE_LINK5"/>
      <w:r>
        <w:rPr>
          <w:rFonts w:hint="eastAsia"/>
        </w:rPr>
        <w:t>环境现状调查与评价</w:t>
      </w:r>
      <w:bookmarkEnd w:id="227"/>
      <w:bookmarkEnd w:id="228"/>
      <w:bookmarkStart w:id="230" w:name="_Toc10703"/>
      <w:bookmarkEnd w:id="230"/>
      <w:bookmarkStart w:id="231" w:name="_Toc8357"/>
      <w:bookmarkEnd w:id="231"/>
      <w:bookmarkStart w:id="232" w:name="_Toc4385"/>
      <w:bookmarkEnd w:id="232"/>
    </w:p>
    <w:bookmarkEnd w:id="229"/>
    <w:p w14:paraId="4B2FB1EA">
      <w:pPr>
        <w:pStyle w:val="80"/>
      </w:pPr>
      <w:bookmarkStart w:id="233" w:name="_Toc13910"/>
      <w:bookmarkEnd w:id="233"/>
      <w:bookmarkStart w:id="234" w:name="_Toc182171818"/>
      <w:bookmarkStart w:id="235" w:name="_Toc22013"/>
      <w:r>
        <w:rPr>
          <w:rFonts w:hint="eastAsia"/>
        </w:rPr>
        <w:t>项目区自然环境简况</w:t>
      </w:r>
      <w:bookmarkEnd w:id="234"/>
      <w:bookmarkEnd w:id="235"/>
    </w:p>
    <w:p w14:paraId="7FC93632">
      <w:pPr>
        <w:pStyle w:val="82"/>
      </w:pPr>
      <w:r>
        <w:rPr>
          <w:rFonts w:hint="eastAsia"/>
        </w:rPr>
        <w:t>地理位置</w:t>
      </w:r>
    </w:p>
    <w:p w14:paraId="65311459">
      <w:pPr>
        <w:pStyle w:val="93"/>
      </w:pPr>
      <w:r>
        <w:rPr>
          <w:rFonts w:hint="eastAsia"/>
        </w:rPr>
        <w:t>本项目位于江苏省淮安市涟水县朱码街道高台村，建设项目地理位置图见图3.2-1。</w:t>
      </w:r>
    </w:p>
    <w:p w14:paraId="26E681A9">
      <w:pPr>
        <w:pStyle w:val="93"/>
      </w:pPr>
      <w:r>
        <w:rPr>
          <w:rFonts w:hint="eastAsia"/>
        </w:rPr>
        <w:t>涟水县地处江苏省域北，黄淮平原东部，淮河下游，位于北纬 33°39′—34°07′、东经 118°59′—119°46′之间，东与盐城市阜宁、滨海、响水三县为邻，西与淮安市淮阴区、宿迁市沭阳县接壤，南与淮安经济技术开发区、淮安市淮安区隔古淮河相望，北与连云港市灌南县毗连。东西长60千米，南北宽51.5千米，县域面积1677.47平方千米。下辖4个街道、12个镇、1个省级经济开发区。</w:t>
      </w:r>
    </w:p>
    <w:p w14:paraId="7408F660">
      <w:pPr>
        <w:pStyle w:val="93"/>
      </w:pPr>
      <w:r>
        <w:rPr>
          <w:rFonts w:hint="eastAsia"/>
        </w:rPr>
        <w:t>本项目位于淮安市涟水县朱码街道高台村国能涟水一期热电联产项目厂区内，淮安市涟水县盐河朱码闸下游约4.3km处，盐河左岸。</w:t>
      </w:r>
    </w:p>
    <w:p w14:paraId="16E0B3BE">
      <w:pPr>
        <w:pStyle w:val="82"/>
      </w:pPr>
      <w:r>
        <w:rPr>
          <w:rFonts w:hint="eastAsia"/>
        </w:rPr>
        <w:t>地形地貌</w:t>
      </w:r>
    </w:p>
    <w:p w14:paraId="455C4508">
      <w:pPr>
        <w:pStyle w:val="93"/>
      </w:pPr>
      <w:r>
        <w:rPr>
          <w:rFonts w:hint="eastAsia"/>
        </w:rPr>
        <w:t>涟水县处于我国东部新华夏系第二沉降带与秦岭昆仑纬向构造带和淮阴山</w:t>
      </w:r>
      <w:r>
        <w:rPr>
          <w:rFonts w:hint="eastAsia"/>
          <w:lang w:eastAsia="zh-CN"/>
        </w:rPr>
        <w:t>字形</w:t>
      </w:r>
      <w:r>
        <w:rPr>
          <w:rFonts w:hint="eastAsia"/>
        </w:rPr>
        <w:t>外带相复交合地</w:t>
      </w:r>
      <w:r>
        <w:rPr>
          <w:rFonts w:hint="eastAsia"/>
          <w:lang w:eastAsia="zh-CN"/>
        </w:rPr>
        <w:t>位</w:t>
      </w:r>
      <w:r>
        <w:rPr>
          <w:rFonts w:hint="eastAsia"/>
        </w:rPr>
        <w:t>、扬子准地台的苏北凹陷区。基底纬前震旦系泰山群变质岩类，上覆有第三系、第四系松散堆积层。第三系下部为峰山组，岩性以粉细砂和含砾中砂为主，局部间夹薄层粘土，上部为下草弯组，主要岩性为粘土、亚粘土，夹中细砂薄层。第四系自下而上分为三层，第一层为洪水期，第二层属冲洪积层，第三层属海陆交替相沉积层，地震烈度为7度。</w:t>
      </w:r>
    </w:p>
    <w:p w14:paraId="7FD128E8">
      <w:pPr>
        <w:pStyle w:val="93"/>
      </w:pPr>
      <w:r>
        <w:rPr>
          <w:rFonts w:hint="eastAsia"/>
        </w:rPr>
        <w:t>涟水县位于徐淮平原的东南部，以废黄河决口扇堆积地形为主，陆地占95%。县内总的地势是西南高、东北低，坡隆1/1000左右，最高点位于西南部废黄河滩地，高程15.4m，最低点位于东北部唐集附近，高程2.7m。平均</w:t>
      </w:r>
      <w:r>
        <w:rPr>
          <w:rFonts w:hint="eastAsia"/>
          <w:lang w:eastAsia="zh-CN"/>
        </w:rPr>
        <w:t>海拔</w:t>
      </w:r>
      <w:r>
        <w:rPr>
          <w:rFonts w:hint="eastAsia"/>
        </w:rPr>
        <w:t>介于9</w:t>
      </w:r>
      <w:r>
        <w:rPr>
          <w:rFonts w:hint="eastAsia"/>
          <w:lang w:eastAsia="zh-CN"/>
        </w:rPr>
        <w:t>—</w:t>
      </w:r>
      <w:r>
        <w:rPr>
          <w:rFonts w:hint="eastAsia"/>
        </w:rPr>
        <w:t>5m之间。</w:t>
      </w:r>
    </w:p>
    <w:p w14:paraId="161B46CB">
      <w:pPr>
        <w:pStyle w:val="93"/>
      </w:pPr>
      <w:r>
        <w:rPr>
          <w:rFonts w:hint="eastAsia"/>
        </w:rPr>
        <w:t>地貌类型分为盐河高地（滩）、平原坡地和湖荡洼地三类。盐河高地包括废黄河高地、六塘河高地和张河高地，面积为30.5万亩，海拔在9m以上，坡度较大；平原坡地包括全县大部分地区，面积143.8万亩，海拔在6</w:t>
      </w:r>
      <w:r>
        <w:rPr>
          <w:rFonts w:hint="eastAsia"/>
          <w:lang w:eastAsia="zh-CN"/>
        </w:rPr>
        <w:t>—</w:t>
      </w:r>
      <w:r>
        <w:rPr>
          <w:rFonts w:hint="eastAsia"/>
        </w:rPr>
        <w:t>8m；湖荡洼地以佃湖荡洼地和公兴河下游洼地及古硕项湖洼地为主，面积66.7万亩，海拔在6m以下，部分不足3m。</w:t>
      </w:r>
    </w:p>
    <w:p w14:paraId="2F778CA0">
      <w:pPr>
        <w:pStyle w:val="82"/>
      </w:pPr>
      <w:bookmarkStart w:id="236" w:name="_Hlk181748586"/>
      <w:r>
        <w:rPr>
          <w:rFonts w:hint="eastAsia"/>
        </w:rPr>
        <w:t>气候气象</w:t>
      </w:r>
    </w:p>
    <w:bookmarkEnd w:id="236"/>
    <w:p w14:paraId="185A966B">
      <w:pPr>
        <w:pStyle w:val="93"/>
      </w:pPr>
      <w:bookmarkStart w:id="237" w:name="_Hlk181748577"/>
      <w:r>
        <w:rPr>
          <w:rFonts w:hint="eastAsia"/>
        </w:rPr>
        <w:t>涟水县属温带季风气候，冬干冷夏温热，春秋温和，四季分明。冬季主导风向为东北偏东（NEE）风，夏季主导风向为东南偏南（SSE）风。年平均日照时数2293.4小时。年平均气温14℃，</w:t>
      </w:r>
      <w:r>
        <w:rPr>
          <w:rFonts w:hint="eastAsia"/>
          <w:lang w:eastAsia="zh-CN"/>
        </w:rPr>
        <w:t>平均年降水量</w:t>
      </w:r>
      <w:r>
        <w:rPr>
          <w:rFonts w:hint="eastAsia"/>
        </w:rPr>
        <w:t>966.1毫米，年平均降水天数101天，年平均蒸发量1414.4毫米，年平均相对湿度77%，年平均风速2.7米/秒。建设项目所在地的主要气象特征见表4.1-1。</w:t>
      </w:r>
    </w:p>
    <w:p w14:paraId="66493480">
      <w:pPr>
        <w:pStyle w:val="86"/>
      </w:pPr>
      <w:r>
        <w:rPr>
          <w:rFonts w:hint="eastAsia"/>
        </w:rPr>
        <w:t>主要气象气候特征（涟水气象站近20年统计）</w:t>
      </w:r>
    </w:p>
    <w:tbl>
      <w:tblPr>
        <w:tblStyle w:val="3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40"/>
        <w:gridCol w:w="3060"/>
        <w:gridCol w:w="1621"/>
        <w:gridCol w:w="1400"/>
      </w:tblGrid>
      <w:tr w14:paraId="0855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Align w:val="center"/>
          </w:tcPr>
          <w:p w14:paraId="21700418">
            <w:pPr>
              <w:pStyle w:val="196"/>
            </w:pPr>
            <w:r>
              <w:rPr>
                <w:rFonts w:hint="eastAsia"/>
              </w:rPr>
              <w:t>序号</w:t>
            </w:r>
          </w:p>
        </w:tc>
        <w:tc>
          <w:tcPr>
            <w:tcW w:w="4500" w:type="dxa"/>
            <w:gridSpan w:val="2"/>
            <w:vAlign w:val="center"/>
          </w:tcPr>
          <w:p w14:paraId="6159CE48">
            <w:pPr>
              <w:pStyle w:val="196"/>
            </w:pPr>
            <w:r>
              <w:rPr>
                <w:rFonts w:hint="eastAsia"/>
              </w:rPr>
              <w:t>项目</w:t>
            </w:r>
          </w:p>
        </w:tc>
        <w:tc>
          <w:tcPr>
            <w:tcW w:w="1621" w:type="dxa"/>
            <w:vAlign w:val="center"/>
          </w:tcPr>
          <w:p w14:paraId="4D4B7786">
            <w:pPr>
              <w:pStyle w:val="196"/>
            </w:pPr>
            <w:r>
              <w:rPr>
                <w:rFonts w:hint="eastAsia"/>
              </w:rPr>
              <w:t>数值</w:t>
            </w:r>
          </w:p>
        </w:tc>
        <w:tc>
          <w:tcPr>
            <w:tcW w:w="1400" w:type="dxa"/>
            <w:vAlign w:val="center"/>
          </w:tcPr>
          <w:p w14:paraId="63352193">
            <w:pPr>
              <w:pStyle w:val="196"/>
            </w:pPr>
            <w:r>
              <w:rPr>
                <w:rFonts w:hint="eastAsia"/>
              </w:rPr>
              <w:t>单位</w:t>
            </w:r>
          </w:p>
        </w:tc>
      </w:tr>
      <w:tr w14:paraId="601F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restart"/>
            <w:vAlign w:val="center"/>
          </w:tcPr>
          <w:p w14:paraId="644C7EE3">
            <w:pPr>
              <w:pStyle w:val="196"/>
            </w:pPr>
            <w:r>
              <w:rPr>
                <w:rFonts w:hint="eastAsia"/>
              </w:rPr>
              <w:t>1</w:t>
            </w:r>
          </w:p>
        </w:tc>
        <w:tc>
          <w:tcPr>
            <w:tcW w:w="1440" w:type="dxa"/>
            <w:vMerge w:val="restart"/>
            <w:vAlign w:val="center"/>
          </w:tcPr>
          <w:p w14:paraId="65ACBDB4">
            <w:pPr>
              <w:pStyle w:val="196"/>
            </w:pPr>
            <w:r>
              <w:rPr>
                <w:rFonts w:hint="eastAsia"/>
              </w:rPr>
              <w:t>气温</w:t>
            </w:r>
          </w:p>
        </w:tc>
        <w:tc>
          <w:tcPr>
            <w:tcW w:w="3060" w:type="dxa"/>
            <w:vAlign w:val="center"/>
          </w:tcPr>
          <w:p w14:paraId="2EF68A2B">
            <w:pPr>
              <w:pStyle w:val="196"/>
            </w:pPr>
            <w:r>
              <w:rPr>
                <w:rFonts w:hint="eastAsia"/>
              </w:rPr>
              <w:t>年平均气温</w:t>
            </w:r>
          </w:p>
        </w:tc>
        <w:tc>
          <w:tcPr>
            <w:tcW w:w="1621" w:type="dxa"/>
            <w:vAlign w:val="center"/>
          </w:tcPr>
          <w:p w14:paraId="431F5D0D">
            <w:pPr>
              <w:pStyle w:val="196"/>
            </w:pPr>
            <w:r>
              <w:rPr>
                <w:rFonts w:hint="eastAsia"/>
              </w:rPr>
              <w:t>14.1</w:t>
            </w:r>
          </w:p>
        </w:tc>
        <w:tc>
          <w:tcPr>
            <w:tcW w:w="1400" w:type="dxa"/>
            <w:vMerge w:val="restart"/>
            <w:vAlign w:val="center"/>
          </w:tcPr>
          <w:p w14:paraId="254195DD">
            <w:pPr>
              <w:pStyle w:val="196"/>
            </w:pPr>
            <w:r>
              <w:rPr>
                <w:rFonts w:hint="eastAsia"/>
              </w:rPr>
              <w:t>℃</w:t>
            </w:r>
          </w:p>
        </w:tc>
      </w:tr>
      <w:tr w14:paraId="29B7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2147F280">
            <w:pPr>
              <w:pStyle w:val="196"/>
            </w:pPr>
          </w:p>
        </w:tc>
        <w:tc>
          <w:tcPr>
            <w:tcW w:w="4500" w:type="dxa"/>
            <w:vMerge w:val="continue"/>
            <w:vAlign w:val="center"/>
          </w:tcPr>
          <w:p w14:paraId="602EE839">
            <w:pPr>
              <w:pStyle w:val="196"/>
            </w:pPr>
          </w:p>
        </w:tc>
        <w:tc>
          <w:tcPr>
            <w:tcW w:w="3060" w:type="dxa"/>
            <w:vAlign w:val="center"/>
          </w:tcPr>
          <w:p w14:paraId="028FB6BE">
            <w:pPr>
              <w:pStyle w:val="196"/>
            </w:pPr>
            <w:r>
              <w:rPr>
                <w:rFonts w:hint="eastAsia"/>
              </w:rPr>
              <w:t>极端最高气温</w:t>
            </w:r>
          </w:p>
        </w:tc>
        <w:tc>
          <w:tcPr>
            <w:tcW w:w="1621" w:type="dxa"/>
            <w:vAlign w:val="center"/>
          </w:tcPr>
          <w:p w14:paraId="5E6236F1">
            <w:pPr>
              <w:pStyle w:val="196"/>
            </w:pPr>
            <w:r>
              <w:rPr>
                <w:rFonts w:hint="eastAsia"/>
              </w:rPr>
              <w:t>37</w:t>
            </w:r>
          </w:p>
        </w:tc>
        <w:tc>
          <w:tcPr>
            <w:tcW w:w="1400" w:type="dxa"/>
            <w:vMerge w:val="continue"/>
            <w:vAlign w:val="center"/>
          </w:tcPr>
          <w:p w14:paraId="78E2A3ED">
            <w:pPr>
              <w:pStyle w:val="196"/>
            </w:pPr>
          </w:p>
        </w:tc>
      </w:tr>
      <w:tr w14:paraId="2ACA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0671638E">
            <w:pPr>
              <w:pStyle w:val="196"/>
            </w:pPr>
          </w:p>
        </w:tc>
        <w:tc>
          <w:tcPr>
            <w:tcW w:w="4500" w:type="dxa"/>
            <w:vMerge w:val="continue"/>
            <w:vAlign w:val="center"/>
          </w:tcPr>
          <w:p w14:paraId="4704EA32">
            <w:pPr>
              <w:pStyle w:val="196"/>
            </w:pPr>
          </w:p>
        </w:tc>
        <w:tc>
          <w:tcPr>
            <w:tcW w:w="3060" w:type="dxa"/>
            <w:vAlign w:val="center"/>
          </w:tcPr>
          <w:p w14:paraId="22994F11">
            <w:pPr>
              <w:pStyle w:val="196"/>
            </w:pPr>
            <w:r>
              <w:rPr>
                <w:rFonts w:hint="eastAsia"/>
              </w:rPr>
              <w:t>极端最低气温</w:t>
            </w:r>
          </w:p>
        </w:tc>
        <w:tc>
          <w:tcPr>
            <w:tcW w:w="1621" w:type="dxa"/>
            <w:vAlign w:val="center"/>
          </w:tcPr>
          <w:p w14:paraId="6E7AFCEA">
            <w:pPr>
              <w:pStyle w:val="196"/>
            </w:pPr>
            <w:r>
              <w:rPr>
                <w:rFonts w:hint="eastAsia"/>
              </w:rPr>
              <w:t>-9.1</w:t>
            </w:r>
          </w:p>
        </w:tc>
        <w:tc>
          <w:tcPr>
            <w:tcW w:w="1400" w:type="dxa"/>
            <w:vMerge w:val="continue"/>
            <w:vAlign w:val="center"/>
          </w:tcPr>
          <w:p w14:paraId="7F45909E">
            <w:pPr>
              <w:pStyle w:val="196"/>
            </w:pPr>
          </w:p>
        </w:tc>
      </w:tr>
      <w:tr w14:paraId="085B4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Align w:val="center"/>
          </w:tcPr>
          <w:p w14:paraId="23A53C97">
            <w:pPr>
              <w:pStyle w:val="196"/>
            </w:pPr>
            <w:r>
              <w:rPr>
                <w:rFonts w:hint="eastAsia"/>
              </w:rPr>
              <w:t>3</w:t>
            </w:r>
          </w:p>
        </w:tc>
        <w:tc>
          <w:tcPr>
            <w:tcW w:w="1440" w:type="dxa"/>
            <w:vAlign w:val="center"/>
          </w:tcPr>
          <w:p w14:paraId="1512255B">
            <w:pPr>
              <w:pStyle w:val="196"/>
            </w:pPr>
            <w:r>
              <w:rPr>
                <w:rFonts w:hint="eastAsia"/>
              </w:rPr>
              <w:t>气压</w:t>
            </w:r>
          </w:p>
        </w:tc>
        <w:tc>
          <w:tcPr>
            <w:tcW w:w="3060" w:type="dxa"/>
            <w:vAlign w:val="center"/>
          </w:tcPr>
          <w:p w14:paraId="742FC5E2">
            <w:pPr>
              <w:pStyle w:val="196"/>
            </w:pPr>
            <w:r>
              <w:rPr>
                <w:rFonts w:hint="eastAsia"/>
              </w:rPr>
              <w:t>年平均大气压</w:t>
            </w:r>
          </w:p>
        </w:tc>
        <w:tc>
          <w:tcPr>
            <w:tcW w:w="1621" w:type="dxa"/>
            <w:vAlign w:val="center"/>
          </w:tcPr>
          <w:p w14:paraId="67C76749">
            <w:pPr>
              <w:pStyle w:val="196"/>
            </w:pPr>
            <w:r>
              <w:rPr>
                <w:rFonts w:hint="eastAsia"/>
              </w:rPr>
              <w:t>1021.0</w:t>
            </w:r>
          </w:p>
        </w:tc>
        <w:tc>
          <w:tcPr>
            <w:tcW w:w="1400" w:type="dxa"/>
            <w:vAlign w:val="center"/>
          </w:tcPr>
          <w:p w14:paraId="67D242D8">
            <w:pPr>
              <w:pStyle w:val="196"/>
            </w:pPr>
            <w:r>
              <w:rPr>
                <w:rFonts w:hint="eastAsia"/>
              </w:rPr>
              <w:t xml:space="preserve">100 </w:t>
            </w:r>
          </w:p>
        </w:tc>
      </w:tr>
      <w:tr w14:paraId="6DAB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restart"/>
            <w:vAlign w:val="center"/>
          </w:tcPr>
          <w:p w14:paraId="306BD26E">
            <w:pPr>
              <w:pStyle w:val="196"/>
            </w:pPr>
            <w:r>
              <w:rPr>
                <w:rFonts w:hint="eastAsia"/>
              </w:rPr>
              <w:t>4</w:t>
            </w:r>
          </w:p>
        </w:tc>
        <w:tc>
          <w:tcPr>
            <w:tcW w:w="1440" w:type="dxa"/>
            <w:vMerge w:val="restart"/>
            <w:vAlign w:val="center"/>
          </w:tcPr>
          <w:p w14:paraId="33748AE5">
            <w:pPr>
              <w:pStyle w:val="196"/>
            </w:pPr>
            <w:r>
              <w:rPr>
                <w:rFonts w:hint="eastAsia"/>
              </w:rPr>
              <w:t>空气湿度</w:t>
            </w:r>
          </w:p>
        </w:tc>
        <w:tc>
          <w:tcPr>
            <w:tcW w:w="3060" w:type="dxa"/>
            <w:vAlign w:val="center"/>
          </w:tcPr>
          <w:p w14:paraId="1901513B">
            <w:pPr>
              <w:pStyle w:val="196"/>
            </w:pPr>
            <w:r>
              <w:rPr>
                <w:rFonts w:hint="eastAsia"/>
              </w:rPr>
              <w:t>年平均湿度</w:t>
            </w:r>
          </w:p>
        </w:tc>
        <w:tc>
          <w:tcPr>
            <w:tcW w:w="1621" w:type="dxa"/>
            <w:vAlign w:val="center"/>
          </w:tcPr>
          <w:p w14:paraId="6295F656">
            <w:pPr>
              <w:pStyle w:val="196"/>
            </w:pPr>
            <w:r>
              <w:rPr>
                <w:rFonts w:hint="eastAsia"/>
              </w:rPr>
              <w:t>77</w:t>
            </w:r>
          </w:p>
        </w:tc>
        <w:tc>
          <w:tcPr>
            <w:tcW w:w="1400" w:type="dxa"/>
            <w:vMerge w:val="restart"/>
            <w:vAlign w:val="center"/>
          </w:tcPr>
          <w:p w14:paraId="2E181A09">
            <w:pPr>
              <w:pStyle w:val="196"/>
            </w:pPr>
            <w:r>
              <w:rPr>
                <w:rFonts w:hint="eastAsia"/>
              </w:rPr>
              <w:t>%</w:t>
            </w:r>
          </w:p>
        </w:tc>
      </w:tr>
      <w:tr w14:paraId="658E2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689186E4">
            <w:pPr>
              <w:pStyle w:val="196"/>
            </w:pPr>
          </w:p>
        </w:tc>
        <w:tc>
          <w:tcPr>
            <w:tcW w:w="4500" w:type="dxa"/>
            <w:vMerge w:val="continue"/>
            <w:vAlign w:val="center"/>
          </w:tcPr>
          <w:p w14:paraId="31F0C83F">
            <w:pPr>
              <w:pStyle w:val="196"/>
            </w:pPr>
          </w:p>
        </w:tc>
        <w:tc>
          <w:tcPr>
            <w:tcW w:w="3060" w:type="dxa"/>
            <w:vAlign w:val="center"/>
          </w:tcPr>
          <w:p w14:paraId="7D3EF68B">
            <w:pPr>
              <w:pStyle w:val="196"/>
            </w:pPr>
            <w:r>
              <w:rPr>
                <w:rFonts w:hint="eastAsia"/>
              </w:rPr>
              <w:t>最高</w:t>
            </w:r>
            <w:r>
              <w:rPr>
                <w:rFonts w:hint="eastAsia"/>
                <w:lang w:eastAsia="zh-CN"/>
              </w:rPr>
              <w:t>月平均温度</w:t>
            </w:r>
          </w:p>
        </w:tc>
        <w:tc>
          <w:tcPr>
            <w:tcW w:w="1621" w:type="dxa"/>
            <w:vAlign w:val="center"/>
          </w:tcPr>
          <w:p w14:paraId="738534A5">
            <w:pPr>
              <w:pStyle w:val="196"/>
            </w:pPr>
            <w:r>
              <w:rPr>
                <w:rFonts w:hint="eastAsia"/>
              </w:rPr>
              <w:t>90</w:t>
            </w:r>
          </w:p>
        </w:tc>
        <w:tc>
          <w:tcPr>
            <w:tcW w:w="1400" w:type="dxa"/>
            <w:vMerge w:val="continue"/>
            <w:vAlign w:val="center"/>
          </w:tcPr>
          <w:p w14:paraId="58418B69">
            <w:pPr>
              <w:pStyle w:val="196"/>
            </w:pPr>
          </w:p>
        </w:tc>
      </w:tr>
      <w:tr w14:paraId="0468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18F58022">
            <w:pPr>
              <w:pStyle w:val="196"/>
            </w:pPr>
          </w:p>
        </w:tc>
        <w:tc>
          <w:tcPr>
            <w:tcW w:w="4500" w:type="dxa"/>
            <w:vMerge w:val="continue"/>
            <w:vAlign w:val="center"/>
          </w:tcPr>
          <w:p w14:paraId="1D415186">
            <w:pPr>
              <w:pStyle w:val="196"/>
            </w:pPr>
          </w:p>
        </w:tc>
        <w:tc>
          <w:tcPr>
            <w:tcW w:w="3060" w:type="dxa"/>
            <w:vAlign w:val="center"/>
          </w:tcPr>
          <w:p w14:paraId="6DE14BDB">
            <w:pPr>
              <w:pStyle w:val="196"/>
            </w:pPr>
            <w:r>
              <w:rPr>
                <w:rFonts w:hint="eastAsia"/>
              </w:rPr>
              <w:t>最低</w:t>
            </w:r>
            <w:r>
              <w:rPr>
                <w:rFonts w:hint="eastAsia"/>
                <w:lang w:eastAsia="zh-CN"/>
              </w:rPr>
              <w:t>月平均温度</w:t>
            </w:r>
          </w:p>
        </w:tc>
        <w:tc>
          <w:tcPr>
            <w:tcW w:w="1621" w:type="dxa"/>
            <w:vAlign w:val="center"/>
          </w:tcPr>
          <w:p w14:paraId="77280A04">
            <w:pPr>
              <w:pStyle w:val="196"/>
            </w:pPr>
            <w:r>
              <w:rPr>
                <w:rFonts w:hint="eastAsia"/>
              </w:rPr>
              <w:t>69</w:t>
            </w:r>
          </w:p>
        </w:tc>
        <w:tc>
          <w:tcPr>
            <w:tcW w:w="1400" w:type="dxa"/>
            <w:vMerge w:val="continue"/>
            <w:vAlign w:val="center"/>
          </w:tcPr>
          <w:p w14:paraId="5615263A">
            <w:pPr>
              <w:pStyle w:val="196"/>
            </w:pPr>
          </w:p>
        </w:tc>
      </w:tr>
      <w:tr w14:paraId="52A87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restart"/>
            <w:vAlign w:val="center"/>
          </w:tcPr>
          <w:p w14:paraId="313BFEEC">
            <w:pPr>
              <w:pStyle w:val="196"/>
            </w:pPr>
            <w:r>
              <w:rPr>
                <w:rFonts w:hint="eastAsia"/>
              </w:rPr>
              <w:t>5</w:t>
            </w:r>
          </w:p>
        </w:tc>
        <w:tc>
          <w:tcPr>
            <w:tcW w:w="1440" w:type="dxa"/>
            <w:vMerge w:val="restart"/>
            <w:vAlign w:val="center"/>
          </w:tcPr>
          <w:p w14:paraId="65AF75C7">
            <w:pPr>
              <w:pStyle w:val="196"/>
            </w:pPr>
            <w:r>
              <w:rPr>
                <w:rFonts w:hint="eastAsia"/>
              </w:rPr>
              <w:t>降雨量</w:t>
            </w:r>
          </w:p>
        </w:tc>
        <w:tc>
          <w:tcPr>
            <w:tcW w:w="3060" w:type="dxa"/>
            <w:vAlign w:val="center"/>
          </w:tcPr>
          <w:p w14:paraId="17464F87">
            <w:pPr>
              <w:pStyle w:val="196"/>
            </w:pPr>
            <w:r>
              <w:rPr>
                <w:rFonts w:hint="eastAsia"/>
                <w:lang w:eastAsia="zh-CN"/>
              </w:rPr>
              <w:t>平均年降水量</w:t>
            </w:r>
          </w:p>
        </w:tc>
        <w:tc>
          <w:tcPr>
            <w:tcW w:w="1621" w:type="dxa"/>
            <w:vAlign w:val="center"/>
          </w:tcPr>
          <w:p w14:paraId="7F65A7A9">
            <w:pPr>
              <w:pStyle w:val="196"/>
            </w:pPr>
            <w:r>
              <w:rPr>
                <w:rFonts w:hint="eastAsia"/>
              </w:rPr>
              <w:t>966.1</w:t>
            </w:r>
          </w:p>
        </w:tc>
        <w:tc>
          <w:tcPr>
            <w:tcW w:w="1400" w:type="dxa"/>
            <w:vMerge w:val="restart"/>
            <w:vAlign w:val="center"/>
          </w:tcPr>
          <w:p w14:paraId="79DDF261">
            <w:pPr>
              <w:pStyle w:val="196"/>
            </w:pPr>
            <w:r>
              <w:rPr>
                <w:rFonts w:hint="eastAsia"/>
              </w:rPr>
              <w:t>mm</w:t>
            </w:r>
          </w:p>
        </w:tc>
      </w:tr>
      <w:tr w14:paraId="25A26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2469FBE7">
            <w:pPr>
              <w:pStyle w:val="196"/>
            </w:pPr>
          </w:p>
        </w:tc>
        <w:tc>
          <w:tcPr>
            <w:tcW w:w="4500" w:type="dxa"/>
            <w:vMerge w:val="continue"/>
            <w:vAlign w:val="center"/>
          </w:tcPr>
          <w:p w14:paraId="10F18B69">
            <w:pPr>
              <w:pStyle w:val="196"/>
            </w:pPr>
          </w:p>
        </w:tc>
        <w:tc>
          <w:tcPr>
            <w:tcW w:w="3060" w:type="dxa"/>
            <w:vAlign w:val="center"/>
          </w:tcPr>
          <w:p w14:paraId="1D7E015B">
            <w:pPr>
              <w:pStyle w:val="196"/>
            </w:pPr>
            <w:r>
              <w:rPr>
                <w:rFonts w:hint="eastAsia"/>
              </w:rPr>
              <w:t>日最大降水量</w:t>
            </w:r>
          </w:p>
        </w:tc>
        <w:tc>
          <w:tcPr>
            <w:tcW w:w="1621" w:type="dxa"/>
            <w:vAlign w:val="center"/>
          </w:tcPr>
          <w:p w14:paraId="0606BB1B">
            <w:pPr>
              <w:pStyle w:val="196"/>
            </w:pPr>
            <w:r>
              <w:rPr>
                <w:rFonts w:hint="eastAsia"/>
              </w:rPr>
              <w:t>115.2</w:t>
            </w:r>
          </w:p>
        </w:tc>
        <w:tc>
          <w:tcPr>
            <w:tcW w:w="1400" w:type="dxa"/>
            <w:vMerge w:val="continue"/>
            <w:vAlign w:val="center"/>
          </w:tcPr>
          <w:p w14:paraId="4B44B361">
            <w:pPr>
              <w:pStyle w:val="196"/>
            </w:pPr>
          </w:p>
        </w:tc>
      </w:tr>
      <w:tr w14:paraId="7E04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639869C1">
            <w:pPr>
              <w:pStyle w:val="196"/>
            </w:pPr>
          </w:p>
        </w:tc>
        <w:tc>
          <w:tcPr>
            <w:tcW w:w="4500" w:type="dxa"/>
            <w:vMerge w:val="continue"/>
            <w:vAlign w:val="center"/>
          </w:tcPr>
          <w:p w14:paraId="691DF8D0">
            <w:pPr>
              <w:pStyle w:val="196"/>
            </w:pPr>
          </w:p>
        </w:tc>
        <w:tc>
          <w:tcPr>
            <w:tcW w:w="3060" w:type="dxa"/>
            <w:vAlign w:val="center"/>
          </w:tcPr>
          <w:p w14:paraId="3DDF2C63">
            <w:pPr>
              <w:pStyle w:val="196"/>
            </w:pPr>
            <w:r>
              <w:rPr>
                <w:rFonts w:hint="eastAsia"/>
              </w:rPr>
              <w:t>小时最大降水量</w:t>
            </w:r>
          </w:p>
        </w:tc>
        <w:tc>
          <w:tcPr>
            <w:tcW w:w="1621" w:type="dxa"/>
            <w:vAlign w:val="center"/>
          </w:tcPr>
          <w:p w14:paraId="35B6B03A">
            <w:pPr>
              <w:pStyle w:val="196"/>
            </w:pPr>
            <w:r>
              <w:rPr>
                <w:rFonts w:hint="eastAsia"/>
              </w:rPr>
              <w:t>31</w:t>
            </w:r>
          </w:p>
        </w:tc>
        <w:tc>
          <w:tcPr>
            <w:tcW w:w="1400" w:type="dxa"/>
            <w:vMerge w:val="continue"/>
            <w:vAlign w:val="center"/>
          </w:tcPr>
          <w:p w14:paraId="3C9367E1">
            <w:pPr>
              <w:pStyle w:val="196"/>
            </w:pPr>
          </w:p>
        </w:tc>
      </w:tr>
      <w:tr w14:paraId="278A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Align w:val="center"/>
          </w:tcPr>
          <w:p w14:paraId="1E580297">
            <w:pPr>
              <w:pStyle w:val="196"/>
            </w:pPr>
            <w:r>
              <w:rPr>
                <w:rFonts w:hint="eastAsia"/>
              </w:rPr>
              <w:t>6</w:t>
            </w:r>
          </w:p>
        </w:tc>
        <w:tc>
          <w:tcPr>
            <w:tcW w:w="1440" w:type="dxa"/>
            <w:vAlign w:val="center"/>
          </w:tcPr>
          <w:p w14:paraId="316816B9">
            <w:pPr>
              <w:pStyle w:val="196"/>
            </w:pPr>
            <w:r>
              <w:rPr>
                <w:rFonts w:hint="eastAsia"/>
              </w:rPr>
              <w:t>积雪深度</w:t>
            </w:r>
          </w:p>
        </w:tc>
        <w:tc>
          <w:tcPr>
            <w:tcW w:w="3060" w:type="dxa"/>
            <w:vAlign w:val="center"/>
          </w:tcPr>
          <w:p w14:paraId="013C9612">
            <w:pPr>
              <w:pStyle w:val="196"/>
            </w:pPr>
            <w:r>
              <w:rPr>
                <w:rFonts w:hint="eastAsia"/>
              </w:rPr>
              <w:t>最大积雪量</w:t>
            </w:r>
          </w:p>
        </w:tc>
        <w:tc>
          <w:tcPr>
            <w:tcW w:w="1621" w:type="dxa"/>
            <w:vAlign w:val="center"/>
          </w:tcPr>
          <w:p w14:paraId="0C55E25F">
            <w:pPr>
              <w:pStyle w:val="196"/>
            </w:pPr>
            <w:r>
              <w:rPr>
                <w:rFonts w:hint="eastAsia"/>
              </w:rPr>
              <w:t>10</w:t>
            </w:r>
          </w:p>
        </w:tc>
        <w:tc>
          <w:tcPr>
            <w:tcW w:w="1400" w:type="dxa"/>
            <w:vAlign w:val="center"/>
          </w:tcPr>
          <w:p w14:paraId="55DA01F8">
            <w:pPr>
              <w:pStyle w:val="196"/>
            </w:pPr>
            <w:r>
              <w:rPr>
                <w:rFonts w:hint="eastAsia"/>
              </w:rPr>
              <w:t>mm</w:t>
            </w:r>
          </w:p>
        </w:tc>
      </w:tr>
      <w:tr w14:paraId="42FF2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restart"/>
            <w:vAlign w:val="center"/>
          </w:tcPr>
          <w:p w14:paraId="06742768">
            <w:pPr>
              <w:pStyle w:val="196"/>
            </w:pPr>
            <w:r>
              <w:rPr>
                <w:rFonts w:hint="eastAsia"/>
              </w:rPr>
              <w:t>7</w:t>
            </w:r>
          </w:p>
        </w:tc>
        <w:tc>
          <w:tcPr>
            <w:tcW w:w="1440" w:type="dxa"/>
            <w:vMerge w:val="restart"/>
            <w:vAlign w:val="center"/>
          </w:tcPr>
          <w:p w14:paraId="31187E00">
            <w:pPr>
              <w:pStyle w:val="196"/>
            </w:pPr>
            <w:r>
              <w:rPr>
                <w:rFonts w:hint="eastAsia"/>
              </w:rPr>
              <w:t>风向和频率</w:t>
            </w:r>
          </w:p>
        </w:tc>
        <w:tc>
          <w:tcPr>
            <w:tcW w:w="3060" w:type="dxa"/>
            <w:vAlign w:val="center"/>
          </w:tcPr>
          <w:p w14:paraId="13A688D7">
            <w:pPr>
              <w:pStyle w:val="196"/>
            </w:pPr>
            <w:r>
              <w:rPr>
                <w:rFonts w:hint="eastAsia"/>
                <w:lang w:eastAsia="zh-CN"/>
              </w:rPr>
              <w:t>年度</w:t>
            </w:r>
            <w:r>
              <w:rPr>
                <w:rFonts w:hint="eastAsia"/>
              </w:rPr>
              <w:t>主导风向和频次</w:t>
            </w:r>
          </w:p>
        </w:tc>
        <w:tc>
          <w:tcPr>
            <w:tcW w:w="1621" w:type="dxa"/>
            <w:vAlign w:val="center"/>
          </w:tcPr>
          <w:p w14:paraId="76DC547A">
            <w:pPr>
              <w:pStyle w:val="196"/>
            </w:pPr>
            <w:r>
              <w:rPr>
                <w:rFonts w:hint="eastAsia"/>
              </w:rPr>
              <w:t>10</w:t>
            </w:r>
          </w:p>
        </w:tc>
        <w:tc>
          <w:tcPr>
            <w:tcW w:w="1400" w:type="dxa"/>
            <w:vAlign w:val="center"/>
          </w:tcPr>
          <w:p w14:paraId="7DA1CB3F">
            <w:pPr>
              <w:pStyle w:val="196"/>
            </w:pPr>
            <w:r>
              <w:rPr>
                <w:rFonts w:hint="eastAsia"/>
              </w:rPr>
              <w:t>NE</w:t>
            </w:r>
          </w:p>
        </w:tc>
      </w:tr>
      <w:tr w14:paraId="11D8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512FC7C2">
            <w:pPr>
              <w:pStyle w:val="196"/>
            </w:pPr>
          </w:p>
        </w:tc>
        <w:tc>
          <w:tcPr>
            <w:tcW w:w="4500" w:type="dxa"/>
            <w:vMerge w:val="continue"/>
            <w:vAlign w:val="center"/>
          </w:tcPr>
          <w:p w14:paraId="310F4A6C">
            <w:pPr>
              <w:pStyle w:val="196"/>
            </w:pPr>
          </w:p>
        </w:tc>
        <w:tc>
          <w:tcPr>
            <w:tcW w:w="3060" w:type="dxa"/>
            <w:vAlign w:val="center"/>
          </w:tcPr>
          <w:p w14:paraId="32A6EF1F">
            <w:pPr>
              <w:pStyle w:val="196"/>
            </w:pPr>
            <w:r>
              <w:rPr>
                <w:rFonts w:hint="eastAsia"/>
              </w:rPr>
              <w:t>冬季主导风向和频次</w:t>
            </w:r>
          </w:p>
        </w:tc>
        <w:tc>
          <w:tcPr>
            <w:tcW w:w="1621" w:type="dxa"/>
            <w:vAlign w:val="center"/>
          </w:tcPr>
          <w:p w14:paraId="49304297">
            <w:pPr>
              <w:pStyle w:val="196"/>
            </w:pPr>
            <w:r>
              <w:rPr>
                <w:rFonts w:hint="eastAsia"/>
              </w:rPr>
              <w:t>10</w:t>
            </w:r>
          </w:p>
        </w:tc>
        <w:tc>
          <w:tcPr>
            <w:tcW w:w="1400" w:type="dxa"/>
            <w:vAlign w:val="center"/>
          </w:tcPr>
          <w:p w14:paraId="5B777BE3">
            <w:pPr>
              <w:pStyle w:val="196"/>
            </w:pPr>
            <w:r>
              <w:rPr>
                <w:rFonts w:hint="eastAsia"/>
              </w:rPr>
              <w:t>NEE</w:t>
            </w:r>
          </w:p>
        </w:tc>
      </w:tr>
      <w:tr w14:paraId="38A64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8" w:type="dxa"/>
            <w:vMerge w:val="continue"/>
            <w:vAlign w:val="center"/>
          </w:tcPr>
          <w:p w14:paraId="3CFC4C23">
            <w:pPr>
              <w:pStyle w:val="196"/>
            </w:pPr>
          </w:p>
        </w:tc>
        <w:tc>
          <w:tcPr>
            <w:tcW w:w="4500" w:type="dxa"/>
            <w:vMerge w:val="continue"/>
            <w:vAlign w:val="center"/>
          </w:tcPr>
          <w:p w14:paraId="3601A68B">
            <w:pPr>
              <w:pStyle w:val="196"/>
            </w:pPr>
          </w:p>
        </w:tc>
        <w:tc>
          <w:tcPr>
            <w:tcW w:w="3060" w:type="dxa"/>
            <w:vAlign w:val="center"/>
          </w:tcPr>
          <w:p w14:paraId="785EF570">
            <w:pPr>
              <w:pStyle w:val="196"/>
            </w:pPr>
            <w:r>
              <w:rPr>
                <w:rFonts w:hint="eastAsia"/>
              </w:rPr>
              <w:t>夏季主导风向和频次</w:t>
            </w:r>
          </w:p>
        </w:tc>
        <w:tc>
          <w:tcPr>
            <w:tcW w:w="1621" w:type="dxa"/>
            <w:vAlign w:val="center"/>
          </w:tcPr>
          <w:p w14:paraId="6DFACCCF">
            <w:pPr>
              <w:pStyle w:val="196"/>
            </w:pPr>
            <w:r>
              <w:rPr>
                <w:rFonts w:hint="eastAsia"/>
              </w:rPr>
              <w:t>14</w:t>
            </w:r>
          </w:p>
        </w:tc>
        <w:tc>
          <w:tcPr>
            <w:tcW w:w="1400" w:type="dxa"/>
            <w:vAlign w:val="center"/>
          </w:tcPr>
          <w:p w14:paraId="49901C9B">
            <w:pPr>
              <w:pStyle w:val="196"/>
            </w:pPr>
            <w:r>
              <w:rPr>
                <w:rFonts w:hint="eastAsia"/>
              </w:rPr>
              <w:t>SSE</w:t>
            </w:r>
          </w:p>
        </w:tc>
      </w:tr>
      <w:bookmarkEnd w:id="237"/>
    </w:tbl>
    <w:p w14:paraId="5DE9389D">
      <w:pPr>
        <w:pStyle w:val="82"/>
      </w:pPr>
      <w:r>
        <w:rPr>
          <w:rFonts w:hint="eastAsia"/>
        </w:rPr>
        <w:t>地表水</w:t>
      </w:r>
    </w:p>
    <w:p w14:paraId="572DB786">
      <w:pPr>
        <w:pStyle w:val="84"/>
      </w:pPr>
      <w:r>
        <w:rPr>
          <w:rFonts w:hint="eastAsia"/>
        </w:rPr>
        <w:t>地表水系</w:t>
      </w:r>
    </w:p>
    <w:p w14:paraId="0FE67D61">
      <w:pPr>
        <w:pStyle w:val="93"/>
      </w:pPr>
      <w:r>
        <w:rPr>
          <w:rFonts w:hint="eastAsia"/>
        </w:rPr>
        <w:t>涟水县境内河流，除废黄河自成系统，独自流入黄海外，其余皆属灌河水系。涟水经济开发区周围主要水系为废黄河、盐河、涟中总干渠、涟东总干渠等。区域水系图见图4.1-</w:t>
      </w:r>
      <w:r>
        <w:t>1</w:t>
      </w:r>
      <w:r>
        <w:rPr>
          <w:rFonts w:hint="eastAsia"/>
        </w:rPr>
        <w:t>。</w:t>
      </w:r>
    </w:p>
    <w:p w14:paraId="1864A2B8">
      <w:pPr>
        <w:pStyle w:val="93"/>
      </w:pPr>
      <w:r>
        <w:rPr>
          <w:rFonts w:hint="eastAsia"/>
        </w:rPr>
        <w:t>（1）废黄河</w:t>
      </w:r>
    </w:p>
    <w:p w14:paraId="67C33453">
      <w:pPr>
        <w:ind w:firstLine="480"/>
      </w:pPr>
      <w:r>
        <w:rPr>
          <w:rFonts w:hint="eastAsia"/>
        </w:rPr>
        <w:t>废黄河自西向东经淮安市城区、涟水、淮安、阜宁、响水，最终流入黄海，全长181公里，在涟水从保滩镇入境，环绕南部和东部边界，经涟城镇、徐集、南集、黄营、石湖镇出境，继续向东北，在涟水境内78公里。年平均流量85.6m</w:t>
      </w:r>
      <w:r>
        <w:rPr>
          <w:rFonts w:hint="eastAsia"/>
          <w:vertAlign w:val="superscript"/>
        </w:rPr>
        <w:t>3</w:t>
      </w:r>
      <w:r>
        <w:rPr>
          <w:rFonts w:hint="eastAsia"/>
        </w:rPr>
        <w:t>/s，年径流量27亿立方米。洪水季节分泄洪泽湖水，最大流量500m</w:t>
      </w:r>
      <w:r>
        <w:rPr>
          <w:rFonts w:hint="eastAsia"/>
          <w:vertAlign w:val="superscript"/>
        </w:rPr>
        <w:t>3</w:t>
      </w:r>
      <w:r>
        <w:rPr>
          <w:rFonts w:hint="eastAsia"/>
        </w:rPr>
        <w:t>/s，为常年积水河道，目前为淮安市区、涟水县、淮安区、响水县等的饮用水源，是当地地表水重点保护目标。</w:t>
      </w:r>
    </w:p>
    <w:p w14:paraId="46BB38EE">
      <w:pPr>
        <w:pStyle w:val="93"/>
      </w:pPr>
      <w:r>
        <w:rPr>
          <w:rFonts w:hint="eastAsia"/>
        </w:rPr>
        <w:t>（2）盐河</w:t>
      </w:r>
    </w:p>
    <w:p w14:paraId="1783E811">
      <w:pPr>
        <w:pStyle w:val="93"/>
      </w:pPr>
      <w:r>
        <w:rPr>
          <w:rFonts w:hint="eastAsia"/>
        </w:rPr>
        <w:t>盐河起源于大运河淮阴船闸上游，主要功能是航运、农灌和排涝。河流流向自西向东，全长140公里，流域面积359.3平方公里，年平均流量42.2 m</w:t>
      </w:r>
      <w:r>
        <w:rPr>
          <w:rFonts w:hint="eastAsia"/>
          <w:vertAlign w:val="superscript"/>
        </w:rPr>
        <w:t>3</w:t>
      </w:r>
      <w:r>
        <w:rPr>
          <w:rFonts w:hint="eastAsia"/>
        </w:rPr>
        <w:t>/s，年径流量13.2亿立方米，平均水深2.0</w:t>
      </w:r>
      <w:r>
        <w:rPr>
          <w:rFonts w:hint="eastAsia"/>
          <w:lang w:eastAsia="zh-CN"/>
        </w:rPr>
        <w:t>—</w:t>
      </w:r>
      <w:r>
        <w:rPr>
          <w:rFonts w:hint="eastAsia"/>
        </w:rPr>
        <w:t>2.5米。盐河涟水段全长64公里，水域面积30平方公里，河宽30</w:t>
      </w:r>
      <w:r>
        <w:rPr>
          <w:rFonts w:hint="eastAsia"/>
          <w:lang w:eastAsia="zh-CN"/>
        </w:rPr>
        <w:t>—</w:t>
      </w:r>
      <w:r>
        <w:rPr>
          <w:rFonts w:hint="eastAsia"/>
        </w:rPr>
        <w:t>130米，河深4</w:t>
      </w:r>
      <w:r>
        <w:rPr>
          <w:rFonts w:hint="eastAsia"/>
          <w:lang w:eastAsia="zh-CN"/>
        </w:rPr>
        <w:t>—</w:t>
      </w:r>
      <w:r>
        <w:rPr>
          <w:rFonts w:hint="eastAsia"/>
        </w:rPr>
        <w:t>11米。现河道为5级航道，是县内调用洪泽湖水农灌的主要河道。盐河经灌南、灌云、连云港入海，盐河在涟水县下游主要功能为航运、农灌和排涝，不作为饮用水水源地。</w:t>
      </w:r>
    </w:p>
    <w:p w14:paraId="3A6A9357">
      <w:pPr>
        <w:pStyle w:val="93"/>
      </w:pPr>
      <w:r>
        <w:rPr>
          <w:rFonts w:hint="eastAsia"/>
        </w:rPr>
        <w:t>（3）一帆河</w:t>
      </w:r>
    </w:p>
    <w:p w14:paraId="25A34F2B">
      <w:pPr>
        <w:pStyle w:val="93"/>
      </w:pPr>
      <w:r>
        <w:rPr>
          <w:rFonts w:hint="eastAsia"/>
        </w:rPr>
        <w:t>一帆河是</w:t>
      </w:r>
      <w:r>
        <w:rPr>
          <w:rFonts w:hint="eastAsia"/>
          <w:bCs/>
        </w:rPr>
        <w:t>涟水</w:t>
      </w:r>
      <w:r>
        <w:rPr>
          <w:rFonts w:hint="eastAsia"/>
        </w:rPr>
        <w:t>、灌南两县盐河以东地区的主要排水干河，一帆河自古盐河、西官河汇合处起，流经东胡集、南禄、方渡三乡，至稽桥出境入涟水县，至响水口西入渠西河。</w:t>
      </w:r>
    </w:p>
    <w:p w14:paraId="0520E0F1">
      <w:pPr>
        <w:pStyle w:val="93"/>
      </w:pPr>
      <w:r>
        <w:rPr>
          <w:rFonts w:hint="eastAsia"/>
        </w:rPr>
        <w:t>一帆河历史久远，1976年疏浚，河道底宽35.90m，流域面积913.9km</w:t>
      </w:r>
      <w:r>
        <w:rPr>
          <w:rFonts w:hint="eastAsia"/>
          <w:vertAlign w:val="superscript"/>
        </w:rPr>
        <w:t>2</w:t>
      </w:r>
      <w:r>
        <w:rPr>
          <w:rFonts w:hint="eastAsia"/>
        </w:rPr>
        <w:t>，境内累计受水面积438km</w:t>
      </w:r>
      <w:r>
        <w:rPr>
          <w:rFonts w:hint="eastAsia"/>
          <w:vertAlign w:val="superscript"/>
        </w:rPr>
        <w:t>2</w:t>
      </w:r>
      <w:r>
        <w:rPr>
          <w:rFonts w:hint="eastAsia"/>
        </w:rPr>
        <w:t>，境内长度14.5km，主要支流有西关河、古盐河与港河等。现主要有排涝、挡潮，</w:t>
      </w:r>
      <w:r>
        <w:rPr>
          <w:rFonts w:hint="eastAsia"/>
          <w:lang w:eastAsia="zh-CN"/>
        </w:rPr>
        <w:t>灌溉</w:t>
      </w:r>
      <w:r>
        <w:rPr>
          <w:rFonts w:hint="eastAsia"/>
        </w:rPr>
        <w:t>和通航功能。</w:t>
      </w:r>
    </w:p>
    <w:p w14:paraId="5962397E">
      <w:pPr>
        <w:pStyle w:val="93"/>
      </w:pPr>
      <w:r>
        <w:rPr>
          <w:rFonts w:hint="eastAsia"/>
        </w:rPr>
        <w:t>（4）涟中总干渠</w:t>
      </w:r>
    </w:p>
    <w:p w14:paraId="28447C9A">
      <w:pPr>
        <w:pStyle w:val="93"/>
      </w:pPr>
      <w:r>
        <w:rPr>
          <w:rFonts w:hint="eastAsia"/>
        </w:rPr>
        <w:t>涟中总干渠起建1958年，是涟中地区农灌的主要水利设施，属盐河支流，涟中总干渠始于朱码镇张码村，迄于五港镇港东村，全长32.7公里，河道底宽30m，提水能力45.33 m</w:t>
      </w:r>
      <w:r>
        <w:rPr>
          <w:rFonts w:hint="eastAsia"/>
          <w:vertAlign w:val="superscript"/>
        </w:rPr>
        <w:t>3</w:t>
      </w:r>
      <w:r>
        <w:rPr>
          <w:rFonts w:hint="eastAsia"/>
        </w:rPr>
        <w:t>/s，有效灌溉面积18.38万亩，是涟水县农业灌溉和排涝干渠，经灌南县东部，在响水县城东汇入灌河。</w:t>
      </w:r>
    </w:p>
    <w:p w14:paraId="666CF403">
      <w:pPr>
        <w:pStyle w:val="93"/>
      </w:pPr>
      <w:r>
        <w:rPr>
          <w:rFonts w:hint="eastAsia"/>
        </w:rPr>
        <w:t>（5）涟东总干渠</w:t>
      </w:r>
    </w:p>
    <w:p w14:paraId="7CDA0FA5">
      <w:pPr>
        <w:ind w:firstLine="480"/>
      </w:pPr>
      <w:r>
        <w:rPr>
          <w:rFonts w:hint="eastAsia"/>
        </w:rPr>
        <w:t>涟东总干渠属盐河支流，始于涟城大关村，迄于南集下营村，全长11.5公里。该河主要接纳城区生活污水，无工业废水直接排入。</w:t>
      </w:r>
    </w:p>
    <w:p w14:paraId="5497371C">
      <w:pPr>
        <w:ind w:firstLine="480"/>
      </w:pPr>
      <w:r>
        <w:rPr>
          <w:rFonts w:hint="eastAsia"/>
        </w:rPr>
        <w:t>（6）渠西河</w:t>
      </w:r>
    </w:p>
    <w:p w14:paraId="482A04EA">
      <w:pPr>
        <w:pStyle w:val="93"/>
      </w:pPr>
      <w:r>
        <w:rPr>
          <w:rFonts w:hint="eastAsia"/>
        </w:rPr>
        <w:t>渠西河因紧靠涟中总干渠西侧而得名，为排涝河道，是当年因建涟中干渠阻隔了部分河道流向一帆河的去路，于1960年开挖形成。渠西河南起小李集东南的夏庄，在县境北五港镇东入港河。</w:t>
      </w:r>
    </w:p>
    <w:p w14:paraId="0F0B5363">
      <w:pPr>
        <w:pStyle w:val="93"/>
      </w:pPr>
      <w:r>
        <w:rPr>
          <w:rFonts w:hint="eastAsia"/>
        </w:rPr>
        <w:t>（7）公兴河</w:t>
      </w:r>
    </w:p>
    <w:p w14:paraId="408AB04B">
      <w:pPr>
        <w:pStyle w:val="93"/>
      </w:pPr>
      <w:r>
        <w:rPr>
          <w:rFonts w:hint="eastAsia"/>
        </w:rPr>
        <w:t>公兴河南起涟水县朱码镇张扬庄，接涟西</w:t>
      </w:r>
      <w:r>
        <w:rPr>
          <w:rFonts w:hint="eastAsia"/>
          <w:lang w:eastAsia="zh-CN"/>
        </w:rPr>
        <w:t>二千</w:t>
      </w:r>
      <w:r>
        <w:rPr>
          <w:rFonts w:hint="eastAsia"/>
        </w:rPr>
        <w:t>二支大沟，北经鸡鹅山、砦矶、谢口，至王头圩南入灌南，在小圩西入南六塘河，全长28.2公里。由于下游具备通航功能，因此上下游水文情况相差较大，上游流量50.8m</w:t>
      </w:r>
      <w:r>
        <w:rPr>
          <w:rFonts w:hint="eastAsia"/>
          <w:vertAlign w:val="superscript"/>
        </w:rPr>
        <w:t>3</w:t>
      </w:r>
      <w:r>
        <w:rPr>
          <w:rFonts w:hint="eastAsia"/>
        </w:rPr>
        <w:t>/s，流速0.62m/s，河宽15m，底坡0.00023；下游流量203.1m</w:t>
      </w:r>
      <w:r>
        <w:rPr>
          <w:rFonts w:hint="eastAsia"/>
          <w:vertAlign w:val="superscript"/>
        </w:rPr>
        <w:t>3</w:t>
      </w:r>
      <w:r>
        <w:rPr>
          <w:rFonts w:hint="eastAsia"/>
        </w:rPr>
        <w:t>/s，流速0.71m/s，河宽40m。</w:t>
      </w:r>
    </w:p>
    <w:p w14:paraId="2399F0FC">
      <w:pPr>
        <w:pStyle w:val="84"/>
      </w:pPr>
      <w:bookmarkStart w:id="238" w:name="_Hlk181749328"/>
      <w:r>
        <w:rPr>
          <w:rFonts w:hint="eastAsia"/>
        </w:rPr>
        <w:t>流域、区域水资源与开发利用状况调查</w:t>
      </w:r>
    </w:p>
    <w:bookmarkEnd w:id="238"/>
    <w:p w14:paraId="63BEAED0">
      <w:pPr>
        <w:pStyle w:val="93"/>
      </w:pPr>
      <w:bookmarkStart w:id="239" w:name="_Hlk181749347"/>
      <w:r>
        <w:rPr>
          <w:rFonts w:hint="eastAsia"/>
        </w:rPr>
        <w:t>一、淮河流域水资源开发利用概况</w:t>
      </w:r>
    </w:p>
    <w:p w14:paraId="6FEA2336">
      <w:pPr>
        <w:pStyle w:val="139"/>
        <w:ind w:firstLine="480"/>
        <w:rPr>
          <w:color w:val="auto"/>
        </w:rPr>
      </w:pPr>
      <w:r>
        <w:rPr>
          <w:rFonts w:hint="eastAsia"/>
          <w:color w:val="auto"/>
        </w:rPr>
        <w:t>根据《2023年度淮河流域及山东半岛水资源公报》，2023年</w:t>
      </w:r>
      <w:r>
        <w:rPr>
          <w:rFonts w:hint="eastAsia"/>
          <w:color w:val="auto"/>
          <w:lang w:eastAsia="zh-CN"/>
        </w:rPr>
        <w:t>，</w:t>
      </w:r>
      <w:r>
        <w:rPr>
          <w:rFonts w:hint="eastAsia"/>
          <w:color w:val="auto"/>
        </w:rPr>
        <w:t>淮河流域各类供水工程总供水量506.4亿m</w:t>
      </w:r>
      <w:r>
        <w:rPr>
          <w:rFonts w:hint="eastAsia"/>
          <w:color w:val="auto"/>
          <w:vertAlign w:val="superscript"/>
        </w:rPr>
        <w:t>3</w:t>
      </w:r>
      <w:r>
        <w:rPr>
          <w:rFonts w:hint="eastAsia"/>
          <w:color w:val="auto"/>
          <w:vertAlign w:val="superscript"/>
          <w:lang w:eastAsia="zh-CN"/>
        </w:rPr>
        <w:t>，</w:t>
      </w:r>
      <w:r>
        <w:rPr>
          <w:rFonts w:hint="eastAsia"/>
          <w:color w:val="auto"/>
        </w:rPr>
        <w:t>其中地表水源、地下水源、其他水源供水量分别为382.5亿m</w:t>
      </w:r>
      <w:r>
        <w:rPr>
          <w:rFonts w:hint="eastAsia"/>
          <w:color w:val="auto"/>
          <w:vertAlign w:val="superscript"/>
        </w:rPr>
        <w:t>3</w:t>
      </w:r>
      <w:r>
        <w:rPr>
          <w:rFonts w:hint="eastAsia"/>
          <w:color w:val="auto"/>
        </w:rPr>
        <w:t>、100.8亿m</w:t>
      </w:r>
      <w:r>
        <w:rPr>
          <w:rFonts w:hint="eastAsia"/>
          <w:color w:val="auto"/>
          <w:vertAlign w:val="superscript"/>
        </w:rPr>
        <w:t>3</w:t>
      </w:r>
      <w:r>
        <w:rPr>
          <w:rFonts w:hint="eastAsia"/>
          <w:color w:val="auto"/>
        </w:rPr>
        <w:t>、23.1亿m</w:t>
      </w:r>
      <w:r>
        <w:rPr>
          <w:rFonts w:hint="eastAsia"/>
          <w:color w:val="auto"/>
          <w:vertAlign w:val="superscript"/>
        </w:rPr>
        <w:t>3</w:t>
      </w:r>
      <w:r>
        <w:rPr>
          <w:rFonts w:hint="eastAsia"/>
          <w:color w:val="auto"/>
        </w:rPr>
        <w:t>，分别占总供水量的75.5%、19.9%、4.6%。跨流域调水71.8亿m</w:t>
      </w:r>
      <w:r>
        <w:rPr>
          <w:rFonts w:hint="eastAsia"/>
          <w:color w:val="auto"/>
          <w:vertAlign w:val="superscript"/>
        </w:rPr>
        <w:t>3</w:t>
      </w:r>
      <w:r>
        <w:rPr>
          <w:rFonts w:hint="eastAsia"/>
          <w:color w:val="auto"/>
        </w:rPr>
        <w:t>，占地表水源供水量的18.8%，另有海水直接利用量113.9亿m</w:t>
      </w:r>
      <w:r>
        <w:rPr>
          <w:rFonts w:hint="eastAsia"/>
          <w:color w:val="auto"/>
          <w:vertAlign w:val="superscript"/>
        </w:rPr>
        <w:t>3</w:t>
      </w:r>
      <w:r>
        <w:rPr>
          <w:rFonts w:hint="eastAsia"/>
          <w:color w:val="auto"/>
        </w:rPr>
        <w:t>未计入总供水量。</w:t>
      </w:r>
    </w:p>
    <w:p w14:paraId="004C4DA6">
      <w:pPr>
        <w:pStyle w:val="139"/>
        <w:ind w:firstLine="480"/>
        <w:rPr>
          <w:color w:val="auto"/>
        </w:rPr>
      </w:pPr>
      <w:r>
        <w:rPr>
          <w:rFonts w:hint="eastAsia"/>
          <w:color w:val="auto"/>
        </w:rPr>
        <w:t>2023年，淮河流域总用水量506.4亿m</w:t>
      </w:r>
      <w:r>
        <w:rPr>
          <w:rFonts w:hint="eastAsia"/>
          <w:color w:val="auto"/>
          <w:vertAlign w:val="superscript"/>
        </w:rPr>
        <w:t>3</w:t>
      </w:r>
      <w:r>
        <w:rPr>
          <w:rFonts w:hint="eastAsia"/>
          <w:color w:val="auto"/>
        </w:rPr>
        <w:t>，其中农业用水、工业用水、生活用水、人工生态环境补水分别为345.9亿m</w:t>
      </w:r>
      <w:r>
        <w:rPr>
          <w:rFonts w:hint="eastAsia"/>
          <w:color w:val="auto"/>
          <w:vertAlign w:val="superscript"/>
        </w:rPr>
        <w:t>3</w:t>
      </w:r>
      <w:r>
        <w:rPr>
          <w:rFonts w:hint="eastAsia"/>
          <w:color w:val="auto"/>
        </w:rPr>
        <w:t>、52.2亿m</w:t>
      </w:r>
      <w:r>
        <w:rPr>
          <w:rFonts w:hint="eastAsia"/>
          <w:color w:val="auto"/>
          <w:vertAlign w:val="superscript"/>
        </w:rPr>
        <w:t>3</w:t>
      </w:r>
      <w:r>
        <w:rPr>
          <w:rFonts w:hint="eastAsia"/>
          <w:color w:val="auto"/>
        </w:rPr>
        <w:t>、78.9亿m</w:t>
      </w:r>
      <w:r>
        <w:rPr>
          <w:rFonts w:hint="eastAsia"/>
          <w:color w:val="auto"/>
          <w:vertAlign w:val="superscript"/>
        </w:rPr>
        <w:t>3</w:t>
      </w:r>
      <w:r>
        <w:rPr>
          <w:rFonts w:hint="eastAsia"/>
          <w:color w:val="auto"/>
        </w:rPr>
        <w:t>、29.4亿m</w:t>
      </w:r>
      <w:r>
        <w:rPr>
          <w:rFonts w:hint="eastAsia"/>
          <w:color w:val="auto"/>
          <w:vertAlign w:val="superscript"/>
        </w:rPr>
        <w:t>3</w:t>
      </w:r>
      <w:r>
        <w:rPr>
          <w:rFonts w:hint="eastAsia"/>
          <w:color w:val="auto"/>
        </w:rPr>
        <w:t>，分别占总用水量的68.3%、10.3%、15.6%、5.8%。</w:t>
      </w:r>
    </w:p>
    <w:p w14:paraId="0455C3CF">
      <w:pPr>
        <w:pStyle w:val="139"/>
        <w:ind w:firstLine="480"/>
        <w:rPr>
          <w:color w:val="auto"/>
        </w:rPr>
      </w:pPr>
      <w:r>
        <w:rPr>
          <w:rFonts w:hint="eastAsia"/>
          <w:color w:val="auto"/>
        </w:rPr>
        <w:t>“十三五”以来，淮河流域及山东半岛用水总量总体相对平稳。其中，生活用水量呈持续增加态势；工业用水量总体呈减少态势，反映工业节水成效，但随着经济社会发展近年来减少态势有所放缓；农业用水量受当年降水和实际灌溉面积的影响上下波动。生活用水量占用水总量的比例逐渐增加，农业用水量和工业用水量占用水总量的比例有所减少。</w:t>
      </w:r>
    </w:p>
    <w:p w14:paraId="694592F8">
      <w:pPr>
        <w:pStyle w:val="93"/>
      </w:pPr>
      <w:r>
        <w:rPr>
          <w:rFonts w:hint="eastAsia"/>
        </w:rPr>
        <w:t>二、淮安市水资源开发利用概况</w:t>
      </w:r>
    </w:p>
    <w:p w14:paraId="2D242BD5">
      <w:pPr>
        <w:pStyle w:val="139"/>
        <w:ind w:firstLine="480"/>
        <w:rPr>
          <w:color w:val="auto"/>
        </w:rPr>
      </w:pPr>
      <w:r>
        <w:rPr>
          <w:rFonts w:hint="eastAsia"/>
          <w:color w:val="auto"/>
        </w:rPr>
        <w:t>根据《2023年淮安市水资源公报》：2023年淮安市平均降水量1076.5mm，折合降水总量107.977亿m</w:t>
      </w:r>
      <w:r>
        <w:rPr>
          <w:rFonts w:hint="eastAsia"/>
          <w:color w:val="auto"/>
          <w:vertAlign w:val="superscript"/>
        </w:rPr>
        <w:t>3</w:t>
      </w:r>
      <w:r>
        <w:rPr>
          <w:rFonts w:hint="eastAsia"/>
          <w:color w:val="auto"/>
        </w:rPr>
        <w:t>，比上年偏多67.0%，比多年平均偏多10.6％，属偏丰年份。2023年全市地表水资源量31.367亿m</w:t>
      </w:r>
      <w:r>
        <w:rPr>
          <w:rFonts w:hint="eastAsia"/>
          <w:color w:val="auto"/>
          <w:vertAlign w:val="superscript"/>
        </w:rPr>
        <w:t>3</w:t>
      </w:r>
      <w:r>
        <w:rPr>
          <w:rFonts w:hint="eastAsia"/>
          <w:color w:val="auto"/>
        </w:rPr>
        <w:t>，年径流深312.7mm，比上年偏多612.7%，比多年平均偏多20.8%。7个县（区）地表水资源量与多年平均比较，除盱眙县偏少16.1%外，其余县（区）均偏多10%以上。</w:t>
      </w:r>
    </w:p>
    <w:p w14:paraId="30841EEC">
      <w:pPr>
        <w:pStyle w:val="139"/>
        <w:ind w:firstLine="480"/>
        <w:rPr>
          <w:color w:val="auto"/>
        </w:rPr>
      </w:pPr>
      <w:r>
        <w:rPr>
          <w:rFonts w:hint="eastAsia"/>
          <w:color w:val="auto"/>
        </w:rPr>
        <w:t>2023年全市水资源总量为36.647亿m</w:t>
      </w:r>
      <w:r>
        <w:rPr>
          <w:rFonts w:hint="eastAsia"/>
          <w:color w:val="auto"/>
          <w:vertAlign w:val="superscript"/>
        </w:rPr>
        <w:t>3</w:t>
      </w:r>
      <w:r>
        <w:rPr>
          <w:rFonts w:hint="eastAsia"/>
          <w:color w:val="auto"/>
        </w:rPr>
        <w:t>。其中，地表水资源量31.367亿m</w:t>
      </w:r>
      <w:r>
        <w:rPr>
          <w:rFonts w:hint="eastAsia"/>
          <w:color w:val="auto"/>
          <w:vertAlign w:val="superscript"/>
        </w:rPr>
        <w:t>3</w:t>
      </w:r>
      <w:r>
        <w:rPr>
          <w:rFonts w:hint="eastAsia"/>
          <w:color w:val="auto"/>
        </w:rPr>
        <w:t>，地下水资源量12.982亿m</w:t>
      </w:r>
      <w:r>
        <w:rPr>
          <w:rFonts w:hint="eastAsia"/>
          <w:color w:val="auto"/>
          <w:vertAlign w:val="superscript"/>
        </w:rPr>
        <w:t>3</w:t>
      </w:r>
      <w:r>
        <w:rPr>
          <w:rFonts w:hint="eastAsia"/>
          <w:color w:val="auto"/>
        </w:rPr>
        <w:t>，重复计算量7.702亿m</w:t>
      </w:r>
      <w:r>
        <w:rPr>
          <w:rFonts w:hint="eastAsia"/>
          <w:color w:val="auto"/>
          <w:vertAlign w:val="superscript"/>
        </w:rPr>
        <w:t>3</w:t>
      </w:r>
      <w:r>
        <w:rPr>
          <w:rFonts w:hint="eastAsia"/>
          <w:color w:val="auto"/>
        </w:rPr>
        <w:t>。</w:t>
      </w:r>
    </w:p>
    <w:p w14:paraId="7834688B">
      <w:pPr>
        <w:pStyle w:val="139"/>
        <w:ind w:firstLine="480"/>
        <w:rPr>
          <w:color w:val="auto"/>
        </w:rPr>
      </w:pPr>
      <w:bookmarkStart w:id="240" w:name="_Toc24986"/>
      <w:bookmarkEnd w:id="240"/>
      <w:r>
        <w:rPr>
          <w:rFonts w:hint="eastAsia"/>
          <w:color w:val="auto"/>
        </w:rPr>
        <w:t>（一）供水量</w:t>
      </w:r>
    </w:p>
    <w:p w14:paraId="40E97ECD">
      <w:pPr>
        <w:pStyle w:val="139"/>
        <w:ind w:firstLine="480"/>
        <w:rPr>
          <w:color w:val="auto"/>
        </w:rPr>
      </w:pPr>
      <w:r>
        <w:rPr>
          <w:rFonts w:hint="eastAsia"/>
          <w:color w:val="auto"/>
        </w:rPr>
        <w:t>2023年全市供水总量32.083亿m</w:t>
      </w:r>
      <w:r>
        <w:rPr>
          <w:rFonts w:hint="eastAsia"/>
          <w:color w:val="auto"/>
          <w:vertAlign w:val="superscript"/>
        </w:rPr>
        <w:t>3</w:t>
      </w:r>
      <w:r>
        <w:rPr>
          <w:rFonts w:hint="eastAsia"/>
          <w:color w:val="auto"/>
        </w:rPr>
        <w:t>，其中地表水源供水31.373亿m</w:t>
      </w:r>
      <w:r>
        <w:rPr>
          <w:rFonts w:hint="eastAsia"/>
          <w:color w:val="auto"/>
          <w:vertAlign w:val="superscript"/>
        </w:rPr>
        <w:t>3</w:t>
      </w:r>
      <w:r>
        <w:rPr>
          <w:rFonts w:hint="eastAsia"/>
          <w:color w:val="auto"/>
        </w:rPr>
        <w:t>，占供水总量的97.8％；地下水源供水0.175亿m</w:t>
      </w:r>
      <w:r>
        <w:rPr>
          <w:rFonts w:hint="eastAsia"/>
          <w:color w:val="auto"/>
          <w:vertAlign w:val="superscript"/>
        </w:rPr>
        <w:t>3</w:t>
      </w:r>
      <w:r>
        <w:rPr>
          <w:rFonts w:hint="eastAsia"/>
          <w:color w:val="auto"/>
        </w:rPr>
        <w:t>，占供水总量的0.5％；其他水源供水0.535亿m</w:t>
      </w:r>
      <w:r>
        <w:rPr>
          <w:rFonts w:hint="eastAsia"/>
          <w:color w:val="auto"/>
          <w:vertAlign w:val="superscript"/>
        </w:rPr>
        <w:t>3</w:t>
      </w:r>
      <w:r>
        <w:rPr>
          <w:rFonts w:hint="eastAsia"/>
          <w:color w:val="auto"/>
        </w:rPr>
        <w:t>，占供水总量的1.7％。与上年相比，全市供水总量减少4.970亿m</w:t>
      </w:r>
      <w:r>
        <w:rPr>
          <w:rFonts w:hint="eastAsia"/>
          <w:color w:val="auto"/>
          <w:vertAlign w:val="superscript"/>
        </w:rPr>
        <w:t>3</w:t>
      </w:r>
      <w:r>
        <w:rPr>
          <w:rFonts w:hint="eastAsia"/>
          <w:color w:val="auto"/>
        </w:rPr>
        <w:t>。</w:t>
      </w:r>
    </w:p>
    <w:p w14:paraId="58B245E1">
      <w:pPr>
        <w:pStyle w:val="139"/>
        <w:ind w:firstLine="480"/>
        <w:rPr>
          <w:color w:val="auto"/>
        </w:rPr>
      </w:pPr>
      <w:r>
        <w:rPr>
          <w:rFonts w:hint="eastAsia"/>
          <w:color w:val="auto"/>
        </w:rPr>
        <w:t>（二）用水量</w:t>
      </w:r>
    </w:p>
    <w:p w14:paraId="21E12800">
      <w:pPr>
        <w:pStyle w:val="139"/>
        <w:ind w:firstLine="480"/>
        <w:rPr>
          <w:color w:val="auto"/>
        </w:rPr>
      </w:pPr>
      <w:r>
        <w:rPr>
          <w:rFonts w:hint="eastAsia"/>
          <w:color w:val="auto"/>
        </w:rPr>
        <w:t>2023年全市用水总量为32.083亿m</w:t>
      </w:r>
      <w:r>
        <w:rPr>
          <w:rFonts w:hint="eastAsia"/>
          <w:color w:val="auto"/>
          <w:vertAlign w:val="superscript"/>
        </w:rPr>
        <w:t>3</w:t>
      </w:r>
      <w:r>
        <w:rPr>
          <w:rFonts w:hint="eastAsia"/>
          <w:color w:val="auto"/>
        </w:rPr>
        <w:t>。其中，生产用水29.599亿m</w:t>
      </w:r>
      <w:r>
        <w:rPr>
          <w:rFonts w:hint="eastAsia"/>
          <w:color w:val="auto"/>
          <w:vertAlign w:val="superscript"/>
        </w:rPr>
        <w:t>3</w:t>
      </w:r>
      <w:r>
        <w:rPr>
          <w:rFonts w:hint="eastAsia"/>
          <w:color w:val="auto"/>
        </w:rPr>
        <w:t>，占用水总量的92.3％；生活用水2.124亿m</w:t>
      </w:r>
      <w:r>
        <w:rPr>
          <w:rFonts w:hint="eastAsia"/>
          <w:color w:val="auto"/>
          <w:vertAlign w:val="superscript"/>
        </w:rPr>
        <w:t>3</w:t>
      </w:r>
      <w:r>
        <w:rPr>
          <w:rFonts w:hint="eastAsia"/>
          <w:color w:val="auto"/>
        </w:rPr>
        <w:t>，占用水总量的6.6％；生态环境用水0.360亿m</w:t>
      </w:r>
      <w:r>
        <w:rPr>
          <w:rFonts w:hint="eastAsia"/>
          <w:color w:val="auto"/>
          <w:vertAlign w:val="superscript"/>
        </w:rPr>
        <w:t>3</w:t>
      </w:r>
      <w:r>
        <w:rPr>
          <w:rFonts w:hint="eastAsia"/>
          <w:color w:val="auto"/>
        </w:rPr>
        <w:t>，占用水总量的1.1％。生产用水按产业结构划分，第一产业用水25.510亿m</w:t>
      </w:r>
      <w:r>
        <w:rPr>
          <w:rFonts w:hint="eastAsia"/>
          <w:color w:val="auto"/>
          <w:vertAlign w:val="superscript"/>
        </w:rPr>
        <w:t>3</w:t>
      </w:r>
      <w:r>
        <w:rPr>
          <w:rFonts w:hint="eastAsia"/>
          <w:color w:val="auto"/>
        </w:rPr>
        <w:t>，占生产用水的86.2％，其中农田灌溉用水22.688亿m</w:t>
      </w:r>
      <w:r>
        <w:rPr>
          <w:rFonts w:hint="eastAsia"/>
          <w:color w:val="auto"/>
          <w:vertAlign w:val="superscript"/>
        </w:rPr>
        <w:t>3</w:t>
      </w:r>
      <w:r>
        <w:rPr>
          <w:rFonts w:hint="eastAsia"/>
          <w:color w:val="auto"/>
        </w:rPr>
        <w:t>，林牧渔畜用水2.822亿m</w:t>
      </w:r>
      <w:r>
        <w:rPr>
          <w:rFonts w:hint="eastAsia"/>
          <w:color w:val="auto"/>
          <w:vertAlign w:val="superscript"/>
        </w:rPr>
        <w:t>3</w:t>
      </w:r>
      <w:r>
        <w:rPr>
          <w:rFonts w:hint="eastAsia"/>
          <w:color w:val="auto"/>
        </w:rPr>
        <w:t>；第二产业用水3.013亿m</w:t>
      </w:r>
      <w:r>
        <w:rPr>
          <w:rFonts w:hint="eastAsia"/>
          <w:color w:val="auto"/>
          <w:vertAlign w:val="superscript"/>
        </w:rPr>
        <w:t>3</w:t>
      </w:r>
      <w:r>
        <w:rPr>
          <w:rFonts w:hint="eastAsia"/>
          <w:color w:val="auto"/>
        </w:rPr>
        <w:t>，占10.2%，其中一般工业用水1.278亿m</w:t>
      </w:r>
      <w:r>
        <w:rPr>
          <w:rFonts w:hint="eastAsia"/>
          <w:color w:val="auto"/>
          <w:vertAlign w:val="superscript"/>
        </w:rPr>
        <w:t>3</w:t>
      </w:r>
      <w:r>
        <w:rPr>
          <w:rFonts w:hint="eastAsia"/>
          <w:color w:val="auto"/>
        </w:rPr>
        <w:t>，火电工业用水1.569亿m</w:t>
      </w:r>
      <w:r>
        <w:rPr>
          <w:rFonts w:hint="eastAsia"/>
          <w:color w:val="auto"/>
          <w:vertAlign w:val="superscript"/>
        </w:rPr>
        <w:t>3</w:t>
      </w:r>
      <w:r>
        <w:rPr>
          <w:rFonts w:hint="eastAsia"/>
          <w:color w:val="auto"/>
        </w:rPr>
        <w:t>，建筑业用水0.166亿m</w:t>
      </w:r>
      <w:r>
        <w:rPr>
          <w:rFonts w:hint="eastAsia"/>
          <w:color w:val="auto"/>
          <w:vertAlign w:val="superscript"/>
        </w:rPr>
        <w:t>3</w:t>
      </w:r>
      <w:r>
        <w:rPr>
          <w:rFonts w:hint="eastAsia"/>
          <w:color w:val="auto"/>
        </w:rPr>
        <w:t>；第三产业用水1.076亿m</w:t>
      </w:r>
      <w:r>
        <w:rPr>
          <w:rFonts w:hint="eastAsia"/>
          <w:color w:val="auto"/>
          <w:vertAlign w:val="superscript"/>
        </w:rPr>
        <w:t>3</w:t>
      </w:r>
      <w:r>
        <w:rPr>
          <w:rFonts w:hint="eastAsia"/>
          <w:color w:val="auto"/>
        </w:rPr>
        <w:t>，占3.6％。</w:t>
      </w:r>
    </w:p>
    <w:p w14:paraId="651A2696">
      <w:pPr>
        <w:pStyle w:val="139"/>
        <w:ind w:firstLine="480"/>
        <w:rPr>
          <w:color w:val="auto"/>
        </w:rPr>
      </w:pPr>
      <w:r>
        <w:rPr>
          <w:rFonts w:hint="eastAsia"/>
          <w:color w:val="auto"/>
        </w:rPr>
        <w:t>（三）用水消耗量</w:t>
      </w:r>
    </w:p>
    <w:p w14:paraId="6A237733">
      <w:pPr>
        <w:pStyle w:val="139"/>
        <w:ind w:firstLine="480"/>
        <w:rPr>
          <w:color w:val="auto"/>
        </w:rPr>
      </w:pPr>
      <w:r>
        <w:rPr>
          <w:rFonts w:hint="eastAsia"/>
          <w:color w:val="auto"/>
        </w:rPr>
        <w:t>2023年全市总耗水量为21.051亿m</w:t>
      </w:r>
      <w:r>
        <w:rPr>
          <w:rFonts w:hint="eastAsia"/>
          <w:color w:val="auto"/>
          <w:vertAlign w:val="superscript"/>
        </w:rPr>
        <w:t>3</w:t>
      </w:r>
      <w:r>
        <w:rPr>
          <w:rFonts w:hint="eastAsia"/>
          <w:color w:val="auto"/>
        </w:rPr>
        <w:t>，综合耗水率为65.6％。其中，农业耗水量19.025亿m</w:t>
      </w:r>
      <w:r>
        <w:rPr>
          <w:rFonts w:hint="eastAsia"/>
          <w:color w:val="auto"/>
          <w:vertAlign w:val="superscript"/>
        </w:rPr>
        <w:t>3</w:t>
      </w:r>
      <w:r>
        <w:rPr>
          <w:rFonts w:hint="eastAsia"/>
          <w:color w:val="auto"/>
        </w:rPr>
        <w:t>，耗水率74.6%；工业耗水量0.559亿m</w:t>
      </w:r>
      <w:r>
        <w:rPr>
          <w:rFonts w:hint="eastAsia"/>
          <w:color w:val="auto"/>
          <w:vertAlign w:val="superscript"/>
        </w:rPr>
        <w:t>3</w:t>
      </w:r>
      <w:r>
        <w:rPr>
          <w:rFonts w:hint="eastAsia"/>
          <w:color w:val="auto"/>
        </w:rPr>
        <w:t>，耗水率19.6%；生活耗水量1.117亿m</w:t>
      </w:r>
      <w:r>
        <w:rPr>
          <w:rFonts w:hint="eastAsia"/>
          <w:color w:val="auto"/>
          <w:vertAlign w:val="superscript"/>
        </w:rPr>
        <w:t>3</w:t>
      </w:r>
      <w:r>
        <w:rPr>
          <w:rFonts w:hint="eastAsia"/>
          <w:color w:val="auto"/>
        </w:rPr>
        <w:t>，城镇、农村居民生活耗水率分别为20.4%、78.2%；生态环境耗水量0.350亿m</w:t>
      </w:r>
      <w:r>
        <w:rPr>
          <w:rFonts w:hint="eastAsia"/>
          <w:color w:val="auto"/>
          <w:vertAlign w:val="superscript"/>
        </w:rPr>
        <w:t>3</w:t>
      </w:r>
      <w:r>
        <w:rPr>
          <w:rFonts w:hint="eastAsia"/>
          <w:color w:val="auto"/>
        </w:rPr>
        <w:t>，耗水率97.2%。</w:t>
      </w:r>
    </w:p>
    <w:bookmarkEnd w:id="239"/>
    <w:p w14:paraId="6DA0C2F4">
      <w:pPr>
        <w:pStyle w:val="82"/>
      </w:pPr>
      <w:r>
        <w:rPr>
          <w:rFonts w:hint="eastAsia"/>
        </w:rPr>
        <w:t>地下水</w:t>
      </w:r>
    </w:p>
    <w:p w14:paraId="4B640C44">
      <w:pPr>
        <w:pStyle w:val="84"/>
      </w:pPr>
      <w:r>
        <w:rPr>
          <w:rFonts w:hint="eastAsia"/>
        </w:rPr>
        <w:t>地下水类别与含水岩组划分</w:t>
      </w:r>
    </w:p>
    <w:p w14:paraId="58376FD5">
      <w:pPr>
        <w:pStyle w:val="93"/>
      </w:pPr>
      <w:r>
        <w:rPr>
          <w:rFonts w:hint="eastAsia"/>
        </w:rPr>
        <w:t>根据地下水赋存条件及水力特征，淮安市境内的地下水可分为松散岩类孔隙水、碳酸盐岩类裂隙溶洞水和基岩裂隙水三大类型。对于后两种类型，虽然具有一定的赋水性，但由于埋深过大，无论对供水或排水暂无现实意义。松散岩层孔隙水，按区域水文地质普查规范，结合本项目特征，根据沉积物的时代、成因、地层结构，以及水文地质特征，本区松散层可以划分为两个含水岩组，即：</w:t>
      </w:r>
    </w:p>
    <w:p w14:paraId="61CA2421">
      <w:pPr>
        <w:pStyle w:val="93"/>
      </w:pPr>
      <w:r>
        <w:rPr>
          <w:rFonts w:hint="eastAsia"/>
        </w:rPr>
        <w:t>潜水含水岩组：属潜水。含水层时代相当于第四纪全新世—晚更新世或第四纪。第Ⅰ承压含水岩组：属中层承压水，含水层时代相当于早、中更新世。</w:t>
      </w:r>
    </w:p>
    <w:p w14:paraId="22D8F974">
      <w:pPr>
        <w:pStyle w:val="93"/>
      </w:pPr>
      <w:r>
        <w:rPr>
          <w:rFonts w:hint="eastAsia"/>
        </w:rPr>
        <w:t>（1）潜水</w:t>
      </w:r>
    </w:p>
    <w:p w14:paraId="78E6AD74">
      <w:pPr>
        <w:pStyle w:val="93"/>
      </w:pPr>
      <w:r>
        <w:rPr>
          <w:rFonts w:hint="eastAsia"/>
        </w:rPr>
        <w:t>含水层时代相当于第四纪全新世，含水层底板埋深约4～6m，含水层岩性以粉土、粉质粘土为主。平水期水位埋深一般0.48～2.17m；场区水井平水期水位埋深1.66～2.17m。含水层富水性一般，涌水量一般为20～60m</w:t>
      </w:r>
      <w:r>
        <w:rPr>
          <w:rFonts w:hint="eastAsia"/>
          <w:vertAlign w:val="superscript"/>
        </w:rPr>
        <w:t>3</w:t>
      </w:r>
      <w:r>
        <w:rPr>
          <w:rFonts w:hint="eastAsia"/>
        </w:rPr>
        <w:t>/d。地下水流向整体流向为西偏北。</w:t>
      </w:r>
    </w:p>
    <w:p w14:paraId="449944EF">
      <w:pPr>
        <w:pStyle w:val="93"/>
      </w:pPr>
      <w:r>
        <w:rPr>
          <w:rFonts w:hint="eastAsia"/>
        </w:rPr>
        <w:t>评价区潜水含水层类型主要为HCO</w:t>
      </w:r>
      <w:r>
        <w:rPr>
          <w:rFonts w:hint="eastAsia"/>
          <w:vertAlign w:val="subscript"/>
        </w:rPr>
        <w:t>3</w:t>
      </w:r>
      <w:r>
        <w:rPr>
          <w:rFonts w:hint="eastAsia"/>
        </w:rPr>
        <w:t>·Cl—Na型水，部分为HCO</w:t>
      </w:r>
      <w:r>
        <w:rPr>
          <w:rFonts w:hint="eastAsia"/>
          <w:vertAlign w:val="subscript"/>
        </w:rPr>
        <w:t>3</w:t>
      </w:r>
      <w:r>
        <w:rPr>
          <w:rFonts w:hint="eastAsia"/>
        </w:rPr>
        <w:t>-Ca·Mg型水，含水层矿化度为1.1～1.8g/L。</w:t>
      </w:r>
    </w:p>
    <w:p w14:paraId="46F66029">
      <w:pPr>
        <w:pStyle w:val="93"/>
      </w:pPr>
      <w:r>
        <w:rPr>
          <w:rFonts w:hint="eastAsia"/>
        </w:rPr>
        <w:t>（2）第Ⅰ承压水</w:t>
      </w:r>
    </w:p>
    <w:p w14:paraId="74D3EED7">
      <w:pPr>
        <w:pStyle w:val="93"/>
      </w:pPr>
      <w:r>
        <w:rPr>
          <w:rFonts w:hint="eastAsia"/>
        </w:rPr>
        <w:t>分布于调查区大部分区域，含水层时代相当于早、中更新世，含水层顶板埋约20～30m左右，含水层厚度约3～6m。含水层岩性以细中砂、中粗砂为主。民井平水期水位埋深一般31.6～38.73m。含水层富水性较好，涌水量一般大于1000 m</w:t>
      </w:r>
      <w:r>
        <w:rPr>
          <w:rFonts w:hint="eastAsia"/>
          <w:vertAlign w:val="superscript"/>
        </w:rPr>
        <w:t>3</w:t>
      </w:r>
      <w:r>
        <w:rPr>
          <w:rFonts w:hint="eastAsia"/>
        </w:rPr>
        <w:t>/d。该层地下水流向由于受人工开采影响较大。</w:t>
      </w:r>
    </w:p>
    <w:p w14:paraId="017EA82B">
      <w:pPr>
        <w:ind w:firstLine="480"/>
      </w:pPr>
      <w:r>
        <w:rPr>
          <w:rFonts w:hint="eastAsia"/>
        </w:rPr>
        <w:t>第Ⅰ承压含水层地下水类型主要为HCO</w:t>
      </w:r>
      <w:r>
        <w:rPr>
          <w:rFonts w:hint="eastAsia"/>
          <w:vertAlign w:val="subscript"/>
        </w:rPr>
        <w:t>3</w:t>
      </w:r>
      <w:r>
        <w:rPr>
          <w:rFonts w:hint="eastAsia"/>
        </w:rPr>
        <w:t>—Cl·Na型水，含水层矿化度1～3g/L。</w:t>
      </w:r>
    </w:p>
    <w:p w14:paraId="7306290C">
      <w:pPr>
        <w:pStyle w:val="84"/>
      </w:pPr>
      <w:r>
        <w:rPr>
          <w:rFonts w:hint="eastAsia"/>
        </w:rPr>
        <w:t>地下水的补给与排泄</w:t>
      </w:r>
    </w:p>
    <w:p w14:paraId="4E61B0BD">
      <w:pPr>
        <w:pStyle w:val="93"/>
      </w:pPr>
      <w:r>
        <w:rPr>
          <w:rFonts w:hint="eastAsia"/>
        </w:rPr>
        <w:t>（1）地下水补径排条件</w:t>
      </w:r>
    </w:p>
    <w:p w14:paraId="14C61FF3">
      <w:pPr>
        <w:pStyle w:val="93"/>
      </w:pPr>
      <w:r>
        <w:rPr>
          <w:rFonts w:hint="eastAsia" w:ascii="宋体" w:hAnsi="宋体" w:eastAsia="宋体" w:cs="宋体"/>
        </w:rPr>
        <w:t>①</w:t>
      </w:r>
      <w:r>
        <w:rPr>
          <w:rFonts w:hint="eastAsia"/>
        </w:rPr>
        <w:t>第Ⅰ含水层：主要接受大气降水补给和地表水补给，它与大气降水和地表水关系密切，积极参与水循环，易于补充和恢复，其水位动态有明显的季节性变化特征，雨季水位上升，旱季水位下降，水位变化幅度较大；受地表水质的影响其水质变化也较大，容易因地表水被污染而受到污染。该层水的排泄主要是垂向蒸发，其次是人工开采。</w:t>
      </w:r>
    </w:p>
    <w:p w14:paraId="0FC4663A">
      <w:pPr>
        <w:pStyle w:val="93"/>
      </w:pPr>
      <w:r>
        <w:rPr>
          <w:rFonts w:hint="eastAsia" w:ascii="宋体" w:hAnsi="宋体" w:eastAsia="宋体" w:cs="宋体"/>
        </w:rPr>
        <w:t>②</w:t>
      </w:r>
      <w:r>
        <w:rPr>
          <w:rFonts w:hint="eastAsia"/>
        </w:rPr>
        <w:t>第Ⅱ承压含水层：一定程度上也接受大气降水和地表水的补给，但与大气降水和地表水的联系较弱，参与水循环远不如第Ⅰ含水层那样积极，因此其动态相对较稳定，水位变化幅度较小，水位上升一般在降雨后期；其水质受地表水水质影响较小，一般不易受到污染；另外它还接受第Ⅰ含水层某些透水性较强的隔水层向下的越流补给。该层水的排泄主要是人工开采。</w:t>
      </w:r>
    </w:p>
    <w:p w14:paraId="7C927457">
      <w:pPr>
        <w:pStyle w:val="93"/>
      </w:pPr>
      <w:r>
        <w:rPr>
          <w:rFonts w:hint="eastAsia" w:ascii="宋体" w:hAnsi="宋体" w:eastAsia="宋体" w:cs="宋体"/>
        </w:rPr>
        <w:t>③</w:t>
      </w:r>
      <w:r>
        <w:rPr>
          <w:rFonts w:hint="eastAsia"/>
        </w:rPr>
        <w:t>第Ⅲ承压含水层：与大气降水和地表水的联系更小，基本不参与水循环，其动态较稳定，水位变化幅度很小，水位上升往往是滞后降水一段时间，而不是立即得到补给；其水质基本不受地表水的影响，水质状况稳定。该层水的排泄主要是人工开采。</w:t>
      </w:r>
    </w:p>
    <w:p w14:paraId="1986336E">
      <w:pPr>
        <w:pStyle w:val="93"/>
      </w:pPr>
      <w:r>
        <w:rPr>
          <w:rFonts w:hint="eastAsia" w:ascii="宋体" w:hAnsi="宋体" w:eastAsia="宋体" w:cs="宋体"/>
        </w:rPr>
        <w:t>④</w:t>
      </w:r>
      <w:r>
        <w:rPr>
          <w:rFonts w:hint="eastAsia"/>
        </w:rPr>
        <w:t>第Ⅳ承压含水层：埋藏较深，埋深一般大于300m，不易开采，目前涟水县基本未开采该层地下水，作为远景水源，有待进一步勘探。</w:t>
      </w:r>
    </w:p>
    <w:p w14:paraId="4C6FC652">
      <w:pPr>
        <w:pStyle w:val="93"/>
      </w:pPr>
      <w:r>
        <w:rPr>
          <w:rFonts w:hint="eastAsia"/>
        </w:rPr>
        <w:t>（2）地下水动态特征</w:t>
      </w:r>
    </w:p>
    <w:p w14:paraId="77181CF0">
      <w:pPr>
        <w:pStyle w:val="93"/>
      </w:pPr>
      <w:r>
        <w:rPr>
          <w:rFonts w:hint="eastAsia"/>
        </w:rPr>
        <w:t>潜水：主要为废黄河冲积平原松散层潜水。地下水的动态变化与降雨、灌溉以及周边河流水位关系密切。潜水高水位在7～11月份，最低3～5月份；水位变化幅度0.6～1.7m。</w:t>
      </w:r>
    </w:p>
    <w:p w14:paraId="731B2BA1">
      <w:pPr>
        <w:pStyle w:val="93"/>
      </w:pPr>
      <w:r>
        <w:rPr>
          <w:rFonts w:hint="eastAsia"/>
        </w:rPr>
        <w:t>Ⅰ承压水：水位变化与降雨量的关系不明显，而与地下水开采量的季节性变化有较密切的关系。一般6～9月地下水开采的最高峰，地下水水位较明显低于其他月份。</w:t>
      </w:r>
    </w:p>
    <w:p w14:paraId="7465B6D9">
      <w:pPr>
        <w:pStyle w:val="82"/>
      </w:pPr>
      <w:r>
        <w:rPr>
          <w:rFonts w:hint="eastAsia"/>
        </w:rPr>
        <w:t>生态环境</w:t>
      </w:r>
    </w:p>
    <w:p w14:paraId="7D248A4E">
      <w:pPr>
        <w:pStyle w:val="93"/>
      </w:pPr>
      <w:r>
        <w:rPr>
          <w:rFonts w:hint="eastAsia"/>
        </w:rPr>
        <w:t>（1）植被、生物多样性</w:t>
      </w:r>
    </w:p>
    <w:p w14:paraId="187EBB3D">
      <w:pPr>
        <w:pStyle w:val="93"/>
      </w:pPr>
      <w:r>
        <w:rPr>
          <w:rFonts w:hint="eastAsia"/>
        </w:rPr>
        <w:t>根据淮安市第二次土壤普查报告，涟水县共有土壤面积167.65万亩，全部为潮土类，分为黄潮土、盐碱类潮土2个亚类。全县一级土壤301亩，仅占土壤面积的0.15%，二级土壤17.8万亩，占土壤面积的10.6%，三级土壤为55.3万亩，占土壤面积的33%，四级土壤74.8万亩，占土壤面积的44.6%，五级土壤19.6万亩，占土壤面积的11.7%。全县一、二级质量较好的土壤面积少，质量较差的四五级土壤面积占一半以上。</w:t>
      </w:r>
    </w:p>
    <w:p w14:paraId="1317C16D">
      <w:pPr>
        <w:pStyle w:val="93"/>
      </w:pPr>
      <w:r>
        <w:rPr>
          <w:rFonts w:hint="eastAsia"/>
        </w:rPr>
        <w:t>县境内垦殖历史悠久，原生自然植物已基本不存在，代之以人工植被和次生植被。主要树种以与温暖带气候相适应的落叶阔叶林为主，近年来，林木发展主要以杨树为主。全县宜林荒地全部绿化，四旁植树3200万株，成片造林18万亩，林木覆盖率达18.3%。</w:t>
      </w:r>
    </w:p>
    <w:p w14:paraId="116440C0">
      <w:pPr>
        <w:pStyle w:val="93"/>
      </w:pPr>
      <w:r>
        <w:rPr>
          <w:rFonts w:hint="eastAsia"/>
        </w:rPr>
        <w:t>由于涟水县独特的气候及水土条件，发展农业得天独厚，使其一直是江苏省的生态农业县，是全国粮食生产、平原绿化百强县，全国商品粮生产基地县，全国商品猪生产基地县。主要农作物有水稻、小麦、玉米、山芋、棉花、大豆等。区内主要经济作物有洋葱、浅水藕、马铃薯、大蒜、朝天椒、大豆、花生、油菜等。</w:t>
      </w:r>
    </w:p>
    <w:p w14:paraId="4E14CA89">
      <w:pPr>
        <w:pStyle w:val="93"/>
      </w:pPr>
      <w:r>
        <w:rPr>
          <w:rFonts w:hint="eastAsia"/>
        </w:rPr>
        <w:t>主要哺乳类野生动物有草狐、野兔、松鼠、黄鼬、蝙蝠、刺猬等；主要鸟类有布谷鸟、雁、云雀、喜鹊、麻雀、鹌鹑等近百种；淡水鱼有16科93种，常见的有草鱼、鳊鱼、鲤鱼、鲫鱼、鲶鱼、黄鳝、泥鳅等；另外还有爬行类、两栖类、软体类、</w:t>
      </w:r>
      <w:r>
        <w:rPr>
          <w:rFonts w:hint="eastAsia"/>
          <w:lang w:eastAsia="zh-CN"/>
        </w:rPr>
        <w:t>节肢</w:t>
      </w:r>
      <w:r>
        <w:rPr>
          <w:rFonts w:hint="eastAsia"/>
        </w:rPr>
        <w:t>类等类别野生动物。</w:t>
      </w:r>
    </w:p>
    <w:p w14:paraId="0EAAB9DF">
      <w:pPr>
        <w:pStyle w:val="93"/>
      </w:pPr>
      <w:r>
        <w:rPr>
          <w:rFonts w:hint="eastAsia"/>
        </w:rPr>
        <w:t>次生自然植被主要为灌木和草本植物，在农田隙地和抛荒地有</w:t>
      </w:r>
      <w:r>
        <w:rPr>
          <w:rFonts w:hint="eastAsia"/>
          <w:lang w:eastAsia="zh-CN"/>
        </w:rPr>
        <w:t>盐碱</w:t>
      </w:r>
      <w:r>
        <w:rPr>
          <w:rFonts w:hint="eastAsia"/>
        </w:rPr>
        <w:t>土植被群落零星分布，组成种类简单，主要有海乳草和白</w:t>
      </w:r>
      <w:r>
        <w:rPr>
          <w:rFonts w:hint="eastAsia"/>
          <w:lang w:eastAsia="zh-CN"/>
        </w:rPr>
        <w:t>茅草</w:t>
      </w:r>
      <w:r>
        <w:rPr>
          <w:rFonts w:hint="eastAsia"/>
        </w:rPr>
        <w:t>等。野生植物主要有菌、藻、地衣类、蕨类和被子植物类。菌、藻、地衣类包括念珠藻、白蘑、木耳等十余种；蕨类主要包括笔管草、海金沙、肾蕨、满江红等十余种；被子植物类品种繁多，大约有</w:t>
      </w:r>
      <w:r>
        <w:rPr>
          <w:rFonts w:hint="eastAsia"/>
          <w:lang w:eastAsia="zh-CN"/>
        </w:rPr>
        <w:t>四五百</w:t>
      </w:r>
      <w:r>
        <w:rPr>
          <w:rFonts w:hint="eastAsia"/>
        </w:rPr>
        <w:t>种。</w:t>
      </w:r>
    </w:p>
    <w:p w14:paraId="46A95A28">
      <w:pPr>
        <w:pStyle w:val="93"/>
      </w:pPr>
      <w:r>
        <w:rPr>
          <w:rFonts w:hint="eastAsia"/>
        </w:rPr>
        <w:t>（2）陆生生物现状调查</w:t>
      </w:r>
    </w:p>
    <w:p w14:paraId="69F48892">
      <w:pPr>
        <w:pStyle w:val="93"/>
      </w:pPr>
      <w:r>
        <w:rPr>
          <w:rFonts w:hint="eastAsia"/>
        </w:rPr>
        <w:t>项目所在地属北亚热带和暖湿带交界处，属暖湿带半湿润季风气候，四季分明，有利于野生动物的生存，随着地理环境的人为改变种类和数量大为减少。区域内无大型野生保护动物，常见动物有野兔、刺猬、野鸡、麻雀、灰喜鹊、山喜鹊等。</w:t>
      </w:r>
    </w:p>
    <w:p w14:paraId="65283349">
      <w:pPr>
        <w:ind w:firstLine="480"/>
      </w:pPr>
      <w:r>
        <w:rPr>
          <w:rFonts w:hint="eastAsia"/>
        </w:rPr>
        <w:t>经资料查询及现场调查，项目用地周边未发现珍稀植物资源和古树名木分布，未发现国家和江苏省保护动物分布；无水产种质资源保护区等。</w:t>
      </w:r>
    </w:p>
    <w:p w14:paraId="52446716">
      <w:pPr>
        <w:pStyle w:val="93"/>
      </w:pPr>
      <w:r>
        <w:rPr>
          <w:rFonts w:hint="eastAsia"/>
        </w:rPr>
        <w:t>（3）水生生态现状调查</w:t>
      </w:r>
    </w:p>
    <w:p w14:paraId="2533A297">
      <w:pPr>
        <w:pStyle w:val="93"/>
      </w:pPr>
      <w:r>
        <w:rPr>
          <w:rFonts w:hint="eastAsia"/>
        </w:rPr>
        <w:t>盐河的水生植物有浮游植物（蓝藻、硅藻和绿藻等）、挺水植物（芦苇、茭草、蒲草、艾蒿等），浮叶植物（荇菜、金银莲花和野菱）和漂浮植物（浮萍、槐叶萍、水花生等）等。浮游动物种类繁多，主要的浮游动物有原生动物、轮虫、枝角类和桡足类四大类，其中虾、蟹等甲壳类占据绝对优势。主要的底栖动物以蚯蚓、螺蚌、蚬子等为主。鱼类资源丰富，主要有青、鲢、草、鳙、鳊、鲫、黄鳝、鲤鱼等三十余种。甲壳类有虾、蟹等，贝类有田螺、蚌等。</w:t>
      </w:r>
    </w:p>
    <w:p w14:paraId="48F14E66">
      <w:pPr>
        <w:pStyle w:val="93"/>
      </w:pPr>
      <w:r>
        <w:rPr>
          <w:rFonts w:hint="eastAsia"/>
        </w:rPr>
        <w:t>（4）涟漪湖自然保护区</w:t>
      </w:r>
    </w:p>
    <w:p w14:paraId="6C598D32">
      <w:pPr>
        <w:pStyle w:val="93"/>
      </w:pPr>
      <w:r>
        <w:rPr>
          <w:rFonts w:hint="eastAsia"/>
        </w:rPr>
        <w:t>1993年12月，位于涟水县县城中的涟漪湖被列为省级自然保护区，涟漪湖中有岛，每到春季，数万只国家二级保护动物黄嘴白鹭成群结队飞至涟水觅食栖息。</w:t>
      </w:r>
    </w:p>
    <w:p w14:paraId="428AB7D1">
      <w:pPr>
        <w:pStyle w:val="93"/>
      </w:pPr>
      <w:r>
        <w:rPr>
          <w:rFonts w:hint="eastAsia"/>
        </w:rPr>
        <w:t>涟漪湖自然保护区总面积约34.33公顷，主要保护对象为黄嘴白鹭，规划范围北至常青路、西至淮浦路及引河、南至中山路及涟漪东路、东至涟漪东湖以东50m，其环境空气功能规划为一类区。该保护区位于本项目西南侧约7.4公里，受本项目影响较小。</w:t>
      </w:r>
    </w:p>
    <w:p w14:paraId="5EBAA21E">
      <w:pPr>
        <w:pStyle w:val="93"/>
      </w:pPr>
      <w:r>
        <w:rPr>
          <w:rFonts w:hint="eastAsia"/>
        </w:rPr>
        <w:t>经资料查询及现场调查，项目用地周边未发现珍稀植物资源和古树名木分布，未发现国家和江苏省保护动物分布；无水产种质资源保护区等。</w:t>
      </w:r>
    </w:p>
    <w:p w14:paraId="38EA46E5">
      <w:pPr>
        <w:pStyle w:val="93"/>
      </w:pPr>
      <w:r>
        <w:rPr>
          <w:rFonts w:hint="eastAsia"/>
        </w:rPr>
        <w:t>本项目所在地区及评价范围内没有风景名胜及古迹等重要保护目标。</w:t>
      </w:r>
    </w:p>
    <w:p w14:paraId="0EAE8B8C">
      <w:pPr>
        <w:pStyle w:val="80"/>
      </w:pPr>
      <w:bookmarkStart w:id="241" w:name="_Toc11077"/>
      <w:bookmarkEnd w:id="241"/>
      <w:bookmarkStart w:id="242" w:name="_Toc21363"/>
      <w:bookmarkStart w:id="243" w:name="_Toc182171819"/>
      <w:r>
        <w:rPr>
          <w:rFonts w:hint="eastAsia"/>
        </w:rPr>
        <w:t>现有岸线利用情况</w:t>
      </w:r>
      <w:bookmarkEnd w:id="242"/>
      <w:bookmarkEnd w:id="243"/>
    </w:p>
    <w:p w14:paraId="592C30DB">
      <w:pPr>
        <w:pStyle w:val="93"/>
      </w:pPr>
      <w:r>
        <w:rPr>
          <w:rFonts w:hint="eastAsia"/>
        </w:rPr>
        <w:t>本项目位于涟水港区薛行作业区，淮安市涟水县朱码街道高台村国能涟水一期热电联产项目厂区内，淮安市涟水县盐河朱码闸下游约4km处，盐河左岸，地理位置优越。</w:t>
      </w:r>
    </w:p>
    <w:p w14:paraId="0F5B27D7">
      <w:pPr>
        <w:pStyle w:val="93"/>
      </w:pPr>
      <w:r>
        <w:rPr>
          <w:rFonts w:hint="eastAsia"/>
        </w:rPr>
        <w:t>根据《淮安港总体规划（2020</w:t>
      </w:r>
      <w:r>
        <w:rPr>
          <w:rFonts w:hint="eastAsia"/>
          <w:lang w:eastAsia="zh-CN"/>
        </w:rPr>
        <w:t>—</w:t>
      </w:r>
      <w:r>
        <w:rPr>
          <w:rFonts w:hint="eastAsia"/>
        </w:rPr>
        <w:t>2035年）》，本项目所在的港口规划岸线为朱码船闸下游4300m至朱码船闸下游5300m，全长1000m。本工程拟利用朱码船闸下游4300m至朱码船闸下游4482m之间的岸线，约182m，位于规划岸线范围内，本码头工程所使用的岸线符合《淮安港总体规划（2020</w:t>
      </w:r>
      <w:r>
        <w:rPr>
          <w:rFonts w:hint="eastAsia"/>
          <w:lang w:eastAsia="zh-CN"/>
        </w:rPr>
        <w:t>—</w:t>
      </w:r>
      <w:r>
        <w:rPr>
          <w:rFonts w:hint="eastAsia"/>
        </w:rPr>
        <w:t>2035年）》。</w:t>
      </w:r>
    </w:p>
    <w:p w14:paraId="37141442">
      <w:pPr>
        <w:pStyle w:val="93"/>
      </w:pPr>
      <w:r>
        <w:rPr>
          <w:rFonts w:hint="eastAsia"/>
        </w:rPr>
        <w:t>根据《淮安港总体规划（2020</w:t>
      </w:r>
      <w:r>
        <w:rPr>
          <w:rFonts w:hint="eastAsia"/>
          <w:lang w:eastAsia="zh-CN"/>
        </w:rPr>
        <w:t>—</w:t>
      </w:r>
      <w:r>
        <w:rPr>
          <w:rFonts w:hint="eastAsia"/>
        </w:rPr>
        <w:t>2035年）》，薛行作业区位于盐河航道薛行工业园境内，主要服务于薛行工业园区内的企业。作业区定位以装卸、仓储和物流服务功能为主，并服务临港工业发展，主要承担矿建材料、企业原材料和产成品等物资运输。</w:t>
      </w:r>
    </w:p>
    <w:p w14:paraId="185A07D0">
      <w:pPr>
        <w:pStyle w:val="93"/>
      </w:pPr>
      <w:r>
        <w:rPr>
          <w:rFonts w:hint="eastAsia"/>
          <w:bCs/>
        </w:rPr>
        <w:t>本项目建成后主要承担</w:t>
      </w:r>
      <w:r>
        <w:rPr>
          <w:rFonts w:hint="eastAsia"/>
        </w:rPr>
        <w:t>国能涟水一期热电联产项目</w:t>
      </w:r>
      <w:r>
        <w:rPr>
          <w:rFonts w:hint="eastAsia"/>
          <w:bCs/>
        </w:rPr>
        <w:t>煤炭运输</w:t>
      </w:r>
      <w:r>
        <w:rPr>
          <w:rFonts w:hint="eastAsia"/>
        </w:rPr>
        <w:t>，本码头为电厂专用煤炭卸船。因此，本工程功能定位及岸线性质均与规划相匹配。</w:t>
      </w:r>
    </w:p>
    <w:p w14:paraId="50EA7640">
      <w:pPr>
        <w:pStyle w:val="82"/>
      </w:pPr>
      <w:bookmarkStart w:id="244" w:name="_Toc21732"/>
      <w:bookmarkEnd w:id="244"/>
      <w:r>
        <w:rPr>
          <w:rFonts w:hint="eastAsia"/>
        </w:rPr>
        <w:t>跨河建筑物</w:t>
      </w:r>
    </w:p>
    <w:p w14:paraId="4DC75E39">
      <w:pPr>
        <w:pStyle w:val="93"/>
      </w:pPr>
      <w:r>
        <w:rPr>
          <w:rFonts w:hint="eastAsia"/>
        </w:rPr>
        <w:t>本工程与下游薛行大桥距离约1700m，上游盐河大桥距离约2000m。</w:t>
      </w:r>
    </w:p>
    <w:p w14:paraId="74769CE7">
      <w:pPr>
        <w:pStyle w:val="82"/>
      </w:pPr>
      <w:bookmarkStart w:id="245" w:name="_Toc25082"/>
      <w:bookmarkEnd w:id="245"/>
      <w:r>
        <w:rPr>
          <w:rFonts w:hint="eastAsia"/>
        </w:rPr>
        <w:t>拦河建筑物</w:t>
      </w:r>
    </w:p>
    <w:p w14:paraId="6F080815">
      <w:pPr>
        <w:pStyle w:val="139"/>
        <w:ind w:firstLine="480"/>
        <w:rPr>
          <w:color w:val="auto"/>
        </w:rPr>
      </w:pPr>
      <w:r>
        <w:rPr>
          <w:rFonts w:hint="eastAsia"/>
          <w:color w:val="auto"/>
        </w:rPr>
        <w:t>本项目所在的盐河航道，目前已达</w:t>
      </w:r>
      <w:r>
        <w:rPr>
          <w:rFonts w:hint="eastAsia"/>
          <w:color w:val="auto"/>
          <w:lang w:eastAsia="zh-CN"/>
        </w:rPr>
        <w:t>Ⅱ级</w:t>
      </w:r>
      <w:r>
        <w:rPr>
          <w:rFonts w:hint="eastAsia"/>
          <w:color w:val="auto"/>
        </w:rPr>
        <w:t>航道标准。码头上游设置有朱码船闸，下游设置有杨庄船闸。根据码头上下游船闸的船舶交通流量统计，2022年，码头周围通行船舶平均吨位达到450t左右，</w:t>
      </w:r>
      <w:r>
        <w:rPr>
          <w:rFonts w:hint="eastAsia"/>
          <w:color w:val="auto"/>
          <w:lang w:eastAsia="zh-CN"/>
        </w:rPr>
        <w:t>单箱</w:t>
      </w:r>
      <w:r>
        <w:rPr>
          <w:rFonts w:hint="eastAsia"/>
          <w:color w:val="auto"/>
        </w:rPr>
        <w:t>船舶吨位已达700t。根据观测，盐河航道船舶大型化趋势明显，航道上常见1000t级船舶通行。根据统计数据，2022年全年朱码船闸和新沂河船闸的船舶交通量详情见下表。</w:t>
      </w:r>
    </w:p>
    <w:p w14:paraId="278DAB40">
      <w:pPr>
        <w:pStyle w:val="86"/>
      </w:pPr>
      <w:r>
        <w:rPr>
          <w:rFonts w:hint="eastAsia"/>
        </w:rPr>
        <w:t>杨庄船闸和朱码船闸观测点统计情况表</w:t>
      </w:r>
    </w:p>
    <w:tbl>
      <w:tblPr>
        <w:tblStyle w:val="38"/>
        <w:tblW w:w="4998"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136"/>
        <w:gridCol w:w="1789"/>
        <w:gridCol w:w="1789"/>
        <w:gridCol w:w="1794"/>
        <w:gridCol w:w="1804"/>
      </w:tblGrid>
      <w:tr w14:paraId="29686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84" w:type="pct"/>
            <w:tcBorders>
              <w:top w:val="single" w:color="auto" w:sz="4" w:space="0"/>
              <w:left w:val="single" w:color="auto" w:sz="4" w:space="0"/>
              <w:bottom w:val="single" w:color="auto" w:sz="4" w:space="0"/>
              <w:right w:val="single" w:color="auto" w:sz="4" w:space="0"/>
            </w:tcBorders>
            <w:vAlign w:val="center"/>
          </w:tcPr>
          <w:p w14:paraId="222AF1E3">
            <w:pPr>
              <w:pStyle w:val="196"/>
            </w:pPr>
            <w:r>
              <w:rPr>
                <w:rFonts w:hint="eastAsia"/>
              </w:rPr>
              <w:t>船闸</w:t>
            </w:r>
          </w:p>
        </w:tc>
        <w:tc>
          <w:tcPr>
            <w:tcW w:w="1076" w:type="pct"/>
            <w:tcBorders>
              <w:top w:val="single" w:color="auto" w:sz="4" w:space="0"/>
              <w:left w:val="nil"/>
              <w:bottom w:val="single" w:color="auto" w:sz="4" w:space="0"/>
              <w:right w:val="single" w:color="auto" w:sz="4" w:space="0"/>
            </w:tcBorders>
            <w:vAlign w:val="center"/>
          </w:tcPr>
          <w:p w14:paraId="648E4670">
            <w:pPr>
              <w:pStyle w:val="196"/>
            </w:pPr>
            <w:r>
              <w:rPr>
                <w:rFonts w:hint="eastAsia"/>
              </w:rPr>
              <w:t>船型</w:t>
            </w:r>
          </w:p>
        </w:tc>
        <w:tc>
          <w:tcPr>
            <w:tcW w:w="1076" w:type="pct"/>
            <w:tcBorders>
              <w:top w:val="single" w:color="auto" w:sz="4" w:space="0"/>
              <w:left w:val="nil"/>
              <w:bottom w:val="single" w:color="auto" w:sz="4" w:space="0"/>
              <w:right w:val="single" w:color="auto" w:sz="4" w:space="0"/>
            </w:tcBorders>
            <w:vAlign w:val="center"/>
          </w:tcPr>
          <w:p w14:paraId="413120A3">
            <w:pPr>
              <w:pStyle w:val="196"/>
            </w:pPr>
            <w:r>
              <w:rPr>
                <w:rFonts w:hint="eastAsia"/>
              </w:rPr>
              <w:t>船舶艘数（条）</w:t>
            </w:r>
          </w:p>
        </w:tc>
        <w:tc>
          <w:tcPr>
            <w:tcW w:w="1079" w:type="pct"/>
            <w:tcBorders>
              <w:top w:val="single" w:color="auto" w:sz="4" w:space="0"/>
              <w:left w:val="nil"/>
              <w:bottom w:val="single" w:color="auto" w:sz="4" w:space="0"/>
              <w:right w:val="single" w:color="auto" w:sz="4" w:space="0"/>
            </w:tcBorders>
            <w:vAlign w:val="center"/>
          </w:tcPr>
          <w:p w14:paraId="14BDE0EA">
            <w:pPr>
              <w:pStyle w:val="196"/>
            </w:pPr>
            <w:r>
              <w:rPr>
                <w:rFonts w:hint="eastAsia"/>
              </w:rPr>
              <w:t>货物通过量（万吨）</w:t>
            </w:r>
          </w:p>
        </w:tc>
        <w:tc>
          <w:tcPr>
            <w:tcW w:w="1085" w:type="pct"/>
            <w:tcBorders>
              <w:top w:val="single" w:color="auto" w:sz="4" w:space="0"/>
              <w:left w:val="nil"/>
              <w:bottom w:val="single" w:color="auto" w:sz="4" w:space="0"/>
              <w:right w:val="single" w:color="auto" w:sz="4" w:space="0"/>
            </w:tcBorders>
            <w:vAlign w:val="center"/>
          </w:tcPr>
          <w:p w14:paraId="536A205D">
            <w:pPr>
              <w:pStyle w:val="196"/>
            </w:pPr>
            <w:r>
              <w:rPr>
                <w:rFonts w:hint="eastAsia"/>
              </w:rPr>
              <w:t>船舶平均吨位（吨）</w:t>
            </w:r>
          </w:p>
        </w:tc>
      </w:tr>
      <w:tr w14:paraId="6C8C2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84" w:type="pct"/>
            <w:vMerge w:val="restart"/>
            <w:tcBorders>
              <w:top w:val="nil"/>
              <w:left w:val="single" w:color="auto" w:sz="4" w:space="0"/>
              <w:bottom w:val="single" w:color="auto" w:sz="4" w:space="0"/>
              <w:right w:val="single" w:color="auto" w:sz="4" w:space="0"/>
            </w:tcBorders>
            <w:vAlign w:val="center"/>
          </w:tcPr>
          <w:p w14:paraId="247DFE40">
            <w:pPr>
              <w:pStyle w:val="196"/>
            </w:pPr>
            <w:r>
              <w:rPr>
                <w:rFonts w:hint="eastAsia"/>
              </w:rPr>
              <w:t>杨庄船闸</w:t>
            </w:r>
          </w:p>
        </w:tc>
        <w:tc>
          <w:tcPr>
            <w:tcW w:w="1076" w:type="pct"/>
            <w:tcBorders>
              <w:top w:val="single" w:color="auto" w:sz="4" w:space="0"/>
              <w:left w:val="nil"/>
              <w:bottom w:val="single" w:color="auto" w:sz="4" w:space="0"/>
              <w:right w:val="single" w:color="auto" w:sz="4" w:space="0"/>
            </w:tcBorders>
            <w:vAlign w:val="center"/>
          </w:tcPr>
          <w:p w14:paraId="108F96E0">
            <w:pPr>
              <w:pStyle w:val="196"/>
            </w:pPr>
            <w:r>
              <w:rPr>
                <w:rFonts w:hint="eastAsia"/>
              </w:rPr>
              <w:t>上行</w:t>
            </w:r>
          </w:p>
        </w:tc>
        <w:tc>
          <w:tcPr>
            <w:tcW w:w="1076" w:type="pct"/>
            <w:tcBorders>
              <w:top w:val="single" w:color="auto" w:sz="4" w:space="0"/>
              <w:left w:val="nil"/>
              <w:bottom w:val="single" w:color="auto" w:sz="4" w:space="0"/>
              <w:right w:val="single" w:color="auto" w:sz="4" w:space="0"/>
            </w:tcBorders>
            <w:vAlign w:val="center"/>
          </w:tcPr>
          <w:p w14:paraId="6F9BB6A3">
            <w:pPr>
              <w:pStyle w:val="196"/>
            </w:pPr>
            <w:r>
              <w:t>17080</w:t>
            </w:r>
          </w:p>
        </w:tc>
        <w:tc>
          <w:tcPr>
            <w:tcW w:w="1079" w:type="pct"/>
            <w:tcBorders>
              <w:top w:val="single" w:color="auto" w:sz="4" w:space="0"/>
              <w:left w:val="nil"/>
              <w:bottom w:val="single" w:color="auto" w:sz="4" w:space="0"/>
              <w:right w:val="single" w:color="auto" w:sz="4" w:space="0"/>
            </w:tcBorders>
            <w:vAlign w:val="center"/>
          </w:tcPr>
          <w:p w14:paraId="43BA6BF3">
            <w:pPr>
              <w:pStyle w:val="196"/>
            </w:pPr>
            <w:r>
              <w:t>1194</w:t>
            </w:r>
          </w:p>
        </w:tc>
        <w:tc>
          <w:tcPr>
            <w:tcW w:w="1085" w:type="pct"/>
            <w:tcBorders>
              <w:top w:val="single" w:color="auto" w:sz="4" w:space="0"/>
              <w:left w:val="nil"/>
              <w:bottom w:val="single" w:color="auto" w:sz="4" w:space="0"/>
              <w:right w:val="single" w:color="auto" w:sz="4" w:space="0"/>
            </w:tcBorders>
            <w:vAlign w:val="center"/>
          </w:tcPr>
          <w:p w14:paraId="61CC0FEF">
            <w:pPr>
              <w:pStyle w:val="196"/>
            </w:pPr>
            <w:r>
              <w:rPr>
                <w:rFonts w:hint="eastAsia"/>
              </w:rPr>
              <w:t>699</w:t>
            </w:r>
          </w:p>
        </w:tc>
      </w:tr>
      <w:tr w14:paraId="23346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84" w:type="pct"/>
            <w:vMerge w:val="continue"/>
            <w:tcBorders>
              <w:top w:val="nil"/>
              <w:left w:val="single" w:color="auto" w:sz="4" w:space="0"/>
              <w:bottom w:val="single" w:color="auto" w:sz="4" w:space="0"/>
              <w:right w:val="single" w:color="auto" w:sz="4" w:space="0"/>
            </w:tcBorders>
            <w:vAlign w:val="center"/>
          </w:tcPr>
          <w:p w14:paraId="5B576E8F">
            <w:pPr>
              <w:pStyle w:val="196"/>
            </w:pPr>
          </w:p>
        </w:tc>
        <w:tc>
          <w:tcPr>
            <w:tcW w:w="1076" w:type="pct"/>
            <w:tcBorders>
              <w:top w:val="single" w:color="auto" w:sz="4" w:space="0"/>
              <w:left w:val="nil"/>
              <w:bottom w:val="single" w:color="auto" w:sz="4" w:space="0"/>
              <w:right w:val="single" w:color="auto" w:sz="4" w:space="0"/>
            </w:tcBorders>
            <w:vAlign w:val="center"/>
          </w:tcPr>
          <w:p w14:paraId="4439443B">
            <w:pPr>
              <w:pStyle w:val="196"/>
            </w:pPr>
            <w:r>
              <w:rPr>
                <w:rFonts w:hint="eastAsia"/>
              </w:rPr>
              <w:t>下行</w:t>
            </w:r>
          </w:p>
        </w:tc>
        <w:tc>
          <w:tcPr>
            <w:tcW w:w="1076" w:type="pct"/>
            <w:tcBorders>
              <w:top w:val="single" w:color="auto" w:sz="4" w:space="0"/>
              <w:left w:val="nil"/>
              <w:bottom w:val="single" w:color="auto" w:sz="4" w:space="0"/>
              <w:right w:val="single" w:color="auto" w:sz="4" w:space="0"/>
            </w:tcBorders>
            <w:vAlign w:val="center"/>
          </w:tcPr>
          <w:p w14:paraId="63FB74EE">
            <w:pPr>
              <w:pStyle w:val="196"/>
            </w:pPr>
            <w:r>
              <w:t>19507</w:t>
            </w:r>
          </w:p>
        </w:tc>
        <w:tc>
          <w:tcPr>
            <w:tcW w:w="1079" w:type="pct"/>
            <w:tcBorders>
              <w:top w:val="single" w:color="auto" w:sz="4" w:space="0"/>
              <w:left w:val="nil"/>
              <w:bottom w:val="single" w:color="auto" w:sz="4" w:space="0"/>
              <w:right w:val="single" w:color="auto" w:sz="4" w:space="0"/>
            </w:tcBorders>
            <w:vAlign w:val="center"/>
          </w:tcPr>
          <w:p w14:paraId="40C1C513">
            <w:pPr>
              <w:pStyle w:val="196"/>
            </w:pPr>
            <w:r>
              <w:t>325</w:t>
            </w:r>
          </w:p>
        </w:tc>
        <w:tc>
          <w:tcPr>
            <w:tcW w:w="1085" w:type="pct"/>
            <w:tcBorders>
              <w:top w:val="single" w:color="auto" w:sz="4" w:space="0"/>
              <w:left w:val="nil"/>
              <w:bottom w:val="single" w:color="auto" w:sz="4" w:space="0"/>
              <w:right w:val="single" w:color="auto" w:sz="4" w:space="0"/>
            </w:tcBorders>
            <w:vAlign w:val="center"/>
          </w:tcPr>
          <w:p w14:paraId="64B231FB">
            <w:pPr>
              <w:pStyle w:val="196"/>
            </w:pPr>
            <w:r>
              <w:rPr>
                <w:rFonts w:hint="eastAsia"/>
              </w:rPr>
              <w:t>167</w:t>
            </w:r>
          </w:p>
        </w:tc>
      </w:tr>
      <w:tr w14:paraId="32793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0" w:type="auto"/>
            <w:vMerge w:val="continue"/>
            <w:tcBorders>
              <w:top w:val="nil"/>
              <w:left w:val="single" w:color="auto" w:sz="4" w:space="0"/>
              <w:bottom w:val="single" w:color="auto" w:sz="4" w:space="0"/>
              <w:right w:val="single" w:color="auto" w:sz="4" w:space="0"/>
            </w:tcBorders>
            <w:vAlign w:val="center"/>
          </w:tcPr>
          <w:p w14:paraId="5801616B">
            <w:pPr>
              <w:pStyle w:val="196"/>
            </w:pPr>
          </w:p>
        </w:tc>
        <w:tc>
          <w:tcPr>
            <w:tcW w:w="1076" w:type="pct"/>
            <w:tcBorders>
              <w:top w:val="single" w:color="auto" w:sz="4" w:space="0"/>
              <w:left w:val="nil"/>
              <w:bottom w:val="single" w:color="auto" w:sz="4" w:space="0"/>
              <w:right w:val="single" w:color="auto" w:sz="4" w:space="0"/>
            </w:tcBorders>
            <w:vAlign w:val="center"/>
          </w:tcPr>
          <w:p w14:paraId="4803275A">
            <w:pPr>
              <w:pStyle w:val="196"/>
            </w:pPr>
            <w:r>
              <w:rPr>
                <w:rFonts w:hint="eastAsia"/>
              </w:rPr>
              <w:t>合计</w:t>
            </w:r>
          </w:p>
        </w:tc>
        <w:tc>
          <w:tcPr>
            <w:tcW w:w="1076" w:type="pct"/>
            <w:tcBorders>
              <w:top w:val="single" w:color="auto" w:sz="4" w:space="0"/>
              <w:left w:val="nil"/>
              <w:bottom w:val="single" w:color="auto" w:sz="4" w:space="0"/>
              <w:right w:val="single" w:color="auto" w:sz="4" w:space="0"/>
            </w:tcBorders>
            <w:vAlign w:val="center"/>
          </w:tcPr>
          <w:p w14:paraId="3C098D99">
            <w:pPr>
              <w:pStyle w:val="196"/>
            </w:pPr>
            <w:r>
              <w:t>36587</w:t>
            </w:r>
          </w:p>
        </w:tc>
        <w:tc>
          <w:tcPr>
            <w:tcW w:w="1079" w:type="pct"/>
            <w:tcBorders>
              <w:top w:val="single" w:color="auto" w:sz="4" w:space="0"/>
              <w:left w:val="nil"/>
              <w:bottom w:val="single" w:color="auto" w:sz="4" w:space="0"/>
              <w:right w:val="single" w:color="auto" w:sz="4" w:space="0"/>
            </w:tcBorders>
            <w:vAlign w:val="center"/>
          </w:tcPr>
          <w:p w14:paraId="558A019E">
            <w:pPr>
              <w:pStyle w:val="196"/>
            </w:pPr>
            <w:r>
              <w:t>1519</w:t>
            </w:r>
          </w:p>
        </w:tc>
        <w:tc>
          <w:tcPr>
            <w:tcW w:w="1085" w:type="pct"/>
            <w:tcBorders>
              <w:top w:val="single" w:color="auto" w:sz="4" w:space="0"/>
              <w:left w:val="nil"/>
              <w:bottom w:val="single" w:color="auto" w:sz="4" w:space="0"/>
              <w:right w:val="single" w:color="auto" w:sz="4" w:space="0"/>
            </w:tcBorders>
            <w:vAlign w:val="center"/>
          </w:tcPr>
          <w:p w14:paraId="2A6CFED7">
            <w:pPr>
              <w:pStyle w:val="196"/>
            </w:pPr>
            <w:r>
              <w:rPr>
                <w:rFonts w:hint="eastAsia"/>
              </w:rPr>
              <w:t>415</w:t>
            </w:r>
          </w:p>
        </w:tc>
      </w:tr>
      <w:tr w14:paraId="6CD6D5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84" w:type="pct"/>
            <w:vMerge w:val="restart"/>
            <w:tcBorders>
              <w:top w:val="nil"/>
              <w:left w:val="single" w:color="auto" w:sz="4" w:space="0"/>
              <w:bottom w:val="single" w:color="auto" w:sz="4" w:space="0"/>
              <w:right w:val="single" w:color="auto" w:sz="4" w:space="0"/>
            </w:tcBorders>
            <w:vAlign w:val="center"/>
          </w:tcPr>
          <w:p w14:paraId="6FFCA0F4">
            <w:pPr>
              <w:pStyle w:val="196"/>
            </w:pPr>
            <w:r>
              <w:rPr>
                <w:rFonts w:hint="eastAsia"/>
              </w:rPr>
              <w:t>朱码船闸</w:t>
            </w:r>
          </w:p>
        </w:tc>
        <w:tc>
          <w:tcPr>
            <w:tcW w:w="1076" w:type="pct"/>
            <w:tcBorders>
              <w:top w:val="single" w:color="auto" w:sz="4" w:space="0"/>
              <w:left w:val="nil"/>
              <w:bottom w:val="single" w:color="auto" w:sz="4" w:space="0"/>
              <w:right w:val="single" w:color="auto" w:sz="4" w:space="0"/>
            </w:tcBorders>
            <w:vAlign w:val="center"/>
          </w:tcPr>
          <w:p w14:paraId="49B790C6">
            <w:pPr>
              <w:pStyle w:val="196"/>
            </w:pPr>
            <w:r>
              <w:rPr>
                <w:rFonts w:hint="eastAsia"/>
              </w:rPr>
              <w:t>上行</w:t>
            </w:r>
          </w:p>
        </w:tc>
        <w:tc>
          <w:tcPr>
            <w:tcW w:w="1076" w:type="pct"/>
            <w:tcBorders>
              <w:top w:val="single" w:color="auto" w:sz="4" w:space="0"/>
              <w:left w:val="nil"/>
              <w:bottom w:val="single" w:color="auto" w:sz="4" w:space="0"/>
              <w:right w:val="single" w:color="auto" w:sz="4" w:space="0"/>
            </w:tcBorders>
            <w:vAlign w:val="center"/>
          </w:tcPr>
          <w:p w14:paraId="2239D792">
            <w:pPr>
              <w:pStyle w:val="196"/>
            </w:pPr>
            <w:r>
              <w:t>14739</w:t>
            </w:r>
          </w:p>
        </w:tc>
        <w:tc>
          <w:tcPr>
            <w:tcW w:w="1079" w:type="pct"/>
            <w:tcBorders>
              <w:top w:val="single" w:color="auto" w:sz="4" w:space="0"/>
              <w:left w:val="nil"/>
              <w:bottom w:val="single" w:color="auto" w:sz="4" w:space="0"/>
              <w:right w:val="single" w:color="auto" w:sz="4" w:space="0"/>
            </w:tcBorders>
            <w:vAlign w:val="center"/>
          </w:tcPr>
          <w:p w14:paraId="200FB523">
            <w:pPr>
              <w:pStyle w:val="196"/>
            </w:pPr>
            <w:r>
              <w:t>238</w:t>
            </w:r>
          </w:p>
        </w:tc>
        <w:tc>
          <w:tcPr>
            <w:tcW w:w="1085" w:type="pct"/>
            <w:tcBorders>
              <w:top w:val="single" w:color="auto" w:sz="4" w:space="0"/>
              <w:left w:val="nil"/>
              <w:bottom w:val="single" w:color="auto" w:sz="4" w:space="0"/>
              <w:right w:val="single" w:color="auto" w:sz="4" w:space="0"/>
            </w:tcBorders>
            <w:vAlign w:val="center"/>
          </w:tcPr>
          <w:p w14:paraId="15A4C2EE">
            <w:pPr>
              <w:pStyle w:val="196"/>
            </w:pPr>
            <w:r>
              <w:rPr>
                <w:rFonts w:hint="eastAsia"/>
              </w:rPr>
              <w:t>161</w:t>
            </w:r>
          </w:p>
        </w:tc>
      </w:tr>
      <w:tr w14:paraId="0C1673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84" w:type="pct"/>
            <w:vMerge w:val="continue"/>
            <w:tcBorders>
              <w:top w:val="nil"/>
              <w:left w:val="single" w:color="auto" w:sz="4" w:space="0"/>
              <w:bottom w:val="single" w:color="auto" w:sz="4" w:space="0"/>
              <w:right w:val="single" w:color="auto" w:sz="4" w:space="0"/>
            </w:tcBorders>
            <w:vAlign w:val="center"/>
          </w:tcPr>
          <w:p w14:paraId="6EF44737">
            <w:pPr>
              <w:pStyle w:val="196"/>
            </w:pPr>
          </w:p>
        </w:tc>
        <w:tc>
          <w:tcPr>
            <w:tcW w:w="1076" w:type="pct"/>
            <w:tcBorders>
              <w:top w:val="single" w:color="auto" w:sz="4" w:space="0"/>
              <w:left w:val="nil"/>
              <w:bottom w:val="single" w:color="auto" w:sz="4" w:space="0"/>
              <w:right w:val="single" w:color="auto" w:sz="4" w:space="0"/>
            </w:tcBorders>
            <w:vAlign w:val="center"/>
          </w:tcPr>
          <w:p w14:paraId="2C5CF0E8">
            <w:pPr>
              <w:pStyle w:val="196"/>
            </w:pPr>
            <w:r>
              <w:rPr>
                <w:rFonts w:hint="eastAsia"/>
              </w:rPr>
              <w:t>下行</w:t>
            </w:r>
          </w:p>
        </w:tc>
        <w:tc>
          <w:tcPr>
            <w:tcW w:w="1076" w:type="pct"/>
            <w:tcBorders>
              <w:top w:val="single" w:color="auto" w:sz="4" w:space="0"/>
              <w:left w:val="nil"/>
              <w:bottom w:val="single" w:color="auto" w:sz="4" w:space="0"/>
              <w:right w:val="single" w:color="auto" w:sz="4" w:space="0"/>
            </w:tcBorders>
            <w:vAlign w:val="center"/>
          </w:tcPr>
          <w:p w14:paraId="0492CBBA">
            <w:pPr>
              <w:pStyle w:val="196"/>
            </w:pPr>
            <w:r>
              <w:t>16962</w:t>
            </w:r>
          </w:p>
        </w:tc>
        <w:tc>
          <w:tcPr>
            <w:tcW w:w="1079" w:type="pct"/>
            <w:tcBorders>
              <w:top w:val="single" w:color="auto" w:sz="4" w:space="0"/>
              <w:left w:val="nil"/>
              <w:bottom w:val="single" w:color="auto" w:sz="4" w:space="0"/>
              <w:right w:val="single" w:color="auto" w:sz="4" w:space="0"/>
            </w:tcBorders>
            <w:vAlign w:val="center"/>
          </w:tcPr>
          <w:p w14:paraId="0E9E5113">
            <w:pPr>
              <w:pStyle w:val="196"/>
            </w:pPr>
            <w:r>
              <w:t>1196</w:t>
            </w:r>
          </w:p>
        </w:tc>
        <w:tc>
          <w:tcPr>
            <w:tcW w:w="1085" w:type="pct"/>
            <w:tcBorders>
              <w:top w:val="single" w:color="auto" w:sz="4" w:space="0"/>
              <w:left w:val="nil"/>
              <w:bottom w:val="single" w:color="auto" w:sz="4" w:space="0"/>
              <w:right w:val="single" w:color="auto" w:sz="4" w:space="0"/>
            </w:tcBorders>
            <w:vAlign w:val="center"/>
          </w:tcPr>
          <w:p w14:paraId="6A9909B6">
            <w:pPr>
              <w:pStyle w:val="196"/>
            </w:pPr>
            <w:r>
              <w:rPr>
                <w:rFonts w:hint="eastAsia"/>
              </w:rPr>
              <w:t>705</w:t>
            </w:r>
          </w:p>
        </w:tc>
      </w:tr>
      <w:tr w14:paraId="7EBBB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0" w:type="auto"/>
            <w:vMerge w:val="continue"/>
            <w:tcBorders>
              <w:top w:val="nil"/>
              <w:left w:val="single" w:color="auto" w:sz="4" w:space="0"/>
              <w:bottom w:val="single" w:color="auto" w:sz="4" w:space="0"/>
              <w:right w:val="single" w:color="auto" w:sz="4" w:space="0"/>
            </w:tcBorders>
            <w:vAlign w:val="center"/>
          </w:tcPr>
          <w:p w14:paraId="08C24864">
            <w:pPr>
              <w:pStyle w:val="196"/>
            </w:pPr>
          </w:p>
        </w:tc>
        <w:tc>
          <w:tcPr>
            <w:tcW w:w="1076" w:type="pct"/>
            <w:tcBorders>
              <w:top w:val="single" w:color="auto" w:sz="4" w:space="0"/>
              <w:left w:val="nil"/>
              <w:bottom w:val="single" w:color="auto" w:sz="4" w:space="0"/>
              <w:right w:val="single" w:color="auto" w:sz="4" w:space="0"/>
            </w:tcBorders>
            <w:vAlign w:val="center"/>
          </w:tcPr>
          <w:p w14:paraId="205FCE37">
            <w:pPr>
              <w:pStyle w:val="196"/>
            </w:pPr>
            <w:r>
              <w:rPr>
                <w:rFonts w:hint="eastAsia"/>
              </w:rPr>
              <w:t>合计</w:t>
            </w:r>
          </w:p>
        </w:tc>
        <w:tc>
          <w:tcPr>
            <w:tcW w:w="1076" w:type="pct"/>
            <w:tcBorders>
              <w:top w:val="single" w:color="auto" w:sz="4" w:space="0"/>
              <w:left w:val="nil"/>
              <w:bottom w:val="single" w:color="auto" w:sz="4" w:space="0"/>
              <w:right w:val="single" w:color="auto" w:sz="4" w:space="0"/>
            </w:tcBorders>
            <w:vAlign w:val="center"/>
          </w:tcPr>
          <w:p w14:paraId="1676DC10">
            <w:pPr>
              <w:pStyle w:val="196"/>
            </w:pPr>
            <w:r>
              <w:t>31701</w:t>
            </w:r>
          </w:p>
        </w:tc>
        <w:tc>
          <w:tcPr>
            <w:tcW w:w="1079" w:type="pct"/>
            <w:tcBorders>
              <w:top w:val="single" w:color="auto" w:sz="4" w:space="0"/>
              <w:left w:val="nil"/>
              <w:bottom w:val="single" w:color="auto" w:sz="4" w:space="0"/>
              <w:right w:val="single" w:color="auto" w:sz="4" w:space="0"/>
            </w:tcBorders>
            <w:vAlign w:val="center"/>
          </w:tcPr>
          <w:p w14:paraId="68E5219C">
            <w:pPr>
              <w:pStyle w:val="196"/>
            </w:pPr>
            <w:r>
              <w:t>1434</w:t>
            </w:r>
          </w:p>
        </w:tc>
        <w:tc>
          <w:tcPr>
            <w:tcW w:w="1085" w:type="pct"/>
            <w:tcBorders>
              <w:top w:val="single" w:color="auto" w:sz="4" w:space="0"/>
              <w:left w:val="nil"/>
              <w:bottom w:val="single" w:color="auto" w:sz="4" w:space="0"/>
              <w:right w:val="single" w:color="auto" w:sz="4" w:space="0"/>
            </w:tcBorders>
            <w:vAlign w:val="center"/>
          </w:tcPr>
          <w:p w14:paraId="394748AC">
            <w:pPr>
              <w:pStyle w:val="196"/>
            </w:pPr>
            <w:r>
              <w:rPr>
                <w:rFonts w:hint="eastAsia"/>
              </w:rPr>
              <w:t>452</w:t>
            </w:r>
          </w:p>
        </w:tc>
      </w:tr>
    </w:tbl>
    <w:p w14:paraId="702C67BD">
      <w:pPr>
        <w:pStyle w:val="82"/>
      </w:pPr>
      <w:bookmarkStart w:id="246" w:name="_Toc18764"/>
      <w:bookmarkEnd w:id="246"/>
      <w:r>
        <w:rPr>
          <w:rFonts w:hint="eastAsia"/>
        </w:rPr>
        <w:t>临河建筑物</w:t>
      </w:r>
    </w:p>
    <w:p w14:paraId="7294BCE3">
      <w:pPr>
        <w:pStyle w:val="93"/>
      </w:pPr>
      <w:r>
        <w:rPr>
          <w:rFonts w:hint="eastAsia"/>
        </w:rPr>
        <w:t>涟水港区是淮安港的重要组成部分，现有港口经营企业22家，其中大部分为建材公司。码头泊位总数57个，形成泊位长度3809m，其中500t级泊位50个，泊位长度3349m；1000t级泊位7个，泊位长度460m；分别占全港总量的87.8%和12.2%。</w:t>
      </w:r>
    </w:p>
    <w:p w14:paraId="4F1F462D">
      <w:pPr>
        <w:pStyle w:val="86"/>
      </w:pPr>
      <w:r>
        <w:rPr>
          <w:rFonts w:hint="eastAsia"/>
        </w:rPr>
        <w:t>涟水港区码头泊位基本情况表</w:t>
      </w:r>
    </w:p>
    <w:tbl>
      <w:tblPr>
        <w:tblStyle w:val="38"/>
        <w:tblW w:w="4998"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4"/>
        <w:gridCol w:w="1083"/>
        <w:gridCol w:w="2964"/>
        <w:gridCol w:w="1302"/>
        <w:gridCol w:w="1090"/>
        <w:gridCol w:w="1199"/>
      </w:tblGrid>
      <w:tr w14:paraId="1237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blHeader/>
        </w:trPr>
        <w:tc>
          <w:tcPr>
            <w:tcW w:w="405" w:type="pct"/>
            <w:tcBorders>
              <w:top w:val="single" w:color="auto" w:sz="4" w:space="0"/>
              <w:left w:val="single" w:color="auto" w:sz="4" w:space="0"/>
              <w:bottom w:val="single" w:color="auto" w:sz="4" w:space="0"/>
              <w:right w:val="single" w:color="auto" w:sz="4" w:space="0"/>
            </w:tcBorders>
            <w:vAlign w:val="center"/>
          </w:tcPr>
          <w:p w14:paraId="7DD413F8">
            <w:pPr>
              <w:pStyle w:val="196"/>
              <w:rPr>
                <w:b/>
                <w:bCs/>
              </w:rPr>
            </w:pPr>
            <w:r>
              <w:rPr>
                <w:rFonts w:hint="eastAsia"/>
                <w:b/>
                <w:bCs/>
              </w:rPr>
              <w:t>序号</w:t>
            </w:r>
          </w:p>
        </w:tc>
        <w:tc>
          <w:tcPr>
            <w:tcW w:w="651" w:type="pct"/>
            <w:tcBorders>
              <w:top w:val="single" w:color="auto" w:sz="4" w:space="0"/>
              <w:left w:val="single" w:color="auto" w:sz="4" w:space="0"/>
              <w:bottom w:val="single" w:color="auto" w:sz="4" w:space="0"/>
              <w:right w:val="single" w:color="auto" w:sz="4" w:space="0"/>
            </w:tcBorders>
            <w:vAlign w:val="center"/>
          </w:tcPr>
          <w:p w14:paraId="4C0F1950">
            <w:pPr>
              <w:pStyle w:val="196"/>
              <w:rPr>
                <w:b/>
                <w:bCs/>
              </w:rPr>
            </w:pPr>
            <w:r>
              <w:rPr>
                <w:rFonts w:hint="eastAsia"/>
                <w:b/>
                <w:bCs/>
              </w:rPr>
              <w:t>航道</w:t>
            </w:r>
          </w:p>
        </w:tc>
        <w:tc>
          <w:tcPr>
            <w:tcW w:w="1782" w:type="pct"/>
            <w:tcBorders>
              <w:top w:val="single" w:color="auto" w:sz="4" w:space="0"/>
              <w:left w:val="single" w:color="auto" w:sz="4" w:space="0"/>
              <w:bottom w:val="single" w:color="auto" w:sz="4" w:space="0"/>
              <w:right w:val="single" w:color="auto" w:sz="4" w:space="0"/>
            </w:tcBorders>
            <w:vAlign w:val="center"/>
          </w:tcPr>
          <w:p w14:paraId="7A4AF497">
            <w:pPr>
              <w:pStyle w:val="196"/>
              <w:rPr>
                <w:b/>
                <w:bCs/>
              </w:rPr>
            </w:pPr>
            <w:r>
              <w:rPr>
                <w:rFonts w:hint="eastAsia"/>
                <w:b/>
                <w:bCs/>
              </w:rPr>
              <w:t>码头名称</w:t>
            </w:r>
          </w:p>
        </w:tc>
        <w:tc>
          <w:tcPr>
            <w:tcW w:w="783" w:type="pct"/>
            <w:tcBorders>
              <w:top w:val="single" w:color="auto" w:sz="4" w:space="0"/>
              <w:left w:val="single" w:color="auto" w:sz="4" w:space="0"/>
              <w:bottom w:val="single" w:color="auto" w:sz="4" w:space="0"/>
              <w:right w:val="single" w:color="auto" w:sz="4" w:space="0"/>
            </w:tcBorders>
            <w:vAlign w:val="center"/>
          </w:tcPr>
          <w:p w14:paraId="28963F97">
            <w:pPr>
              <w:pStyle w:val="196"/>
              <w:rPr>
                <w:b/>
                <w:bCs/>
              </w:rPr>
            </w:pPr>
            <w:r>
              <w:rPr>
                <w:rFonts w:hint="eastAsia"/>
                <w:b/>
                <w:bCs/>
              </w:rPr>
              <w:t>泊位长度（m）</w:t>
            </w:r>
          </w:p>
        </w:tc>
        <w:tc>
          <w:tcPr>
            <w:tcW w:w="655" w:type="pct"/>
            <w:tcBorders>
              <w:top w:val="single" w:color="auto" w:sz="4" w:space="0"/>
              <w:left w:val="single" w:color="auto" w:sz="4" w:space="0"/>
              <w:bottom w:val="single" w:color="auto" w:sz="4" w:space="0"/>
              <w:right w:val="single" w:color="auto" w:sz="4" w:space="0"/>
            </w:tcBorders>
            <w:vAlign w:val="center"/>
          </w:tcPr>
          <w:p w14:paraId="27124BB7">
            <w:pPr>
              <w:pStyle w:val="196"/>
              <w:rPr>
                <w:b/>
                <w:bCs/>
              </w:rPr>
            </w:pPr>
            <w:r>
              <w:rPr>
                <w:rFonts w:hint="eastAsia"/>
                <w:b/>
                <w:bCs/>
              </w:rPr>
              <w:t>泊位数（个）</w:t>
            </w:r>
          </w:p>
        </w:tc>
        <w:tc>
          <w:tcPr>
            <w:tcW w:w="721" w:type="pct"/>
            <w:tcBorders>
              <w:top w:val="single" w:color="auto" w:sz="4" w:space="0"/>
              <w:left w:val="single" w:color="auto" w:sz="4" w:space="0"/>
              <w:bottom w:val="single" w:color="auto" w:sz="4" w:space="0"/>
              <w:right w:val="single" w:color="auto" w:sz="4" w:space="0"/>
            </w:tcBorders>
            <w:vAlign w:val="center"/>
          </w:tcPr>
          <w:p w14:paraId="03EF6661">
            <w:pPr>
              <w:pStyle w:val="196"/>
              <w:rPr>
                <w:b/>
                <w:bCs/>
              </w:rPr>
            </w:pPr>
            <w:r>
              <w:rPr>
                <w:rFonts w:hint="eastAsia"/>
                <w:b/>
                <w:bCs/>
              </w:rPr>
              <w:t>靠泊吨级（t）</w:t>
            </w:r>
          </w:p>
        </w:tc>
      </w:tr>
      <w:tr w14:paraId="03BB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6CE6EF69">
            <w:pPr>
              <w:pStyle w:val="196"/>
            </w:pPr>
            <w:r>
              <w:rPr>
                <w:rFonts w:hint="eastAsia"/>
              </w:rPr>
              <w:t>1</w:t>
            </w:r>
          </w:p>
        </w:tc>
        <w:tc>
          <w:tcPr>
            <w:tcW w:w="651" w:type="pct"/>
            <w:vMerge w:val="restart"/>
            <w:tcBorders>
              <w:top w:val="nil"/>
              <w:left w:val="single" w:color="auto" w:sz="4" w:space="0"/>
              <w:bottom w:val="single" w:color="auto" w:sz="4" w:space="0"/>
              <w:right w:val="single" w:color="auto" w:sz="4" w:space="0"/>
            </w:tcBorders>
            <w:vAlign w:val="center"/>
          </w:tcPr>
          <w:p w14:paraId="727B8275">
            <w:pPr>
              <w:pStyle w:val="196"/>
            </w:pPr>
            <w:r>
              <w:rPr>
                <w:rFonts w:hint="eastAsia"/>
              </w:rPr>
              <w:t>盐河</w:t>
            </w:r>
          </w:p>
        </w:tc>
        <w:tc>
          <w:tcPr>
            <w:tcW w:w="1782" w:type="pct"/>
            <w:tcBorders>
              <w:top w:val="single" w:color="auto" w:sz="4" w:space="0"/>
              <w:left w:val="single" w:color="auto" w:sz="4" w:space="0"/>
              <w:bottom w:val="single" w:color="auto" w:sz="4" w:space="0"/>
              <w:right w:val="single" w:color="auto" w:sz="4" w:space="0"/>
            </w:tcBorders>
            <w:vAlign w:val="center"/>
          </w:tcPr>
          <w:p w14:paraId="0748B154">
            <w:pPr>
              <w:pStyle w:val="196"/>
            </w:pPr>
            <w:r>
              <w:rPr>
                <w:rFonts w:hint="eastAsia"/>
              </w:rPr>
              <w:t>淮安东鹏建设有限公司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0AC78982">
            <w:pPr>
              <w:pStyle w:val="196"/>
            </w:pPr>
            <w:r>
              <w:rPr>
                <w:rFonts w:hint="eastAsia"/>
              </w:rPr>
              <w:t>120</w:t>
            </w:r>
          </w:p>
        </w:tc>
        <w:tc>
          <w:tcPr>
            <w:tcW w:w="655" w:type="pct"/>
            <w:tcBorders>
              <w:top w:val="single" w:color="auto" w:sz="4" w:space="0"/>
              <w:left w:val="single" w:color="auto" w:sz="4" w:space="0"/>
              <w:bottom w:val="single" w:color="auto" w:sz="4" w:space="0"/>
              <w:right w:val="single" w:color="auto" w:sz="4" w:space="0"/>
            </w:tcBorders>
            <w:vAlign w:val="center"/>
          </w:tcPr>
          <w:p w14:paraId="23F2F73A">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3B032BFC">
            <w:pPr>
              <w:pStyle w:val="196"/>
            </w:pPr>
            <w:r>
              <w:rPr>
                <w:rFonts w:hint="eastAsia"/>
              </w:rPr>
              <w:t>1000</w:t>
            </w:r>
          </w:p>
        </w:tc>
      </w:tr>
      <w:tr w14:paraId="6588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40AF57A5">
            <w:pPr>
              <w:pStyle w:val="196"/>
            </w:pPr>
            <w:r>
              <w:rPr>
                <w:rFonts w:hint="eastAsia"/>
              </w:rPr>
              <w:t>2</w:t>
            </w:r>
          </w:p>
        </w:tc>
        <w:tc>
          <w:tcPr>
            <w:tcW w:w="0" w:type="auto"/>
            <w:vMerge w:val="continue"/>
            <w:tcBorders>
              <w:top w:val="nil"/>
              <w:left w:val="single" w:color="auto" w:sz="4" w:space="0"/>
              <w:bottom w:val="single" w:color="auto" w:sz="4" w:space="0"/>
              <w:right w:val="single" w:color="auto" w:sz="4" w:space="0"/>
            </w:tcBorders>
            <w:vAlign w:val="center"/>
          </w:tcPr>
          <w:p w14:paraId="21C23AFF">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35E0B40">
            <w:pPr>
              <w:pStyle w:val="196"/>
            </w:pPr>
            <w:r>
              <w:rPr>
                <w:rFonts w:hint="eastAsia"/>
              </w:rPr>
              <w:t>涟水美赞建材科技有限公司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39E25C15">
            <w:pPr>
              <w:pStyle w:val="196"/>
            </w:pPr>
            <w:r>
              <w:rPr>
                <w:rFonts w:hint="eastAsia"/>
              </w:rPr>
              <w:t>120</w:t>
            </w:r>
          </w:p>
        </w:tc>
        <w:tc>
          <w:tcPr>
            <w:tcW w:w="655" w:type="pct"/>
            <w:tcBorders>
              <w:top w:val="single" w:color="auto" w:sz="4" w:space="0"/>
              <w:left w:val="single" w:color="auto" w:sz="4" w:space="0"/>
              <w:bottom w:val="single" w:color="auto" w:sz="4" w:space="0"/>
              <w:right w:val="single" w:color="auto" w:sz="4" w:space="0"/>
            </w:tcBorders>
            <w:vAlign w:val="center"/>
          </w:tcPr>
          <w:p w14:paraId="3BF3768F">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06181921">
            <w:pPr>
              <w:pStyle w:val="196"/>
            </w:pPr>
            <w:r>
              <w:rPr>
                <w:rFonts w:hint="eastAsia"/>
              </w:rPr>
              <w:t>500</w:t>
            </w:r>
          </w:p>
        </w:tc>
      </w:tr>
      <w:tr w14:paraId="154C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49EA72F4">
            <w:pPr>
              <w:pStyle w:val="196"/>
            </w:pPr>
            <w:r>
              <w:rPr>
                <w:rFonts w:hint="eastAsia"/>
              </w:rPr>
              <w:t>3</w:t>
            </w:r>
          </w:p>
        </w:tc>
        <w:tc>
          <w:tcPr>
            <w:tcW w:w="0" w:type="auto"/>
            <w:vMerge w:val="continue"/>
            <w:tcBorders>
              <w:top w:val="nil"/>
              <w:left w:val="single" w:color="auto" w:sz="4" w:space="0"/>
              <w:bottom w:val="single" w:color="auto" w:sz="4" w:space="0"/>
              <w:right w:val="single" w:color="auto" w:sz="4" w:space="0"/>
            </w:tcBorders>
            <w:vAlign w:val="center"/>
          </w:tcPr>
          <w:p w14:paraId="4248D647">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7F514140">
            <w:pPr>
              <w:pStyle w:val="196"/>
            </w:pPr>
            <w:r>
              <w:rPr>
                <w:rFonts w:hint="eastAsia"/>
              </w:rPr>
              <w:t>涟水新城建材科技有限公司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6B411DD2">
            <w:pPr>
              <w:pStyle w:val="196"/>
            </w:pPr>
            <w:r>
              <w:rPr>
                <w:rFonts w:hint="eastAsia"/>
              </w:rPr>
              <w:t>120</w:t>
            </w:r>
          </w:p>
        </w:tc>
        <w:tc>
          <w:tcPr>
            <w:tcW w:w="655" w:type="pct"/>
            <w:tcBorders>
              <w:top w:val="single" w:color="auto" w:sz="4" w:space="0"/>
              <w:left w:val="single" w:color="auto" w:sz="4" w:space="0"/>
              <w:bottom w:val="single" w:color="auto" w:sz="4" w:space="0"/>
              <w:right w:val="single" w:color="auto" w:sz="4" w:space="0"/>
            </w:tcBorders>
            <w:vAlign w:val="center"/>
          </w:tcPr>
          <w:p w14:paraId="3C21FEF2">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7F3E54EA">
            <w:pPr>
              <w:pStyle w:val="196"/>
            </w:pPr>
            <w:r>
              <w:rPr>
                <w:rFonts w:hint="eastAsia"/>
              </w:rPr>
              <w:t>500</w:t>
            </w:r>
          </w:p>
        </w:tc>
      </w:tr>
      <w:tr w14:paraId="4DB1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34FF760F">
            <w:pPr>
              <w:pStyle w:val="196"/>
            </w:pPr>
            <w:r>
              <w:rPr>
                <w:rFonts w:hint="eastAsia"/>
              </w:rPr>
              <w:t>4</w:t>
            </w:r>
          </w:p>
        </w:tc>
        <w:tc>
          <w:tcPr>
            <w:tcW w:w="0" w:type="auto"/>
            <w:vMerge w:val="continue"/>
            <w:tcBorders>
              <w:top w:val="nil"/>
              <w:left w:val="single" w:color="auto" w:sz="4" w:space="0"/>
              <w:bottom w:val="single" w:color="auto" w:sz="4" w:space="0"/>
              <w:right w:val="single" w:color="auto" w:sz="4" w:space="0"/>
            </w:tcBorders>
            <w:vAlign w:val="center"/>
          </w:tcPr>
          <w:p w14:paraId="4760EE39">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6C9FD333">
            <w:pPr>
              <w:pStyle w:val="196"/>
            </w:pPr>
            <w:r>
              <w:rPr>
                <w:rFonts w:hint="eastAsia"/>
              </w:rPr>
              <w:t>淮安宝优新材料科技有限公司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4A764B34">
            <w:pPr>
              <w:pStyle w:val="196"/>
            </w:pPr>
            <w:r>
              <w:rPr>
                <w:rFonts w:hint="eastAsia"/>
              </w:rPr>
              <w:t>150</w:t>
            </w:r>
          </w:p>
        </w:tc>
        <w:tc>
          <w:tcPr>
            <w:tcW w:w="655" w:type="pct"/>
            <w:tcBorders>
              <w:top w:val="single" w:color="auto" w:sz="4" w:space="0"/>
              <w:left w:val="single" w:color="auto" w:sz="4" w:space="0"/>
              <w:bottom w:val="single" w:color="auto" w:sz="4" w:space="0"/>
              <w:right w:val="single" w:color="auto" w:sz="4" w:space="0"/>
            </w:tcBorders>
            <w:vAlign w:val="center"/>
          </w:tcPr>
          <w:p w14:paraId="372FF783">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46372C77">
            <w:pPr>
              <w:pStyle w:val="196"/>
            </w:pPr>
            <w:r>
              <w:rPr>
                <w:rFonts w:hint="eastAsia"/>
              </w:rPr>
              <w:t>500</w:t>
            </w:r>
          </w:p>
        </w:tc>
      </w:tr>
      <w:tr w14:paraId="42AB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31DA7BC9">
            <w:pPr>
              <w:pStyle w:val="196"/>
            </w:pPr>
            <w:r>
              <w:rPr>
                <w:rFonts w:hint="eastAsia"/>
              </w:rPr>
              <w:t>5</w:t>
            </w:r>
          </w:p>
        </w:tc>
        <w:tc>
          <w:tcPr>
            <w:tcW w:w="0" w:type="auto"/>
            <w:vMerge w:val="continue"/>
            <w:tcBorders>
              <w:top w:val="nil"/>
              <w:left w:val="single" w:color="auto" w:sz="4" w:space="0"/>
              <w:bottom w:val="single" w:color="auto" w:sz="4" w:space="0"/>
              <w:right w:val="single" w:color="auto" w:sz="4" w:space="0"/>
            </w:tcBorders>
            <w:vAlign w:val="center"/>
          </w:tcPr>
          <w:p w14:paraId="25CB90C8">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0D7E1C6E">
            <w:pPr>
              <w:pStyle w:val="196"/>
            </w:pPr>
            <w:r>
              <w:rPr>
                <w:rFonts w:hint="eastAsia"/>
              </w:rPr>
              <w:t>淮安华啸实业有限公司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3A155E49">
            <w:pPr>
              <w:pStyle w:val="196"/>
            </w:pPr>
            <w:r>
              <w:rPr>
                <w:rFonts w:hint="eastAsia"/>
              </w:rPr>
              <w:t>230</w:t>
            </w:r>
          </w:p>
        </w:tc>
        <w:tc>
          <w:tcPr>
            <w:tcW w:w="655" w:type="pct"/>
            <w:tcBorders>
              <w:top w:val="single" w:color="auto" w:sz="4" w:space="0"/>
              <w:left w:val="single" w:color="auto" w:sz="4" w:space="0"/>
              <w:bottom w:val="single" w:color="auto" w:sz="4" w:space="0"/>
              <w:right w:val="single" w:color="auto" w:sz="4" w:space="0"/>
            </w:tcBorders>
            <w:vAlign w:val="center"/>
          </w:tcPr>
          <w:p w14:paraId="60CEE471">
            <w:pPr>
              <w:pStyle w:val="196"/>
            </w:pPr>
            <w:r>
              <w:rPr>
                <w:rFonts w:hint="eastAsia"/>
              </w:rPr>
              <w:t>4</w:t>
            </w:r>
          </w:p>
        </w:tc>
        <w:tc>
          <w:tcPr>
            <w:tcW w:w="721" w:type="pct"/>
            <w:tcBorders>
              <w:top w:val="single" w:color="auto" w:sz="4" w:space="0"/>
              <w:left w:val="single" w:color="auto" w:sz="4" w:space="0"/>
              <w:bottom w:val="single" w:color="auto" w:sz="4" w:space="0"/>
              <w:right w:val="single" w:color="auto" w:sz="4" w:space="0"/>
            </w:tcBorders>
            <w:vAlign w:val="center"/>
          </w:tcPr>
          <w:p w14:paraId="7C1EBFA7">
            <w:pPr>
              <w:pStyle w:val="196"/>
            </w:pPr>
            <w:r>
              <w:rPr>
                <w:rFonts w:hint="eastAsia"/>
              </w:rPr>
              <w:t>500</w:t>
            </w:r>
          </w:p>
        </w:tc>
      </w:tr>
      <w:tr w14:paraId="1779D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456DFD4F">
            <w:pPr>
              <w:pStyle w:val="196"/>
            </w:pPr>
            <w:r>
              <w:rPr>
                <w:rFonts w:hint="eastAsia"/>
              </w:rPr>
              <w:t>6</w:t>
            </w:r>
          </w:p>
        </w:tc>
        <w:tc>
          <w:tcPr>
            <w:tcW w:w="0" w:type="auto"/>
            <w:vMerge w:val="continue"/>
            <w:tcBorders>
              <w:top w:val="nil"/>
              <w:left w:val="single" w:color="auto" w:sz="4" w:space="0"/>
              <w:bottom w:val="single" w:color="auto" w:sz="4" w:space="0"/>
              <w:right w:val="single" w:color="auto" w:sz="4" w:space="0"/>
            </w:tcBorders>
            <w:vAlign w:val="center"/>
          </w:tcPr>
          <w:p w14:paraId="279B89E1">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15054FD6">
            <w:pPr>
              <w:pStyle w:val="196"/>
            </w:pPr>
            <w:r>
              <w:rPr>
                <w:rFonts w:hint="eastAsia"/>
              </w:rPr>
              <w:t>淮安航骊建材有限公司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07D48915">
            <w:pPr>
              <w:pStyle w:val="196"/>
            </w:pPr>
            <w:r>
              <w:rPr>
                <w:rFonts w:hint="eastAsia"/>
              </w:rPr>
              <w:t>127</w:t>
            </w:r>
          </w:p>
        </w:tc>
        <w:tc>
          <w:tcPr>
            <w:tcW w:w="655" w:type="pct"/>
            <w:tcBorders>
              <w:top w:val="single" w:color="auto" w:sz="4" w:space="0"/>
              <w:left w:val="single" w:color="auto" w:sz="4" w:space="0"/>
              <w:bottom w:val="single" w:color="auto" w:sz="4" w:space="0"/>
              <w:right w:val="single" w:color="auto" w:sz="4" w:space="0"/>
            </w:tcBorders>
            <w:vAlign w:val="center"/>
          </w:tcPr>
          <w:p w14:paraId="7F9B90EA">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0E135A3F">
            <w:pPr>
              <w:pStyle w:val="196"/>
            </w:pPr>
            <w:r>
              <w:rPr>
                <w:rFonts w:hint="eastAsia"/>
              </w:rPr>
              <w:t>500</w:t>
            </w:r>
          </w:p>
        </w:tc>
      </w:tr>
      <w:tr w14:paraId="3466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378C062F">
            <w:pPr>
              <w:pStyle w:val="196"/>
            </w:pPr>
            <w:r>
              <w:rPr>
                <w:rFonts w:hint="eastAsia"/>
              </w:rPr>
              <w:t>7</w:t>
            </w:r>
          </w:p>
        </w:tc>
        <w:tc>
          <w:tcPr>
            <w:tcW w:w="0" w:type="auto"/>
            <w:vMerge w:val="continue"/>
            <w:tcBorders>
              <w:top w:val="nil"/>
              <w:left w:val="single" w:color="auto" w:sz="4" w:space="0"/>
              <w:bottom w:val="single" w:color="auto" w:sz="4" w:space="0"/>
              <w:right w:val="single" w:color="auto" w:sz="4" w:space="0"/>
            </w:tcBorders>
            <w:vAlign w:val="center"/>
          </w:tcPr>
          <w:p w14:paraId="11D60295">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5A2DC8DF">
            <w:pPr>
              <w:pStyle w:val="196"/>
            </w:pPr>
            <w:r>
              <w:rPr>
                <w:rFonts w:hint="eastAsia"/>
              </w:rPr>
              <w:t>淮安锐志新型建材有限公司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297FFC70">
            <w:pPr>
              <w:pStyle w:val="196"/>
            </w:pPr>
            <w:r>
              <w:rPr>
                <w:rFonts w:hint="eastAsia"/>
              </w:rPr>
              <w:t>130</w:t>
            </w:r>
          </w:p>
        </w:tc>
        <w:tc>
          <w:tcPr>
            <w:tcW w:w="655" w:type="pct"/>
            <w:tcBorders>
              <w:top w:val="single" w:color="auto" w:sz="4" w:space="0"/>
              <w:left w:val="single" w:color="auto" w:sz="4" w:space="0"/>
              <w:bottom w:val="single" w:color="auto" w:sz="4" w:space="0"/>
              <w:right w:val="single" w:color="auto" w:sz="4" w:space="0"/>
            </w:tcBorders>
            <w:vAlign w:val="center"/>
          </w:tcPr>
          <w:p w14:paraId="2E041DF8">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6EFE7F4B">
            <w:pPr>
              <w:pStyle w:val="196"/>
            </w:pPr>
            <w:r>
              <w:rPr>
                <w:rFonts w:hint="eastAsia"/>
              </w:rPr>
              <w:t>500</w:t>
            </w:r>
          </w:p>
        </w:tc>
      </w:tr>
      <w:tr w14:paraId="2116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54FF5F6D">
            <w:pPr>
              <w:pStyle w:val="196"/>
            </w:pPr>
            <w:r>
              <w:rPr>
                <w:rFonts w:hint="eastAsia"/>
              </w:rPr>
              <w:t>8</w:t>
            </w:r>
          </w:p>
        </w:tc>
        <w:tc>
          <w:tcPr>
            <w:tcW w:w="0" w:type="auto"/>
            <w:vMerge w:val="continue"/>
            <w:tcBorders>
              <w:top w:val="nil"/>
              <w:left w:val="single" w:color="auto" w:sz="4" w:space="0"/>
              <w:bottom w:val="single" w:color="auto" w:sz="4" w:space="0"/>
              <w:right w:val="single" w:color="auto" w:sz="4" w:space="0"/>
            </w:tcBorders>
            <w:vAlign w:val="center"/>
          </w:tcPr>
          <w:p w14:paraId="63FCAF5D">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6FE069A9">
            <w:pPr>
              <w:pStyle w:val="196"/>
            </w:pPr>
            <w:r>
              <w:rPr>
                <w:rFonts w:hint="eastAsia"/>
              </w:rPr>
              <w:t>江苏天昂管业有限公司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0F42614C">
            <w:pPr>
              <w:pStyle w:val="196"/>
            </w:pPr>
            <w:r>
              <w:rPr>
                <w:rFonts w:hint="eastAsia"/>
              </w:rPr>
              <w:t>70</w:t>
            </w:r>
          </w:p>
        </w:tc>
        <w:tc>
          <w:tcPr>
            <w:tcW w:w="655" w:type="pct"/>
            <w:tcBorders>
              <w:top w:val="single" w:color="auto" w:sz="4" w:space="0"/>
              <w:left w:val="single" w:color="auto" w:sz="4" w:space="0"/>
              <w:bottom w:val="single" w:color="auto" w:sz="4" w:space="0"/>
              <w:right w:val="single" w:color="auto" w:sz="4" w:space="0"/>
            </w:tcBorders>
            <w:vAlign w:val="center"/>
          </w:tcPr>
          <w:p w14:paraId="009B5F7A">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63AA8E01">
            <w:pPr>
              <w:pStyle w:val="196"/>
            </w:pPr>
            <w:r>
              <w:rPr>
                <w:rFonts w:hint="eastAsia"/>
              </w:rPr>
              <w:t>500</w:t>
            </w:r>
          </w:p>
        </w:tc>
      </w:tr>
      <w:tr w14:paraId="5714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trPr>
        <w:tc>
          <w:tcPr>
            <w:tcW w:w="405" w:type="pct"/>
            <w:tcBorders>
              <w:top w:val="single" w:color="auto" w:sz="4" w:space="0"/>
              <w:left w:val="single" w:color="auto" w:sz="4" w:space="0"/>
              <w:bottom w:val="single" w:color="auto" w:sz="4" w:space="0"/>
              <w:right w:val="single" w:color="auto" w:sz="4" w:space="0"/>
            </w:tcBorders>
            <w:vAlign w:val="center"/>
          </w:tcPr>
          <w:p w14:paraId="7E58BA50">
            <w:pPr>
              <w:pStyle w:val="196"/>
            </w:pPr>
            <w:r>
              <w:rPr>
                <w:rFonts w:hint="eastAsia"/>
              </w:rPr>
              <w:t>9</w:t>
            </w:r>
          </w:p>
        </w:tc>
        <w:tc>
          <w:tcPr>
            <w:tcW w:w="0" w:type="auto"/>
            <w:vMerge w:val="continue"/>
            <w:tcBorders>
              <w:top w:val="nil"/>
              <w:left w:val="single" w:color="auto" w:sz="4" w:space="0"/>
              <w:bottom w:val="single" w:color="auto" w:sz="4" w:space="0"/>
              <w:right w:val="single" w:color="auto" w:sz="4" w:space="0"/>
            </w:tcBorders>
            <w:vAlign w:val="center"/>
          </w:tcPr>
          <w:p w14:paraId="2CF07AF6">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20A9F86D">
            <w:pPr>
              <w:pStyle w:val="196"/>
            </w:pPr>
            <w:r>
              <w:rPr>
                <w:rFonts w:hint="eastAsia"/>
              </w:rPr>
              <w:t>涟水红日港务有限公司</w:t>
            </w:r>
          </w:p>
          <w:p w14:paraId="33AC24E5">
            <w:pPr>
              <w:pStyle w:val="196"/>
            </w:pPr>
            <w:r>
              <w:rPr>
                <w:rFonts w:hint="eastAsia"/>
              </w:rPr>
              <w:t>（新港作业区一期）</w:t>
            </w:r>
          </w:p>
        </w:tc>
        <w:tc>
          <w:tcPr>
            <w:tcW w:w="783" w:type="pct"/>
            <w:tcBorders>
              <w:top w:val="single" w:color="auto" w:sz="4" w:space="0"/>
              <w:left w:val="single" w:color="auto" w:sz="4" w:space="0"/>
              <w:bottom w:val="single" w:color="auto" w:sz="4" w:space="0"/>
              <w:right w:val="single" w:color="auto" w:sz="4" w:space="0"/>
            </w:tcBorders>
            <w:vAlign w:val="center"/>
          </w:tcPr>
          <w:p w14:paraId="6E1040FA">
            <w:pPr>
              <w:pStyle w:val="196"/>
            </w:pPr>
            <w:r>
              <w:rPr>
                <w:rFonts w:hint="eastAsia"/>
              </w:rPr>
              <w:t>410</w:t>
            </w:r>
          </w:p>
        </w:tc>
        <w:tc>
          <w:tcPr>
            <w:tcW w:w="655" w:type="pct"/>
            <w:tcBorders>
              <w:top w:val="single" w:color="auto" w:sz="4" w:space="0"/>
              <w:left w:val="single" w:color="auto" w:sz="4" w:space="0"/>
              <w:bottom w:val="single" w:color="auto" w:sz="4" w:space="0"/>
              <w:right w:val="single" w:color="auto" w:sz="4" w:space="0"/>
            </w:tcBorders>
            <w:vAlign w:val="center"/>
          </w:tcPr>
          <w:p w14:paraId="0099A438">
            <w:pPr>
              <w:pStyle w:val="196"/>
            </w:pPr>
            <w:r>
              <w:rPr>
                <w:rFonts w:hint="eastAsia"/>
              </w:rPr>
              <w:t>6</w:t>
            </w:r>
          </w:p>
        </w:tc>
        <w:tc>
          <w:tcPr>
            <w:tcW w:w="721" w:type="pct"/>
            <w:tcBorders>
              <w:top w:val="single" w:color="auto" w:sz="4" w:space="0"/>
              <w:left w:val="single" w:color="auto" w:sz="4" w:space="0"/>
              <w:bottom w:val="single" w:color="auto" w:sz="4" w:space="0"/>
              <w:right w:val="single" w:color="auto" w:sz="4" w:space="0"/>
            </w:tcBorders>
            <w:vAlign w:val="center"/>
          </w:tcPr>
          <w:p w14:paraId="213DB351">
            <w:pPr>
              <w:pStyle w:val="196"/>
            </w:pPr>
            <w:r>
              <w:rPr>
                <w:rFonts w:hint="eastAsia"/>
              </w:rPr>
              <w:t>500</w:t>
            </w:r>
          </w:p>
        </w:tc>
      </w:tr>
      <w:tr w14:paraId="10B6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trPr>
        <w:tc>
          <w:tcPr>
            <w:tcW w:w="405" w:type="pct"/>
            <w:tcBorders>
              <w:top w:val="single" w:color="auto" w:sz="4" w:space="0"/>
              <w:left w:val="single" w:color="auto" w:sz="4" w:space="0"/>
              <w:bottom w:val="single" w:color="auto" w:sz="4" w:space="0"/>
              <w:right w:val="single" w:color="auto" w:sz="4" w:space="0"/>
            </w:tcBorders>
            <w:vAlign w:val="center"/>
          </w:tcPr>
          <w:p w14:paraId="5649E753">
            <w:pPr>
              <w:pStyle w:val="196"/>
            </w:pPr>
            <w:r>
              <w:rPr>
                <w:rFonts w:hint="eastAsia"/>
              </w:rPr>
              <w:t>10</w:t>
            </w:r>
          </w:p>
        </w:tc>
        <w:tc>
          <w:tcPr>
            <w:tcW w:w="0" w:type="auto"/>
            <w:vMerge w:val="continue"/>
            <w:tcBorders>
              <w:top w:val="nil"/>
              <w:left w:val="single" w:color="auto" w:sz="4" w:space="0"/>
              <w:bottom w:val="single" w:color="auto" w:sz="4" w:space="0"/>
              <w:right w:val="single" w:color="auto" w:sz="4" w:space="0"/>
            </w:tcBorders>
            <w:vAlign w:val="center"/>
          </w:tcPr>
          <w:p w14:paraId="6C3C3729">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5D1D2232">
            <w:pPr>
              <w:pStyle w:val="196"/>
            </w:pPr>
            <w:r>
              <w:rPr>
                <w:rFonts w:hint="eastAsia"/>
              </w:rPr>
              <w:t>涟水红日港务有限公司</w:t>
            </w:r>
          </w:p>
          <w:p w14:paraId="41B5AD35">
            <w:pPr>
              <w:pStyle w:val="196"/>
            </w:pPr>
            <w:r>
              <w:rPr>
                <w:rFonts w:hint="eastAsia"/>
              </w:rPr>
              <w:t>（新港作业区二期）</w:t>
            </w:r>
          </w:p>
        </w:tc>
        <w:tc>
          <w:tcPr>
            <w:tcW w:w="783" w:type="pct"/>
            <w:tcBorders>
              <w:top w:val="single" w:color="auto" w:sz="4" w:space="0"/>
              <w:left w:val="single" w:color="auto" w:sz="4" w:space="0"/>
              <w:bottom w:val="single" w:color="auto" w:sz="4" w:space="0"/>
              <w:right w:val="single" w:color="auto" w:sz="4" w:space="0"/>
            </w:tcBorders>
            <w:vAlign w:val="center"/>
          </w:tcPr>
          <w:p w14:paraId="71C2AA4F">
            <w:pPr>
              <w:pStyle w:val="196"/>
            </w:pPr>
            <w:r>
              <w:rPr>
                <w:rFonts w:hint="eastAsia"/>
              </w:rPr>
              <w:t>340</w:t>
            </w:r>
          </w:p>
        </w:tc>
        <w:tc>
          <w:tcPr>
            <w:tcW w:w="655" w:type="pct"/>
            <w:tcBorders>
              <w:top w:val="single" w:color="auto" w:sz="4" w:space="0"/>
              <w:left w:val="single" w:color="auto" w:sz="4" w:space="0"/>
              <w:bottom w:val="single" w:color="auto" w:sz="4" w:space="0"/>
              <w:right w:val="single" w:color="auto" w:sz="4" w:space="0"/>
            </w:tcBorders>
            <w:vAlign w:val="center"/>
          </w:tcPr>
          <w:p w14:paraId="540C93A8">
            <w:pPr>
              <w:pStyle w:val="196"/>
            </w:pPr>
            <w:r>
              <w:rPr>
                <w:rFonts w:hint="eastAsia"/>
              </w:rPr>
              <w:t>5</w:t>
            </w:r>
          </w:p>
        </w:tc>
        <w:tc>
          <w:tcPr>
            <w:tcW w:w="721" w:type="pct"/>
            <w:tcBorders>
              <w:top w:val="single" w:color="auto" w:sz="4" w:space="0"/>
              <w:left w:val="single" w:color="auto" w:sz="4" w:space="0"/>
              <w:bottom w:val="single" w:color="auto" w:sz="4" w:space="0"/>
              <w:right w:val="single" w:color="auto" w:sz="4" w:space="0"/>
            </w:tcBorders>
            <w:vAlign w:val="center"/>
          </w:tcPr>
          <w:p w14:paraId="018970B9">
            <w:pPr>
              <w:pStyle w:val="196"/>
            </w:pPr>
            <w:r>
              <w:rPr>
                <w:rFonts w:hint="eastAsia"/>
              </w:rPr>
              <w:t>1000</w:t>
            </w:r>
          </w:p>
        </w:tc>
      </w:tr>
      <w:tr w14:paraId="5675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33AE2BD0">
            <w:pPr>
              <w:pStyle w:val="196"/>
            </w:pPr>
            <w:r>
              <w:rPr>
                <w:rFonts w:hint="eastAsia"/>
              </w:rPr>
              <w:t>11</w:t>
            </w:r>
          </w:p>
        </w:tc>
        <w:tc>
          <w:tcPr>
            <w:tcW w:w="0" w:type="auto"/>
            <w:vMerge w:val="continue"/>
            <w:tcBorders>
              <w:top w:val="nil"/>
              <w:left w:val="single" w:color="auto" w:sz="4" w:space="0"/>
              <w:bottom w:val="single" w:color="auto" w:sz="4" w:space="0"/>
              <w:right w:val="single" w:color="auto" w:sz="4" w:space="0"/>
            </w:tcBorders>
            <w:vAlign w:val="center"/>
          </w:tcPr>
          <w:p w14:paraId="3BD38C2A">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DB4EEED">
            <w:pPr>
              <w:pStyle w:val="196"/>
            </w:pPr>
            <w:r>
              <w:rPr>
                <w:rFonts w:hint="eastAsia"/>
              </w:rPr>
              <w:t>江苏大自然食品有限公司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613EDD27">
            <w:pPr>
              <w:pStyle w:val="196"/>
            </w:pPr>
            <w:r>
              <w:rPr>
                <w:rFonts w:hint="eastAsia"/>
              </w:rPr>
              <w:t>150</w:t>
            </w:r>
          </w:p>
        </w:tc>
        <w:tc>
          <w:tcPr>
            <w:tcW w:w="655" w:type="pct"/>
            <w:tcBorders>
              <w:top w:val="single" w:color="auto" w:sz="4" w:space="0"/>
              <w:left w:val="single" w:color="auto" w:sz="4" w:space="0"/>
              <w:bottom w:val="single" w:color="auto" w:sz="4" w:space="0"/>
              <w:right w:val="single" w:color="auto" w:sz="4" w:space="0"/>
            </w:tcBorders>
            <w:vAlign w:val="center"/>
          </w:tcPr>
          <w:p w14:paraId="43B6FFF4">
            <w:pPr>
              <w:pStyle w:val="196"/>
            </w:pPr>
            <w:r>
              <w:rPr>
                <w:rFonts w:hint="eastAsia"/>
              </w:rPr>
              <w:t>1</w:t>
            </w:r>
          </w:p>
        </w:tc>
        <w:tc>
          <w:tcPr>
            <w:tcW w:w="721" w:type="pct"/>
            <w:tcBorders>
              <w:top w:val="single" w:color="auto" w:sz="4" w:space="0"/>
              <w:left w:val="single" w:color="auto" w:sz="4" w:space="0"/>
              <w:bottom w:val="single" w:color="auto" w:sz="4" w:space="0"/>
              <w:right w:val="single" w:color="auto" w:sz="4" w:space="0"/>
            </w:tcBorders>
            <w:vAlign w:val="center"/>
          </w:tcPr>
          <w:p w14:paraId="5E8604DD">
            <w:pPr>
              <w:pStyle w:val="196"/>
            </w:pPr>
            <w:r>
              <w:rPr>
                <w:rFonts w:hint="eastAsia"/>
              </w:rPr>
              <w:t>500</w:t>
            </w:r>
          </w:p>
        </w:tc>
      </w:tr>
      <w:tr w14:paraId="2561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712C6005">
            <w:pPr>
              <w:pStyle w:val="196"/>
            </w:pPr>
            <w:r>
              <w:rPr>
                <w:rFonts w:hint="eastAsia"/>
              </w:rPr>
              <w:t>12</w:t>
            </w:r>
          </w:p>
        </w:tc>
        <w:tc>
          <w:tcPr>
            <w:tcW w:w="0" w:type="auto"/>
            <w:vMerge w:val="continue"/>
            <w:tcBorders>
              <w:top w:val="nil"/>
              <w:left w:val="single" w:color="auto" w:sz="4" w:space="0"/>
              <w:bottom w:val="single" w:color="auto" w:sz="4" w:space="0"/>
              <w:right w:val="single" w:color="auto" w:sz="4" w:space="0"/>
            </w:tcBorders>
            <w:vAlign w:val="center"/>
          </w:tcPr>
          <w:p w14:paraId="4E6C8FAF">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5D10DC2">
            <w:pPr>
              <w:pStyle w:val="196"/>
            </w:pPr>
            <w:r>
              <w:rPr>
                <w:rFonts w:hint="eastAsia"/>
              </w:rPr>
              <w:t>涟水永留建材有限公司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30099582">
            <w:pPr>
              <w:pStyle w:val="196"/>
            </w:pPr>
            <w:r>
              <w:rPr>
                <w:rFonts w:hint="eastAsia"/>
              </w:rPr>
              <w:t>100</w:t>
            </w:r>
          </w:p>
        </w:tc>
        <w:tc>
          <w:tcPr>
            <w:tcW w:w="655" w:type="pct"/>
            <w:tcBorders>
              <w:top w:val="single" w:color="auto" w:sz="4" w:space="0"/>
              <w:left w:val="single" w:color="auto" w:sz="4" w:space="0"/>
              <w:bottom w:val="single" w:color="auto" w:sz="4" w:space="0"/>
              <w:right w:val="single" w:color="auto" w:sz="4" w:space="0"/>
            </w:tcBorders>
            <w:vAlign w:val="center"/>
          </w:tcPr>
          <w:p w14:paraId="7AB96162">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34D9DF8B">
            <w:pPr>
              <w:pStyle w:val="196"/>
            </w:pPr>
            <w:r>
              <w:rPr>
                <w:rFonts w:hint="eastAsia"/>
              </w:rPr>
              <w:t>500</w:t>
            </w:r>
          </w:p>
        </w:tc>
      </w:tr>
      <w:tr w14:paraId="0E68F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2DCC19B6">
            <w:pPr>
              <w:pStyle w:val="196"/>
            </w:pPr>
            <w:r>
              <w:rPr>
                <w:rFonts w:hint="eastAsia"/>
              </w:rPr>
              <w:t>13</w:t>
            </w:r>
          </w:p>
        </w:tc>
        <w:tc>
          <w:tcPr>
            <w:tcW w:w="0" w:type="auto"/>
            <w:vMerge w:val="continue"/>
            <w:tcBorders>
              <w:top w:val="nil"/>
              <w:left w:val="single" w:color="auto" w:sz="4" w:space="0"/>
              <w:bottom w:val="single" w:color="auto" w:sz="4" w:space="0"/>
              <w:right w:val="single" w:color="auto" w:sz="4" w:space="0"/>
            </w:tcBorders>
            <w:vAlign w:val="center"/>
          </w:tcPr>
          <w:p w14:paraId="0A032B85">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6A93CF9">
            <w:pPr>
              <w:pStyle w:val="196"/>
            </w:pPr>
            <w:r>
              <w:rPr>
                <w:rFonts w:hint="eastAsia"/>
              </w:rPr>
              <w:t>淮安兴港建材有限公司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1594E404">
            <w:pPr>
              <w:pStyle w:val="196"/>
            </w:pPr>
            <w:r>
              <w:rPr>
                <w:rFonts w:hint="eastAsia"/>
              </w:rPr>
              <w:t>127</w:t>
            </w:r>
          </w:p>
        </w:tc>
        <w:tc>
          <w:tcPr>
            <w:tcW w:w="655" w:type="pct"/>
            <w:tcBorders>
              <w:top w:val="single" w:color="auto" w:sz="4" w:space="0"/>
              <w:left w:val="single" w:color="auto" w:sz="4" w:space="0"/>
              <w:bottom w:val="single" w:color="auto" w:sz="4" w:space="0"/>
              <w:right w:val="single" w:color="auto" w:sz="4" w:space="0"/>
            </w:tcBorders>
            <w:vAlign w:val="center"/>
          </w:tcPr>
          <w:p w14:paraId="0BFC32D7">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65371D39">
            <w:pPr>
              <w:pStyle w:val="196"/>
            </w:pPr>
            <w:r>
              <w:rPr>
                <w:rFonts w:hint="eastAsia"/>
              </w:rPr>
              <w:t>500</w:t>
            </w:r>
          </w:p>
        </w:tc>
      </w:tr>
      <w:tr w14:paraId="6143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6C3CB0B5">
            <w:pPr>
              <w:pStyle w:val="196"/>
            </w:pPr>
            <w:r>
              <w:rPr>
                <w:rFonts w:hint="eastAsia"/>
              </w:rPr>
              <w:t>14</w:t>
            </w:r>
          </w:p>
        </w:tc>
        <w:tc>
          <w:tcPr>
            <w:tcW w:w="0" w:type="auto"/>
            <w:vMerge w:val="continue"/>
            <w:tcBorders>
              <w:top w:val="nil"/>
              <w:left w:val="single" w:color="auto" w:sz="4" w:space="0"/>
              <w:bottom w:val="single" w:color="auto" w:sz="4" w:space="0"/>
              <w:right w:val="single" w:color="auto" w:sz="4" w:space="0"/>
            </w:tcBorders>
            <w:vAlign w:val="center"/>
          </w:tcPr>
          <w:p w14:paraId="6F540431">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0531B022">
            <w:pPr>
              <w:pStyle w:val="196"/>
            </w:pPr>
            <w:r>
              <w:rPr>
                <w:rFonts w:hint="eastAsia"/>
              </w:rPr>
              <w:t>涟水县新星水泥有限公司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5E3EC438">
            <w:pPr>
              <w:pStyle w:val="196"/>
            </w:pPr>
            <w:r>
              <w:rPr>
                <w:rFonts w:hint="eastAsia"/>
              </w:rPr>
              <w:t>105</w:t>
            </w:r>
          </w:p>
        </w:tc>
        <w:tc>
          <w:tcPr>
            <w:tcW w:w="655" w:type="pct"/>
            <w:tcBorders>
              <w:top w:val="single" w:color="auto" w:sz="4" w:space="0"/>
              <w:left w:val="single" w:color="auto" w:sz="4" w:space="0"/>
              <w:bottom w:val="single" w:color="auto" w:sz="4" w:space="0"/>
              <w:right w:val="single" w:color="auto" w:sz="4" w:space="0"/>
            </w:tcBorders>
            <w:vAlign w:val="center"/>
          </w:tcPr>
          <w:p w14:paraId="28FA7734">
            <w:pPr>
              <w:pStyle w:val="196"/>
            </w:pPr>
            <w:r>
              <w:rPr>
                <w:rFonts w:hint="eastAsia"/>
              </w:rPr>
              <w:t>1</w:t>
            </w:r>
          </w:p>
        </w:tc>
        <w:tc>
          <w:tcPr>
            <w:tcW w:w="721" w:type="pct"/>
            <w:tcBorders>
              <w:top w:val="single" w:color="auto" w:sz="4" w:space="0"/>
              <w:left w:val="single" w:color="auto" w:sz="4" w:space="0"/>
              <w:bottom w:val="single" w:color="auto" w:sz="4" w:space="0"/>
              <w:right w:val="single" w:color="auto" w:sz="4" w:space="0"/>
            </w:tcBorders>
            <w:vAlign w:val="center"/>
          </w:tcPr>
          <w:p w14:paraId="2BBBDE15">
            <w:pPr>
              <w:pStyle w:val="196"/>
            </w:pPr>
            <w:r>
              <w:rPr>
                <w:rFonts w:hint="eastAsia"/>
              </w:rPr>
              <w:t>500</w:t>
            </w:r>
          </w:p>
        </w:tc>
      </w:tr>
      <w:tr w14:paraId="5641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79FC2C1A">
            <w:pPr>
              <w:pStyle w:val="196"/>
            </w:pPr>
            <w:r>
              <w:rPr>
                <w:rFonts w:hint="eastAsia"/>
              </w:rPr>
              <w:t>15</w:t>
            </w:r>
          </w:p>
        </w:tc>
        <w:tc>
          <w:tcPr>
            <w:tcW w:w="0" w:type="auto"/>
            <w:vMerge w:val="continue"/>
            <w:tcBorders>
              <w:top w:val="nil"/>
              <w:left w:val="single" w:color="auto" w:sz="4" w:space="0"/>
              <w:bottom w:val="single" w:color="auto" w:sz="4" w:space="0"/>
              <w:right w:val="single" w:color="auto" w:sz="4" w:space="0"/>
            </w:tcBorders>
            <w:vAlign w:val="center"/>
          </w:tcPr>
          <w:p w14:paraId="5A34CDCA">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6C7B166">
            <w:pPr>
              <w:pStyle w:val="196"/>
            </w:pPr>
            <w:r>
              <w:rPr>
                <w:rFonts w:hint="eastAsia"/>
              </w:rPr>
              <w:t>江苏华源生态农业有限公司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25ED68ED">
            <w:pPr>
              <w:pStyle w:val="196"/>
            </w:pPr>
            <w:r>
              <w:rPr>
                <w:rFonts w:hint="eastAsia"/>
              </w:rPr>
              <w:t>777</w:t>
            </w:r>
          </w:p>
        </w:tc>
        <w:tc>
          <w:tcPr>
            <w:tcW w:w="655" w:type="pct"/>
            <w:tcBorders>
              <w:top w:val="single" w:color="auto" w:sz="4" w:space="0"/>
              <w:left w:val="single" w:color="auto" w:sz="4" w:space="0"/>
              <w:bottom w:val="single" w:color="auto" w:sz="4" w:space="0"/>
              <w:right w:val="single" w:color="auto" w:sz="4" w:space="0"/>
            </w:tcBorders>
            <w:vAlign w:val="center"/>
          </w:tcPr>
          <w:p w14:paraId="1FDF21E5">
            <w:pPr>
              <w:pStyle w:val="196"/>
            </w:pPr>
            <w:r>
              <w:rPr>
                <w:rFonts w:hint="eastAsia"/>
              </w:rPr>
              <w:t>10</w:t>
            </w:r>
          </w:p>
        </w:tc>
        <w:tc>
          <w:tcPr>
            <w:tcW w:w="721" w:type="pct"/>
            <w:tcBorders>
              <w:top w:val="single" w:color="auto" w:sz="4" w:space="0"/>
              <w:left w:val="single" w:color="auto" w:sz="4" w:space="0"/>
              <w:bottom w:val="single" w:color="auto" w:sz="4" w:space="0"/>
              <w:right w:val="single" w:color="auto" w:sz="4" w:space="0"/>
            </w:tcBorders>
            <w:vAlign w:val="center"/>
          </w:tcPr>
          <w:p w14:paraId="4E2400D8">
            <w:pPr>
              <w:pStyle w:val="196"/>
            </w:pPr>
            <w:r>
              <w:rPr>
                <w:rFonts w:hint="eastAsia"/>
              </w:rPr>
              <w:t>500</w:t>
            </w:r>
          </w:p>
        </w:tc>
      </w:tr>
      <w:tr w14:paraId="318D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1DE38E57">
            <w:pPr>
              <w:pStyle w:val="196"/>
            </w:pPr>
            <w:r>
              <w:rPr>
                <w:rFonts w:hint="eastAsia"/>
              </w:rPr>
              <w:t>16</w:t>
            </w:r>
          </w:p>
        </w:tc>
        <w:tc>
          <w:tcPr>
            <w:tcW w:w="0" w:type="auto"/>
            <w:vMerge w:val="continue"/>
            <w:tcBorders>
              <w:top w:val="nil"/>
              <w:left w:val="single" w:color="auto" w:sz="4" w:space="0"/>
              <w:bottom w:val="single" w:color="auto" w:sz="4" w:space="0"/>
              <w:right w:val="single" w:color="auto" w:sz="4" w:space="0"/>
            </w:tcBorders>
            <w:vAlign w:val="center"/>
          </w:tcPr>
          <w:p w14:paraId="3DD869B6">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325C373F">
            <w:pPr>
              <w:pStyle w:val="196"/>
            </w:pPr>
            <w:r>
              <w:rPr>
                <w:rFonts w:hint="eastAsia"/>
              </w:rPr>
              <w:t>淮安市博威新型建材有限公司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16C03458">
            <w:pPr>
              <w:pStyle w:val="196"/>
            </w:pPr>
            <w:r>
              <w:rPr>
                <w:rFonts w:hint="eastAsia"/>
              </w:rPr>
              <w:t>125</w:t>
            </w:r>
          </w:p>
        </w:tc>
        <w:tc>
          <w:tcPr>
            <w:tcW w:w="655" w:type="pct"/>
            <w:tcBorders>
              <w:top w:val="single" w:color="auto" w:sz="4" w:space="0"/>
              <w:left w:val="single" w:color="auto" w:sz="4" w:space="0"/>
              <w:bottom w:val="single" w:color="auto" w:sz="4" w:space="0"/>
              <w:right w:val="single" w:color="auto" w:sz="4" w:space="0"/>
            </w:tcBorders>
            <w:vAlign w:val="center"/>
          </w:tcPr>
          <w:p w14:paraId="66A4E03E">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5E3BA747">
            <w:pPr>
              <w:pStyle w:val="196"/>
            </w:pPr>
            <w:r>
              <w:rPr>
                <w:rFonts w:hint="eastAsia"/>
              </w:rPr>
              <w:t>500</w:t>
            </w:r>
          </w:p>
        </w:tc>
      </w:tr>
      <w:tr w14:paraId="0996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405" w:type="pct"/>
            <w:tcBorders>
              <w:top w:val="single" w:color="auto" w:sz="4" w:space="0"/>
              <w:left w:val="single" w:color="auto" w:sz="4" w:space="0"/>
              <w:bottom w:val="single" w:color="auto" w:sz="4" w:space="0"/>
              <w:right w:val="single" w:color="auto" w:sz="4" w:space="0"/>
            </w:tcBorders>
            <w:vAlign w:val="center"/>
          </w:tcPr>
          <w:p w14:paraId="11D7E3F2">
            <w:pPr>
              <w:pStyle w:val="196"/>
            </w:pPr>
            <w:r>
              <w:rPr>
                <w:rFonts w:hint="eastAsia"/>
              </w:rPr>
              <w:t>17</w:t>
            </w:r>
          </w:p>
        </w:tc>
        <w:tc>
          <w:tcPr>
            <w:tcW w:w="0" w:type="auto"/>
            <w:vMerge w:val="continue"/>
            <w:tcBorders>
              <w:top w:val="nil"/>
              <w:left w:val="single" w:color="auto" w:sz="4" w:space="0"/>
              <w:bottom w:val="single" w:color="auto" w:sz="4" w:space="0"/>
              <w:right w:val="single" w:color="auto" w:sz="4" w:space="0"/>
            </w:tcBorders>
            <w:vAlign w:val="center"/>
          </w:tcPr>
          <w:p w14:paraId="225077E8">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0414D394">
            <w:pPr>
              <w:pStyle w:val="196"/>
            </w:pPr>
            <w:r>
              <w:rPr>
                <w:rFonts w:hint="eastAsia"/>
              </w:rPr>
              <w:t>江苏东辰建材有限公司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2E059581">
            <w:pPr>
              <w:pStyle w:val="196"/>
            </w:pPr>
            <w:r>
              <w:rPr>
                <w:rFonts w:hint="eastAsia"/>
              </w:rPr>
              <w:t>98</w:t>
            </w:r>
          </w:p>
        </w:tc>
        <w:tc>
          <w:tcPr>
            <w:tcW w:w="655" w:type="pct"/>
            <w:tcBorders>
              <w:top w:val="single" w:color="auto" w:sz="4" w:space="0"/>
              <w:left w:val="single" w:color="auto" w:sz="4" w:space="0"/>
              <w:bottom w:val="single" w:color="auto" w:sz="4" w:space="0"/>
              <w:right w:val="single" w:color="auto" w:sz="4" w:space="0"/>
            </w:tcBorders>
            <w:vAlign w:val="center"/>
          </w:tcPr>
          <w:p w14:paraId="27454D4E">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28B38234">
            <w:pPr>
              <w:pStyle w:val="196"/>
            </w:pPr>
            <w:r>
              <w:rPr>
                <w:rFonts w:hint="eastAsia"/>
              </w:rPr>
              <w:t>500</w:t>
            </w:r>
          </w:p>
        </w:tc>
      </w:tr>
      <w:tr w14:paraId="46BF2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789E63A0">
            <w:pPr>
              <w:pStyle w:val="196"/>
            </w:pPr>
            <w:r>
              <w:rPr>
                <w:rFonts w:hint="eastAsia"/>
              </w:rPr>
              <w:t>18</w:t>
            </w:r>
          </w:p>
        </w:tc>
        <w:tc>
          <w:tcPr>
            <w:tcW w:w="0" w:type="auto"/>
            <w:vMerge w:val="continue"/>
            <w:tcBorders>
              <w:top w:val="nil"/>
              <w:left w:val="single" w:color="auto" w:sz="4" w:space="0"/>
              <w:bottom w:val="single" w:color="auto" w:sz="4" w:space="0"/>
              <w:right w:val="single" w:color="auto" w:sz="4" w:space="0"/>
            </w:tcBorders>
            <w:vAlign w:val="center"/>
          </w:tcPr>
          <w:p w14:paraId="6F60E0D7">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729E91B6">
            <w:pPr>
              <w:pStyle w:val="196"/>
            </w:pPr>
            <w:r>
              <w:rPr>
                <w:rFonts w:hint="eastAsia"/>
              </w:rPr>
              <w:t>江苏</w:t>
            </w:r>
            <w:r>
              <w:rPr>
                <w:rFonts w:hint="eastAsia"/>
                <w:lang w:eastAsia="zh-CN"/>
              </w:rPr>
              <w:t>内地与澳门</w:t>
            </w:r>
            <w:r>
              <w:rPr>
                <w:rFonts w:hint="eastAsia"/>
              </w:rPr>
              <w:t>盐业有限公司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4848EBD4">
            <w:pPr>
              <w:pStyle w:val="196"/>
            </w:pPr>
            <w:r>
              <w:rPr>
                <w:rFonts w:hint="eastAsia"/>
              </w:rPr>
              <w:t>150</w:t>
            </w:r>
          </w:p>
        </w:tc>
        <w:tc>
          <w:tcPr>
            <w:tcW w:w="655" w:type="pct"/>
            <w:tcBorders>
              <w:top w:val="single" w:color="auto" w:sz="4" w:space="0"/>
              <w:left w:val="single" w:color="auto" w:sz="4" w:space="0"/>
              <w:bottom w:val="single" w:color="auto" w:sz="4" w:space="0"/>
              <w:right w:val="single" w:color="auto" w:sz="4" w:space="0"/>
            </w:tcBorders>
            <w:vAlign w:val="center"/>
          </w:tcPr>
          <w:p w14:paraId="308BEF78">
            <w:pPr>
              <w:pStyle w:val="196"/>
            </w:pPr>
            <w:r>
              <w:rPr>
                <w:rFonts w:hint="eastAsia"/>
              </w:rPr>
              <w:t>3</w:t>
            </w:r>
          </w:p>
        </w:tc>
        <w:tc>
          <w:tcPr>
            <w:tcW w:w="721" w:type="pct"/>
            <w:tcBorders>
              <w:top w:val="single" w:color="auto" w:sz="4" w:space="0"/>
              <w:left w:val="single" w:color="auto" w:sz="4" w:space="0"/>
              <w:bottom w:val="single" w:color="auto" w:sz="4" w:space="0"/>
              <w:right w:val="single" w:color="auto" w:sz="4" w:space="0"/>
            </w:tcBorders>
            <w:vAlign w:val="center"/>
          </w:tcPr>
          <w:p w14:paraId="036EA511">
            <w:pPr>
              <w:pStyle w:val="196"/>
            </w:pPr>
            <w:r>
              <w:rPr>
                <w:rFonts w:hint="eastAsia"/>
              </w:rPr>
              <w:t>500</w:t>
            </w:r>
          </w:p>
        </w:tc>
      </w:tr>
      <w:tr w14:paraId="1A49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2D8121F3">
            <w:pPr>
              <w:pStyle w:val="196"/>
            </w:pPr>
            <w:r>
              <w:rPr>
                <w:rFonts w:hint="eastAsia"/>
              </w:rPr>
              <w:t>19</w:t>
            </w:r>
          </w:p>
        </w:tc>
        <w:tc>
          <w:tcPr>
            <w:tcW w:w="0" w:type="auto"/>
            <w:vMerge w:val="continue"/>
            <w:tcBorders>
              <w:top w:val="nil"/>
              <w:left w:val="single" w:color="auto" w:sz="4" w:space="0"/>
              <w:bottom w:val="single" w:color="auto" w:sz="4" w:space="0"/>
              <w:right w:val="single" w:color="auto" w:sz="4" w:space="0"/>
            </w:tcBorders>
            <w:vAlign w:val="center"/>
          </w:tcPr>
          <w:p w14:paraId="4E0024A5">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768A9EB6">
            <w:pPr>
              <w:pStyle w:val="196"/>
            </w:pPr>
            <w:r>
              <w:rPr>
                <w:rFonts w:hint="eastAsia"/>
              </w:rPr>
              <w:t>涟水县丙辰工程养护有限公司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3EF7A4FA">
            <w:pPr>
              <w:pStyle w:val="196"/>
            </w:pPr>
            <w:r>
              <w:rPr>
                <w:rFonts w:hint="eastAsia"/>
              </w:rPr>
              <w:t>90</w:t>
            </w:r>
          </w:p>
        </w:tc>
        <w:tc>
          <w:tcPr>
            <w:tcW w:w="655" w:type="pct"/>
            <w:tcBorders>
              <w:top w:val="single" w:color="auto" w:sz="4" w:space="0"/>
              <w:left w:val="single" w:color="auto" w:sz="4" w:space="0"/>
              <w:bottom w:val="single" w:color="auto" w:sz="4" w:space="0"/>
              <w:right w:val="single" w:color="auto" w:sz="4" w:space="0"/>
            </w:tcBorders>
            <w:vAlign w:val="center"/>
          </w:tcPr>
          <w:p w14:paraId="3D80E436">
            <w:pPr>
              <w:pStyle w:val="196"/>
            </w:pPr>
            <w:r>
              <w:rPr>
                <w:rFonts w:hint="eastAsia"/>
              </w:rPr>
              <w:t>1</w:t>
            </w:r>
          </w:p>
        </w:tc>
        <w:tc>
          <w:tcPr>
            <w:tcW w:w="721" w:type="pct"/>
            <w:tcBorders>
              <w:top w:val="single" w:color="auto" w:sz="4" w:space="0"/>
              <w:left w:val="single" w:color="auto" w:sz="4" w:space="0"/>
              <w:bottom w:val="single" w:color="auto" w:sz="4" w:space="0"/>
              <w:right w:val="single" w:color="auto" w:sz="4" w:space="0"/>
            </w:tcBorders>
            <w:vAlign w:val="center"/>
          </w:tcPr>
          <w:p w14:paraId="14BFB9D8">
            <w:pPr>
              <w:pStyle w:val="196"/>
            </w:pPr>
            <w:r>
              <w:rPr>
                <w:rFonts w:hint="eastAsia"/>
              </w:rPr>
              <w:t>500</w:t>
            </w:r>
          </w:p>
        </w:tc>
      </w:tr>
      <w:tr w14:paraId="59B4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05" w:type="pct"/>
            <w:tcBorders>
              <w:top w:val="single" w:color="auto" w:sz="4" w:space="0"/>
              <w:left w:val="single" w:color="auto" w:sz="4" w:space="0"/>
              <w:bottom w:val="single" w:color="auto" w:sz="4" w:space="0"/>
              <w:right w:val="single" w:color="auto" w:sz="4" w:space="0"/>
            </w:tcBorders>
            <w:vAlign w:val="center"/>
          </w:tcPr>
          <w:p w14:paraId="0BD6D9B0">
            <w:pPr>
              <w:pStyle w:val="196"/>
            </w:pPr>
            <w:r>
              <w:rPr>
                <w:rFonts w:hint="eastAsia"/>
              </w:rPr>
              <w:t>20</w:t>
            </w:r>
          </w:p>
        </w:tc>
        <w:tc>
          <w:tcPr>
            <w:tcW w:w="0" w:type="auto"/>
            <w:vMerge w:val="continue"/>
            <w:tcBorders>
              <w:top w:val="nil"/>
              <w:left w:val="single" w:color="auto" w:sz="4" w:space="0"/>
              <w:bottom w:val="single" w:color="auto" w:sz="4" w:space="0"/>
              <w:right w:val="single" w:color="auto" w:sz="4" w:space="0"/>
            </w:tcBorders>
            <w:vAlign w:val="center"/>
          </w:tcPr>
          <w:p w14:paraId="4C69EF75">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17143007">
            <w:pPr>
              <w:pStyle w:val="196"/>
            </w:pPr>
            <w:r>
              <w:rPr>
                <w:rFonts w:hint="eastAsia"/>
              </w:rPr>
              <w:t>淮安市兴盛管桩有限公司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7C832BD2">
            <w:pPr>
              <w:pStyle w:val="196"/>
            </w:pPr>
            <w:r>
              <w:rPr>
                <w:rFonts w:hint="eastAsia"/>
              </w:rPr>
              <w:t>80</w:t>
            </w:r>
          </w:p>
        </w:tc>
        <w:tc>
          <w:tcPr>
            <w:tcW w:w="655" w:type="pct"/>
            <w:tcBorders>
              <w:top w:val="single" w:color="auto" w:sz="4" w:space="0"/>
              <w:left w:val="single" w:color="auto" w:sz="4" w:space="0"/>
              <w:bottom w:val="single" w:color="auto" w:sz="4" w:space="0"/>
              <w:right w:val="single" w:color="auto" w:sz="4" w:space="0"/>
            </w:tcBorders>
            <w:vAlign w:val="center"/>
          </w:tcPr>
          <w:p w14:paraId="4F3508BB">
            <w:pPr>
              <w:pStyle w:val="196"/>
            </w:pPr>
            <w:r>
              <w:rPr>
                <w:rFonts w:hint="eastAsia"/>
              </w:rPr>
              <w:t>1</w:t>
            </w:r>
          </w:p>
        </w:tc>
        <w:tc>
          <w:tcPr>
            <w:tcW w:w="721" w:type="pct"/>
            <w:tcBorders>
              <w:top w:val="single" w:color="auto" w:sz="4" w:space="0"/>
              <w:left w:val="single" w:color="auto" w:sz="4" w:space="0"/>
              <w:bottom w:val="single" w:color="auto" w:sz="4" w:space="0"/>
              <w:right w:val="single" w:color="auto" w:sz="4" w:space="0"/>
            </w:tcBorders>
            <w:vAlign w:val="center"/>
          </w:tcPr>
          <w:p w14:paraId="409CC813">
            <w:pPr>
              <w:pStyle w:val="196"/>
            </w:pPr>
            <w:r>
              <w:rPr>
                <w:rFonts w:hint="eastAsia"/>
              </w:rPr>
              <w:t>500</w:t>
            </w:r>
          </w:p>
        </w:tc>
      </w:tr>
      <w:tr w14:paraId="0509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405" w:type="pct"/>
            <w:tcBorders>
              <w:top w:val="single" w:color="auto" w:sz="4" w:space="0"/>
              <w:left w:val="single" w:color="auto" w:sz="4" w:space="0"/>
              <w:bottom w:val="single" w:color="auto" w:sz="4" w:space="0"/>
              <w:right w:val="single" w:color="auto" w:sz="4" w:space="0"/>
            </w:tcBorders>
            <w:vAlign w:val="center"/>
          </w:tcPr>
          <w:p w14:paraId="743E3CE5">
            <w:pPr>
              <w:pStyle w:val="196"/>
            </w:pPr>
            <w:r>
              <w:rPr>
                <w:rFonts w:hint="eastAsia"/>
              </w:rPr>
              <w:t>21</w:t>
            </w:r>
          </w:p>
        </w:tc>
        <w:tc>
          <w:tcPr>
            <w:tcW w:w="0" w:type="auto"/>
            <w:vMerge w:val="continue"/>
            <w:tcBorders>
              <w:top w:val="nil"/>
              <w:left w:val="single" w:color="auto" w:sz="4" w:space="0"/>
              <w:bottom w:val="single" w:color="auto" w:sz="4" w:space="0"/>
              <w:right w:val="single" w:color="auto" w:sz="4" w:space="0"/>
            </w:tcBorders>
            <w:vAlign w:val="center"/>
          </w:tcPr>
          <w:p w14:paraId="12B31348">
            <w:pPr>
              <w:pStyle w:val="196"/>
            </w:pPr>
          </w:p>
        </w:tc>
        <w:tc>
          <w:tcPr>
            <w:tcW w:w="1782" w:type="pct"/>
            <w:tcBorders>
              <w:top w:val="single" w:color="auto" w:sz="4" w:space="0"/>
              <w:left w:val="single" w:color="auto" w:sz="4" w:space="0"/>
              <w:bottom w:val="single" w:color="auto" w:sz="4" w:space="0"/>
              <w:right w:val="single" w:color="auto" w:sz="4" w:space="0"/>
            </w:tcBorders>
            <w:vAlign w:val="center"/>
          </w:tcPr>
          <w:p w14:paraId="7AF76ED2">
            <w:pPr>
              <w:pStyle w:val="196"/>
            </w:pPr>
            <w:r>
              <w:rPr>
                <w:rFonts w:hint="eastAsia"/>
              </w:rPr>
              <w:t>淮安鼎冠建材有限公司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01635AF0">
            <w:pPr>
              <w:pStyle w:val="196"/>
            </w:pPr>
            <w:r>
              <w:rPr>
                <w:rFonts w:hint="eastAsia"/>
              </w:rPr>
              <w:t>110</w:t>
            </w:r>
          </w:p>
        </w:tc>
        <w:tc>
          <w:tcPr>
            <w:tcW w:w="655" w:type="pct"/>
            <w:tcBorders>
              <w:top w:val="single" w:color="auto" w:sz="4" w:space="0"/>
              <w:left w:val="single" w:color="auto" w:sz="4" w:space="0"/>
              <w:bottom w:val="single" w:color="auto" w:sz="4" w:space="0"/>
              <w:right w:val="single" w:color="auto" w:sz="4" w:space="0"/>
            </w:tcBorders>
            <w:vAlign w:val="center"/>
          </w:tcPr>
          <w:p w14:paraId="5BA46B59">
            <w:pPr>
              <w:pStyle w:val="196"/>
            </w:pPr>
            <w:r>
              <w:rPr>
                <w:rFonts w:hint="eastAsia"/>
              </w:rPr>
              <w:t>2</w:t>
            </w:r>
          </w:p>
        </w:tc>
        <w:tc>
          <w:tcPr>
            <w:tcW w:w="721" w:type="pct"/>
            <w:tcBorders>
              <w:top w:val="single" w:color="auto" w:sz="4" w:space="0"/>
              <w:left w:val="single" w:color="auto" w:sz="4" w:space="0"/>
              <w:bottom w:val="single" w:color="auto" w:sz="4" w:space="0"/>
              <w:right w:val="single" w:color="auto" w:sz="4" w:space="0"/>
            </w:tcBorders>
            <w:vAlign w:val="center"/>
          </w:tcPr>
          <w:p w14:paraId="4DB71E15">
            <w:pPr>
              <w:pStyle w:val="196"/>
            </w:pPr>
            <w:r>
              <w:rPr>
                <w:rFonts w:hint="eastAsia"/>
              </w:rPr>
              <w:t>500</w:t>
            </w:r>
          </w:p>
        </w:tc>
      </w:tr>
      <w:tr w14:paraId="06691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405" w:type="pct"/>
            <w:tcBorders>
              <w:top w:val="single" w:color="auto" w:sz="4" w:space="0"/>
              <w:left w:val="single" w:color="auto" w:sz="4" w:space="0"/>
              <w:bottom w:val="single" w:color="auto" w:sz="4" w:space="0"/>
              <w:right w:val="single" w:color="auto" w:sz="4" w:space="0"/>
            </w:tcBorders>
            <w:vAlign w:val="center"/>
          </w:tcPr>
          <w:p w14:paraId="690B0EE0">
            <w:pPr>
              <w:pStyle w:val="196"/>
            </w:pPr>
            <w:r>
              <w:rPr>
                <w:rFonts w:hint="eastAsia"/>
              </w:rPr>
              <w:t>22</w:t>
            </w:r>
          </w:p>
        </w:tc>
        <w:tc>
          <w:tcPr>
            <w:tcW w:w="651" w:type="pct"/>
            <w:tcBorders>
              <w:top w:val="single" w:color="auto" w:sz="4" w:space="0"/>
              <w:left w:val="single" w:color="auto" w:sz="4" w:space="0"/>
              <w:bottom w:val="single" w:color="auto" w:sz="4" w:space="0"/>
              <w:right w:val="single" w:color="auto" w:sz="4" w:space="0"/>
            </w:tcBorders>
            <w:vAlign w:val="center"/>
          </w:tcPr>
          <w:p w14:paraId="68468914">
            <w:pPr>
              <w:pStyle w:val="196"/>
            </w:pPr>
            <w:r>
              <w:rPr>
                <w:rFonts w:hint="eastAsia"/>
              </w:rPr>
              <w:t>涟中干渠</w:t>
            </w:r>
          </w:p>
        </w:tc>
        <w:tc>
          <w:tcPr>
            <w:tcW w:w="1782" w:type="pct"/>
            <w:tcBorders>
              <w:top w:val="single" w:color="auto" w:sz="4" w:space="0"/>
              <w:left w:val="single" w:color="auto" w:sz="4" w:space="0"/>
              <w:bottom w:val="single" w:color="auto" w:sz="4" w:space="0"/>
              <w:right w:val="single" w:color="auto" w:sz="4" w:space="0"/>
            </w:tcBorders>
            <w:vAlign w:val="center"/>
          </w:tcPr>
          <w:p w14:paraId="7505BF12">
            <w:pPr>
              <w:pStyle w:val="196"/>
            </w:pPr>
            <w:r>
              <w:rPr>
                <w:rFonts w:hint="eastAsia"/>
              </w:rPr>
              <w:t>淮安市兴盛管桩有限公司</w:t>
            </w:r>
          </w:p>
        </w:tc>
        <w:tc>
          <w:tcPr>
            <w:tcW w:w="783" w:type="pct"/>
            <w:tcBorders>
              <w:top w:val="single" w:color="auto" w:sz="4" w:space="0"/>
              <w:left w:val="single" w:color="auto" w:sz="4" w:space="0"/>
              <w:bottom w:val="single" w:color="auto" w:sz="4" w:space="0"/>
              <w:right w:val="single" w:color="auto" w:sz="4" w:space="0"/>
            </w:tcBorders>
            <w:vAlign w:val="center"/>
          </w:tcPr>
          <w:p w14:paraId="78800A93">
            <w:pPr>
              <w:pStyle w:val="196"/>
            </w:pPr>
            <w:r>
              <w:rPr>
                <w:rFonts w:hint="eastAsia"/>
              </w:rPr>
              <w:t>80</w:t>
            </w:r>
          </w:p>
        </w:tc>
        <w:tc>
          <w:tcPr>
            <w:tcW w:w="655" w:type="pct"/>
            <w:tcBorders>
              <w:top w:val="single" w:color="auto" w:sz="4" w:space="0"/>
              <w:left w:val="single" w:color="auto" w:sz="4" w:space="0"/>
              <w:bottom w:val="single" w:color="auto" w:sz="4" w:space="0"/>
              <w:right w:val="single" w:color="auto" w:sz="4" w:space="0"/>
            </w:tcBorders>
            <w:vAlign w:val="center"/>
          </w:tcPr>
          <w:p w14:paraId="63229F1D">
            <w:pPr>
              <w:pStyle w:val="196"/>
            </w:pPr>
            <w:r>
              <w:rPr>
                <w:rFonts w:hint="eastAsia"/>
              </w:rPr>
              <w:t>1</w:t>
            </w:r>
          </w:p>
        </w:tc>
        <w:tc>
          <w:tcPr>
            <w:tcW w:w="721" w:type="pct"/>
            <w:tcBorders>
              <w:top w:val="single" w:color="auto" w:sz="4" w:space="0"/>
              <w:left w:val="single" w:color="auto" w:sz="4" w:space="0"/>
              <w:bottom w:val="single" w:color="auto" w:sz="4" w:space="0"/>
              <w:right w:val="single" w:color="auto" w:sz="4" w:space="0"/>
            </w:tcBorders>
            <w:vAlign w:val="center"/>
          </w:tcPr>
          <w:p w14:paraId="423F0329">
            <w:pPr>
              <w:pStyle w:val="196"/>
            </w:pPr>
            <w:r>
              <w:rPr>
                <w:rFonts w:hint="eastAsia"/>
              </w:rPr>
              <w:t>500</w:t>
            </w:r>
          </w:p>
        </w:tc>
      </w:tr>
    </w:tbl>
    <w:p w14:paraId="09A73122">
      <w:pPr>
        <w:pStyle w:val="86"/>
      </w:pPr>
      <w:r>
        <w:rPr>
          <w:rFonts w:hint="eastAsia"/>
        </w:rPr>
        <w:t>涟水港区码头泊位分等级现状情况</w:t>
      </w:r>
    </w:p>
    <w:tbl>
      <w:tblPr>
        <w:tblStyle w:val="38"/>
        <w:tblW w:w="4999" w:type="pct"/>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774"/>
        <w:gridCol w:w="2761"/>
        <w:gridCol w:w="2778"/>
      </w:tblGrid>
      <w:tr w14:paraId="3D23F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5" w:hRule="atLeast"/>
        </w:trPr>
        <w:tc>
          <w:tcPr>
            <w:tcW w:w="1668" w:type="pct"/>
            <w:tcBorders>
              <w:top w:val="single" w:color="auto" w:sz="4" w:space="0"/>
              <w:left w:val="single" w:color="auto" w:sz="4" w:space="0"/>
              <w:bottom w:val="single" w:color="auto" w:sz="4" w:space="0"/>
              <w:right w:val="single" w:color="auto" w:sz="4" w:space="0"/>
            </w:tcBorders>
            <w:vAlign w:val="center"/>
          </w:tcPr>
          <w:p w14:paraId="6E14ABC8">
            <w:pPr>
              <w:pStyle w:val="196"/>
              <w:rPr>
                <w:b/>
                <w:bCs/>
              </w:rPr>
            </w:pPr>
            <w:r>
              <w:rPr>
                <w:rFonts w:hint="eastAsia"/>
                <w:b/>
                <w:bCs/>
              </w:rPr>
              <w:t>泊位等级</w:t>
            </w:r>
          </w:p>
        </w:tc>
        <w:tc>
          <w:tcPr>
            <w:tcW w:w="1660" w:type="pct"/>
            <w:tcBorders>
              <w:top w:val="single" w:color="auto" w:sz="4" w:space="0"/>
              <w:left w:val="nil"/>
              <w:bottom w:val="single" w:color="auto" w:sz="4" w:space="0"/>
              <w:right w:val="single" w:color="auto" w:sz="4" w:space="0"/>
            </w:tcBorders>
            <w:vAlign w:val="center"/>
          </w:tcPr>
          <w:p w14:paraId="2A0F0DF8">
            <w:pPr>
              <w:pStyle w:val="196"/>
              <w:rPr>
                <w:b/>
                <w:bCs/>
              </w:rPr>
            </w:pPr>
            <w:r>
              <w:rPr>
                <w:rFonts w:hint="eastAsia"/>
                <w:b/>
                <w:bCs/>
              </w:rPr>
              <w:t>泊位数（个）</w:t>
            </w:r>
          </w:p>
        </w:tc>
        <w:tc>
          <w:tcPr>
            <w:tcW w:w="1670" w:type="pct"/>
            <w:tcBorders>
              <w:top w:val="single" w:color="auto" w:sz="4" w:space="0"/>
              <w:left w:val="nil"/>
              <w:bottom w:val="single" w:color="auto" w:sz="4" w:space="0"/>
              <w:right w:val="single" w:color="auto" w:sz="4" w:space="0"/>
            </w:tcBorders>
            <w:vAlign w:val="center"/>
          </w:tcPr>
          <w:p w14:paraId="1E97B5BE">
            <w:pPr>
              <w:pStyle w:val="196"/>
              <w:rPr>
                <w:b/>
                <w:bCs/>
              </w:rPr>
            </w:pPr>
            <w:r>
              <w:rPr>
                <w:rFonts w:hint="eastAsia"/>
                <w:b/>
                <w:bCs/>
              </w:rPr>
              <w:t>占比（%）</w:t>
            </w:r>
          </w:p>
        </w:tc>
      </w:tr>
      <w:tr w14:paraId="11AE4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68" w:type="pct"/>
            <w:tcBorders>
              <w:top w:val="single" w:color="auto" w:sz="4" w:space="0"/>
              <w:left w:val="single" w:color="auto" w:sz="4" w:space="0"/>
              <w:bottom w:val="single" w:color="auto" w:sz="4" w:space="0"/>
              <w:right w:val="single" w:color="auto" w:sz="4" w:space="0"/>
            </w:tcBorders>
            <w:vAlign w:val="center"/>
          </w:tcPr>
          <w:p w14:paraId="285DA206">
            <w:pPr>
              <w:pStyle w:val="196"/>
            </w:pPr>
            <w:r>
              <w:rPr>
                <w:rFonts w:hint="eastAsia"/>
              </w:rPr>
              <w:t>全港合计</w:t>
            </w:r>
          </w:p>
        </w:tc>
        <w:tc>
          <w:tcPr>
            <w:tcW w:w="1660" w:type="pct"/>
            <w:tcBorders>
              <w:top w:val="single" w:color="auto" w:sz="4" w:space="0"/>
              <w:left w:val="nil"/>
              <w:bottom w:val="single" w:color="auto" w:sz="4" w:space="0"/>
              <w:right w:val="single" w:color="auto" w:sz="4" w:space="0"/>
            </w:tcBorders>
            <w:vAlign w:val="center"/>
          </w:tcPr>
          <w:p w14:paraId="2B1D90CE">
            <w:pPr>
              <w:pStyle w:val="196"/>
            </w:pPr>
            <w:r>
              <w:rPr>
                <w:rFonts w:hint="eastAsia"/>
              </w:rPr>
              <w:t>57</w:t>
            </w:r>
          </w:p>
        </w:tc>
        <w:tc>
          <w:tcPr>
            <w:tcW w:w="1670" w:type="pct"/>
            <w:tcBorders>
              <w:top w:val="single" w:color="auto" w:sz="4" w:space="0"/>
              <w:left w:val="nil"/>
              <w:bottom w:val="single" w:color="auto" w:sz="4" w:space="0"/>
              <w:right w:val="single" w:color="auto" w:sz="4" w:space="0"/>
            </w:tcBorders>
            <w:vAlign w:val="center"/>
          </w:tcPr>
          <w:p w14:paraId="2848F366">
            <w:pPr>
              <w:pStyle w:val="196"/>
            </w:pPr>
            <w:r>
              <w:rPr>
                <w:rFonts w:hint="eastAsia"/>
              </w:rPr>
              <w:t>100</w:t>
            </w:r>
          </w:p>
        </w:tc>
      </w:tr>
      <w:tr w14:paraId="4C7BC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68" w:type="pct"/>
            <w:tcBorders>
              <w:top w:val="single" w:color="auto" w:sz="4" w:space="0"/>
              <w:left w:val="single" w:color="auto" w:sz="4" w:space="0"/>
              <w:bottom w:val="single" w:color="auto" w:sz="4" w:space="0"/>
              <w:right w:val="single" w:color="auto" w:sz="4" w:space="0"/>
            </w:tcBorders>
            <w:vAlign w:val="center"/>
          </w:tcPr>
          <w:p w14:paraId="66899CC1">
            <w:pPr>
              <w:pStyle w:val="196"/>
            </w:pPr>
            <w:r>
              <w:rPr>
                <w:rFonts w:hint="eastAsia"/>
              </w:rPr>
              <w:t>500t级</w:t>
            </w:r>
          </w:p>
        </w:tc>
        <w:tc>
          <w:tcPr>
            <w:tcW w:w="1660" w:type="pct"/>
            <w:tcBorders>
              <w:top w:val="single" w:color="auto" w:sz="4" w:space="0"/>
              <w:left w:val="nil"/>
              <w:bottom w:val="single" w:color="auto" w:sz="4" w:space="0"/>
              <w:right w:val="single" w:color="auto" w:sz="4" w:space="0"/>
            </w:tcBorders>
            <w:vAlign w:val="center"/>
          </w:tcPr>
          <w:p w14:paraId="484F9565">
            <w:pPr>
              <w:pStyle w:val="196"/>
            </w:pPr>
            <w:r>
              <w:rPr>
                <w:rFonts w:hint="eastAsia"/>
              </w:rPr>
              <w:t>50</w:t>
            </w:r>
          </w:p>
        </w:tc>
        <w:tc>
          <w:tcPr>
            <w:tcW w:w="1670" w:type="pct"/>
            <w:tcBorders>
              <w:top w:val="single" w:color="auto" w:sz="4" w:space="0"/>
              <w:left w:val="nil"/>
              <w:bottom w:val="single" w:color="auto" w:sz="4" w:space="0"/>
              <w:right w:val="single" w:color="auto" w:sz="4" w:space="0"/>
            </w:tcBorders>
            <w:vAlign w:val="center"/>
          </w:tcPr>
          <w:p w14:paraId="30231225">
            <w:pPr>
              <w:pStyle w:val="196"/>
            </w:pPr>
            <w:r>
              <w:rPr>
                <w:rFonts w:hint="eastAsia"/>
              </w:rPr>
              <w:t>87.8</w:t>
            </w:r>
          </w:p>
        </w:tc>
      </w:tr>
      <w:tr w14:paraId="55467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668" w:type="pct"/>
            <w:tcBorders>
              <w:top w:val="single" w:color="auto" w:sz="4" w:space="0"/>
              <w:left w:val="single" w:color="auto" w:sz="4" w:space="0"/>
              <w:bottom w:val="single" w:color="auto" w:sz="4" w:space="0"/>
              <w:right w:val="single" w:color="auto" w:sz="4" w:space="0"/>
            </w:tcBorders>
            <w:vAlign w:val="center"/>
          </w:tcPr>
          <w:p w14:paraId="44DD4546">
            <w:pPr>
              <w:pStyle w:val="196"/>
            </w:pPr>
            <w:r>
              <w:rPr>
                <w:rFonts w:hint="eastAsia"/>
              </w:rPr>
              <w:t>1000t级</w:t>
            </w:r>
          </w:p>
        </w:tc>
        <w:tc>
          <w:tcPr>
            <w:tcW w:w="1660" w:type="pct"/>
            <w:tcBorders>
              <w:top w:val="single" w:color="auto" w:sz="4" w:space="0"/>
              <w:left w:val="nil"/>
              <w:bottom w:val="single" w:color="auto" w:sz="4" w:space="0"/>
              <w:right w:val="single" w:color="auto" w:sz="4" w:space="0"/>
            </w:tcBorders>
            <w:vAlign w:val="center"/>
          </w:tcPr>
          <w:p w14:paraId="77B7706F">
            <w:pPr>
              <w:pStyle w:val="196"/>
            </w:pPr>
            <w:r>
              <w:rPr>
                <w:rFonts w:hint="eastAsia"/>
              </w:rPr>
              <w:t>7</w:t>
            </w:r>
          </w:p>
        </w:tc>
        <w:tc>
          <w:tcPr>
            <w:tcW w:w="1670" w:type="pct"/>
            <w:tcBorders>
              <w:top w:val="single" w:color="auto" w:sz="4" w:space="0"/>
              <w:left w:val="nil"/>
              <w:bottom w:val="single" w:color="auto" w:sz="4" w:space="0"/>
              <w:right w:val="single" w:color="auto" w:sz="4" w:space="0"/>
            </w:tcBorders>
            <w:vAlign w:val="center"/>
          </w:tcPr>
          <w:p w14:paraId="536142A4">
            <w:pPr>
              <w:pStyle w:val="196"/>
            </w:pPr>
            <w:r>
              <w:rPr>
                <w:rFonts w:hint="eastAsia"/>
              </w:rPr>
              <w:t>12.2</w:t>
            </w:r>
          </w:p>
        </w:tc>
      </w:tr>
    </w:tbl>
    <w:p w14:paraId="0A9832EC">
      <w:pPr>
        <w:pStyle w:val="80"/>
      </w:pPr>
      <w:bookmarkStart w:id="247" w:name="_Toc31052"/>
      <w:bookmarkEnd w:id="247"/>
      <w:bookmarkStart w:id="248" w:name="_Toc182171820"/>
      <w:r>
        <w:rPr>
          <w:rFonts w:hint="eastAsia"/>
        </w:rPr>
        <w:t>环境质量现状调查与评价</w:t>
      </w:r>
      <w:bookmarkEnd w:id="248"/>
    </w:p>
    <w:p w14:paraId="0BE64F25">
      <w:pPr>
        <w:pStyle w:val="82"/>
      </w:pPr>
      <w:r>
        <w:rPr>
          <w:rFonts w:hint="eastAsia"/>
        </w:rPr>
        <w:t>大气环境质量现状监测与评价</w:t>
      </w:r>
    </w:p>
    <w:p w14:paraId="1D76F5E4">
      <w:pPr>
        <w:pStyle w:val="84"/>
      </w:pPr>
      <w:bookmarkStart w:id="249" w:name="_Hlk181748550"/>
      <w:r>
        <w:rPr>
          <w:rFonts w:hint="eastAsia"/>
        </w:rPr>
        <w:t>区域环境空气长期监测资料统计结果</w:t>
      </w:r>
    </w:p>
    <w:bookmarkEnd w:id="249"/>
    <w:p w14:paraId="77C3EF30">
      <w:pPr>
        <w:pStyle w:val="93"/>
      </w:pPr>
      <w:r>
        <w:rPr>
          <w:rFonts w:hint="eastAsia"/>
        </w:rPr>
        <w:t>根据《环境影响评价技术导则大气环境》（HJ2.2-2018），项目所在区域达标情况优先选用国家或地方生态环境主管部门公开发布的环境质量公告或环境质量公告中的数据或结论。</w:t>
      </w:r>
    </w:p>
    <w:p w14:paraId="032DEA76">
      <w:pPr>
        <w:pStyle w:val="139"/>
        <w:ind w:firstLine="480"/>
        <w:rPr>
          <w:color w:val="auto"/>
        </w:rPr>
      </w:pPr>
      <w:bookmarkStart w:id="250" w:name="_Hlk181748507"/>
      <w:r>
        <w:rPr>
          <w:rFonts w:hint="eastAsia" w:ascii="宋体" w:hAnsi="宋体"/>
          <w:color w:val="auto"/>
        </w:rPr>
        <w:t>根据</w:t>
      </w:r>
      <w:bookmarkStart w:id="251" w:name="_Hlk181748387"/>
      <w:r>
        <w:rPr>
          <w:rFonts w:hint="eastAsia" w:ascii="宋体" w:hAnsi="宋体"/>
          <w:color w:val="auto"/>
        </w:rPr>
        <w:t>《</w:t>
      </w:r>
      <w:r>
        <w:rPr>
          <w:rFonts w:hint="eastAsia"/>
          <w:color w:val="auto"/>
        </w:rPr>
        <w:t>2023</w:t>
      </w:r>
      <w:r>
        <w:rPr>
          <w:rFonts w:hint="eastAsia" w:ascii="宋体" w:hAnsi="宋体"/>
          <w:color w:val="auto"/>
        </w:rPr>
        <w:t>年淮安市生态环境状况公报》</w:t>
      </w:r>
      <w:bookmarkEnd w:id="251"/>
      <w:r>
        <w:rPr>
          <w:rFonts w:hint="eastAsia" w:ascii="宋体" w:hAnsi="宋体"/>
          <w:color w:val="auto"/>
        </w:rPr>
        <w:t>：</w:t>
      </w:r>
      <w:r>
        <w:rPr>
          <w:rFonts w:hint="eastAsia"/>
          <w:color w:val="auto"/>
        </w:rPr>
        <w:t>“2023</w:t>
      </w:r>
      <w:r>
        <w:rPr>
          <w:rFonts w:hint="eastAsia" w:ascii="宋体" w:hAnsi="宋体"/>
          <w:color w:val="auto"/>
        </w:rPr>
        <w:t>年，淮安市细颗粒物（</w:t>
      </w:r>
      <w:r>
        <w:rPr>
          <w:rFonts w:hint="eastAsia"/>
          <w:color w:val="auto"/>
        </w:rPr>
        <w:t>PM</w:t>
      </w:r>
      <w:r>
        <w:rPr>
          <w:rFonts w:hint="eastAsia"/>
          <w:color w:val="auto"/>
          <w:vertAlign w:val="subscript"/>
        </w:rPr>
        <w:t>2.</w:t>
      </w:r>
      <w:r>
        <w:rPr>
          <w:rFonts w:hint="eastAsia"/>
          <w:color w:val="auto"/>
          <w:vertAlign w:val="subscript"/>
          <w:lang w:eastAsia="zh-CN"/>
        </w:rPr>
        <w:t>5）</w:t>
      </w:r>
      <w:r>
        <w:rPr>
          <w:rFonts w:hint="eastAsia" w:ascii="宋体" w:hAnsi="宋体"/>
          <w:color w:val="auto"/>
        </w:rPr>
        <w:t>可吸入颗粒物（</w:t>
      </w:r>
      <w:r>
        <w:rPr>
          <w:rFonts w:hint="eastAsia"/>
          <w:color w:val="auto"/>
        </w:rPr>
        <w:t>PM</w:t>
      </w:r>
      <w:r>
        <w:rPr>
          <w:rFonts w:hint="eastAsia"/>
          <w:color w:val="auto"/>
          <w:vertAlign w:val="subscript"/>
        </w:rPr>
        <w:t>10</w:t>
      </w:r>
      <w:r>
        <w:rPr>
          <w:rFonts w:hint="eastAsia" w:ascii="宋体" w:hAnsi="宋体"/>
          <w:color w:val="auto"/>
        </w:rPr>
        <w:t>）、二氧化硫（</w:t>
      </w:r>
      <w:r>
        <w:rPr>
          <w:rFonts w:hint="eastAsia"/>
          <w:color w:val="auto"/>
        </w:rPr>
        <w:t>SO</w:t>
      </w:r>
      <w:r>
        <w:rPr>
          <w:rFonts w:hint="eastAsia"/>
          <w:color w:val="auto"/>
          <w:vertAlign w:val="subscript"/>
        </w:rPr>
        <w:t>2</w:t>
      </w:r>
      <w:r>
        <w:rPr>
          <w:rFonts w:hint="eastAsia" w:ascii="宋体" w:hAnsi="宋体"/>
          <w:color w:val="auto"/>
        </w:rPr>
        <w:t>）、二氧化氮（</w:t>
      </w:r>
      <w:r>
        <w:rPr>
          <w:rFonts w:hint="eastAsia"/>
          <w:color w:val="auto"/>
        </w:rPr>
        <w:t>NO</w:t>
      </w:r>
      <w:r>
        <w:rPr>
          <w:rFonts w:hint="eastAsia"/>
          <w:color w:val="auto"/>
          <w:vertAlign w:val="subscript"/>
        </w:rPr>
        <w:t>2</w:t>
      </w:r>
      <w:r>
        <w:rPr>
          <w:rFonts w:hint="eastAsia" w:ascii="宋体" w:hAnsi="宋体"/>
          <w:color w:val="auto"/>
        </w:rPr>
        <w:t>）年均浓度分别为</w:t>
      </w:r>
      <w:r>
        <w:rPr>
          <w:rFonts w:hint="eastAsia"/>
          <w:color w:val="auto"/>
        </w:rPr>
        <w:t>36</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25</w:t>
      </w:r>
      <w:r>
        <w:rPr>
          <w:rFonts w:hint="eastAsia" w:ascii="宋体" w:hAnsi="宋体"/>
          <w:color w:val="auto"/>
        </w:rPr>
        <w:t>微克</w:t>
      </w:r>
      <w:r>
        <w:rPr>
          <w:rFonts w:hint="eastAsia"/>
          <w:color w:val="auto"/>
        </w:rPr>
        <w:t>/</w:t>
      </w:r>
      <w:r>
        <w:rPr>
          <w:rFonts w:hint="eastAsia" w:ascii="宋体" w:hAnsi="宋体"/>
          <w:color w:val="auto"/>
        </w:rPr>
        <w:t>立方米；一氧化碳（</w:t>
      </w:r>
      <w:r>
        <w:rPr>
          <w:rFonts w:hint="eastAsia"/>
          <w:color w:val="auto"/>
        </w:rPr>
        <w:t>CO</w:t>
      </w:r>
      <w:r>
        <w:rPr>
          <w:rFonts w:hint="eastAsia" w:ascii="宋体" w:hAnsi="宋体"/>
          <w:color w:val="auto"/>
        </w:rPr>
        <w:t>）和臭氧（</w:t>
      </w:r>
      <w:r>
        <w:rPr>
          <w:rFonts w:hint="eastAsia"/>
          <w:color w:val="auto"/>
        </w:rPr>
        <w:t>O</w:t>
      </w:r>
      <w:r>
        <w:rPr>
          <w:rFonts w:hint="eastAsia"/>
          <w:color w:val="auto"/>
          <w:vertAlign w:val="subscript"/>
        </w:rPr>
        <w:t>3</w:t>
      </w:r>
      <w:r>
        <w:rPr>
          <w:rFonts w:hint="eastAsia" w:ascii="宋体" w:hAnsi="宋体"/>
          <w:color w:val="auto"/>
        </w:rPr>
        <w:t>）浓度分别为</w:t>
      </w:r>
      <w:r>
        <w:rPr>
          <w:rFonts w:hint="eastAsia"/>
          <w:color w:val="auto"/>
        </w:rPr>
        <w:t>1</w:t>
      </w:r>
      <w:r>
        <w:rPr>
          <w:rFonts w:hint="eastAsia" w:ascii="宋体" w:hAnsi="宋体"/>
          <w:color w:val="auto"/>
        </w:rPr>
        <w:t>毫克</w:t>
      </w:r>
      <w:r>
        <w:rPr>
          <w:rFonts w:hint="eastAsia"/>
          <w:color w:val="auto"/>
        </w:rPr>
        <w:t>/</w:t>
      </w:r>
      <w:r>
        <w:rPr>
          <w:rFonts w:hint="eastAsia" w:ascii="宋体" w:hAnsi="宋体"/>
          <w:color w:val="auto"/>
        </w:rPr>
        <w:t>立方米、</w:t>
      </w:r>
      <w:r>
        <w:rPr>
          <w:rFonts w:hint="eastAsia"/>
          <w:color w:val="auto"/>
        </w:rPr>
        <w:t>158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”“各县区中，PM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、NO</w:t>
      </w:r>
      <w:r>
        <w:rPr>
          <w:rFonts w:hint="eastAsia"/>
          <w:color w:val="auto"/>
          <w:vertAlign w:val="subscript"/>
        </w:rPr>
        <w:t>2</w:t>
      </w:r>
      <w:r>
        <w:rPr>
          <w:rFonts w:hint="eastAsia"/>
          <w:color w:val="auto"/>
        </w:rPr>
        <w:t>、CO、SO</w:t>
      </w:r>
      <w:r>
        <w:rPr>
          <w:rFonts w:hint="eastAsia"/>
          <w:color w:val="auto"/>
          <w:vertAlign w:val="subscript"/>
        </w:rPr>
        <w:t>2</w:t>
      </w:r>
      <w:r>
        <w:rPr>
          <w:rFonts w:hint="eastAsia"/>
          <w:color w:val="auto"/>
        </w:rPr>
        <w:t>均达标，各县区PM</w:t>
      </w:r>
      <w:r>
        <w:rPr>
          <w:rFonts w:hint="eastAsia"/>
          <w:color w:val="auto"/>
          <w:vertAlign w:val="subscript"/>
        </w:rPr>
        <w:t>2.5</w:t>
      </w:r>
      <w:r>
        <w:rPr>
          <w:rFonts w:hint="eastAsia"/>
          <w:color w:val="auto"/>
        </w:rPr>
        <w:t>年均浓度在31-36微克/立方米之间，其中金湖县最低，清江浦区最高，PM</w:t>
      </w:r>
      <w:r>
        <w:rPr>
          <w:rFonts w:hint="eastAsia"/>
          <w:color w:val="auto"/>
          <w:vertAlign w:val="subscript"/>
        </w:rPr>
        <w:t>10</w:t>
      </w:r>
      <w:r>
        <w:rPr>
          <w:rFonts w:hint="eastAsia"/>
          <w:color w:val="auto"/>
        </w:rPr>
        <w:t>年均浓度介于52~62微克/立方米之间，金湖县浓度最低，淮阴区浓度最高。”</w:t>
      </w:r>
    </w:p>
    <w:p w14:paraId="77F568F9">
      <w:pPr>
        <w:pStyle w:val="139"/>
        <w:ind w:firstLine="480"/>
        <w:rPr>
          <w:color w:val="auto"/>
        </w:rPr>
      </w:pPr>
      <w:r>
        <w:rPr>
          <w:rFonts w:hint="eastAsia"/>
          <w:color w:val="auto"/>
        </w:rPr>
        <w:t>由于公报未明确2023年涟水县各因子达标情况，因此，本次收集了距离本项目7.2km处涟水县环境监测监控站点2023年的全年例行监测数据，统计了各因子的百分位日均值数据，具体如下表，除PM</w:t>
      </w:r>
      <w:r>
        <w:rPr>
          <w:rFonts w:hint="eastAsia"/>
          <w:color w:val="auto"/>
          <w:vertAlign w:val="subscript"/>
        </w:rPr>
        <w:t>2.5</w:t>
      </w:r>
      <w:r>
        <w:rPr>
          <w:rFonts w:hint="eastAsia"/>
          <w:color w:val="auto"/>
        </w:rPr>
        <w:t>保证率日均值外，其余各因子年均值和保证率均满足环境空气质量标准要求，PM</w:t>
      </w:r>
      <w:r>
        <w:rPr>
          <w:rFonts w:hint="eastAsia"/>
          <w:color w:val="auto"/>
          <w:vertAlign w:val="subscript"/>
        </w:rPr>
        <w:t>2.5</w:t>
      </w:r>
      <w:r>
        <w:rPr>
          <w:rFonts w:hint="eastAsia"/>
          <w:color w:val="auto"/>
        </w:rPr>
        <w:t>保证率日均值占标率为110.7%。根据《环境影响评价技术导则 大气环境》（HJ2.2-2018）达标区判定要求，项目所在区域为不达标区。具体监测结果见下表。</w:t>
      </w:r>
    </w:p>
    <w:p w14:paraId="6B977F15">
      <w:pPr>
        <w:pStyle w:val="246"/>
        <w:numPr>
          <w:ilvl w:val="5"/>
          <w:numId w:val="8"/>
        </w:numPr>
        <w:ind w:firstLine="482"/>
      </w:pPr>
      <w:bookmarkStart w:id="252" w:name="_Hlk181748531"/>
      <w:r>
        <w:rPr>
          <w:rFonts w:hint="eastAsia"/>
        </w:rPr>
        <w:t>涟水县</w:t>
      </w:r>
      <w:r>
        <w:t>环境空气质量现状评价表</w:t>
      </w:r>
    </w:p>
    <w:bookmarkEnd w:id="252"/>
    <w:tbl>
      <w:tblPr>
        <w:tblStyle w:val="38"/>
        <w:tblW w:w="5000" w:type="pct"/>
        <w:tblInd w:w="0" w:type="dxa"/>
        <w:tblLayout w:type="autofit"/>
        <w:tblCellMar>
          <w:top w:w="0" w:type="dxa"/>
          <w:left w:w="108" w:type="dxa"/>
          <w:bottom w:w="0" w:type="dxa"/>
          <w:right w:w="108" w:type="dxa"/>
        </w:tblCellMar>
      </w:tblPr>
      <w:tblGrid>
        <w:gridCol w:w="1167"/>
        <w:gridCol w:w="2014"/>
        <w:gridCol w:w="1455"/>
        <w:gridCol w:w="1273"/>
        <w:gridCol w:w="1449"/>
        <w:gridCol w:w="1163"/>
      </w:tblGrid>
      <w:tr w14:paraId="40784642">
        <w:tblPrEx>
          <w:tblCellMar>
            <w:top w:w="0" w:type="dxa"/>
            <w:left w:w="108" w:type="dxa"/>
            <w:bottom w:w="0" w:type="dxa"/>
            <w:right w:w="108" w:type="dxa"/>
          </w:tblCellMar>
        </w:tblPrEx>
        <w:trPr>
          <w:trHeight w:val="624" w:hRule="atLeast"/>
          <w:tblHeader/>
        </w:trPr>
        <w:tc>
          <w:tcPr>
            <w:tcW w:w="685" w:type="pct"/>
            <w:tcBorders>
              <w:top w:val="single" w:color="auto" w:sz="4" w:space="0"/>
              <w:left w:val="single" w:color="auto" w:sz="4" w:space="0"/>
              <w:bottom w:val="single" w:color="auto" w:sz="4" w:space="0"/>
              <w:right w:val="single" w:color="auto" w:sz="4" w:space="0"/>
            </w:tcBorders>
            <w:shd w:val="clear" w:color="auto" w:fill="auto"/>
            <w:vAlign w:val="center"/>
          </w:tcPr>
          <w:p w14:paraId="2DC2024D">
            <w:pPr>
              <w:pStyle w:val="218"/>
              <w:rPr>
                <w:b/>
                <w:bCs/>
                <w:color w:val="auto"/>
              </w:rPr>
            </w:pPr>
            <w:r>
              <w:rPr>
                <w:rFonts w:hint="eastAsia"/>
                <w:b/>
                <w:bCs/>
                <w:color w:val="auto"/>
              </w:rPr>
              <w:t>污染物</w:t>
            </w:r>
          </w:p>
        </w:tc>
        <w:tc>
          <w:tcPr>
            <w:tcW w:w="1182" w:type="pct"/>
            <w:tcBorders>
              <w:top w:val="single" w:color="auto" w:sz="4" w:space="0"/>
              <w:left w:val="nil"/>
              <w:bottom w:val="single" w:color="auto" w:sz="4" w:space="0"/>
              <w:right w:val="single" w:color="auto" w:sz="4" w:space="0"/>
            </w:tcBorders>
            <w:shd w:val="clear" w:color="auto" w:fill="auto"/>
            <w:vAlign w:val="center"/>
          </w:tcPr>
          <w:p w14:paraId="06DF120D">
            <w:pPr>
              <w:pStyle w:val="218"/>
              <w:rPr>
                <w:b/>
                <w:bCs/>
                <w:color w:val="auto"/>
              </w:rPr>
            </w:pPr>
            <w:r>
              <w:rPr>
                <w:rFonts w:hint="eastAsia"/>
                <w:b/>
                <w:bCs/>
                <w:color w:val="auto"/>
                <w:lang w:eastAsia="zh-CN"/>
              </w:rPr>
              <w:t>年度</w:t>
            </w:r>
            <w:r>
              <w:rPr>
                <w:rFonts w:hint="eastAsia"/>
                <w:b/>
                <w:bCs/>
                <w:color w:val="auto"/>
              </w:rPr>
              <w:t>评价指标</w:t>
            </w:r>
          </w:p>
        </w:tc>
        <w:tc>
          <w:tcPr>
            <w:tcW w:w="854" w:type="pct"/>
            <w:tcBorders>
              <w:top w:val="single" w:color="auto" w:sz="4" w:space="0"/>
              <w:left w:val="nil"/>
              <w:bottom w:val="single" w:color="auto" w:sz="4" w:space="0"/>
              <w:right w:val="single" w:color="auto" w:sz="4" w:space="0"/>
            </w:tcBorders>
            <w:shd w:val="clear" w:color="auto" w:fill="auto"/>
            <w:vAlign w:val="center"/>
          </w:tcPr>
          <w:p w14:paraId="36C43A8A">
            <w:pPr>
              <w:pStyle w:val="218"/>
              <w:rPr>
                <w:b/>
                <w:bCs/>
                <w:color w:val="auto"/>
              </w:rPr>
            </w:pPr>
            <w:r>
              <w:rPr>
                <w:rFonts w:hint="eastAsia"/>
                <w:b/>
                <w:bCs/>
                <w:color w:val="auto"/>
              </w:rPr>
              <w:t>现状浓度</w:t>
            </w:r>
            <w:r>
              <w:rPr>
                <w:rFonts w:cs="Times New Roman"/>
                <w:b/>
                <w:bCs/>
                <w:color w:val="auto"/>
              </w:rPr>
              <w:t>/</w:t>
            </w:r>
            <w:r>
              <w:rPr>
                <w:rFonts w:hint="eastAsia"/>
                <w:b/>
                <w:bCs/>
                <w:color w:val="auto"/>
              </w:rPr>
              <w:t>（</w:t>
            </w:r>
            <w:r>
              <w:rPr>
                <w:rFonts w:cs="Times New Roman"/>
                <w:b/>
                <w:bCs/>
                <w:color w:val="auto"/>
              </w:rPr>
              <w:t>µg/m</w:t>
            </w:r>
            <w:r>
              <w:rPr>
                <w:rFonts w:cs="Times New Roman"/>
                <w:b/>
                <w:bCs/>
                <w:color w:val="auto"/>
                <w:vertAlign w:val="superscript"/>
              </w:rPr>
              <w:t>3</w:t>
            </w:r>
            <w:r>
              <w:rPr>
                <w:rFonts w:hint="eastAsia"/>
                <w:b/>
                <w:bCs/>
                <w:color w:val="auto"/>
              </w:rPr>
              <w:t>）</w:t>
            </w:r>
          </w:p>
        </w:tc>
        <w:tc>
          <w:tcPr>
            <w:tcW w:w="747" w:type="pct"/>
            <w:tcBorders>
              <w:top w:val="single" w:color="auto" w:sz="4" w:space="0"/>
              <w:left w:val="nil"/>
              <w:bottom w:val="single" w:color="auto" w:sz="4" w:space="0"/>
              <w:right w:val="single" w:color="auto" w:sz="4" w:space="0"/>
            </w:tcBorders>
            <w:shd w:val="clear" w:color="auto" w:fill="auto"/>
            <w:vAlign w:val="center"/>
          </w:tcPr>
          <w:p w14:paraId="2106945B">
            <w:pPr>
              <w:pStyle w:val="218"/>
              <w:rPr>
                <w:b/>
                <w:bCs/>
                <w:color w:val="auto"/>
              </w:rPr>
            </w:pPr>
            <w:r>
              <w:rPr>
                <w:rFonts w:hint="eastAsia"/>
                <w:b/>
                <w:bCs/>
                <w:color w:val="auto"/>
              </w:rPr>
              <w:t>标准值</w:t>
            </w:r>
            <w:r>
              <w:rPr>
                <w:rFonts w:cs="Times New Roman"/>
                <w:b/>
                <w:bCs/>
                <w:color w:val="auto"/>
              </w:rPr>
              <w:t>/</w:t>
            </w:r>
            <w:r>
              <w:rPr>
                <w:rFonts w:hint="eastAsia"/>
                <w:b/>
                <w:bCs/>
                <w:color w:val="auto"/>
              </w:rPr>
              <w:t>（</w:t>
            </w:r>
            <w:r>
              <w:rPr>
                <w:rFonts w:cs="Times New Roman"/>
                <w:b/>
                <w:bCs/>
                <w:color w:val="auto"/>
              </w:rPr>
              <w:t>µg/m</w:t>
            </w:r>
            <w:r>
              <w:rPr>
                <w:rFonts w:cs="Times New Roman"/>
                <w:b/>
                <w:bCs/>
                <w:color w:val="auto"/>
                <w:vertAlign w:val="superscript"/>
              </w:rPr>
              <w:t>3</w:t>
            </w:r>
            <w:r>
              <w:rPr>
                <w:rFonts w:hint="eastAsia"/>
                <w:b/>
                <w:bCs/>
                <w:color w:val="auto"/>
              </w:rPr>
              <w:t>）</w:t>
            </w:r>
          </w:p>
        </w:tc>
        <w:tc>
          <w:tcPr>
            <w:tcW w:w="850" w:type="pct"/>
            <w:tcBorders>
              <w:top w:val="single" w:color="auto" w:sz="4" w:space="0"/>
              <w:left w:val="nil"/>
              <w:bottom w:val="single" w:color="auto" w:sz="4" w:space="0"/>
              <w:right w:val="single" w:color="auto" w:sz="4" w:space="0"/>
            </w:tcBorders>
            <w:shd w:val="clear" w:color="auto" w:fill="auto"/>
            <w:vAlign w:val="center"/>
          </w:tcPr>
          <w:p w14:paraId="147620D5">
            <w:pPr>
              <w:pStyle w:val="218"/>
              <w:rPr>
                <w:b/>
                <w:bCs/>
                <w:color w:val="auto"/>
              </w:rPr>
            </w:pPr>
            <w:r>
              <w:rPr>
                <w:rFonts w:hint="eastAsia"/>
                <w:b/>
                <w:bCs/>
                <w:color w:val="auto"/>
              </w:rPr>
              <w:t>占标率</w:t>
            </w:r>
            <w:r>
              <w:rPr>
                <w:rFonts w:cs="Times New Roman"/>
                <w:b/>
                <w:bCs/>
                <w:color w:val="auto"/>
              </w:rPr>
              <w:t>/%</w:t>
            </w:r>
          </w:p>
        </w:tc>
        <w:tc>
          <w:tcPr>
            <w:tcW w:w="682" w:type="pct"/>
            <w:tcBorders>
              <w:top w:val="single" w:color="auto" w:sz="4" w:space="0"/>
              <w:left w:val="nil"/>
              <w:bottom w:val="single" w:color="auto" w:sz="4" w:space="0"/>
              <w:right w:val="single" w:color="auto" w:sz="4" w:space="0"/>
            </w:tcBorders>
            <w:shd w:val="clear" w:color="auto" w:fill="auto"/>
            <w:vAlign w:val="center"/>
          </w:tcPr>
          <w:p w14:paraId="12D64095">
            <w:pPr>
              <w:pStyle w:val="218"/>
              <w:rPr>
                <w:b/>
                <w:bCs/>
                <w:color w:val="auto"/>
              </w:rPr>
            </w:pPr>
            <w:r>
              <w:rPr>
                <w:rFonts w:hint="eastAsia"/>
                <w:b/>
                <w:bCs/>
                <w:color w:val="auto"/>
              </w:rPr>
              <w:t>达标情况</w:t>
            </w:r>
          </w:p>
        </w:tc>
      </w:tr>
      <w:tr w14:paraId="21EB19A7">
        <w:tblPrEx>
          <w:tblCellMar>
            <w:top w:w="0" w:type="dxa"/>
            <w:left w:w="108" w:type="dxa"/>
            <w:bottom w:w="0" w:type="dxa"/>
            <w:right w:w="108" w:type="dxa"/>
          </w:tblCellMar>
        </w:tblPrEx>
        <w:trPr>
          <w:trHeight w:val="312"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612C194E">
            <w:pPr>
              <w:pStyle w:val="218"/>
              <w:rPr>
                <w:rFonts w:cs="Times New Roman"/>
                <w:color w:val="auto"/>
              </w:rPr>
            </w:pPr>
            <w:r>
              <w:rPr>
                <w:rFonts w:cs="Times New Roman"/>
                <w:color w:val="auto"/>
              </w:rPr>
              <w:t>PM</w:t>
            </w:r>
            <w:r>
              <w:rPr>
                <w:rFonts w:cs="Times New Roman"/>
                <w:color w:val="auto"/>
                <w:vertAlign w:val="subscript"/>
              </w:rPr>
              <w:t>10</w:t>
            </w:r>
          </w:p>
        </w:tc>
        <w:tc>
          <w:tcPr>
            <w:tcW w:w="1182" w:type="pct"/>
            <w:tcBorders>
              <w:top w:val="nil"/>
              <w:left w:val="nil"/>
              <w:bottom w:val="single" w:color="auto" w:sz="4" w:space="0"/>
              <w:right w:val="single" w:color="auto" w:sz="4" w:space="0"/>
            </w:tcBorders>
            <w:shd w:val="clear" w:color="auto" w:fill="auto"/>
            <w:vAlign w:val="center"/>
          </w:tcPr>
          <w:p w14:paraId="73D3C28A">
            <w:pPr>
              <w:pStyle w:val="218"/>
              <w:rPr>
                <w:color w:val="auto"/>
              </w:rPr>
            </w:pPr>
            <w:r>
              <w:rPr>
                <w:rFonts w:hint="eastAsia"/>
                <w:color w:val="auto"/>
              </w:rPr>
              <w:t>年均值</w:t>
            </w:r>
          </w:p>
        </w:tc>
        <w:tc>
          <w:tcPr>
            <w:tcW w:w="854" w:type="pct"/>
            <w:tcBorders>
              <w:top w:val="nil"/>
              <w:left w:val="nil"/>
              <w:bottom w:val="single" w:color="auto" w:sz="4" w:space="0"/>
              <w:right w:val="single" w:color="auto" w:sz="4" w:space="0"/>
            </w:tcBorders>
            <w:shd w:val="clear" w:color="auto" w:fill="auto"/>
            <w:vAlign w:val="center"/>
          </w:tcPr>
          <w:p w14:paraId="1DDB15FB">
            <w:pPr>
              <w:pStyle w:val="218"/>
              <w:rPr>
                <w:rFonts w:cs="Times New Roman"/>
                <w:color w:val="auto"/>
              </w:rPr>
            </w:pPr>
            <w:r>
              <w:rPr>
                <w:rFonts w:cs="Times New Roman"/>
                <w:color w:val="auto"/>
              </w:rPr>
              <w:t>64</w:t>
            </w:r>
          </w:p>
        </w:tc>
        <w:tc>
          <w:tcPr>
            <w:tcW w:w="747" w:type="pct"/>
            <w:tcBorders>
              <w:top w:val="nil"/>
              <w:left w:val="nil"/>
              <w:bottom w:val="single" w:color="auto" w:sz="4" w:space="0"/>
              <w:right w:val="single" w:color="auto" w:sz="4" w:space="0"/>
            </w:tcBorders>
            <w:shd w:val="clear" w:color="auto" w:fill="auto"/>
            <w:vAlign w:val="center"/>
          </w:tcPr>
          <w:p w14:paraId="78E6FCBF">
            <w:pPr>
              <w:pStyle w:val="218"/>
              <w:rPr>
                <w:rFonts w:cs="Times New Roman"/>
                <w:color w:val="auto"/>
              </w:rPr>
            </w:pPr>
            <w:r>
              <w:rPr>
                <w:rFonts w:cs="Times New Roman"/>
                <w:color w:val="auto"/>
              </w:rPr>
              <w:t>70</w:t>
            </w:r>
          </w:p>
        </w:tc>
        <w:tc>
          <w:tcPr>
            <w:tcW w:w="850" w:type="pct"/>
            <w:tcBorders>
              <w:top w:val="nil"/>
              <w:left w:val="nil"/>
              <w:bottom w:val="single" w:color="auto" w:sz="4" w:space="0"/>
              <w:right w:val="single" w:color="auto" w:sz="4" w:space="0"/>
            </w:tcBorders>
            <w:shd w:val="clear" w:color="auto" w:fill="auto"/>
            <w:vAlign w:val="center"/>
          </w:tcPr>
          <w:p w14:paraId="507B1EED">
            <w:pPr>
              <w:pStyle w:val="218"/>
              <w:rPr>
                <w:rFonts w:cs="Times New Roman"/>
                <w:color w:val="auto"/>
              </w:rPr>
            </w:pPr>
            <w:r>
              <w:rPr>
                <w:rFonts w:cs="Times New Roman"/>
                <w:color w:val="auto"/>
              </w:rPr>
              <w:t>92.0</w:t>
            </w:r>
          </w:p>
        </w:tc>
        <w:tc>
          <w:tcPr>
            <w:tcW w:w="682" w:type="pct"/>
            <w:tcBorders>
              <w:top w:val="nil"/>
              <w:left w:val="nil"/>
              <w:bottom w:val="single" w:color="auto" w:sz="4" w:space="0"/>
              <w:right w:val="single" w:color="auto" w:sz="4" w:space="0"/>
            </w:tcBorders>
            <w:shd w:val="clear" w:color="auto" w:fill="auto"/>
            <w:vAlign w:val="center"/>
          </w:tcPr>
          <w:p w14:paraId="1E5E4789">
            <w:pPr>
              <w:pStyle w:val="218"/>
              <w:rPr>
                <w:color w:val="auto"/>
              </w:rPr>
            </w:pPr>
            <w:r>
              <w:rPr>
                <w:rFonts w:hint="eastAsia"/>
                <w:color w:val="auto"/>
              </w:rPr>
              <w:t>达标</w:t>
            </w:r>
          </w:p>
        </w:tc>
      </w:tr>
      <w:tr w14:paraId="53CD64DC">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5343EF10">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70371905">
            <w:pPr>
              <w:pStyle w:val="218"/>
              <w:rPr>
                <w:rFonts w:cs="Times New Roman"/>
                <w:color w:val="auto"/>
              </w:rPr>
            </w:pPr>
            <w:r>
              <w:rPr>
                <w:rFonts w:cs="Times New Roman"/>
                <w:color w:val="auto"/>
              </w:rPr>
              <w:t>95</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0CC7B75A">
            <w:pPr>
              <w:pStyle w:val="218"/>
              <w:rPr>
                <w:rFonts w:cs="Times New Roman"/>
                <w:color w:val="auto"/>
              </w:rPr>
            </w:pPr>
            <w:r>
              <w:rPr>
                <w:rFonts w:cs="Times New Roman"/>
                <w:color w:val="auto"/>
              </w:rPr>
              <w:t xml:space="preserve">144 </w:t>
            </w:r>
          </w:p>
        </w:tc>
        <w:tc>
          <w:tcPr>
            <w:tcW w:w="747" w:type="pct"/>
            <w:tcBorders>
              <w:top w:val="nil"/>
              <w:left w:val="nil"/>
              <w:bottom w:val="single" w:color="auto" w:sz="4" w:space="0"/>
              <w:right w:val="single" w:color="auto" w:sz="4" w:space="0"/>
            </w:tcBorders>
            <w:shd w:val="clear" w:color="auto" w:fill="auto"/>
            <w:vAlign w:val="center"/>
          </w:tcPr>
          <w:p w14:paraId="64D1A5C6">
            <w:pPr>
              <w:pStyle w:val="218"/>
              <w:rPr>
                <w:rFonts w:cs="Times New Roman"/>
                <w:color w:val="auto"/>
              </w:rPr>
            </w:pPr>
            <w:r>
              <w:rPr>
                <w:rFonts w:cs="Times New Roman"/>
                <w:color w:val="auto"/>
              </w:rPr>
              <w:t>150</w:t>
            </w:r>
          </w:p>
        </w:tc>
        <w:tc>
          <w:tcPr>
            <w:tcW w:w="850" w:type="pct"/>
            <w:tcBorders>
              <w:top w:val="nil"/>
              <w:left w:val="nil"/>
              <w:bottom w:val="single" w:color="auto" w:sz="4" w:space="0"/>
              <w:right w:val="single" w:color="auto" w:sz="4" w:space="0"/>
            </w:tcBorders>
            <w:shd w:val="clear" w:color="auto" w:fill="auto"/>
            <w:vAlign w:val="center"/>
          </w:tcPr>
          <w:p w14:paraId="59D191F7">
            <w:pPr>
              <w:pStyle w:val="218"/>
              <w:rPr>
                <w:rFonts w:cs="Times New Roman"/>
                <w:color w:val="auto"/>
              </w:rPr>
            </w:pPr>
            <w:r>
              <w:rPr>
                <w:rFonts w:cs="Times New Roman"/>
                <w:color w:val="auto"/>
              </w:rPr>
              <w:t>96.0</w:t>
            </w:r>
          </w:p>
        </w:tc>
        <w:tc>
          <w:tcPr>
            <w:tcW w:w="682" w:type="pct"/>
            <w:tcBorders>
              <w:top w:val="nil"/>
              <w:left w:val="nil"/>
              <w:bottom w:val="single" w:color="auto" w:sz="4" w:space="0"/>
              <w:right w:val="single" w:color="auto" w:sz="4" w:space="0"/>
            </w:tcBorders>
            <w:shd w:val="clear" w:color="auto" w:fill="auto"/>
            <w:vAlign w:val="center"/>
          </w:tcPr>
          <w:p w14:paraId="57D9A64B">
            <w:pPr>
              <w:pStyle w:val="218"/>
              <w:rPr>
                <w:color w:val="auto"/>
              </w:rPr>
            </w:pPr>
            <w:r>
              <w:rPr>
                <w:rFonts w:hint="eastAsia"/>
                <w:color w:val="auto"/>
              </w:rPr>
              <w:t>达标</w:t>
            </w:r>
          </w:p>
        </w:tc>
      </w:tr>
      <w:tr w14:paraId="4BCC3B71">
        <w:tblPrEx>
          <w:tblCellMar>
            <w:top w:w="0" w:type="dxa"/>
            <w:left w:w="108" w:type="dxa"/>
            <w:bottom w:w="0" w:type="dxa"/>
            <w:right w:w="108" w:type="dxa"/>
          </w:tblCellMar>
        </w:tblPrEx>
        <w:trPr>
          <w:trHeight w:val="312"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09A32F0E">
            <w:pPr>
              <w:pStyle w:val="218"/>
              <w:rPr>
                <w:rFonts w:cs="Times New Roman"/>
                <w:color w:val="auto"/>
              </w:rPr>
            </w:pPr>
            <w:r>
              <w:rPr>
                <w:rFonts w:cs="Times New Roman"/>
                <w:color w:val="auto"/>
              </w:rPr>
              <w:t>PM</w:t>
            </w:r>
            <w:r>
              <w:rPr>
                <w:rFonts w:cs="Times New Roman"/>
                <w:color w:val="auto"/>
                <w:vertAlign w:val="subscript"/>
              </w:rPr>
              <w:t>2.5</w:t>
            </w:r>
          </w:p>
        </w:tc>
        <w:tc>
          <w:tcPr>
            <w:tcW w:w="1182" w:type="pct"/>
            <w:tcBorders>
              <w:top w:val="nil"/>
              <w:left w:val="nil"/>
              <w:bottom w:val="single" w:color="auto" w:sz="4" w:space="0"/>
              <w:right w:val="single" w:color="auto" w:sz="4" w:space="0"/>
            </w:tcBorders>
            <w:shd w:val="clear" w:color="auto" w:fill="auto"/>
            <w:vAlign w:val="center"/>
          </w:tcPr>
          <w:p w14:paraId="5450EB79">
            <w:pPr>
              <w:pStyle w:val="218"/>
              <w:rPr>
                <w:color w:val="auto"/>
              </w:rPr>
            </w:pPr>
            <w:r>
              <w:rPr>
                <w:rFonts w:hint="eastAsia"/>
                <w:color w:val="auto"/>
              </w:rPr>
              <w:t>年均值</w:t>
            </w:r>
          </w:p>
        </w:tc>
        <w:tc>
          <w:tcPr>
            <w:tcW w:w="854" w:type="pct"/>
            <w:tcBorders>
              <w:top w:val="nil"/>
              <w:left w:val="nil"/>
              <w:bottom w:val="single" w:color="auto" w:sz="4" w:space="0"/>
              <w:right w:val="single" w:color="auto" w:sz="4" w:space="0"/>
            </w:tcBorders>
            <w:shd w:val="clear" w:color="auto" w:fill="auto"/>
            <w:vAlign w:val="center"/>
          </w:tcPr>
          <w:p w14:paraId="3F66746C">
            <w:pPr>
              <w:pStyle w:val="218"/>
              <w:rPr>
                <w:rFonts w:cs="Times New Roman"/>
                <w:color w:val="auto"/>
              </w:rPr>
            </w:pPr>
            <w:r>
              <w:rPr>
                <w:rFonts w:cs="Times New Roman"/>
                <w:color w:val="auto"/>
              </w:rPr>
              <w:t>35</w:t>
            </w:r>
          </w:p>
        </w:tc>
        <w:tc>
          <w:tcPr>
            <w:tcW w:w="747" w:type="pct"/>
            <w:tcBorders>
              <w:top w:val="nil"/>
              <w:left w:val="nil"/>
              <w:bottom w:val="single" w:color="auto" w:sz="4" w:space="0"/>
              <w:right w:val="single" w:color="auto" w:sz="4" w:space="0"/>
            </w:tcBorders>
            <w:shd w:val="clear" w:color="auto" w:fill="auto"/>
            <w:vAlign w:val="center"/>
          </w:tcPr>
          <w:p w14:paraId="588D298D">
            <w:pPr>
              <w:pStyle w:val="218"/>
              <w:rPr>
                <w:rFonts w:cs="Times New Roman"/>
                <w:color w:val="auto"/>
              </w:rPr>
            </w:pPr>
            <w:r>
              <w:rPr>
                <w:rFonts w:cs="Times New Roman"/>
                <w:color w:val="auto"/>
              </w:rPr>
              <w:t>35</w:t>
            </w:r>
          </w:p>
        </w:tc>
        <w:tc>
          <w:tcPr>
            <w:tcW w:w="850" w:type="pct"/>
            <w:tcBorders>
              <w:top w:val="nil"/>
              <w:left w:val="nil"/>
              <w:bottom w:val="single" w:color="auto" w:sz="4" w:space="0"/>
              <w:right w:val="single" w:color="auto" w:sz="4" w:space="0"/>
            </w:tcBorders>
            <w:shd w:val="clear" w:color="auto" w:fill="auto"/>
            <w:vAlign w:val="center"/>
          </w:tcPr>
          <w:p w14:paraId="3A7FE9A7">
            <w:pPr>
              <w:pStyle w:val="218"/>
              <w:rPr>
                <w:rFonts w:cs="Times New Roman"/>
                <w:color w:val="auto"/>
              </w:rPr>
            </w:pPr>
            <w:r>
              <w:rPr>
                <w:rFonts w:cs="Times New Roman"/>
                <w:color w:val="auto"/>
              </w:rPr>
              <w:t>100.0</w:t>
            </w:r>
          </w:p>
        </w:tc>
        <w:tc>
          <w:tcPr>
            <w:tcW w:w="682" w:type="pct"/>
            <w:tcBorders>
              <w:top w:val="nil"/>
              <w:left w:val="nil"/>
              <w:bottom w:val="single" w:color="auto" w:sz="4" w:space="0"/>
              <w:right w:val="single" w:color="auto" w:sz="4" w:space="0"/>
            </w:tcBorders>
            <w:shd w:val="clear" w:color="auto" w:fill="auto"/>
            <w:vAlign w:val="center"/>
          </w:tcPr>
          <w:p w14:paraId="583386EE">
            <w:pPr>
              <w:pStyle w:val="218"/>
              <w:rPr>
                <w:color w:val="auto"/>
              </w:rPr>
            </w:pPr>
            <w:r>
              <w:rPr>
                <w:rFonts w:hint="eastAsia"/>
                <w:color w:val="auto"/>
              </w:rPr>
              <w:t>达标</w:t>
            </w:r>
          </w:p>
        </w:tc>
      </w:tr>
      <w:tr w14:paraId="395F045D">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751135DD">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304C5AFE">
            <w:pPr>
              <w:pStyle w:val="218"/>
              <w:rPr>
                <w:rFonts w:cs="Times New Roman"/>
                <w:color w:val="auto"/>
              </w:rPr>
            </w:pPr>
            <w:r>
              <w:rPr>
                <w:rFonts w:cs="Times New Roman"/>
                <w:color w:val="auto"/>
              </w:rPr>
              <w:t>95</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7C4B97EA">
            <w:pPr>
              <w:pStyle w:val="218"/>
              <w:rPr>
                <w:rFonts w:cs="Times New Roman"/>
                <w:color w:val="auto"/>
              </w:rPr>
            </w:pPr>
            <w:r>
              <w:rPr>
                <w:rFonts w:cs="Times New Roman"/>
                <w:color w:val="auto"/>
              </w:rPr>
              <w:t xml:space="preserve">83 </w:t>
            </w:r>
          </w:p>
        </w:tc>
        <w:tc>
          <w:tcPr>
            <w:tcW w:w="747" w:type="pct"/>
            <w:tcBorders>
              <w:top w:val="nil"/>
              <w:left w:val="nil"/>
              <w:bottom w:val="single" w:color="auto" w:sz="4" w:space="0"/>
              <w:right w:val="single" w:color="auto" w:sz="4" w:space="0"/>
            </w:tcBorders>
            <w:shd w:val="clear" w:color="auto" w:fill="auto"/>
            <w:vAlign w:val="center"/>
          </w:tcPr>
          <w:p w14:paraId="7B0FDD72">
            <w:pPr>
              <w:pStyle w:val="218"/>
              <w:rPr>
                <w:rFonts w:cs="Times New Roman"/>
                <w:color w:val="auto"/>
              </w:rPr>
            </w:pPr>
            <w:r>
              <w:rPr>
                <w:rFonts w:cs="Times New Roman"/>
                <w:color w:val="auto"/>
              </w:rPr>
              <w:t>75</w:t>
            </w:r>
          </w:p>
        </w:tc>
        <w:tc>
          <w:tcPr>
            <w:tcW w:w="850" w:type="pct"/>
            <w:tcBorders>
              <w:top w:val="nil"/>
              <w:left w:val="nil"/>
              <w:bottom w:val="single" w:color="auto" w:sz="4" w:space="0"/>
              <w:right w:val="single" w:color="auto" w:sz="4" w:space="0"/>
            </w:tcBorders>
            <w:shd w:val="clear" w:color="auto" w:fill="auto"/>
            <w:vAlign w:val="center"/>
          </w:tcPr>
          <w:p w14:paraId="2AAF5EEB">
            <w:pPr>
              <w:pStyle w:val="218"/>
              <w:rPr>
                <w:rFonts w:cs="Times New Roman"/>
                <w:color w:val="auto"/>
              </w:rPr>
            </w:pPr>
            <w:r>
              <w:rPr>
                <w:rFonts w:cs="Times New Roman"/>
                <w:color w:val="auto"/>
              </w:rPr>
              <w:t>110.7</w:t>
            </w:r>
          </w:p>
        </w:tc>
        <w:tc>
          <w:tcPr>
            <w:tcW w:w="682" w:type="pct"/>
            <w:tcBorders>
              <w:top w:val="nil"/>
              <w:left w:val="nil"/>
              <w:bottom w:val="single" w:color="auto" w:sz="4" w:space="0"/>
              <w:right w:val="single" w:color="auto" w:sz="4" w:space="0"/>
            </w:tcBorders>
            <w:shd w:val="clear" w:color="auto" w:fill="auto"/>
            <w:vAlign w:val="center"/>
          </w:tcPr>
          <w:p w14:paraId="24D924A1">
            <w:pPr>
              <w:pStyle w:val="218"/>
              <w:rPr>
                <w:color w:val="auto"/>
              </w:rPr>
            </w:pPr>
            <w:r>
              <w:rPr>
                <w:rFonts w:hint="eastAsia"/>
                <w:color w:val="auto"/>
              </w:rPr>
              <w:t>不达标</w:t>
            </w:r>
          </w:p>
        </w:tc>
      </w:tr>
      <w:tr w14:paraId="03036F87">
        <w:tblPrEx>
          <w:tblCellMar>
            <w:top w:w="0" w:type="dxa"/>
            <w:left w:w="108" w:type="dxa"/>
            <w:bottom w:w="0" w:type="dxa"/>
            <w:right w:w="108" w:type="dxa"/>
          </w:tblCellMar>
        </w:tblPrEx>
        <w:trPr>
          <w:trHeight w:val="312"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0D372F64">
            <w:pPr>
              <w:pStyle w:val="218"/>
              <w:rPr>
                <w:rFonts w:cs="Times New Roman"/>
                <w:color w:val="auto"/>
              </w:rPr>
            </w:pPr>
            <w:r>
              <w:rPr>
                <w:rFonts w:cs="Times New Roman"/>
                <w:color w:val="auto"/>
              </w:rPr>
              <w:t>SO</w:t>
            </w:r>
            <w:r>
              <w:rPr>
                <w:rFonts w:cs="Times New Roman"/>
                <w:color w:val="auto"/>
                <w:vertAlign w:val="subscript"/>
              </w:rPr>
              <w:t>2</w:t>
            </w:r>
          </w:p>
        </w:tc>
        <w:tc>
          <w:tcPr>
            <w:tcW w:w="1182" w:type="pct"/>
            <w:tcBorders>
              <w:top w:val="nil"/>
              <w:left w:val="nil"/>
              <w:bottom w:val="single" w:color="auto" w:sz="4" w:space="0"/>
              <w:right w:val="single" w:color="auto" w:sz="4" w:space="0"/>
            </w:tcBorders>
            <w:shd w:val="clear" w:color="auto" w:fill="auto"/>
            <w:vAlign w:val="center"/>
          </w:tcPr>
          <w:p w14:paraId="1921CD5F">
            <w:pPr>
              <w:pStyle w:val="218"/>
              <w:rPr>
                <w:color w:val="auto"/>
              </w:rPr>
            </w:pPr>
            <w:r>
              <w:rPr>
                <w:rFonts w:hint="eastAsia"/>
                <w:color w:val="auto"/>
              </w:rPr>
              <w:t>年均值</w:t>
            </w:r>
          </w:p>
        </w:tc>
        <w:tc>
          <w:tcPr>
            <w:tcW w:w="854" w:type="pct"/>
            <w:tcBorders>
              <w:top w:val="nil"/>
              <w:left w:val="nil"/>
              <w:bottom w:val="single" w:color="auto" w:sz="4" w:space="0"/>
              <w:right w:val="single" w:color="auto" w:sz="4" w:space="0"/>
            </w:tcBorders>
            <w:shd w:val="clear" w:color="auto" w:fill="auto"/>
            <w:vAlign w:val="center"/>
          </w:tcPr>
          <w:p w14:paraId="40D07846">
            <w:pPr>
              <w:pStyle w:val="218"/>
              <w:rPr>
                <w:rFonts w:cs="Times New Roman"/>
                <w:color w:val="auto"/>
              </w:rPr>
            </w:pPr>
            <w:r>
              <w:rPr>
                <w:rFonts w:cs="Times New Roman"/>
                <w:color w:val="auto"/>
              </w:rPr>
              <w:t>8</w:t>
            </w:r>
          </w:p>
        </w:tc>
        <w:tc>
          <w:tcPr>
            <w:tcW w:w="747" w:type="pct"/>
            <w:tcBorders>
              <w:top w:val="nil"/>
              <w:left w:val="nil"/>
              <w:bottom w:val="single" w:color="auto" w:sz="4" w:space="0"/>
              <w:right w:val="single" w:color="auto" w:sz="4" w:space="0"/>
            </w:tcBorders>
            <w:shd w:val="clear" w:color="auto" w:fill="auto"/>
            <w:vAlign w:val="center"/>
          </w:tcPr>
          <w:p w14:paraId="18A2E934">
            <w:pPr>
              <w:pStyle w:val="218"/>
              <w:rPr>
                <w:rFonts w:cs="Times New Roman"/>
                <w:color w:val="auto"/>
              </w:rPr>
            </w:pPr>
            <w:r>
              <w:rPr>
                <w:rFonts w:cs="Times New Roman"/>
                <w:color w:val="auto"/>
              </w:rPr>
              <w:t>60</w:t>
            </w:r>
          </w:p>
        </w:tc>
        <w:tc>
          <w:tcPr>
            <w:tcW w:w="850" w:type="pct"/>
            <w:tcBorders>
              <w:top w:val="nil"/>
              <w:left w:val="nil"/>
              <w:bottom w:val="single" w:color="auto" w:sz="4" w:space="0"/>
              <w:right w:val="single" w:color="auto" w:sz="4" w:space="0"/>
            </w:tcBorders>
            <w:shd w:val="clear" w:color="auto" w:fill="auto"/>
            <w:vAlign w:val="center"/>
          </w:tcPr>
          <w:p w14:paraId="3CD92637">
            <w:pPr>
              <w:pStyle w:val="218"/>
              <w:rPr>
                <w:rFonts w:cs="Times New Roman"/>
                <w:color w:val="auto"/>
              </w:rPr>
            </w:pPr>
            <w:r>
              <w:rPr>
                <w:rFonts w:cs="Times New Roman"/>
                <w:color w:val="auto"/>
              </w:rPr>
              <w:t>13.4</w:t>
            </w:r>
          </w:p>
        </w:tc>
        <w:tc>
          <w:tcPr>
            <w:tcW w:w="682" w:type="pct"/>
            <w:tcBorders>
              <w:top w:val="nil"/>
              <w:left w:val="nil"/>
              <w:bottom w:val="single" w:color="auto" w:sz="4" w:space="0"/>
              <w:right w:val="single" w:color="auto" w:sz="4" w:space="0"/>
            </w:tcBorders>
            <w:shd w:val="clear" w:color="auto" w:fill="auto"/>
            <w:vAlign w:val="center"/>
          </w:tcPr>
          <w:p w14:paraId="719BD9E7">
            <w:pPr>
              <w:pStyle w:val="218"/>
              <w:rPr>
                <w:color w:val="auto"/>
              </w:rPr>
            </w:pPr>
            <w:r>
              <w:rPr>
                <w:rFonts w:hint="eastAsia"/>
                <w:color w:val="auto"/>
              </w:rPr>
              <w:t>达标</w:t>
            </w:r>
          </w:p>
        </w:tc>
      </w:tr>
      <w:tr w14:paraId="0B45CA15">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35DA4438">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1177D857">
            <w:pPr>
              <w:pStyle w:val="218"/>
              <w:rPr>
                <w:rFonts w:cs="Times New Roman"/>
                <w:color w:val="auto"/>
              </w:rPr>
            </w:pPr>
            <w:r>
              <w:rPr>
                <w:rFonts w:cs="Times New Roman"/>
                <w:color w:val="auto"/>
              </w:rPr>
              <w:t>98</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3DB32A5E">
            <w:pPr>
              <w:pStyle w:val="218"/>
              <w:rPr>
                <w:rFonts w:cs="Times New Roman"/>
                <w:color w:val="auto"/>
              </w:rPr>
            </w:pPr>
            <w:r>
              <w:rPr>
                <w:rFonts w:cs="Times New Roman"/>
                <w:color w:val="auto"/>
              </w:rPr>
              <w:t xml:space="preserve">13 </w:t>
            </w:r>
          </w:p>
        </w:tc>
        <w:tc>
          <w:tcPr>
            <w:tcW w:w="747" w:type="pct"/>
            <w:tcBorders>
              <w:top w:val="nil"/>
              <w:left w:val="nil"/>
              <w:bottom w:val="single" w:color="auto" w:sz="4" w:space="0"/>
              <w:right w:val="single" w:color="auto" w:sz="4" w:space="0"/>
            </w:tcBorders>
            <w:shd w:val="clear" w:color="auto" w:fill="auto"/>
            <w:vAlign w:val="center"/>
          </w:tcPr>
          <w:p w14:paraId="1D6D2ACC">
            <w:pPr>
              <w:pStyle w:val="218"/>
              <w:rPr>
                <w:rFonts w:cs="Times New Roman"/>
                <w:color w:val="auto"/>
              </w:rPr>
            </w:pPr>
            <w:r>
              <w:rPr>
                <w:rFonts w:cs="Times New Roman"/>
                <w:color w:val="auto"/>
              </w:rPr>
              <w:t>150</w:t>
            </w:r>
          </w:p>
        </w:tc>
        <w:tc>
          <w:tcPr>
            <w:tcW w:w="850" w:type="pct"/>
            <w:tcBorders>
              <w:top w:val="nil"/>
              <w:left w:val="nil"/>
              <w:bottom w:val="single" w:color="auto" w:sz="4" w:space="0"/>
              <w:right w:val="single" w:color="auto" w:sz="4" w:space="0"/>
            </w:tcBorders>
            <w:shd w:val="clear" w:color="auto" w:fill="auto"/>
            <w:vAlign w:val="center"/>
          </w:tcPr>
          <w:p w14:paraId="000F9500">
            <w:pPr>
              <w:pStyle w:val="218"/>
              <w:rPr>
                <w:rFonts w:cs="Times New Roman"/>
                <w:color w:val="auto"/>
              </w:rPr>
            </w:pPr>
            <w:r>
              <w:rPr>
                <w:rFonts w:cs="Times New Roman"/>
                <w:color w:val="auto"/>
              </w:rPr>
              <w:t>8.7</w:t>
            </w:r>
          </w:p>
        </w:tc>
        <w:tc>
          <w:tcPr>
            <w:tcW w:w="682" w:type="pct"/>
            <w:tcBorders>
              <w:top w:val="nil"/>
              <w:left w:val="nil"/>
              <w:bottom w:val="single" w:color="auto" w:sz="4" w:space="0"/>
              <w:right w:val="single" w:color="auto" w:sz="4" w:space="0"/>
            </w:tcBorders>
            <w:shd w:val="clear" w:color="auto" w:fill="auto"/>
            <w:vAlign w:val="center"/>
          </w:tcPr>
          <w:p w14:paraId="70D3E003">
            <w:pPr>
              <w:pStyle w:val="218"/>
              <w:rPr>
                <w:color w:val="auto"/>
              </w:rPr>
            </w:pPr>
            <w:r>
              <w:rPr>
                <w:rFonts w:hint="eastAsia"/>
                <w:color w:val="auto"/>
              </w:rPr>
              <w:t>达标</w:t>
            </w:r>
          </w:p>
        </w:tc>
      </w:tr>
      <w:tr w14:paraId="61C0AE6F">
        <w:tblPrEx>
          <w:tblCellMar>
            <w:top w:w="0" w:type="dxa"/>
            <w:left w:w="108" w:type="dxa"/>
            <w:bottom w:w="0" w:type="dxa"/>
            <w:right w:w="108" w:type="dxa"/>
          </w:tblCellMar>
        </w:tblPrEx>
        <w:trPr>
          <w:trHeight w:val="312"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0F66339D">
            <w:pPr>
              <w:pStyle w:val="218"/>
              <w:rPr>
                <w:rFonts w:cs="Times New Roman"/>
                <w:color w:val="auto"/>
              </w:rPr>
            </w:pPr>
            <w:r>
              <w:rPr>
                <w:rFonts w:cs="Times New Roman"/>
                <w:color w:val="auto"/>
              </w:rPr>
              <w:t>NO</w:t>
            </w:r>
            <w:r>
              <w:rPr>
                <w:rFonts w:cs="Times New Roman"/>
                <w:color w:val="auto"/>
                <w:vertAlign w:val="subscript"/>
              </w:rPr>
              <w:t>2</w:t>
            </w:r>
          </w:p>
        </w:tc>
        <w:tc>
          <w:tcPr>
            <w:tcW w:w="1182" w:type="pct"/>
            <w:tcBorders>
              <w:top w:val="nil"/>
              <w:left w:val="nil"/>
              <w:bottom w:val="single" w:color="auto" w:sz="4" w:space="0"/>
              <w:right w:val="single" w:color="auto" w:sz="4" w:space="0"/>
            </w:tcBorders>
            <w:shd w:val="clear" w:color="auto" w:fill="auto"/>
            <w:vAlign w:val="center"/>
          </w:tcPr>
          <w:p w14:paraId="5ED6D969">
            <w:pPr>
              <w:pStyle w:val="218"/>
              <w:rPr>
                <w:color w:val="auto"/>
              </w:rPr>
            </w:pPr>
            <w:r>
              <w:rPr>
                <w:rFonts w:hint="eastAsia"/>
                <w:color w:val="auto"/>
              </w:rPr>
              <w:t>年均值</w:t>
            </w:r>
          </w:p>
        </w:tc>
        <w:tc>
          <w:tcPr>
            <w:tcW w:w="854" w:type="pct"/>
            <w:tcBorders>
              <w:top w:val="nil"/>
              <w:left w:val="nil"/>
              <w:bottom w:val="single" w:color="auto" w:sz="4" w:space="0"/>
              <w:right w:val="single" w:color="auto" w:sz="4" w:space="0"/>
            </w:tcBorders>
            <w:shd w:val="clear" w:color="auto" w:fill="auto"/>
            <w:vAlign w:val="center"/>
          </w:tcPr>
          <w:p w14:paraId="735F8701">
            <w:pPr>
              <w:pStyle w:val="218"/>
              <w:rPr>
                <w:rFonts w:cs="Times New Roman"/>
                <w:color w:val="auto"/>
              </w:rPr>
            </w:pPr>
            <w:r>
              <w:rPr>
                <w:rFonts w:cs="Times New Roman"/>
                <w:color w:val="auto"/>
              </w:rPr>
              <w:t>19</w:t>
            </w:r>
          </w:p>
        </w:tc>
        <w:tc>
          <w:tcPr>
            <w:tcW w:w="747" w:type="pct"/>
            <w:tcBorders>
              <w:top w:val="nil"/>
              <w:left w:val="nil"/>
              <w:bottom w:val="single" w:color="auto" w:sz="4" w:space="0"/>
              <w:right w:val="single" w:color="auto" w:sz="4" w:space="0"/>
            </w:tcBorders>
            <w:shd w:val="clear" w:color="auto" w:fill="auto"/>
            <w:vAlign w:val="center"/>
          </w:tcPr>
          <w:p w14:paraId="32CB26DA">
            <w:pPr>
              <w:pStyle w:val="218"/>
              <w:rPr>
                <w:rFonts w:cs="Times New Roman"/>
                <w:color w:val="auto"/>
              </w:rPr>
            </w:pPr>
            <w:r>
              <w:rPr>
                <w:rFonts w:cs="Times New Roman"/>
                <w:color w:val="auto"/>
              </w:rPr>
              <w:t>40</w:t>
            </w:r>
          </w:p>
        </w:tc>
        <w:tc>
          <w:tcPr>
            <w:tcW w:w="850" w:type="pct"/>
            <w:tcBorders>
              <w:top w:val="nil"/>
              <w:left w:val="nil"/>
              <w:bottom w:val="single" w:color="auto" w:sz="4" w:space="0"/>
              <w:right w:val="single" w:color="auto" w:sz="4" w:space="0"/>
            </w:tcBorders>
            <w:shd w:val="clear" w:color="auto" w:fill="auto"/>
            <w:vAlign w:val="center"/>
          </w:tcPr>
          <w:p w14:paraId="369E4BD8">
            <w:pPr>
              <w:pStyle w:val="218"/>
              <w:rPr>
                <w:rFonts w:cs="Times New Roman"/>
                <w:color w:val="auto"/>
              </w:rPr>
            </w:pPr>
            <w:r>
              <w:rPr>
                <w:rFonts w:cs="Times New Roman"/>
                <w:color w:val="auto"/>
              </w:rPr>
              <w:t>47.5</w:t>
            </w:r>
          </w:p>
        </w:tc>
        <w:tc>
          <w:tcPr>
            <w:tcW w:w="682" w:type="pct"/>
            <w:tcBorders>
              <w:top w:val="nil"/>
              <w:left w:val="nil"/>
              <w:bottom w:val="single" w:color="auto" w:sz="4" w:space="0"/>
              <w:right w:val="single" w:color="auto" w:sz="4" w:space="0"/>
            </w:tcBorders>
            <w:shd w:val="clear" w:color="auto" w:fill="auto"/>
            <w:vAlign w:val="center"/>
          </w:tcPr>
          <w:p w14:paraId="71D05E5B">
            <w:pPr>
              <w:pStyle w:val="218"/>
              <w:rPr>
                <w:color w:val="auto"/>
              </w:rPr>
            </w:pPr>
            <w:r>
              <w:rPr>
                <w:rFonts w:hint="eastAsia"/>
                <w:color w:val="auto"/>
              </w:rPr>
              <w:t>达标</w:t>
            </w:r>
          </w:p>
        </w:tc>
      </w:tr>
      <w:tr w14:paraId="3C854A96">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37F0CF63">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2C50D47E">
            <w:pPr>
              <w:pStyle w:val="218"/>
              <w:rPr>
                <w:rFonts w:cs="Times New Roman"/>
                <w:color w:val="auto"/>
              </w:rPr>
            </w:pPr>
            <w:r>
              <w:rPr>
                <w:rFonts w:cs="Times New Roman"/>
                <w:color w:val="auto"/>
              </w:rPr>
              <w:t>98</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33F4C336">
            <w:pPr>
              <w:pStyle w:val="218"/>
              <w:rPr>
                <w:rFonts w:cs="Times New Roman"/>
                <w:color w:val="auto"/>
              </w:rPr>
            </w:pPr>
            <w:r>
              <w:rPr>
                <w:rFonts w:cs="Times New Roman"/>
                <w:color w:val="auto"/>
              </w:rPr>
              <w:t xml:space="preserve">45 </w:t>
            </w:r>
          </w:p>
        </w:tc>
        <w:tc>
          <w:tcPr>
            <w:tcW w:w="747" w:type="pct"/>
            <w:tcBorders>
              <w:top w:val="nil"/>
              <w:left w:val="nil"/>
              <w:bottom w:val="single" w:color="auto" w:sz="4" w:space="0"/>
              <w:right w:val="single" w:color="auto" w:sz="4" w:space="0"/>
            </w:tcBorders>
            <w:shd w:val="clear" w:color="auto" w:fill="auto"/>
            <w:vAlign w:val="center"/>
          </w:tcPr>
          <w:p w14:paraId="4FF1B580">
            <w:pPr>
              <w:pStyle w:val="218"/>
              <w:rPr>
                <w:rFonts w:cs="Times New Roman"/>
                <w:color w:val="auto"/>
              </w:rPr>
            </w:pPr>
            <w:r>
              <w:rPr>
                <w:rFonts w:cs="Times New Roman"/>
                <w:color w:val="auto"/>
              </w:rPr>
              <w:t>80</w:t>
            </w:r>
          </w:p>
        </w:tc>
        <w:tc>
          <w:tcPr>
            <w:tcW w:w="850" w:type="pct"/>
            <w:tcBorders>
              <w:top w:val="nil"/>
              <w:left w:val="nil"/>
              <w:bottom w:val="single" w:color="auto" w:sz="4" w:space="0"/>
              <w:right w:val="single" w:color="auto" w:sz="4" w:space="0"/>
            </w:tcBorders>
            <w:shd w:val="clear" w:color="auto" w:fill="auto"/>
            <w:vAlign w:val="center"/>
          </w:tcPr>
          <w:p w14:paraId="06CCC2E6">
            <w:pPr>
              <w:pStyle w:val="218"/>
              <w:rPr>
                <w:rFonts w:cs="Times New Roman"/>
                <w:color w:val="auto"/>
              </w:rPr>
            </w:pPr>
            <w:r>
              <w:rPr>
                <w:rFonts w:cs="Times New Roman"/>
                <w:color w:val="auto"/>
              </w:rPr>
              <w:t>56.3</w:t>
            </w:r>
          </w:p>
        </w:tc>
        <w:tc>
          <w:tcPr>
            <w:tcW w:w="682" w:type="pct"/>
            <w:tcBorders>
              <w:top w:val="nil"/>
              <w:left w:val="nil"/>
              <w:bottom w:val="single" w:color="auto" w:sz="4" w:space="0"/>
              <w:right w:val="single" w:color="auto" w:sz="4" w:space="0"/>
            </w:tcBorders>
            <w:shd w:val="clear" w:color="auto" w:fill="auto"/>
            <w:vAlign w:val="center"/>
          </w:tcPr>
          <w:p w14:paraId="785DAB65">
            <w:pPr>
              <w:pStyle w:val="218"/>
              <w:rPr>
                <w:color w:val="auto"/>
              </w:rPr>
            </w:pPr>
            <w:r>
              <w:rPr>
                <w:rFonts w:hint="eastAsia"/>
                <w:color w:val="auto"/>
              </w:rPr>
              <w:t>达标</w:t>
            </w:r>
          </w:p>
        </w:tc>
      </w:tr>
      <w:tr w14:paraId="0DE35B6E">
        <w:tblPrEx>
          <w:tblCellMar>
            <w:top w:w="0" w:type="dxa"/>
            <w:left w:w="108" w:type="dxa"/>
            <w:bottom w:w="0" w:type="dxa"/>
            <w:right w:w="108" w:type="dxa"/>
          </w:tblCellMar>
        </w:tblPrEx>
        <w:trPr>
          <w:trHeight w:val="312"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608B30EF">
            <w:pPr>
              <w:pStyle w:val="218"/>
              <w:rPr>
                <w:rFonts w:cs="Times New Roman"/>
                <w:color w:val="auto"/>
              </w:rPr>
            </w:pPr>
            <w:r>
              <w:rPr>
                <w:rFonts w:cs="Times New Roman"/>
                <w:color w:val="auto"/>
              </w:rPr>
              <w:t>CO</w:t>
            </w:r>
          </w:p>
        </w:tc>
        <w:tc>
          <w:tcPr>
            <w:tcW w:w="1182" w:type="pct"/>
            <w:tcBorders>
              <w:top w:val="nil"/>
              <w:left w:val="nil"/>
              <w:bottom w:val="single" w:color="auto" w:sz="4" w:space="0"/>
              <w:right w:val="single" w:color="auto" w:sz="4" w:space="0"/>
            </w:tcBorders>
            <w:shd w:val="clear" w:color="auto" w:fill="auto"/>
            <w:vAlign w:val="center"/>
          </w:tcPr>
          <w:p w14:paraId="56E135DC">
            <w:pPr>
              <w:pStyle w:val="218"/>
              <w:rPr>
                <w:color w:val="auto"/>
              </w:rPr>
            </w:pPr>
            <w:r>
              <w:rPr>
                <w:rFonts w:hint="eastAsia"/>
                <w:color w:val="auto"/>
              </w:rPr>
              <w:t>日均值</w:t>
            </w:r>
          </w:p>
        </w:tc>
        <w:tc>
          <w:tcPr>
            <w:tcW w:w="854" w:type="pct"/>
            <w:tcBorders>
              <w:top w:val="nil"/>
              <w:left w:val="nil"/>
              <w:bottom w:val="single" w:color="auto" w:sz="4" w:space="0"/>
              <w:right w:val="single" w:color="auto" w:sz="4" w:space="0"/>
            </w:tcBorders>
            <w:shd w:val="clear" w:color="auto" w:fill="auto"/>
            <w:vAlign w:val="center"/>
          </w:tcPr>
          <w:p w14:paraId="18DC2E7D">
            <w:pPr>
              <w:pStyle w:val="218"/>
              <w:rPr>
                <w:rFonts w:cs="Times New Roman"/>
                <w:color w:val="auto"/>
              </w:rPr>
            </w:pPr>
            <w:r>
              <w:rPr>
                <w:rFonts w:cs="Times New Roman"/>
                <w:color w:val="auto"/>
              </w:rPr>
              <w:t>728</w:t>
            </w:r>
          </w:p>
        </w:tc>
        <w:tc>
          <w:tcPr>
            <w:tcW w:w="747" w:type="pct"/>
            <w:tcBorders>
              <w:top w:val="nil"/>
              <w:left w:val="nil"/>
              <w:bottom w:val="single" w:color="auto" w:sz="4" w:space="0"/>
              <w:right w:val="single" w:color="auto" w:sz="4" w:space="0"/>
            </w:tcBorders>
            <w:shd w:val="clear" w:color="auto" w:fill="auto"/>
            <w:vAlign w:val="center"/>
          </w:tcPr>
          <w:p w14:paraId="51F024A9">
            <w:pPr>
              <w:pStyle w:val="218"/>
              <w:rPr>
                <w:rFonts w:cs="Times New Roman"/>
                <w:color w:val="auto"/>
              </w:rPr>
            </w:pPr>
            <w:r>
              <w:rPr>
                <w:rFonts w:cs="Times New Roman"/>
                <w:color w:val="auto"/>
              </w:rPr>
              <w:t>4000</w:t>
            </w:r>
          </w:p>
        </w:tc>
        <w:tc>
          <w:tcPr>
            <w:tcW w:w="850" w:type="pct"/>
            <w:tcBorders>
              <w:top w:val="nil"/>
              <w:left w:val="nil"/>
              <w:bottom w:val="single" w:color="auto" w:sz="4" w:space="0"/>
              <w:right w:val="single" w:color="auto" w:sz="4" w:space="0"/>
            </w:tcBorders>
            <w:shd w:val="clear" w:color="auto" w:fill="auto"/>
            <w:vAlign w:val="center"/>
          </w:tcPr>
          <w:p w14:paraId="04BB4A87">
            <w:pPr>
              <w:pStyle w:val="218"/>
              <w:rPr>
                <w:rFonts w:cs="Times New Roman"/>
                <w:color w:val="auto"/>
              </w:rPr>
            </w:pPr>
            <w:r>
              <w:rPr>
                <w:rFonts w:cs="Times New Roman"/>
                <w:color w:val="auto"/>
              </w:rPr>
              <w:t>18.2</w:t>
            </w:r>
          </w:p>
        </w:tc>
        <w:tc>
          <w:tcPr>
            <w:tcW w:w="682" w:type="pct"/>
            <w:tcBorders>
              <w:top w:val="nil"/>
              <w:left w:val="nil"/>
              <w:bottom w:val="single" w:color="auto" w:sz="4" w:space="0"/>
              <w:right w:val="single" w:color="auto" w:sz="4" w:space="0"/>
            </w:tcBorders>
            <w:shd w:val="clear" w:color="auto" w:fill="auto"/>
            <w:vAlign w:val="center"/>
          </w:tcPr>
          <w:p w14:paraId="2026DC6F">
            <w:pPr>
              <w:pStyle w:val="218"/>
              <w:rPr>
                <w:color w:val="auto"/>
              </w:rPr>
            </w:pPr>
            <w:r>
              <w:rPr>
                <w:rFonts w:hint="eastAsia"/>
                <w:color w:val="auto"/>
              </w:rPr>
              <w:t>达标</w:t>
            </w:r>
          </w:p>
        </w:tc>
      </w:tr>
      <w:tr w14:paraId="27EC7A55">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66373AEA">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6FDC066F">
            <w:pPr>
              <w:pStyle w:val="218"/>
              <w:rPr>
                <w:rFonts w:cs="Times New Roman"/>
                <w:color w:val="auto"/>
              </w:rPr>
            </w:pPr>
            <w:r>
              <w:rPr>
                <w:rFonts w:cs="Times New Roman"/>
                <w:color w:val="auto"/>
              </w:rPr>
              <w:t>95</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66EFD1F3">
            <w:pPr>
              <w:pStyle w:val="218"/>
              <w:rPr>
                <w:rFonts w:cs="Times New Roman"/>
                <w:color w:val="auto"/>
              </w:rPr>
            </w:pPr>
            <w:r>
              <w:rPr>
                <w:rFonts w:cs="Times New Roman"/>
                <w:color w:val="auto"/>
              </w:rPr>
              <w:t>1100</w:t>
            </w:r>
          </w:p>
        </w:tc>
        <w:tc>
          <w:tcPr>
            <w:tcW w:w="747" w:type="pct"/>
            <w:tcBorders>
              <w:top w:val="nil"/>
              <w:left w:val="nil"/>
              <w:bottom w:val="single" w:color="auto" w:sz="4" w:space="0"/>
              <w:right w:val="single" w:color="auto" w:sz="4" w:space="0"/>
            </w:tcBorders>
            <w:shd w:val="clear" w:color="auto" w:fill="auto"/>
            <w:vAlign w:val="center"/>
          </w:tcPr>
          <w:p w14:paraId="19563A69">
            <w:pPr>
              <w:pStyle w:val="218"/>
              <w:rPr>
                <w:rFonts w:cs="Times New Roman"/>
                <w:color w:val="auto"/>
              </w:rPr>
            </w:pPr>
            <w:r>
              <w:rPr>
                <w:rFonts w:cs="Times New Roman"/>
                <w:color w:val="auto"/>
              </w:rPr>
              <w:t>4000</w:t>
            </w:r>
          </w:p>
        </w:tc>
        <w:tc>
          <w:tcPr>
            <w:tcW w:w="850" w:type="pct"/>
            <w:tcBorders>
              <w:top w:val="nil"/>
              <w:left w:val="nil"/>
              <w:bottom w:val="single" w:color="auto" w:sz="4" w:space="0"/>
              <w:right w:val="single" w:color="auto" w:sz="4" w:space="0"/>
            </w:tcBorders>
            <w:shd w:val="clear" w:color="auto" w:fill="auto"/>
            <w:vAlign w:val="center"/>
          </w:tcPr>
          <w:p w14:paraId="1C0B8D89">
            <w:pPr>
              <w:pStyle w:val="218"/>
              <w:rPr>
                <w:rFonts w:cs="Times New Roman"/>
                <w:color w:val="auto"/>
              </w:rPr>
            </w:pPr>
            <w:r>
              <w:rPr>
                <w:rFonts w:cs="Times New Roman"/>
                <w:color w:val="auto"/>
              </w:rPr>
              <w:t>27.5</w:t>
            </w:r>
          </w:p>
        </w:tc>
        <w:tc>
          <w:tcPr>
            <w:tcW w:w="682" w:type="pct"/>
            <w:tcBorders>
              <w:top w:val="nil"/>
              <w:left w:val="nil"/>
              <w:bottom w:val="single" w:color="auto" w:sz="4" w:space="0"/>
              <w:right w:val="single" w:color="auto" w:sz="4" w:space="0"/>
            </w:tcBorders>
            <w:shd w:val="clear" w:color="auto" w:fill="auto"/>
            <w:vAlign w:val="center"/>
          </w:tcPr>
          <w:p w14:paraId="02418DE0">
            <w:pPr>
              <w:pStyle w:val="218"/>
              <w:rPr>
                <w:color w:val="auto"/>
              </w:rPr>
            </w:pPr>
            <w:r>
              <w:rPr>
                <w:rFonts w:hint="eastAsia"/>
                <w:color w:val="auto"/>
              </w:rPr>
              <w:t>达标</w:t>
            </w:r>
          </w:p>
        </w:tc>
      </w:tr>
      <w:tr w14:paraId="7CF402EB">
        <w:tblPrEx>
          <w:tblCellMar>
            <w:top w:w="0" w:type="dxa"/>
            <w:left w:w="108" w:type="dxa"/>
            <w:bottom w:w="0" w:type="dxa"/>
            <w:right w:w="108" w:type="dxa"/>
          </w:tblCellMar>
        </w:tblPrEx>
        <w:trPr>
          <w:trHeight w:val="576" w:hRule="atLeast"/>
        </w:trPr>
        <w:tc>
          <w:tcPr>
            <w:tcW w:w="685" w:type="pct"/>
            <w:vMerge w:val="restart"/>
            <w:tcBorders>
              <w:top w:val="nil"/>
              <w:left w:val="single" w:color="auto" w:sz="4" w:space="0"/>
              <w:bottom w:val="single" w:color="auto" w:sz="4" w:space="0"/>
              <w:right w:val="single" w:color="auto" w:sz="4" w:space="0"/>
            </w:tcBorders>
            <w:shd w:val="clear" w:color="auto" w:fill="auto"/>
            <w:vAlign w:val="center"/>
          </w:tcPr>
          <w:p w14:paraId="361DCBF3">
            <w:pPr>
              <w:pStyle w:val="218"/>
              <w:rPr>
                <w:rFonts w:cs="Times New Roman"/>
                <w:color w:val="auto"/>
              </w:rPr>
            </w:pPr>
            <w:r>
              <w:rPr>
                <w:rFonts w:cs="Times New Roman"/>
                <w:color w:val="auto"/>
              </w:rPr>
              <w:t>O</w:t>
            </w:r>
            <w:r>
              <w:rPr>
                <w:rFonts w:cs="Times New Roman"/>
                <w:color w:val="auto"/>
                <w:vertAlign w:val="subscript"/>
              </w:rPr>
              <w:t>3</w:t>
            </w:r>
          </w:p>
        </w:tc>
        <w:tc>
          <w:tcPr>
            <w:tcW w:w="1182" w:type="pct"/>
            <w:tcBorders>
              <w:top w:val="nil"/>
              <w:left w:val="nil"/>
              <w:bottom w:val="single" w:color="auto" w:sz="4" w:space="0"/>
              <w:right w:val="single" w:color="auto" w:sz="4" w:space="0"/>
            </w:tcBorders>
            <w:shd w:val="clear" w:color="auto" w:fill="auto"/>
            <w:vAlign w:val="center"/>
          </w:tcPr>
          <w:p w14:paraId="3025F52E">
            <w:pPr>
              <w:pStyle w:val="218"/>
              <w:rPr>
                <w:color w:val="auto"/>
              </w:rPr>
            </w:pPr>
            <w:r>
              <w:rPr>
                <w:rFonts w:hint="eastAsia"/>
                <w:color w:val="auto"/>
              </w:rPr>
              <w:t>日最大</w:t>
            </w:r>
            <w:r>
              <w:rPr>
                <w:rFonts w:cs="Times New Roman"/>
                <w:color w:val="auto"/>
              </w:rPr>
              <w:t>8</w:t>
            </w:r>
            <w:r>
              <w:rPr>
                <w:rFonts w:hint="eastAsia"/>
                <w:color w:val="auto"/>
              </w:rPr>
              <w:t>小时平均值</w:t>
            </w:r>
          </w:p>
        </w:tc>
        <w:tc>
          <w:tcPr>
            <w:tcW w:w="854" w:type="pct"/>
            <w:tcBorders>
              <w:top w:val="nil"/>
              <w:left w:val="nil"/>
              <w:bottom w:val="single" w:color="auto" w:sz="4" w:space="0"/>
              <w:right w:val="single" w:color="auto" w:sz="4" w:space="0"/>
            </w:tcBorders>
            <w:shd w:val="clear" w:color="auto" w:fill="auto"/>
            <w:vAlign w:val="center"/>
          </w:tcPr>
          <w:p w14:paraId="3B3BBFA0">
            <w:pPr>
              <w:pStyle w:val="218"/>
              <w:rPr>
                <w:rFonts w:cs="Times New Roman"/>
                <w:color w:val="auto"/>
              </w:rPr>
            </w:pPr>
            <w:r>
              <w:rPr>
                <w:rFonts w:cs="Times New Roman"/>
                <w:color w:val="auto"/>
              </w:rPr>
              <w:t>81</w:t>
            </w:r>
          </w:p>
        </w:tc>
        <w:tc>
          <w:tcPr>
            <w:tcW w:w="747" w:type="pct"/>
            <w:tcBorders>
              <w:top w:val="nil"/>
              <w:left w:val="nil"/>
              <w:bottom w:val="single" w:color="auto" w:sz="4" w:space="0"/>
              <w:right w:val="single" w:color="auto" w:sz="4" w:space="0"/>
            </w:tcBorders>
            <w:shd w:val="clear" w:color="auto" w:fill="auto"/>
            <w:vAlign w:val="center"/>
          </w:tcPr>
          <w:p w14:paraId="7E3335C3">
            <w:pPr>
              <w:pStyle w:val="218"/>
              <w:rPr>
                <w:rFonts w:cs="Times New Roman"/>
                <w:color w:val="auto"/>
              </w:rPr>
            </w:pPr>
            <w:r>
              <w:rPr>
                <w:rFonts w:cs="Times New Roman"/>
                <w:color w:val="auto"/>
              </w:rPr>
              <w:t>160</w:t>
            </w:r>
          </w:p>
        </w:tc>
        <w:tc>
          <w:tcPr>
            <w:tcW w:w="850" w:type="pct"/>
            <w:tcBorders>
              <w:top w:val="nil"/>
              <w:left w:val="nil"/>
              <w:bottom w:val="single" w:color="auto" w:sz="4" w:space="0"/>
              <w:right w:val="single" w:color="auto" w:sz="4" w:space="0"/>
            </w:tcBorders>
            <w:shd w:val="clear" w:color="auto" w:fill="auto"/>
            <w:vAlign w:val="center"/>
          </w:tcPr>
          <w:p w14:paraId="0DA2757A">
            <w:pPr>
              <w:pStyle w:val="218"/>
              <w:rPr>
                <w:rFonts w:cs="Times New Roman"/>
                <w:color w:val="auto"/>
              </w:rPr>
            </w:pPr>
            <w:r>
              <w:rPr>
                <w:rFonts w:cs="Times New Roman"/>
                <w:color w:val="auto"/>
              </w:rPr>
              <w:t>50.4</w:t>
            </w:r>
          </w:p>
        </w:tc>
        <w:tc>
          <w:tcPr>
            <w:tcW w:w="682" w:type="pct"/>
            <w:tcBorders>
              <w:top w:val="nil"/>
              <w:left w:val="nil"/>
              <w:bottom w:val="single" w:color="auto" w:sz="4" w:space="0"/>
              <w:right w:val="single" w:color="auto" w:sz="4" w:space="0"/>
            </w:tcBorders>
            <w:shd w:val="clear" w:color="auto" w:fill="auto"/>
            <w:vAlign w:val="center"/>
          </w:tcPr>
          <w:p w14:paraId="2C8171B5">
            <w:pPr>
              <w:pStyle w:val="218"/>
              <w:rPr>
                <w:color w:val="auto"/>
              </w:rPr>
            </w:pPr>
            <w:r>
              <w:rPr>
                <w:rFonts w:hint="eastAsia"/>
                <w:color w:val="auto"/>
              </w:rPr>
              <w:t>达标</w:t>
            </w:r>
          </w:p>
        </w:tc>
      </w:tr>
      <w:tr w14:paraId="7663C99F">
        <w:tblPrEx>
          <w:tblCellMar>
            <w:top w:w="0" w:type="dxa"/>
            <w:left w:w="108" w:type="dxa"/>
            <w:bottom w:w="0" w:type="dxa"/>
            <w:right w:w="108" w:type="dxa"/>
          </w:tblCellMar>
        </w:tblPrEx>
        <w:trPr>
          <w:trHeight w:val="312" w:hRule="atLeast"/>
        </w:trPr>
        <w:tc>
          <w:tcPr>
            <w:tcW w:w="685" w:type="pct"/>
            <w:vMerge w:val="continue"/>
            <w:tcBorders>
              <w:top w:val="nil"/>
              <w:left w:val="single" w:color="auto" w:sz="4" w:space="0"/>
              <w:bottom w:val="single" w:color="auto" w:sz="4" w:space="0"/>
              <w:right w:val="single" w:color="auto" w:sz="4" w:space="0"/>
            </w:tcBorders>
            <w:vAlign w:val="center"/>
          </w:tcPr>
          <w:p w14:paraId="3820ED3A">
            <w:pPr>
              <w:pStyle w:val="218"/>
              <w:rPr>
                <w:rFonts w:cs="Times New Roman"/>
                <w:color w:val="auto"/>
              </w:rPr>
            </w:pPr>
          </w:p>
        </w:tc>
        <w:tc>
          <w:tcPr>
            <w:tcW w:w="1182" w:type="pct"/>
            <w:tcBorders>
              <w:top w:val="nil"/>
              <w:left w:val="nil"/>
              <w:bottom w:val="single" w:color="auto" w:sz="4" w:space="0"/>
              <w:right w:val="single" w:color="auto" w:sz="4" w:space="0"/>
            </w:tcBorders>
            <w:shd w:val="clear" w:color="auto" w:fill="auto"/>
            <w:vAlign w:val="center"/>
          </w:tcPr>
          <w:p w14:paraId="6239ADA6">
            <w:pPr>
              <w:pStyle w:val="218"/>
              <w:rPr>
                <w:rFonts w:cs="Times New Roman"/>
                <w:color w:val="auto"/>
              </w:rPr>
            </w:pPr>
            <w:r>
              <w:rPr>
                <w:rFonts w:cs="Times New Roman"/>
                <w:color w:val="auto"/>
              </w:rPr>
              <w:t>90</w:t>
            </w:r>
            <w:r>
              <w:rPr>
                <w:rFonts w:hint="eastAsia" w:cs="Times New Roman"/>
                <w:color w:val="auto"/>
              </w:rPr>
              <w:t>百分位日均值</w:t>
            </w:r>
          </w:p>
        </w:tc>
        <w:tc>
          <w:tcPr>
            <w:tcW w:w="854" w:type="pct"/>
            <w:tcBorders>
              <w:top w:val="nil"/>
              <w:left w:val="nil"/>
              <w:bottom w:val="single" w:color="auto" w:sz="4" w:space="0"/>
              <w:right w:val="single" w:color="auto" w:sz="4" w:space="0"/>
            </w:tcBorders>
            <w:shd w:val="clear" w:color="auto" w:fill="auto"/>
            <w:vAlign w:val="center"/>
          </w:tcPr>
          <w:p w14:paraId="59C7A281">
            <w:pPr>
              <w:pStyle w:val="218"/>
              <w:rPr>
                <w:rFonts w:cs="Times New Roman"/>
                <w:color w:val="auto"/>
              </w:rPr>
            </w:pPr>
            <w:r>
              <w:rPr>
                <w:rFonts w:cs="Times New Roman"/>
                <w:color w:val="auto"/>
              </w:rPr>
              <w:t xml:space="preserve">120 </w:t>
            </w:r>
          </w:p>
        </w:tc>
        <w:tc>
          <w:tcPr>
            <w:tcW w:w="747" w:type="pct"/>
            <w:tcBorders>
              <w:top w:val="nil"/>
              <w:left w:val="nil"/>
              <w:bottom w:val="single" w:color="auto" w:sz="4" w:space="0"/>
              <w:right w:val="single" w:color="auto" w:sz="4" w:space="0"/>
            </w:tcBorders>
            <w:shd w:val="clear" w:color="auto" w:fill="auto"/>
            <w:vAlign w:val="center"/>
          </w:tcPr>
          <w:p w14:paraId="5AB2099A">
            <w:pPr>
              <w:pStyle w:val="218"/>
              <w:rPr>
                <w:rFonts w:cs="Times New Roman"/>
                <w:color w:val="auto"/>
              </w:rPr>
            </w:pPr>
            <w:r>
              <w:rPr>
                <w:rFonts w:cs="Times New Roman"/>
                <w:color w:val="auto"/>
              </w:rPr>
              <w:t>160</w:t>
            </w:r>
          </w:p>
        </w:tc>
        <w:tc>
          <w:tcPr>
            <w:tcW w:w="850" w:type="pct"/>
            <w:tcBorders>
              <w:top w:val="nil"/>
              <w:left w:val="nil"/>
              <w:bottom w:val="single" w:color="auto" w:sz="4" w:space="0"/>
              <w:right w:val="single" w:color="auto" w:sz="4" w:space="0"/>
            </w:tcBorders>
            <w:shd w:val="clear" w:color="auto" w:fill="auto"/>
            <w:vAlign w:val="center"/>
          </w:tcPr>
          <w:p w14:paraId="7B273182">
            <w:pPr>
              <w:pStyle w:val="218"/>
              <w:rPr>
                <w:rFonts w:cs="Times New Roman"/>
                <w:color w:val="auto"/>
              </w:rPr>
            </w:pPr>
            <w:r>
              <w:rPr>
                <w:rFonts w:cs="Times New Roman"/>
                <w:color w:val="auto"/>
              </w:rPr>
              <w:t>75.0</w:t>
            </w:r>
          </w:p>
        </w:tc>
        <w:tc>
          <w:tcPr>
            <w:tcW w:w="682" w:type="pct"/>
            <w:tcBorders>
              <w:top w:val="nil"/>
              <w:left w:val="nil"/>
              <w:bottom w:val="single" w:color="auto" w:sz="4" w:space="0"/>
              <w:right w:val="single" w:color="auto" w:sz="4" w:space="0"/>
            </w:tcBorders>
            <w:shd w:val="clear" w:color="auto" w:fill="auto"/>
            <w:vAlign w:val="center"/>
          </w:tcPr>
          <w:p w14:paraId="29A33CE4">
            <w:pPr>
              <w:pStyle w:val="218"/>
              <w:rPr>
                <w:color w:val="auto"/>
              </w:rPr>
            </w:pPr>
            <w:r>
              <w:rPr>
                <w:rFonts w:hint="eastAsia"/>
                <w:color w:val="auto"/>
              </w:rPr>
              <w:t>达标</w:t>
            </w:r>
          </w:p>
        </w:tc>
      </w:tr>
    </w:tbl>
    <w:p w14:paraId="1A3463B0">
      <w:pPr>
        <w:ind w:firstLine="480"/>
      </w:pPr>
      <w:r>
        <w:rPr>
          <w:rFonts w:hint="eastAsia"/>
        </w:rPr>
        <w:t>根据淮安市人民政府2024年9月发布的《淮安市空气质量持续改善行动两年实施方案》，2024年全市PM</w:t>
      </w:r>
      <w:r>
        <w:rPr>
          <w:rFonts w:hint="eastAsia"/>
          <w:vertAlign w:val="subscript"/>
        </w:rPr>
        <w:t>2.5</w:t>
      </w:r>
      <w:r>
        <w:rPr>
          <w:rFonts w:hint="eastAsia"/>
        </w:rPr>
        <w:t>浓度达到35微克/立方米左右；2025年全市PM</w:t>
      </w:r>
      <w:r>
        <w:rPr>
          <w:rFonts w:hint="eastAsia"/>
          <w:vertAlign w:val="subscript"/>
        </w:rPr>
        <w:t>2.5</w:t>
      </w:r>
      <w:r>
        <w:rPr>
          <w:rFonts w:hint="eastAsia"/>
        </w:rPr>
        <w:t>浓度达到国家二级标准；完成国家下达的氮氧化物和VOCs减排目标。</w:t>
      </w:r>
    </w:p>
    <w:p w14:paraId="528CB2E3">
      <w:pPr>
        <w:ind w:firstLine="480"/>
      </w:pPr>
      <w:r>
        <w:rPr>
          <w:rFonts w:hint="eastAsia"/>
        </w:rPr>
        <w:t>实施方案包括优化“三项结构”，强化“两项治理”，加强“四项建设”，研究部署九个方面26项任务，以空气质量持续改善推动经济高质量发展。</w:t>
      </w:r>
    </w:p>
    <w:p w14:paraId="7AB7A06D">
      <w:pPr>
        <w:ind w:firstLine="482"/>
      </w:pPr>
      <w:r>
        <w:rPr>
          <w:rFonts w:hint="eastAsia"/>
          <w:b/>
          <w:bCs/>
        </w:rPr>
        <w:t>一是优化“三项结构”</w:t>
      </w:r>
      <w:r>
        <w:rPr>
          <w:rFonts w:hint="eastAsia"/>
        </w:rPr>
        <w:t>，加快绿色低碳发展。</w:t>
      </w:r>
      <w:r>
        <w:rPr>
          <w:rFonts w:hint="eastAsia"/>
          <w:b/>
          <w:bCs/>
        </w:rPr>
        <w:t>优化产业结构，</w:t>
      </w:r>
      <w:r>
        <w:rPr>
          <w:rFonts w:hint="eastAsia"/>
        </w:rPr>
        <w:t>坚决遏制高耗能、高排放、低水平项目盲目上马，加强“两高”项目审批把关和实地核查。加快退出重点行业落后产能。推进园区、产业集群绿色低碳化改造与综合整治。优化含VOCs原辅材料和产品结构。深入实施绿色创建“十百千”行动，力争创建省级以上绿色工厂10家。</w:t>
      </w:r>
      <w:r>
        <w:rPr>
          <w:rFonts w:hint="eastAsia"/>
          <w:b/>
          <w:bCs/>
        </w:rPr>
        <w:t>优化能源结构，</w:t>
      </w:r>
      <w:r>
        <w:rPr>
          <w:rFonts w:hint="eastAsia"/>
        </w:rPr>
        <w:t>大力发展新能源和清洁能源，严格合理控制煤炭消费总量，深入推进燃煤锅炉关停整合和工业炉窑清洁能源替代。</w:t>
      </w:r>
      <w:r>
        <w:rPr>
          <w:rFonts w:hint="eastAsia"/>
          <w:b/>
          <w:bCs/>
        </w:rPr>
        <w:t>优化交通结构，</w:t>
      </w:r>
      <w:r>
        <w:rPr>
          <w:rFonts w:hint="eastAsia"/>
        </w:rPr>
        <w:t>调整货物运输结构，大宗货物中长距离运输时，优先采用铁路、水路运输，充分发挥淮安水运优势；加快提升机动车清洁化水平，强化非道路移动源综合治理。</w:t>
      </w:r>
    </w:p>
    <w:p w14:paraId="7192805D">
      <w:pPr>
        <w:ind w:firstLine="482"/>
      </w:pPr>
      <w:r>
        <w:rPr>
          <w:rFonts w:hint="eastAsia"/>
          <w:b/>
          <w:bCs/>
        </w:rPr>
        <w:t>二是强化“两项治理”</w:t>
      </w:r>
      <w:r>
        <w:rPr>
          <w:rFonts w:hint="eastAsia"/>
        </w:rPr>
        <w:t>，降低污染物排放强度。</w:t>
      </w:r>
      <w:r>
        <w:rPr>
          <w:rFonts w:hint="eastAsia"/>
          <w:b/>
          <w:bCs/>
        </w:rPr>
        <w:t>强化面源污染整治，</w:t>
      </w:r>
      <w:r>
        <w:rPr>
          <w:rFonts w:hint="eastAsia"/>
        </w:rPr>
        <w:t>加强建筑工地、港口码头、道路、</w:t>
      </w:r>
      <w:r>
        <w:rPr>
          <w:rFonts w:hint="eastAsia"/>
          <w:lang w:eastAsia="zh-CN"/>
        </w:rPr>
        <w:t>公共绿地</w:t>
      </w:r>
      <w:r>
        <w:rPr>
          <w:rFonts w:hint="eastAsia"/>
        </w:rPr>
        <w:t>等各类扬尘源管控，完善扬尘污染防治体系，推进矿山生态环境综合整治。加强秸秆综合利用和禁烧，不断提高秸秆综合利用率。</w:t>
      </w:r>
      <w:r>
        <w:rPr>
          <w:rFonts w:hint="eastAsia"/>
          <w:b/>
          <w:bCs/>
        </w:rPr>
        <w:t>强化污染物减排，</w:t>
      </w:r>
      <w:r>
        <w:rPr>
          <w:rFonts w:hint="eastAsia"/>
        </w:rPr>
        <w:t>推动VOCs全流程、全环节综合治理。推进重点行业超低排放改造。巩固钢铁行业和燃煤锅炉超低排放改造成效，有序推进铸造、垃圾焚烧发电、水泥、焦化等行业改造和治理。实施重点行业绩效等级提升行动，培育一批绩效A级、B级和引领性企业。加强部门联动，因地制宜解决人民群众反映集中的油烟和恶臭扰民问题。稳步推进大气氨污染防控。</w:t>
      </w:r>
    </w:p>
    <w:p w14:paraId="1C5358E9">
      <w:pPr>
        <w:ind w:firstLine="482"/>
      </w:pPr>
      <w:r>
        <w:rPr>
          <w:rFonts w:hint="eastAsia"/>
          <w:b/>
          <w:bCs/>
        </w:rPr>
        <w:t>三是加强“四项建设”，即机制建设、能力建设、</w:t>
      </w:r>
      <w:r>
        <w:rPr>
          <w:rFonts w:hint="eastAsia"/>
          <w:b/>
          <w:bCs/>
          <w:lang w:eastAsia="zh-CN"/>
        </w:rPr>
        <w:t>法治建设</w:t>
      </w:r>
      <w:r>
        <w:rPr>
          <w:rFonts w:hint="eastAsia"/>
          <w:b/>
          <w:bCs/>
        </w:rPr>
        <w:t>、组织建设。</w:t>
      </w:r>
      <w:r>
        <w:rPr>
          <w:rFonts w:hint="eastAsia"/>
        </w:rPr>
        <w:t>深化区域大气污染防治协作机制和城市空气质量达标管理。建立健全市县（区）重污染天气应急预案体系，完善重污染天气应对机制。加强监测和执法监管能力建设，依法拓展非现场监管手段应用，联合多部门联合执法。强化法律法规标准引领，积极发挥财政金融引导作用。通过加强组织领导，严格监督考核，引导全民共治，构建全社会参与的环境治理体系。</w:t>
      </w:r>
    </w:p>
    <w:p w14:paraId="59AE5295">
      <w:pPr>
        <w:ind w:firstLine="480"/>
      </w:pPr>
      <w:r>
        <w:rPr>
          <w:rFonts w:hint="eastAsia"/>
        </w:rPr>
        <w:t>涟水县人民政府2024年1月发布《关于印发涟水县2024年生态环境基础设施建设重点项目计划的通知》（涟政发〔2024〕3号），将实施光大（涟水）固废焚烧烟气治理项目等污染治理项目。</w:t>
      </w:r>
    </w:p>
    <w:p w14:paraId="2C87D24B">
      <w:pPr>
        <w:ind w:firstLine="480"/>
      </w:pPr>
      <w:r>
        <w:rPr>
          <w:rFonts w:hint="eastAsia"/>
        </w:rPr>
        <w:t>随着淮安市实施方案和涟水县生态环境重点项目的实施，本项目区域空气质量将得到持续改善。</w:t>
      </w:r>
    </w:p>
    <w:bookmarkEnd w:id="250"/>
    <w:p w14:paraId="6DFD2815">
      <w:pPr>
        <w:pStyle w:val="84"/>
      </w:pPr>
      <w:r>
        <w:rPr>
          <w:rFonts w:hint="eastAsia"/>
        </w:rPr>
        <w:t>评价区环境空气质量补充监测与评价</w:t>
      </w:r>
    </w:p>
    <w:p w14:paraId="23F7B2DA">
      <w:pPr>
        <w:pStyle w:val="93"/>
      </w:pPr>
      <w:r>
        <w:rPr>
          <w:rFonts w:hint="eastAsia"/>
        </w:rPr>
        <w:t>本</w:t>
      </w:r>
      <w:r>
        <w:rPr>
          <w:rStyle w:val="140"/>
          <w:rFonts w:hint="eastAsia"/>
          <w:color w:val="auto"/>
        </w:rPr>
        <w:t>次评价委托江苏正</w:t>
      </w:r>
      <w:r>
        <w:rPr>
          <w:rFonts w:hint="eastAsia"/>
        </w:rPr>
        <w:t>康检测技术有限公司开展环境空气质量补充监测。监测时间</w:t>
      </w:r>
      <w:r>
        <w:t>2023/08/16-2023/08/22</w:t>
      </w:r>
      <w:r>
        <w:rPr>
          <w:rFonts w:hint="eastAsia"/>
        </w:rPr>
        <w:t>。</w:t>
      </w:r>
    </w:p>
    <w:p w14:paraId="70952D88">
      <w:pPr>
        <w:ind w:firstLine="482"/>
        <w:rPr>
          <w:b/>
          <w:bCs/>
        </w:rPr>
      </w:pPr>
      <w:r>
        <w:rPr>
          <w:rFonts w:hint="eastAsia"/>
          <w:b/>
          <w:bCs/>
        </w:rPr>
        <w:t>（1）监测布点</w:t>
      </w:r>
    </w:p>
    <w:p w14:paraId="2600C088">
      <w:pPr>
        <w:pStyle w:val="93"/>
      </w:pPr>
      <w:r>
        <w:rPr>
          <w:rFonts w:hint="eastAsia"/>
        </w:rPr>
        <w:t>监测点位布设见表4.3-2、</w:t>
      </w:r>
      <w:r>
        <w:rPr>
          <w:rFonts w:hint="eastAsia"/>
          <w:bCs/>
        </w:rPr>
        <w:t>图4.3-1</w:t>
      </w:r>
      <w:r>
        <w:rPr>
          <w:rFonts w:hint="eastAsia"/>
        </w:rPr>
        <w:t>。</w:t>
      </w:r>
    </w:p>
    <w:p w14:paraId="05E6DA48">
      <w:pPr>
        <w:pStyle w:val="86"/>
      </w:pPr>
      <w:r>
        <w:rPr>
          <w:rFonts w:hint="eastAsia"/>
        </w:rPr>
        <w:t>大气监测点位一览表</w:t>
      </w:r>
    </w:p>
    <w:tbl>
      <w:tblPr>
        <w:tblStyle w:val="38"/>
        <w:tblW w:w="5000" w:type="pct"/>
        <w:jc w:val="center"/>
        <w:tblLayout w:type="autofit"/>
        <w:tblCellMar>
          <w:top w:w="0" w:type="dxa"/>
          <w:left w:w="108" w:type="dxa"/>
          <w:bottom w:w="0" w:type="dxa"/>
          <w:right w:w="108" w:type="dxa"/>
        </w:tblCellMar>
      </w:tblPr>
      <w:tblGrid>
        <w:gridCol w:w="2376"/>
        <w:gridCol w:w="3304"/>
        <w:gridCol w:w="2841"/>
      </w:tblGrid>
      <w:tr w14:paraId="6BEB9BC5">
        <w:tblPrEx>
          <w:tblCellMar>
            <w:top w:w="0" w:type="dxa"/>
            <w:left w:w="108" w:type="dxa"/>
            <w:bottom w:w="0" w:type="dxa"/>
            <w:right w:w="108" w:type="dxa"/>
          </w:tblCellMar>
        </w:tblPrEx>
        <w:trPr>
          <w:trHeight w:val="340" w:hRule="atLeast"/>
          <w:jc w:val="center"/>
        </w:trPr>
        <w:tc>
          <w:tcPr>
            <w:tcW w:w="1394" w:type="pct"/>
            <w:tcBorders>
              <w:top w:val="single" w:color="auto" w:sz="6" w:space="0"/>
              <w:left w:val="single" w:color="auto" w:sz="6" w:space="0"/>
              <w:bottom w:val="single" w:color="auto" w:sz="6" w:space="0"/>
              <w:right w:val="single" w:color="auto" w:sz="6" w:space="0"/>
            </w:tcBorders>
            <w:vAlign w:val="center"/>
          </w:tcPr>
          <w:p w14:paraId="0450AA77">
            <w:pPr>
              <w:pStyle w:val="196"/>
            </w:pPr>
            <w:r>
              <w:rPr>
                <w:rFonts w:hint="eastAsia"/>
              </w:rPr>
              <w:t>编号</w:t>
            </w:r>
          </w:p>
        </w:tc>
        <w:tc>
          <w:tcPr>
            <w:tcW w:w="1938" w:type="pct"/>
            <w:tcBorders>
              <w:top w:val="single" w:color="auto" w:sz="6" w:space="0"/>
              <w:left w:val="single" w:color="auto" w:sz="6" w:space="0"/>
              <w:bottom w:val="single" w:color="auto" w:sz="6" w:space="0"/>
              <w:right w:val="single" w:color="auto" w:sz="6" w:space="0"/>
            </w:tcBorders>
            <w:vAlign w:val="center"/>
          </w:tcPr>
          <w:p w14:paraId="25A85473">
            <w:pPr>
              <w:pStyle w:val="196"/>
            </w:pPr>
            <w:r>
              <w:t>位置</w:t>
            </w:r>
          </w:p>
        </w:tc>
        <w:tc>
          <w:tcPr>
            <w:tcW w:w="1666" w:type="pct"/>
            <w:tcBorders>
              <w:top w:val="single" w:color="auto" w:sz="6" w:space="0"/>
              <w:left w:val="single" w:color="auto" w:sz="6" w:space="0"/>
              <w:bottom w:val="single" w:color="auto" w:sz="6" w:space="0"/>
              <w:right w:val="single" w:color="auto" w:sz="6" w:space="0"/>
            </w:tcBorders>
            <w:vAlign w:val="center"/>
          </w:tcPr>
          <w:p w14:paraId="45BC829D">
            <w:pPr>
              <w:pStyle w:val="196"/>
            </w:pPr>
            <w:r>
              <w:t>监测项目</w:t>
            </w:r>
          </w:p>
        </w:tc>
      </w:tr>
      <w:tr w14:paraId="7F14CBC7">
        <w:tblPrEx>
          <w:tblCellMar>
            <w:top w:w="0" w:type="dxa"/>
            <w:left w:w="108" w:type="dxa"/>
            <w:bottom w:w="0" w:type="dxa"/>
            <w:right w:w="108" w:type="dxa"/>
          </w:tblCellMar>
        </w:tblPrEx>
        <w:trPr>
          <w:trHeight w:val="340" w:hRule="atLeast"/>
          <w:jc w:val="center"/>
        </w:trPr>
        <w:tc>
          <w:tcPr>
            <w:tcW w:w="1394" w:type="pct"/>
            <w:tcBorders>
              <w:top w:val="single" w:color="auto" w:sz="6" w:space="0"/>
              <w:left w:val="single" w:color="auto" w:sz="6" w:space="0"/>
              <w:bottom w:val="single" w:color="auto" w:sz="6" w:space="0"/>
              <w:right w:val="single" w:color="auto" w:sz="6" w:space="0"/>
            </w:tcBorders>
            <w:vAlign w:val="center"/>
          </w:tcPr>
          <w:p w14:paraId="48C3D37F">
            <w:pPr>
              <w:pStyle w:val="196"/>
            </w:pPr>
            <w:r>
              <w:rPr>
                <w:rFonts w:hint="eastAsia"/>
              </w:rPr>
              <w:t>G</w:t>
            </w:r>
            <w:r>
              <w:rPr>
                <w:rFonts w:hint="eastAsia"/>
                <w:lang w:val="en-US"/>
              </w:rPr>
              <w:t>1</w:t>
            </w:r>
          </w:p>
        </w:tc>
        <w:tc>
          <w:tcPr>
            <w:tcW w:w="1938" w:type="pct"/>
            <w:tcBorders>
              <w:top w:val="single" w:color="auto" w:sz="6" w:space="0"/>
              <w:left w:val="single" w:color="auto" w:sz="6" w:space="0"/>
              <w:bottom w:val="single" w:color="auto" w:sz="6" w:space="0"/>
              <w:right w:val="single" w:color="auto" w:sz="6" w:space="0"/>
            </w:tcBorders>
            <w:vAlign w:val="center"/>
          </w:tcPr>
          <w:p w14:paraId="1B957D97">
            <w:pPr>
              <w:pStyle w:val="196"/>
            </w:pPr>
            <w:r>
              <w:rPr>
                <w:rFonts w:hint="eastAsia"/>
              </w:rPr>
              <w:t>电厂码头</w:t>
            </w:r>
          </w:p>
        </w:tc>
        <w:tc>
          <w:tcPr>
            <w:tcW w:w="1666" w:type="pct"/>
            <w:vMerge w:val="restart"/>
            <w:tcBorders>
              <w:left w:val="single" w:color="auto" w:sz="6" w:space="0"/>
              <w:right w:val="single" w:color="auto" w:sz="6" w:space="0"/>
            </w:tcBorders>
            <w:vAlign w:val="center"/>
          </w:tcPr>
          <w:p w14:paraId="50FFC426">
            <w:pPr>
              <w:pStyle w:val="196"/>
              <w:rPr>
                <w:rFonts w:eastAsia="仿宋_GB2312"/>
              </w:rPr>
            </w:pPr>
            <w:r>
              <w:t>TSP、非甲烷总烃</w:t>
            </w:r>
            <w:r>
              <w:rPr>
                <w:rFonts w:hint="eastAsia"/>
              </w:rPr>
              <w:t>、NH</w:t>
            </w:r>
            <w:r>
              <w:rPr>
                <w:rFonts w:hint="eastAsia"/>
                <w:vertAlign w:val="subscript"/>
              </w:rPr>
              <w:t>3</w:t>
            </w:r>
            <w:r>
              <w:rPr>
                <w:rFonts w:hint="eastAsia"/>
              </w:rPr>
              <w:t>、H</w:t>
            </w:r>
            <w:r>
              <w:rPr>
                <w:rFonts w:hint="eastAsia"/>
                <w:vertAlign w:val="subscript"/>
              </w:rPr>
              <w:t>2</w:t>
            </w:r>
            <w:r>
              <w:rPr>
                <w:rFonts w:hint="eastAsia"/>
              </w:rPr>
              <w:t>S、</w:t>
            </w:r>
            <w:r>
              <w:rPr>
                <w:rFonts w:hint="eastAsia"/>
                <w:lang w:eastAsia="zh-CN"/>
              </w:rPr>
              <w:t>臭氧浓度</w:t>
            </w:r>
          </w:p>
        </w:tc>
      </w:tr>
      <w:tr w14:paraId="2A487155">
        <w:tblPrEx>
          <w:tblCellMar>
            <w:top w:w="0" w:type="dxa"/>
            <w:left w:w="108" w:type="dxa"/>
            <w:bottom w:w="0" w:type="dxa"/>
            <w:right w:w="108" w:type="dxa"/>
          </w:tblCellMar>
        </w:tblPrEx>
        <w:trPr>
          <w:trHeight w:val="340" w:hRule="atLeast"/>
          <w:jc w:val="center"/>
        </w:trPr>
        <w:tc>
          <w:tcPr>
            <w:tcW w:w="1394" w:type="pct"/>
            <w:tcBorders>
              <w:top w:val="single" w:color="auto" w:sz="6" w:space="0"/>
              <w:left w:val="single" w:color="auto" w:sz="6" w:space="0"/>
              <w:bottom w:val="single" w:color="auto" w:sz="6" w:space="0"/>
              <w:right w:val="single" w:color="auto" w:sz="6" w:space="0"/>
            </w:tcBorders>
            <w:vAlign w:val="center"/>
          </w:tcPr>
          <w:p w14:paraId="5BDA99A9">
            <w:pPr>
              <w:pStyle w:val="196"/>
            </w:pPr>
            <w:r>
              <w:rPr>
                <w:rFonts w:hint="eastAsia"/>
              </w:rPr>
              <w:t>G</w:t>
            </w:r>
            <w:r>
              <w:rPr>
                <w:rFonts w:hint="eastAsia"/>
                <w:lang w:val="en-US"/>
              </w:rPr>
              <w:t>2</w:t>
            </w:r>
          </w:p>
        </w:tc>
        <w:tc>
          <w:tcPr>
            <w:tcW w:w="1938" w:type="pct"/>
            <w:tcBorders>
              <w:top w:val="single" w:color="auto" w:sz="6" w:space="0"/>
              <w:left w:val="single" w:color="auto" w:sz="6" w:space="0"/>
              <w:bottom w:val="single" w:color="auto" w:sz="6" w:space="0"/>
              <w:right w:val="single" w:color="auto" w:sz="6" w:space="0"/>
            </w:tcBorders>
            <w:vAlign w:val="center"/>
          </w:tcPr>
          <w:p w14:paraId="6C45D8B6">
            <w:pPr>
              <w:pStyle w:val="196"/>
            </w:pPr>
            <w:r>
              <w:rPr>
                <w:rFonts w:hint="eastAsia"/>
              </w:rPr>
              <w:t>厂址西南侧</w:t>
            </w:r>
            <w:r>
              <w:rPr>
                <w:rFonts w:hint="eastAsia"/>
                <w:lang w:val="en-US"/>
              </w:rPr>
              <w:t>约960</w:t>
            </w:r>
            <w:r>
              <w:rPr>
                <w:rFonts w:hint="eastAsia"/>
              </w:rPr>
              <w:t>m处越堆村</w:t>
            </w:r>
          </w:p>
        </w:tc>
        <w:tc>
          <w:tcPr>
            <w:tcW w:w="1666" w:type="pct"/>
            <w:vMerge w:val="continue"/>
            <w:tcBorders>
              <w:left w:val="single" w:color="auto" w:sz="6" w:space="0"/>
              <w:bottom w:val="single" w:color="auto" w:sz="6" w:space="0"/>
              <w:right w:val="single" w:color="auto" w:sz="6" w:space="0"/>
            </w:tcBorders>
            <w:vAlign w:val="center"/>
          </w:tcPr>
          <w:p w14:paraId="4E97A2AC">
            <w:pPr>
              <w:pStyle w:val="196"/>
              <w:rPr>
                <w:rFonts w:eastAsia="仿宋_GB2312"/>
              </w:rPr>
            </w:pPr>
          </w:p>
        </w:tc>
      </w:tr>
    </w:tbl>
    <w:p w14:paraId="3830A358">
      <w:pPr>
        <w:ind w:firstLine="482"/>
        <w:rPr>
          <w:b/>
          <w:bCs/>
        </w:rPr>
      </w:pPr>
      <w:r>
        <w:rPr>
          <w:rFonts w:hint="eastAsia"/>
          <w:b/>
          <w:bCs/>
        </w:rPr>
        <w:t>（2）监测项目及频次</w:t>
      </w:r>
    </w:p>
    <w:p w14:paraId="3CF73C2A">
      <w:pPr>
        <w:ind w:firstLine="480"/>
        <w:rPr>
          <w:szCs w:val="24"/>
        </w:rPr>
      </w:pPr>
      <w:r>
        <w:rPr>
          <w:rFonts w:hint="eastAsia"/>
          <w:szCs w:val="24"/>
        </w:rPr>
        <w:t>TSP</w:t>
      </w:r>
      <w:r>
        <w:rPr>
          <w:rFonts w:hint="eastAsia" w:ascii="宋体" w:hAnsi="宋体"/>
          <w:szCs w:val="24"/>
        </w:rPr>
        <w:t>、</w:t>
      </w:r>
      <w:r>
        <w:rPr>
          <w:rFonts w:hint="eastAsia"/>
          <w:szCs w:val="24"/>
        </w:rPr>
        <w:t>非甲烷总烃</w:t>
      </w:r>
      <w:r>
        <w:rPr>
          <w:rFonts w:hint="eastAsia" w:ascii="宋体" w:hAnsi="宋体"/>
          <w:szCs w:val="24"/>
        </w:rPr>
        <w:t>、氨气、</w:t>
      </w:r>
      <w:r>
        <w:rPr>
          <w:rFonts w:hint="eastAsia"/>
          <w:szCs w:val="24"/>
        </w:rPr>
        <w:t>H</w:t>
      </w:r>
      <w:r>
        <w:rPr>
          <w:rFonts w:hint="eastAsia"/>
          <w:szCs w:val="24"/>
          <w:vertAlign w:val="subscript"/>
        </w:rPr>
        <w:t>2</w:t>
      </w:r>
      <w:r>
        <w:rPr>
          <w:rFonts w:hint="eastAsia"/>
          <w:szCs w:val="24"/>
        </w:rPr>
        <w:t>S</w:t>
      </w:r>
      <w:r>
        <w:rPr>
          <w:rFonts w:hint="eastAsia" w:ascii="宋体" w:hAnsi="宋体"/>
          <w:szCs w:val="24"/>
        </w:rPr>
        <w:t>、</w:t>
      </w:r>
      <w:r>
        <w:rPr>
          <w:rFonts w:hint="eastAsia" w:ascii="宋体" w:hAnsi="宋体"/>
          <w:szCs w:val="24"/>
          <w:lang w:eastAsia="zh-CN"/>
        </w:rPr>
        <w:t>臭氧浓度</w:t>
      </w:r>
      <w:r>
        <w:rPr>
          <w:rFonts w:hint="eastAsia" w:ascii="宋体" w:hAnsi="宋体"/>
          <w:szCs w:val="24"/>
        </w:rPr>
        <w:t>。</w:t>
      </w:r>
    </w:p>
    <w:p w14:paraId="73CBDEE3">
      <w:pPr>
        <w:ind w:firstLine="480"/>
        <w:rPr>
          <w:szCs w:val="24"/>
        </w:rPr>
      </w:pPr>
      <w:r>
        <w:rPr>
          <w:rFonts w:hint="eastAsia"/>
          <w:szCs w:val="24"/>
        </w:rPr>
        <w:t>TSP</w:t>
      </w:r>
      <w:r>
        <w:rPr>
          <w:rFonts w:hint="eastAsia" w:ascii="宋体" w:hAnsi="宋体"/>
          <w:szCs w:val="24"/>
        </w:rPr>
        <w:t>监测</w:t>
      </w:r>
      <w:r>
        <w:rPr>
          <w:rFonts w:hint="eastAsia"/>
          <w:szCs w:val="24"/>
        </w:rPr>
        <w:t>24</w:t>
      </w:r>
      <w:r>
        <w:rPr>
          <w:rFonts w:hint="eastAsia" w:ascii="宋体" w:hAnsi="宋体"/>
          <w:szCs w:val="24"/>
        </w:rPr>
        <w:t>小时平均浓度，</w:t>
      </w:r>
      <w:r>
        <w:rPr>
          <w:rFonts w:hint="eastAsia"/>
          <w:szCs w:val="24"/>
        </w:rPr>
        <w:t>非甲烷总烃</w:t>
      </w:r>
      <w:r>
        <w:rPr>
          <w:rFonts w:hint="eastAsia" w:ascii="宋体" w:hAnsi="宋体"/>
          <w:szCs w:val="24"/>
        </w:rPr>
        <w:t>、氨气、</w:t>
      </w:r>
      <w:r>
        <w:rPr>
          <w:rFonts w:hint="eastAsia"/>
          <w:szCs w:val="24"/>
        </w:rPr>
        <w:t>H</w:t>
      </w:r>
      <w:r>
        <w:rPr>
          <w:rFonts w:hint="eastAsia"/>
          <w:szCs w:val="24"/>
          <w:vertAlign w:val="subscript"/>
        </w:rPr>
        <w:t>2</w:t>
      </w:r>
      <w:r>
        <w:rPr>
          <w:rFonts w:hint="eastAsia"/>
          <w:szCs w:val="24"/>
        </w:rPr>
        <w:t>S</w:t>
      </w:r>
      <w:r>
        <w:rPr>
          <w:rFonts w:hint="eastAsia" w:ascii="宋体" w:hAnsi="宋体"/>
          <w:szCs w:val="24"/>
        </w:rPr>
        <w:t>、臭气浓度监测</w:t>
      </w:r>
      <w:r>
        <w:rPr>
          <w:rFonts w:hint="eastAsia"/>
          <w:szCs w:val="24"/>
        </w:rPr>
        <w:t>1h</w:t>
      </w:r>
      <w:r>
        <w:rPr>
          <w:rFonts w:hint="eastAsia" w:ascii="宋体" w:hAnsi="宋体"/>
          <w:szCs w:val="24"/>
        </w:rPr>
        <w:t>平均浓度值，连续监测</w:t>
      </w:r>
      <w:r>
        <w:rPr>
          <w:rFonts w:hint="eastAsia"/>
          <w:szCs w:val="24"/>
        </w:rPr>
        <w:t>7</w:t>
      </w:r>
      <w:r>
        <w:rPr>
          <w:rFonts w:hint="eastAsia" w:ascii="宋体" w:hAnsi="宋体"/>
          <w:szCs w:val="24"/>
        </w:rPr>
        <w:t>天。</w:t>
      </w:r>
    </w:p>
    <w:p w14:paraId="6F329D2D">
      <w:pPr>
        <w:ind w:firstLine="482"/>
        <w:rPr>
          <w:b/>
          <w:bCs/>
        </w:rPr>
      </w:pPr>
      <w:r>
        <w:rPr>
          <w:rFonts w:hint="eastAsia"/>
          <w:b/>
          <w:bCs/>
        </w:rPr>
        <w:t>（3）监测频次</w:t>
      </w:r>
    </w:p>
    <w:p w14:paraId="03C4CB27">
      <w:pPr>
        <w:ind w:firstLine="480"/>
        <w:rPr>
          <w:szCs w:val="24"/>
        </w:rPr>
      </w:pPr>
      <w:r>
        <w:rPr>
          <w:rFonts w:hint="eastAsia"/>
          <w:szCs w:val="24"/>
        </w:rPr>
        <w:t>TSP 24</w:t>
      </w:r>
      <w:r>
        <w:rPr>
          <w:rFonts w:hint="eastAsia" w:ascii="宋体" w:hAnsi="宋体"/>
          <w:szCs w:val="24"/>
        </w:rPr>
        <w:t>小时平均浓度连续监测</w:t>
      </w:r>
      <w:r>
        <w:rPr>
          <w:rFonts w:hint="eastAsia"/>
          <w:szCs w:val="24"/>
        </w:rPr>
        <w:t>24</w:t>
      </w:r>
      <w:r>
        <w:rPr>
          <w:rFonts w:hint="eastAsia" w:ascii="宋体" w:hAnsi="宋体"/>
          <w:szCs w:val="24"/>
        </w:rPr>
        <w:t>个小时，连续监测</w:t>
      </w:r>
      <w:r>
        <w:rPr>
          <w:rFonts w:hint="eastAsia"/>
          <w:szCs w:val="24"/>
        </w:rPr>
        <w:t>7</w:t>
      </w:r>
      <w:r>
        <w:rPr>
          <w:rFonts w:hint="eastAsia" w:ascii="宋体" w:hAnsi="宋体"/>
          <w:szCs w:val="24"/>
        </w:rPr>
        <w:t>天。</w:t>
      </w:r>
    </w:p>
    <w:p w14:paraId="63120E34">
      <w:pPr>
        <w:ind w:firstLine="480"/>
        <w:rPr>
          <w:szCs w:val="24"/>
        </w:rPr>
      </w:pPr>
      <w:r>
        <w:rPr>
          <w:rFonts w:hint="eastAsia"/>
          <w:szCs w:val="24"/>
        </w:rPr>
        <w:t>非甲烷总烃</w:t>
      </w:r>
      <w:r>
        <w:rPr>
          <w:rFonts w:hint="eastAsia" w:ascii="宋体" w:hAnsi="宋体"/>
          <w:szCs w:val="24"/>
        </w:rPr>
        <w:t>、氨、</w:t>
      </w:r>
      <w:r>
        <w:rPr>
          <w:rFonts w:hint="eastAsia"/>
          <w:szCs w:val="24"/>
        </w:rPr>
        <w:t>H</w:t>
      </w:r>
      <w:r>
        <w:rPr>
          <w:rFonts w:hint="eastAsia"/>
          <w:szCs w:val="24"/>
          <w:vertAlign w:val="subscript"/>
        </w:rPr>
        <w:t>2</w:t>
      </w:r>
      <w:r>
        <w:rPr>
          <w:rFonts w:hint="eastAsia"/>
          <w:szCs w:val="24"/>
        </w:rPr>
        <w:t>S</w:t>
      </w:r>
      <w:r>
        <w:rPr>
          <w:rFonts w:hint="eastAsia" w:ascii="宋体" w:hAnsi="宋体"/>
          <w:szCs w:val="24"/>
        </w:rPr>
        <w:t>、</w:t>
      </w:r>
      <w:r>
        <w:rPr>
          <w:rFonts w:hint="eastAsia" w:ascii="宋体" w:hAnsi="宋体"/>
          <w:szCs w:val="24"/>
          <w:lang w:eastAsia="zh-CN"/>
        </w:rPr>
        <w:t>臭氧浓度</w:t>
      </w:r>
      <w:r>
        <w:rPr>
          <w:rFonts w:hint="eastAsia" w:ascii="宋体" w:hAnsi="宋体"/>
          <w:szCs w:val="24"/>
        </w:rPr>
        <w:t>小时平均值连续监测</w:t>
      </w:r>
      <w:r>
        <w:rPr>
          <w:szCs w:val="24"/>
        </w:rPr>
        <w:t>7</w:t>
      </w:r>
      <w:r>
        <w:rPr>
          <w:rFonts w:hint="eastAsia" w:ascii="宋体" w:hAnsi="宋体"/>
          <w:szCs w:val="24"/>
        </w:rPr>
        <w:t>天，每天</w:t>
      </w:r>
      <w:r>
        <w:rPr>
          <w:szCs w:val="24"/>
        </w:rPr>
        <w:t>4</w:t>
      </w:r>
      <w:r>
        <w:rPr>
          <w:rFonts w:hint="eastAsia" w:ascii="宋体" w:hAnsi="宋体"/>
          <w:szCs w:val="24"/>
        </w:rPr>
        <w:t>次（</w:t>
      </w:r>
      <w:r>
        <w:rPr>
          <w:szCs w:val="24"/>
        </w:rPr>
        <w:t>02</w:t>
      </w:r>
      <w:r>
        <w:rPr>
          <w:rFonts w:hint="eastAsia" w:ascii="宋体" w:hAnsi="宋体"/>
          <w:szCs w:val="24"/>
        </w:rPr>
        <w:t>、</w:t>
      </w:r>
      <w:r>
        <w:rPr>
          <w:szCs w:val="24"/>
        </w:rPr>
        <w:t>08</w:t>
      </w:r>
      <w:r>
        <w:rPr>
          <w:rFonts w:hint="eastAsia" w:ascii="宋体" w:hAnsi="宋体"/>
          <w:szCs w:val="24"/>
        </w:rPr>
        <w:t>、</w:t>
      </w:r>
      <w:r>
        <w:rPr>
          <w:szCs w:val="24"/>
        </w:rPr>
        <w:t>14</w:t>
      </w:r>
      <w:r>
        <w:rPr>
          <w:rFonts w:hint="eastAsia" w:ascii="宋体" w:hAnsi="宋体"/>
          <w:szCs w:val="24"/>
        </w:rPr>
        <w:t>、</w:t>
      </w:r>
      <w:r>
        <w:rPr>
          <w:szCs w:val="24"/>
        </w:rPr>
        <w:t>20</w:t>
      </w:r>
      <w:r>
        <w:rPr>
          <w:rFonts w:hint="eastAsia" w:ascii="宋体" w:hAnsi="宋体"/>
          <w:szCs w:val="24"/>
        </w:rPr>
        <w:t>时各一次），每次不少于</w:t>
      </w:r>
      <w:r>
        <w:rPr>
          <w:szCs w:val="24"/>
        </w:rPr>
        <w:t>45</w:t>
      </w:r>
      <w:r>
        <w:rPr>
          <w:rFonts w:hint="eastAsia" w:ascii="宋体" w:hAnsi="宋体"/>
          <w:szCs w:val="24"/>
        </w:rPr>
        <w:t>分钟。</w:t>
      </w:r>
    </w:p>
    <w:p w14:paraId="46B7BCFA">
      <w:pPr>
        <w:ind w:firstLine="480"/>
        <w:rPr>
          <w:szCs w:val="24"/>
        </w:rPr>
      </w:pPr>
      <w:r>
        <w:rPr>
          <w:rFonts w:hint="eastAsia" w:ascii="宋体" w:hAnsi="宋体"/>
          <w:szCs w:val="24"/>
        </w:rPr>
        <w:t>监测时同步测量气温、气压、湿度、风向、风速等气象参数。</w:t>
      </w:r>
    </w:p>
    <w:p w14:paraId="11D9A5BB">
      <w:pPr>
        <w:ind w:firstLine="482"/>
        <w:rPr>
          <w:b/>
          <w:bCs/>
        </w:rPr>
      </w:pPr>
      <w:r>
        <w:rPr>
          <w:rFonts w:hint="eastAsia"/>
          <w:b/>
          <w:bCs/>
        </w:rPr>
        <w:t>（4）采样及分析方法</w:t>
      </w:r>
    </w:p>
    <w:p w14:paraId="65B7A16A">
      <w:pPr>
        <w:pStyle w:val="86"/>
      </w:pPr>
      <w:r>
        <w:rPr>
          <w:rFonts w:hint="eastAsia"/>
        </w:rPr>
        <w:t>环境空气监测项目、分析方法和依据</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2474"/>
        <w:gridCol w:w="2423"/>
        <w:gridCol w:w="1985"/>
      </w:tblGrid>
      <w:tr w14:paraId="75F8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50B85F56">
            <w:pPr>
              <w:pStyle w:val="196"/>
            </w:pPr>
            <w:r>
              <w:rPr>
                <w:rFonts w:hint="eastAsia"/>
              </w:rPr>
              <w:t>项目</w:t>
            </w:r>
          </w:p>
        </w:tc>
        <w:tc>
          <w:tcPr>
            <w:tcW w:w="1452" w:type="pct"/>
            <w:vAlign w:val="center"/>
          </w:tcPr>
          <w:p w14:paraId="4C2E3B6F">
            <w:pPr>
              <w:pStyle w:val="196"/>
            </w:pPr>
            <w:r>
              <w:rPr>
                <w:rFonts w:hint="eastAsia"/>
              </w:rPr>
              <w:t>检测方法</w:t>
            </w:r>
          </w:p>
        </w:tc>
        <w:tc>
          <w:tcPr>
            <w:tcW w:w="1422" w:type="pct"/>
            <w:vAlign w:val="center"/>
          </w:tcPr>
          <w:p w14:paraId="24AAFF52">
            <w:pPr>
              <w:pStyle w:val="196"/>
            </w:pPr>
            <w:r>
              <w:rPr>
                <w:rFonts w:hint="eastAsia"/>
              </w:rPr>
              <w:t>方法依据</w:t>
            </w:r>
          </w:p>
        </w:tc>
        <w:tc>
          <w:tcPr>
            <w:tcW w:w="1165" w:type="pct"/>
            <w:vAlign w:val="center"/>
          </w:tcPr>
          <w:p w14:paraId="4F11B924">
            <w:pPr>
              <w:pStyle w:val="196"/>
            </w:pPr>
            <w:r>
              <w:rPr>
                <w:rFonts w:hint="eastAsia"/>
              </w:rPr>
              <w:t>检出限mg/m</w:t>
            </w:r>
            <w:r>
              <w:rPr>
                <w:rFonts w:hint="eastAsia"/>
                <w:vertAlign w:val="superscript"/>
              </w:rPr>
              <w:t>3</w:t>
            </w:r>
          </w:p>
        </w:tc>
      </w:tr>
      <w:tr w14:paraId="4C4C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580AE9F7">
            <w:pPr>
              <w:pStyle w:val="196"/>
            </w:pPr>
            <w:r>
              <w:rPr>
                <w:rFonts w:hint="eastAsia"/>
              </w:rPr>
              <w:t>TSP</w:t>
            </w:r>
          </w:p>
        </w:tc>
        <w:tc>
          <w:tcPr>
            <w:tcW w:w="1452" w:type="pct"/>
            <w:vAlign w:val="center"/>
          </w:tcPr>
          <w:p w14:paraId="35BE8053">
            <w:pPr>
              <w:pStyle w:val="196"/>
            </w:pPr>
            <w:r>
              <w:rPr>
                <w:rFonts w:hint="eastAsia"/>
              </w:rPr>
              <w:t>重量法</w:t>
            </w:r>
          </w:p>
        </w:tc>
        <w:tc>
          <w:tcPr>
            <w:tcW w:w="1422" w:type="pct"/>
            <w:vAlign w:val="center"/>
          </w:tcPr>
          <w:p w14:paraId="684DB097">
            <w:pPr>
              <w:pStyle w:val="196"/>
            </w:pPr>
            <w:r>
              <w:rPr>
                <w:rFonts w:hint="eastAsia"/>
              </w:rPr>
              <w:t>GB/T 15432-1995</w:t>
            </w:r>
          </w:p>
        </w:tc>
        <w:tc>
          <w:tcPr>
            <w:tcW w:w="1165" w:type="pct"/>
            <w:vAlign w:val="center"/>
          </w:tcPr>
          <w:p w14:paraId="077C72CA">
            <w:pPr>
              <w:pStyle w:val="196"/>
            </w:pPr>
            <w:r>
              <w:rPr>
                <w:rFonts w:hint="eastAsia"/>
              </w:rPr>
              <w:t>0.001</w:t>
            </w:r>
          </w:p>
        </w:tc>
      </w:tr>
      <w:tr w14:paraId="30E52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2BCC68D3">
            <w:pPr>
              <w:pStyle w:val="196"/>
            </w:pPr>
            <w:r>
              <w:rPr>
                <w:rFonts w:hint="eastAsia"/>
                <w:szCs w:val="24"/>
              </w:rPr>
              <w:t>非甲烷总烃</w:t>
            </w:r>
          </w:p>
        </w:tc>
        <w:tc>
          <w:tcPr>
            <w:tcW w:w="1452" w:type="pct"/>
            <w:vAlign w:val="center"/>
          </w:tcPr>
          <w:p w14:paraId="5BDE36F9">
            <w:pPr>
              <w:pStyle w:val="196"/>
            </w:pPr>
            <w:r>
              <w:rPr>
                <w:rFonts w:hint="eastAsia"/>
              </w:rPr>
              <w:t>直接进样-气相色谱法</w:t>
            </w:r>
          </w:p>
        </w:tc>
        <w:tc>
          <w:tcPr>
            <w:tcW w:w="1422" w:type="pct"/>
            <w:vAlign w:val="center"/>
          </w:tcPr>
          <w:p w14:paraId="76EFE3DE">
            <w:pPr>
              <w:pStyle w:val="196"/>
            </w:pPr>
            <w:r>
              <w:rPr>
                <w:rFonts w:hint="eastAsia"/>
              </w:rPr>
              <w:t>HJ 604-2017</w:t>
            </w:r>
          </w:p>
        </w:tc>
        <w:tc>
          <w:tcPr>
            <w:tcW w:w="1165" w:type="pct"/>
            <w:vAlign w:val="center"/>
          </w:tcPr>
          <w:p w14:paraId="6C05ADB0">
            <w:pPr>
              <w:pStyle w:val="196"/>
            </w:pPr>
            <w:r>
              <w:rPr>
                <w:rFonts w:hint="eastAsia"/>
              </w:rPr>
              <w:t>0.07</w:t>
            </w:r>
          </w:p>
        </w:tc>
      </w:tr>
      <w:tr w14:paraId="6A61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61B48F84">
            <w:pPr>
              <w:pStyle w:val="196"/>
            </w:pPr>
            <w:r>
              <w:rPr>
                <w:rFonts w:hint="eastAsia"/>
              </w:rPr>
              <w:t>NH</w:t>
            </w:r>
            <w:r>
              <w:rPr>
                <w:rFonts w:hint="eastAsia"/>
                <w:vertAlign w:val="subscript"/>
              </w:rPr>
              <w:t>3</w:t>
            </w:r>
          </w:p>
        </w:tc>
        <w:tc>
          <w:tcPr>
            <w:tcW w:w="1452" w:type="pct"/>
            <w:vAlign w:val="center"/>
          </w:tcPr>
          <w:p w14:paraId="66F2B42F">
            <w:pPr>
              <w:pStyle w:val="196"/>
            </w:pPr>
            <w:r>
              <w:rPr>
                <w:rFonts w:hint="eastAsia"/>
              </w:rPr>
              <w:t>环境空气和废气 氨的测定 纳氏试剂分光光度法</w:t>
            </w:r>
          </w:p>
        </w:tc>
        <w:tc>
          <w:tcPr>
            <w:tcW w:w="1422" w:type="pct"/>
            <w:vAlign w:val="center"/>
          </w:tcPr>
          <w:p w14:paraId="07F76B3C">
            <w:pPr>
              <w:pStyle w:val="196"/>
            </w:pPr>
            <w:r>
              <w:rPr>
                <w:rFonts w:hint="eastAsia"/>
              </w:rPr>
              <w:t>HJ533-2009</w:t>
            </w:r>
          </w:p>
        </w:tc>
        <w:tc>
          <w:tcPr>
            <w:tcW w:w="1165" w:type="pct"/>
            <w:vAlign w:val="center"/>
          </w:tcPr>
          <w:p w14:paraId="39D98F73">
            <w:pPr>
              <w:pStyle w:val="196"/>
            </w:pPr>
            <w:r>
              <w:rPr>
                <w:rFonts w:hint="eastAsia"/>
              </w:rPr>
              <w:t>0.01</w:t>
            </w:r>
          </w:p>
        </w:tc>
      </w:tr>
      <w:tr w14:paraId="09C4B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265DF50A">
            <w:pPr>
              <w:pStyle w:val="196"/>
            </w:pPr>
            <w:r>
              <w:rPr>
                <w:rFonts w:hint="eastAsia"/>
              </w:rPr>
              <w:t>H</w:t>
            </w:r>
            <w:r>
              <w:rPr>
                <w:rFonts w:hint="eastAsia"/>
                <w:vertAlign w:val="subscript"/>
              </w:rPr>
              <w:t>2</w:t>
            </w:r>
            <w:r>
              <w:rPr>
                <w:rFonts w:hint="eastAsia"/>
              </w:rPr>
              <w:t>S</w:t>
            </w:r>
          </w:p>
        </w:tc>
        <w:tc>
          <w:tcPr>
            <w:tcW w:w="1452" w:type="pct"/>
            <w:vAlign w:val="center"/>
          </w:tcPr>
          <w:p w14:paraId="7D8E4ABC">
            <w:pPr>
              <w:pStyle w:val="196"/>
            </w:pPr>
            <w:r>
              <w:rPr>
                <w:rFonts w:hint="eastAsia"/>
              </w:rPr>
              <w:t>亚甲基蓝分光光度法</w:t>
            </w:r>
          </w:p>
        </w:tc>
        <w:tc>
          <w:tcPr>
            <w:tcW w:w="1422" w:type="pct"/>
            <w:vAlign w:val="center"/>
          </w:tcPr>
          <w:p w14:paraId="56D600C9">
            <w:pPr>
              <w:pStyle w:val="196"/>
            </w:pPr>
            <w:r>
              <w:rPr>
                <w:rFonts w:hint="eastAsia"/>
              </w:rPr>
              <w:t>《空气和废气监测分析方法》（第四版增补版）国家环境保护总局（（2003年）</w:t>
            </w:r>
          </w:p>
        </w:tc>
        <w:tc>
          <w:tcPr>
            <w:tcW w:w="1165" w:type="pct"/>
            <w:vAlign w:val="center"/>
          </w:tcPr>
          <w:p w14:paraId="6AE90DD6">
            <w:pPr>
              <w:pStyle w:val="196"/>
            </w:pPr>
            <w:r>
              <w:rPr>
                <w:rFonts w:hint="eastAsia"/>
              </w:rPr>
              <w:t>0.001</w:t>
            </w:r>
          </w:p>
        </w:tc>
      </w:tr>
      <w:tr w14:paraId="2D08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9" w:type="pct"/>
            <w:vAlign w:val="center"/>
          </w:tcPr>
          <w:p w14:paraId="5BA22F24">
            <w:pPr>
              <w:pStyle w:val="196"/>
            </w:pPr>
            <w:r>
              <w:rPr>
                <w:rFonts w:hint="eastAsia"/>
              </w:rPr>
              <w:t>臭气浓度</w:t>
            </w:r>
          </w:p>
        </w:tc>
        <w:tc>
          <w:tcPr>
            <w:tcW w:w="1452" w:type="pct"/>
            <w:vAlign w:val="center"/>
          </w:tcPr>
          <w:p w14:paraId="77F77069">
            <w:pPr>
              <w:pStyle w:val="196"/>
            </w:pPr>
            <w:r>
              <w:rPr>
                <w:rFonts w:hint="eastAsia"/>
              </w:rPr>
              <w:t>三点比较式臭袋法</w:t>
            </w:r>
          </w:p>
        </w:tc>
        <w:tc>
          <w:tcPr>
            <w:tcW w:w="1422" w:type="pct"/>
            <w:vAlign w:val="center"/>
          </w:tcPr>
          <w:p w14:paraId="6AA06168">
            <w:pPr>
              <w:pStyle w:val="196"/>
            </w:pPr>
            <w:r>
              <w:rPr>
                <w:rFonts w:hint="eastAsia"/>
              </w:rPr>
              <w:t>GB/T 14675-1993</w:t>
            </w:r>
          </w:p>
        </w:tc>
        <w:tc>
          <w:tcPr>
            <w:tcW w:w="1165" w:type="pct"/>
            <w:vAlign w:val="center"/>
          </w:tcPr>
          <w:p w14:paraId="25C5B6F6">
            <w:pPr>
              <w:pStyle w:val="196"/>
            </w:pPr>
            <w:r>
              <w:rPr>
                <w:rFonts w:hint="eastAsia"/>
              </w:rPr>
              <w:t>/</w:t>
            </w:r>
          </w:p>
        </w:tc>
      </w:tr>
    </w:tbl>
    <w:p w14:paraId="46108DA0">
      <w:pPr>
        <w:ind w:firstLine="482"/>
        <w:rPr>
          <w:b/>
          <w:bCs/>
        </w:rPr>
      </w:pPr>
      <w:r>
        <w:rPr>
          <w:rFonts w:hint="eastAsia"/>
          <w:b/>
          <w:bCs/>
        </w:rPr>
        <w:t>（5）监测结果与评价</w:t>
      </w:r>
    </w:p>
    <w:p w14:paraId="04160EB1">
      <w:pPr>
        <w:pStyle w:val="93"/>
      </w:pPr>
      <w:r>
        <w:rPr>
          <w:rFonts w:hint="eastAsia"/>
        </w:rPr>
        <w:t>大气环境质量现状采用单项标准指数法，即：</w:t>
      </w:r>
    </w:p>
    <w:p w14:paraId="5D3E4E6D">
      <w:pPr>
        <w:ind w:firstLine="480"/>
      </w:pPr>
      <w:r>
        <w:rPr>
          <w:rFonts w:hint="eastAsia"/>
        </w:rPr>
        <w:t>I</w:t>
      </w:r>
      <w:r>
        <w:rPr>
          <w:rFonts w:hint="eastAsia"/>
          <w:vertAlign w:val="subscript"/>
        </w:rPr>
        <w:t xml:space="preserve">ij  </w:t>
      </w:r>
      <w:r>
        <w:rPr>
          <w:rFonts w:hint="eastAsia"/>
        </w:rPr>
        <w:t>=  C</w:t>
      </w:r>
      <w:r>
        <w:rPr>
          <w:rFonts w:hint="eastAsia"/>
          <w:vertAlign w:val="subscript"/>
        </w:rPr>
        <w:t xml:space="preserve">ij  </w:t>
      </w:r>
      <w:r>
        <w:rPr>
          <w:rFonts w:hint="eastAsia"/>
        </w:rPr>
        <w:t>/ C</w:t>
      </w:r>
      <w:r>
        <w:rPr>
          <w:rFonts w:hint="eastAsia"/>
          <w:vertAlign w:val="subscript"/>
        </w:rPr>
        <w:t xml:space="preserve">sj </w:t>
      </w:r>
    </w:p>
    <w:p w14:paraId="3A53994B">
      <w:pPr>
        <w:ind w:firstLine="480"/>
      </w:pPr>
      <w:r>
        <w:rPr>
          <w:rFonts w:hint="eastAsia"/>
        </w:rPr>
        <w:t>式中：I</w:t>
      </w:r>
      <w:r>
        <w:rPr>
          <w:rFonts w:hint="eastAsia"/>
          <w:vertAlign w:val="subscript"/>
        </w:rPr>
        <w:t>ij</w:t>
      </w:r>
      <w:r>
        <w:rPr>
          <w:rFonts w:hint="eastAsia"/>
          <w:vertAlign w:val="subscript"/>
          <w:lang w:eastAsia="zh-CN"/>
        </w:rPr>
        <w:t>：</w:t>
      </w:r>
      <w:r>
        <w:rPr>
          <w:rFonts w:hint="eastAsia"/>
        </w:rPr>
        <w:t>第i种污染物在第j点的标准指数；</w:t>
      </w:r>
    </w:p>
    <w:p w14:paraId="342CA917">
      <w:pPr>
        <w:ind w:firstLine="480"/>
      </w:pPr>
      <w:r>
        <w:rPr>
          <w:rFonts w:hint="eastAsia"/>
        </w:rPr>
        <w:t>C</w:t>
      </w:r>
      <w:r>
        <w:rPr>
          <w:rFonts w:hint="eastAsia"/>
          <w:vertAlign w:val="subscript"/>
        </w:rPr>
        <w:t>ij</w:t>
      </w:r>
      <w:r>
        <w:rPr>
          <w:rFonts w:hint="eastAsia"/>
          <w:vertAlign w:val="subscript"/>
          <w:lang w:eastAsia="zh-CN"/>
        </w:rPr>
        <w:t>：</w:t>
      </w:r>
      <w:r>
        <w:rPr>
          <w:rFonts w:hint="eastAsia"/>
        </w:rPr>
        <w:t>第i种污染物在第j点的</w:t>
      </w:r>
      <w:r>
        <w:rPr>
          <w:rFonts w:hint="eastAsia"/>
          <w:lang w:eastAsia="zh-CN"/>
        </w:rPr>
        <w:t>检测值</w:t>
      </w:r>
      <w:r>
        <w:rPr>
          <w:rFonts w:hint="eastAsia"/>
        </w:rPr>
        <w:t>，mg/m</w:t>
      </w:r>
      <w:r>
        <w:rPr>
          <w:rFonts w:hint="eastAsia"/>
          <w:vertAlign w:val="superscript"/>
        </w:rPr>
        <w:t>3</w:t>
      </w:r>
      <w:r>
        <w:rPr>
          <w:rFonts w:hint="eastAsia"/>
        </w:rPr>
        <w:t>；</w:t>
      </w:r>
    </w:p>
    <w:p w14:paraId="305F9ED7">
      <w:pPr>
        <w:ind w:firstLine="480"/>
      </w:pPr>
      <w:r>
        <w:rPr>
          <w:rFonts w:hint="eastAsia"/>
        </w:rPr>
        <w:t>C</w:t>
      </w:r>
      <w:r>
        <w:rPr>
          <w:rFonts w:hint="eastAsia"/>
          <w:vertAlign w:val="subscript"/>
        </w:rPr>
        <w:t>Sj</w:t>
      </w:r>
      <w:r>
        <w:rPr>
          <w:rFonts w:hint="eastAsia"/>
          <w:vertAlign w:val="subscript"/>
          <w:lang w:eastAsia="zh-CN"/>
        </w:rPr>
        <w:t>：</w:t>
      </w:r>
      <w:r>
        <w:rPr>
          <w:rFonts w:hint="eastAsia"/>
        </w:rPr>
        <w:t>第i种污染物的评价标准，mg/m</w:t>
      </w:r>
      <w:r>
        <w:rPr>
          <w:rFonts w:hint="eastAsia"/>
          <w:vertAlign w:val="superscript"/>
        </w:rPr>
        <w:t>3</w:t>
      </w:r>
      <w:r>
        <w:rPr>
          <w:rFonts w:hint="eastAsia"/>
        </w:rPr>
        <w:t>。</w:t>
      </w:r>
    </w:p>
    <w:p w14:paraId="5F5D5C85">
      <w:pPr>
        <w:pStyle w:val="93"/>
      </w:pPr>
      <w:r>
        <w:rPr>
          <w:rFonts w:hint="eastAsia"/>
        </w:rPr>
        <w:t>监测结果经统计整理汇总见表4.3-4，厂区同步气象参数见4.3-4。</w:t>
      </w:r>
    </w:p>
    <w:p w14:paraId="1BB33FEC">
      <w:pPr>
        <w:pStyle w:val="86"/>
      </w:pPr>
      <w:r>
        <w:rPr>
          <w:rFonts w:hint="eastAsia"/>
        </w:rPr>
        <w:t>监测结果统计汇总单位</w:t>
      </w:r>
    </w:p>
    <w:tbl>
      <w:tblPr>
        <w:tblStyle w:val="38"/>
        <w:tblW w:w="6177" w:type="pct"/>
        <w:jc w:val="center"/>
        <w:tblLayout w:type="fixed"/>
        <w:tblCellMar>
          <w:top w:w="0" w:type="dxa"/>
          <w:left w:w="108" w:type="dxa"/>
          <w:bottom w:w="0" w:type="dxa"/>
          <w:right w:w="108" w:type="dxa"/>
        </w:tblCellMar>
      </w:tblPr>
      <w:tblGrid>
        <w:gridCol w:w="800"/>
        <w:gridCol w:w="1508"/>
        <w:gridCol w:w="770"/>
        <w:gridCol w:w="1228"/>
        <w:gridCol w:w="953"/>
        <w:gridCol w:w="1013"/>
        <w:gridCol w:w="846"/>
        <w:gridCol w:w="1232"/>
        <w:gridCol w:w="1162"/>
        <w:gridCol w:w="1015"/>
      </w:tblGrid>
      <w:tr w14:paraId="5C2C870B">
        <w:tblPrEx>
          <w:tblCellMar>
            <w:top w:w="0" w:type="dxa"/>
            <w:left w:w="108" w:type="dxa"/>
            <w:bottom w:w="0" w:type="dxa"/>
            <w:right w:w="108" w:type="dxa"/>
          </w:tblCellMar>
        </w:tblPrEx>
        <w:trPr>
          <w:trHeight w:val="288" w:hRule="atLeast"/>
          <w:jc w:val="center"/>
        </w:trPr>
        <w:tc>
          <w:tcPr>
            <w:tcW w:w="38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A7FFE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监测点位</w:t>
            </w:r>
          </w:p>
        </w:tc>
        <w:tc>
          <w:tcPr>
            <w:tcW w:w="7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10F91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监测项目</w:t>
            </w:r>
          </w:p>
        </w:tc>
        <w:tc>
          <w:tcPr>
            <w:tcW w:w="36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431B03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单位</w:t>
            </w:r>
          </w:p>
        </w:tc>
        <w:tc>
          <w:tcPr>
            <w:tcW w:w="5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42104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取值类型</w:t>
            </w:r>
          </w:p>
        </w:tc>
        <w:tc>
          <w:tcPr>
            <w:tcW w:w="934" w:type="pct"/>
            <w:gridSpan w:val="2"/>
            <w:tcBorders>
              <w:top w:val="single" w:color="auto" w:sz="4" w:space="0"/>
              <w:left w:val="nil"/>
              <w:bottom w:val="single" w:color="auto" w:sz="4" w:space="0"/>
              <w:right w:val="single" w:color="auto" w:sz="4" w:space="0"/>
            </w:tcBorders>
            <w:shd w:val="clear" w:color="auto" w:fill="auto"/>
            <w:vAlign w:val="center"/>
          </w:tcPr>
          <w:p w14:paraId="1E77A65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浓度范围</w:t>
            </w:r>
          </w:p>
        </w:tc>
        <w:tc>
          <w:tcPr>
            <w:tcW w:w="402" w:type="pct"/>
            <w:vMerge w:val="restart"/>
            <w:tcBorders>
              <w:top w:val="single" w:color="auto" w:sz="4" w:space="0"/>
              <w:left w:val="single" w:color="auto" w:sz="4" w:space="0"/>
              <w:right w:val="single" w:color="auto" w:sz="4" w:space="0"/>
            </w:tcBorders>
            <w:shd w:val="clear" w:color="auto" w:fill="auto"/>
            <w:vAlign w:val="center"/>
          </w:tcPr>
          <w:p w14:paraId="6F35786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标准限值</w:t>
            </w:r>
          </w:p>
        </w:tc>
        <w:tc>
          <w:tcPr>
            <w:tcW w:w="585" w:type="pct"/>
            <w:vMerge w:val="restart"/>
            <w:tcBorders>
              <w:top w:val="single" w:color="auto" w:sz="4" w:space="0"/>
              <w:left w:val="single" w:color="auto" w:sz="4" w:space="0"/>
              <w:right w:val="single" w:color="auto" w:sz="4" w:space="0"/>
            </w:tcBorders>
            <w:shd w:val="clear" w:color="auto" w:fill="auto"/>
            <w:vAlign w:val="center"/>
          </w:tcPr>
          <w:p w14:paraId="7158D99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最大占标率（</w:t>
            </w:r>
            <w:r>
              <w:rPr>
                <w:rFonts w:eastAsia="宋体" w:cs="Times New Roman"/>
                <w:kern w:val="0"/>
                <w:sz w:val="21"/>
              </w:rPr>
              <w:t>%</w:t>
            </w:r>
            <w:r>
              <w:rPr>
                <w:rFonts w:hint="eastAsia" w:ascii="宋体" w:hAnsi="宋体" w:eastAsia="宋体" w:cs="宋体"/>
                <w:kern w:val="0"/>
                <w:sz w:val="21"/>
              </w:rPr>
              <w:t>）</w:t>
            </w:r>
          </w:p>
        </w:tc>
        <w:tc>
          <w:tcPr>
            <w:tcW w:w="552" w:type="pct"/>
            <w:vMerge w:val="restart"/>
            <w:tcBorders>
              <w:top w:val="single" w:color="auto" w:sz="4" w:space="0"/>
              <w:left w:val="single" w:color="auto" w:sz="4" w:space="0"/>
              <w:right w:val="single" w:color="auto" w:sz="4" w:space="0"/>
            </w:tcBorders>
            <w:shd w:val="clear" w:color="auto" w:fill="auto"/>
            <w:vAlign w:val="center"/>
          </w:tcPr>
          <w:p w14:paraId="78A13FE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超标率（</w:t>
            </w:r>
            <w:r>
              <w:rPr>
                <w:rFonts w:eastAsia="宋体" w:cs="Times New Roman"/>
                <w:kern w:val="0"/>
                <w:sz w:val="21"/>
              </w:rPr>
              <w:t>%</w:t>
            </w:r>
            <w:r>
              <w:rPr>
                <w:rFonts w:hint="eastAsia" w:ascii="宋体" w:hAnsi="宋体" w:eastAsia="宋体" w:cs="宋体"/>
                <w:kern w:val="0"/>
                <w:sz w:val="21"/>
              </w:rPr>
              <w:t>）</w:t>
            </w:r>
          </w:p>
        </w:tc>
        <w:tc>
          <w:tcPr>
            <w:tcW w:w="483" w:type="pct"/>
            <w:vMerge w:val="restart"/>
            <w:tcBorders>
              <w:top w:val="single" w:color="auto" w:sz="4" w:space="0"/>
              <w:left w:val="single" w:color="auto" w:sz="4" w:space="0"/>
              <w:right w:val="single" w:color="auto" w:sz="4" w:space="0"/>
            </w:tcBorders>
            <w:shd w:val="clear" w:color="auto" w:fill="auto"/>
            <w:vAlign w:val="center"/>
          </w:tcPr>
          <w:p w14:paraId="5D1DD2C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达标情况</w:t>
            </w:r>
          </w:p>
        </w:tc>
      </w:tr>
      <w:tr w14:paraId="173B9FF1">
        <w:tblPrEx>
          <w:tblCellMar>
            <w:top w:w="0" w:type="dxa"/>
            <w:left w:w="108" w:type="dxa"/>
            <w:bottom w:w="0" w:type="dxa"/>
            <w:right w:w="108" w:type="dxa"/>
          </w:tblCellMar>
        </w:tblPrEx>
        <w:trPr>
          <w:trHeight w:val="288" w:hRule="atLeast"/>
          <w:jc w:val="center"/>
        </w:trPr>
        <w:tc>
          <w:tcPr>
            <w:tcW w:w="380" w:type="pct"/>
            <w:vMerge w:val="continue"/>
            <w:tcBorders>
              <w:top w:val="single" w:color="auto" w:sz="4" w:space="0"/>
              <w:left w:val="single" w:color="auto" w:sz="4" w:space="0"/>
              <w:bottom w:val="single" w:color="auto" w:sz="4" w:space="0"/>
              <w:right w:val="single" w:color="auto" w:sz="4" w:space="0"/>
            </w:tcBorders>
            <w:vAlign w:val="center"/>
          </w:tcPr>
          <w:p w14:paraId="33458DE9">
            <w:pPr>
              <w:spacing w:line="240" w:lineRule="auto"/>
              <w:ind w:firstLine="0" w:firstLineChars="0"/>
              <w:rPr>
                <w:rFonts w:hint="eastAsia" w:ascii="宋体" w:hAnsi="宋体" w:eastAsia="宋体" w:cs="宋体"/>
                <w:kern w:val="0"/>
                <w:sz w:val="21"/>
              </w:rPr>
            </w:pPr>
          </w:p>
        </w:tc>
        <w:tc>
          <w:tcPr>
            <w:tcW w:w="716" w:type="pct"/>
            <w:vMerge w:val="continue"/>
            <w:tcBorders>
              <w:top w:val="single" w:color="auto" w:sz="4" w:space="0"/>
              <w:left w:val="single" w:color="auto" w:sz="4" w:space="0"/>
              <w:bottom w:val="single" w:color="auto" w:sz="4" w:space="0"/>
              <w:right w:val="single" w:color="auto" w:sz="4" w:space="0"/>
            </w:tcBorders>
            <w:vAlign w:val="center"/>
          </w:tcPr>
          <w:p w14:paraId="0E61E01D">
            <w:pPr>
              <w:spacing w:line="240" w:lineRule="auto"/>
              <w:ind w:firstLine="0" w:firstLineChars="0"/>
              <w:rPr>
                <w:rFonts w:hint="eastAsia" w:ascii="宋体" w:hAnsi="宋体" w:eastAsia="宋体" w:cs="宋体"/>
                <w:kern w:val="0"/>
                <w:sz w:val="21"/>
              </w:rPr>
            </w:pPr>
          </w:p>
        </w:tc>
        <w:tc>
          <w:tcPr>
            <w:tcW w:w="366" w:type="pct"/>
            <w:vMerge w:val="continue"/>
            <w:tcBorders>
              <w:top w:val="single" w:color="auto" w:sz="4" w:space="0"/>
              <w:left w:val="single" w:color="auto" w:sz="4" w:space="0"/>
              <w:bottom w:val="single" w:color="auto" w:sz="4" w:space="0"/>
              <w:right w:val="single" w:color="auto" w:sz="4" w:space="0"/>
            </w:tcBorders>
            <w:vAlign w:val="center"/>
          </w:tcPr>
          <w:p w14:paraId="5BDF826A">
            <w:pPr>
              <w:spacing w:line="240" w:lineRule="auto"/>
              <w:ind w:firstLine="0" w:firstLineChars="0"/>
              <w:rPr>
                <w:rFonts w:hint="eastAsia" w:ascii="宋体" w:hAnsi="宋体" w:eastAsia="宋体" w:cs="宋体"/>
                <w:kern w:val="0"/>
                <w:sz w:val="21"/>
              </w:rPr>
            </w:pPr>
          </w:p>
        </w:tc>
        <w:tc>
          <w:tcPr>
            <w:tcW w:w="583" w:type="pct"/>
            <w:vMerge w:val="continue"/>
            <w:tcBorders>
              <w:top w:val="single" w:color="auto" w:sz="4" w:space="0"/>
              <w:left w:val="single" w:color="auto" w:sz="4" w:space="0"/>
              <w:bottom w:val="single" w:color="auto" w:sz="4" w:space="0"/>
              <w:right w:val="single" w:color="auto" w:sz="4" w:space="0"/>
            </w:tcBorders>
            <w:vAlign w:val="center"/>
          </w:tcPr>
          <w:p w14:paraId="289AFA18">
            <w:pPr>
              <w:spacing w:line="240" w:lineRule="auto"/>
              <w:ind w:firstLine="0" w:firstLineChars="0"/>
              <w:rPr>
                <w:rFonts w:hint="eastAsia" w:ascii="宋体" w:hAnsi="宋体" w:eastAsia="宋体" w:cs="宋体"/>
                <w:kern w:val="0"/>
                <w:sz w:val="21"/>
              </w:rPr>
            </w:pPr>
          </w:p>
        </w:tc>
        <w:tc>
          <w:tcPr>
            <w:tcW w:w="453" w:type="pct"/>
            <w:tcBorders>
              <w:top w:val="nil"/>
              <w:left w:val="nil"/>
              <w:bottom w:val="single" w:color="auto" w:sz="4" w:space="0"/>
              <w:right w:val="single" w:color="auto" w:sz="4" w:space="0"/>
            </w:tcBorders>
            <w:shd w:val="clear" w:color="auto" w:fill="auto"/>
            <w:vAlign w:val="center"/>
          </w:tcPr>
          <w:p w14:paraId="5C793F8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最小值</w:t>
            </w:r>
          </w:p>
        </w:tc>
        <w:tc>
          <w:tcPr>
            <w:tcW w:w="481" w:type="pct"/>
            <w:tcBorders>
              <w:top w:val="nil"/>
              <w:left w:val="nil"/>
              <w:bottom w:val="single" w:color="auto" w:sz="4" w:space="0"/>
              <w:right w:val="single" w:color="auto" w:sz="4" w:space="0"/>
            </w:tcBorders>
            <w:shd w:val="clear" w:color="auto" w:fill="auto"/>
            <w:vAlign w:val="center"/>
          </w:tcPr>
          <w:p w14:paraId="32875C4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最大值</w:t>
            </w:r>
          </w:p>
        </w:tc>
        <w:tc>
          <w:tcPr>
            <w:tcW w:w="402" w:type="pct"/>
            <w:vMerge w:val="continue"/>
            <w:tcBorders>
              <w:left w:val="single" w:color="auto" w:sz="4" w:space="0"/>
              <w:bottom w:val="single" w:color="auto" w:sz="4" w:space="0"/>
              <w:right w:val="single" w:color="auto" w:sz="4" w:space="0"/>
            </w:tcBorders>
            <w:vAlign w:val="center"/>
          </w:tcPr>
          <w:p w14:paraId="0DEC3D7B">
            <w:pPr>
              <w:spacing w:line="240" w:lineRule="auto"/>
              <w:ind w:firstLine="0" w:firstLineChars="0"/>
              <w:rPr>
                <w:rFonts w:hint="eastAsia" w:ascii="宋体" w:hAnsi="宋体" w:eastAsia="宋体" w:cs="宋体"/>
                <w:kern w:val="0"/>
                <w:sz w:val="21"/>
              </w:rPr>
            </w:pPr>
          </w:p>
        </w:tc>
        <w:tc>
          <w:tcPr>
            <w:tcW w:w="585" w:type="pct"/>
            <w:vMerge w:val="continue"/>
            <w:tcBorders>
              <w:left w:val="single" w:color="auto" w:sz="4" w:space="0"/>
              <w:bottom w:val="single" w:color="auto" w:sz="4" w:space="0"/>
              <w:right w:val="single" w:color="auto" w:sz="4" w:space="0"/>
            </w:tcBorders>
            <w:vAlign w:val="center"/>
          </w:tcPr>
          <w:p w14:paraId="3AFF4CCF">
            <w:pPr>
              <w:spacing w:line="240" w:lineRule="auto"/>
              <w:ind w:firstLine="0" w:firstLineChars="0"/>
              <w:rPr>
                <w:rFonts w:hint="eastAsia" w:ascii="宋体" w:hAnsi="宋体" w:eastAsia="宋体" w:cs="宋体"/>
                <w:kern w:val="0"/>
                <w:sz w:val="21"/>
              </w:rPr>
            </w:pPr>
          </w:p>
        </w:tc>
        <w:tc>
          <w:tcPr>
            <w:tcW w:w="552" w:type="pct"/>
            <w:vMerge w:val="continue"/>
            <w:tcBorders>
              <w:left w:val="single" w:color="auto" w:sz="4" w:space="0"/>
              <w:bottom w:val="single" w:color="auto" w:sz="4" w:space="0"/>
              <w:right w:val="single" w:color="auto" w:sz="4" w:space="0"/>
            </w:tcBorders>
            <w:vAlign w:val="center"/>
          </w:tcPr>
          <w:p w14:paraId="6F3272B8">
            <w:pPr>
              <w:spacing w:line="240" w:lineRule="auto"/>
              <w:ind w:firstLine="0" w:firstLineChars="0"/>
              <w:rPr>
                <w:rFonts w:hint="eastAsia" w:ascii="宋体" w:hAnsi="宋体" w:eastAsia="宋体" w:cs="宋体"/>
                <w:kern w:val="0"/>
                <w:sz w:val="21"/>
              </w:rPr>
            </w:pPr>
          </w:p>
        </w:tc>
        <w:tc>
          <w:tcPr>
            <w:tcW w:w="483" w:type="pct"/>
            <w:vMerge w:val="continue"/>
            <w:tcBorders>
              <w:left w:val="single" w:color="auto" w:sz="4" w:space="0"/>
              <w:bottom w:val="single" w:color="auto" w:sz="4" w:space="0"/>
              <w:right w:val="single" w:color="auto" w:sz="4" w:space="0"/>
            </w:tcBorders>
            <w:vAlign w:val="center"/>
          </w:tcPr>
          <w:p w14:paraId="7D67EEA8">
            <w:pPr>
              <w:spacing w:line="240" w:lineRule="auto"/>
              <w:ind w:firstLine="0" w:firstLineChars="0"/>
              <w:rPr>
                <w:rFonts w:hint="eastAsia" w:ascii="宋体" w:hAnsi="宋体" w:eastAsia="宋体" w:cs="宋体"/>
                <w:kern w:val="0"/>
                <w:sz w:val="21"/>
              </w:rPr>
            </w:pPr>
          </w:p>
        </w:tc>
      </w:tr>
      <w:tr w14:paraId="10AAE076">
        <w:tblPrEx>
          <w:tblCellMar>
            <w:top w:w="0" w:type="dxa"/>
            <w:left w:w="108" w:type="dxa"/>
            <w:bottom w:w="0" w:type="dxa"/>
            <w:right w:w="108" w:type="dxa"/>
          </w:tblCellMar>
        </w:tblPrEx>
        <w:trPr>
          <w:trHeight w:val="312" w:hRule="atLeast"/>
          <w:jc w:val="center"/>
        </w:trPr>
        <w:tc>
          <w:tcPr>
            <w:tcW w:w="380" w:type="pct"/>
            <w:vMerge w:val="restart"/>
            <w:tcBorders>
              <w:top w:val="nil"/>
              <w:left w:val="single" w:color="auto" w:sz="4" w:space="0"/>
              <w:bottom w:val="single" w:color="auto" w:sz="4" w:space="0"/>
              <w:right w:val="single" w:color="auto" w:sz="4" w:space="0"/>
            </w:tcBorders>
            <w:shd w:val="clear" w:color="auto" w:fill="auto"/>
            <w:vAlign w:val="center"/>
          </w:tcPr>
          <w:p w14:paraId="65738C3B">
            <w:pPr>
              <w:spacing w:line="240" w:lineRule="auto"/>
              <w:ind w:firstLine="0" w:firstLineChars="0"/>
              <w:jc w:val="center"/>
              <w:rPr>
                <w:rFonts w:eastAsia="等线" w:cs="Times New Roman"/>
                <w:kern w:val="0"/>
                <w:sz w:val="21"/>
              </w:rPr>
            </w:pPr>
            <w:r>
              <w:rPr>
                <w:rFonts w:eastAsia="等线" w:cs="Times New Roman"/>
                <w:kern w:val="0"/>
                <w:sz w:val="21"/>
              </w:rPr>
              <w:t>G1</w:t>
            </w:r>
          </w:p>
        </w:tc>
        <w:tc>
          <w:tcPr>
            <w:tcW w:w="716" w:type="pct"/>
            <w:tcBorders>
              <w:top w:val="nil"/>
              <w:left w:val="nil"/>
              <w:bottom w:val="nil"/>
              <w:right w:val="single" w:color="auto" w:sz="4" w:space="0"/>
            </w:tcBorders>
            <w:shd w:val="clear" w:color="auto" w:fill="auto"/>
            <w:vAlign w:val="center"/>
          </w:tcPr>
          <w:p w14:paraId="1CD7AFAB">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硫化氢</w:t>
            </w:r>
          </w:p>
        </w:tc>
        <w:tc>
          <w:tcPr>
            <w:tcW w:w="366" w:type="pct"/>
            <w:tcBorders>
              <w:top w:val="nil"/>
              <w:left w:val="nil"/>
              <w:bottom w:val="single" w:color="auto" w:sz="4" w:space="0"/>
              <w:right w:val="single" w:color="auto" w:sz="4" w:space="0"/>
            </w:tcBorders>
            <w:shd w:val="clear" w:color="auto" w:fill="auto"/>
            <w:vAlign w:val="center"/>
          </w:tcPr>
          <w:p w14:paraId="197AECBE">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1BD902A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6F477B09">
            <w:pPr>
              <w:spacing w:line="240" w:lineRule="auto"/>
              <w:ind w:firstLine="0" w:firstLineChars="0"/>
              <w:jc w:val="center"/>
              <w:rPr>
                <w:rFonts w:eastAsia="等线" w:cs="Times New Roman"/>
                <w:kern w:val="0"/>
                <w:sz w:val="21"/>
              </w:rPr>
            </w:pPr>
            <w:r>
              <w:rPr>
                <w:rFonts w:eastAsia="等线" w:cs="Times New Roman"/>
                <w:kern w:val="0"/>
                <w:sz w:val="21"/>
              </w:rPr>
              <w:t>0.004</w:t>
            </w:r>
          </w:p>
        </w:tc>
        <w:tc>
          <w:tcPr>
            <w:tcW w:w="481" w:type="pct"/>
            <w:tcBorders>
              <w:top w:val="nil"/>
              <w:left w:val="nil"/>
              <w:bottom w:val="single" w:color="auto" w:sz="4" w:space="0"/>
              <w:right w:val="single" w:color="auto" w:sz="4" w:space="0"/>
            </w:tcBorders>
            <w:shd w:val="clear" w:color="auto" w:fill="auto"/>
            <w:vAlign w:val="center"/>
          </w:tcPr>
          <w:p w14:paraId="2447F538">
            <w:pPr>
              <w:spacing w:line="240" w:lineRule="auto"/>
              <w:ind w:firstLine="0" w:firstLineChars="0"/>
              <w:jc w:val="center"/>
              <w:rPr>
                <w:rFonts w:eastAsia="等线" w:cs="Times New Roman"/>
                <w:kern w:val="0"/>
                <w:sz w:val="21"/>
              </w:rPr>
            </w:pPr>
            <w:r>
              <w:rPr>
                <w:rFonts w:eastAsia="等线" w:cs="Times New Roman"/>
                <w:kern w:val="0"/>
                <w:sz w:val="21"/>
              </w:rPr>
              <w:t>0.009</w:t>
            </w:r>
          </w:p>
        </w:tc>
        <w:tc>
          <w:tcPr>
            <w:tcW w:w="402" w:type="pct"/>
            <w:tcBorders>
              <w:top w:val="nil"/>
              <w:left w:val="nil"/>
              <w:bottom w:val="single" w:color="auto" w:sz="4" w:space="0"/>
              <w:right w:val="single" w:color="auto" w:sz="4" w:space="0"/>
            </w:tcBorders>
            <w:shd w:val="clear" w:color="auto" w:fill="auto"/>
            <w:vAlign w:val="center"/>
          </w:tcPr>
          <w:p w14:paraId="77971D03">
            <w:pPr>
              <w:spacing w:line="240" w:lineRule="auto"/>
              <w:ind w:firstLine="0" w:firstLineChars="0"/>
              <w:jc w:val="center"/>
              <w:rPr>
                <w:rFonts w:eastAsia="等线" w:cs="Times New Roman"/>
                <w:kern w:val="0"/>
                <w:sz w:val="21"/>
              </w:rPr>
            </w:pPr>
            <w:r>
              <w:rPr>
                <w:rFonts w:eastAsia="等线" w:cs="Times New Roman"/>
                <w:kern w:val="0"/>
                <w:sz w:val="21"/>
              </w:rPr>
              <w:t>0.01</w:t>
            </w:r>
          </w:p>
        </w:tc>
        <w:tc>
          <w:tcPr>
            <w:tcW w:w="585" w:type="pct"/>
            <w:tcBorders>
              <w:top w:val="nil"/>
              <w:left w:val="nil"/>
              <w:bottom w:val="single" w:color="auto" w:sz="4" w:space="0"/>
              <w:right w:val="single" w:color="auto" w:sz="4" w:space="0"/>
            </w:tcBorders>
            <w:shd w:val="clear" w:color="auto" w:fill="auto"/>
            <w:vAlign w:val="center"/>
          </w:tcPr>
          <w:p w14:paraId="7B40FAB7">
            <w:pPr>
              <w:spacing w:line="240" w:lineRule="auto"/>
              <w:ind w:firstLine="0" w:firstLineChars="0"/>
              <w:jc w:val="center"/>
              <w:rPr>
                <w:rFonts w:eastAsia="等线" w:cs="Times New Roman"/>
                <w:kern w:val="0"/>
                <w:sz w:val="21"/>
              </w:rPr>
            </w:pPr>
            <w:r>
              <w:rPr>
                <w:rFonts w:eastAsia="等线" w:cs="Times New Roman"/>
                <w:kern w:val="0"/>
                <w:sz w:val="21"/>
              </w:rPr>
              <w:t>90</w:t>
            </w:r>
          </w:p>
        </w:tc>
        <w:tc>
          <w:tcPr>
            <w:tcW w:w="552" w:type="pct"/>
            <w:tcBorders>
              <w:top w:val="nil"/>
              <w:left w:val="nil"/>
              <w:bottom w:val="single" w:color="auto" w:sz="4" w:space="0"/>
              <w:right w:val="single" w:color="auto" w:sz="4" w:space="0"/>
            </w:tcBorders>
            <w:shd w:val="clear" w:color="auto" w:fill="auto"/>
            <w:vAlign w:val="center"/>
          </w:tcPr>
          <w:p w14:paraId="06DF3DC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3D5212E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78FAC6A">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0671D47B">
            <w:pPr>
              <w:spacing w:line="240" w:lineRule="auto"/>
              <w:ind w:firstLine="0" w:firstLineChars="0"/>
              <w:rPr>
                <w:rFonts w:eastAsia="等线" w:cs="Times New Roman"/>
                <w:kern w:val="0"/>
                <w:sz w:val="21"/>
              </w:rPr>
            </w:pPr>
          </w:p>
        </w:tc>
        <w:tc>
          <w:tcPr>
            <w:tcW w:w="716" w:type="pct"/>
            <w:tcBorders>
              <w:top w:val="single" w:color="auto" w:sz="4" w:space="0"/>
              <w:left w:val="nil"/>
              <w:bottom w:val="single" w:color="auto" w:sz="4" w:space="0"/>
              <w:right w:val="single" w:color="auto" w:sz="4" w:space="0"/>
            </w:tcBorders>
            <w:shd w:val="clear" w:color="auto" w:fill="auto"/>
            <w:vAlign w:val="center"/>
          </w:tcPr>
          <w:p w14:paraId="57F11C58">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氨</w:t>
            </w:r>
          </w:p>
        </w:tc>
        <w:tc>
          <w:tcPr>
            <w:tcW w:w="366" w:type="pct"/>
            <w:tcBorders>
              <w:top w:val="nil"/>
              <w:left w:val="nil"/>
              <w:bottom w:val="single" w:color="auto" w:sz="4" w:space="0"/>
              <w:right w:val="single" w:color="auto" w:sz="4" w:space="0"/>
            </w:tcBorders>
            <w:shd w:val="clear" w:color="auto" w:fill="auto"/>
            <w:vAlign w:val="center"/>
          </w:tcPr>
          <w:p w14:paraId="57D93582">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42E6986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2370F7D7">
            <w:pPr>
              <w:spacing w:line="240" w:lineRule="auto"/>
              <w:ind w:firstLine="0" w:firstLineChars="0"/>
              <w:jc w:val="center"/>
              <w:rPr>
                <w:rFonts w:eastAsia="等线" w:cs="Times New Roman"/>
                <w:kern w:val="0"/>
                <w:sz w:val="21"/>
              </w:rPr>
            </w:pPr>
            <w:r>
              <w:rPr>
                <w:rFonts w:eastAsia="等线" w:cs="Times New Roman"/>
                <w:kern w:val="0"/>
                <w:sz w:val="21"/>
              </w:rPr>
              <w:t>0.05</w:t>
            </w:r>
          </w:p>
        </w:tc>
        <w:tc>
          <w:tcPr>
            <w:tcW w:w="481" w:type="pct"/>
            <w:tcBorders>
              <w:top w:val="nil"/>
              <w:left w:val="nil"/>
              <w:bottom w:val="single" w:color="auto" w:sz="4" w:space="0"/>
              <w:right w:val="single" w:color="auto" w:sz="4" w:space="0"/>
            </w:tcBorders>
            <w:shd w:val="clear" w:color="auto" w:fill="auto"/>
            <w:vAlign w:val="center"/>
          </w:tcPr>
          <w:p w14:paraId="3FE0BFD5">
            <w:pPr>
              <w:spacing w:line="240" w:lineRule="auto"/>
              <w:ind w:firstLine="0" w:firstLineChars="0"/>
              <w:jc w:val="center"/>
              <w:rPr>
                <w:rFonts w:eastAsia="等线" w:cs="Times New Roman"/>
                <w:kern w:val="0"/>
                <w:sz w:val="21"/>
              </w:rPr>
            </w:pPr>
            <w:r>
              <w:rPr>
                <w:rFonts w:eastAsia="等线" w:cs="Times New Roman"/>
                <w:kern w:val="0"/>
                <w:sz w:val="21"/>
              </w:rPr>
              <w:t>0.08</w:t>
            </w:r>
          </w:p>
        </w:tc>
        <w:tc>
          <w:tcPr>
            <w:tcW w:w="402" w:type="pct"/>
            <w:tcBorders>
              <w:top w:val="nil"/>
              <w:left w:val="nil"/>
              <w:bottom w:val="single" w:color="auto" w:sz="4" w:space="0"/>
              <w:right w:val="single" w:color="auto" w:sz="4" w:space="0"/>
            </w:tcBorders>
            <w:shd w:val="clear" w:color="auto" w:fill="auto"/>
            <w:vAlign w:val="center"/>
          </w:tcPr>
          <w:p w14:paraId="2C2C2838">
            <w:pPr>
              <w:spacing w:line="240" w:lineRule="auto"/>
              <w:ind w:firstLine="0" w:firstLineChars="0"/>
              <w:jc w:val="center"/>
              <w:rPr>
                <w:rFonts w:eastAsia="等线" w:cs="Times New Roman"/>
                <w:kern w:val="0"/>
                <w:sz w:val="21"/>
              </w:rPr>
            </w:pPr>
            <w:r>
              <w:rPr>
                <w:rFonts w:eastAsia="等线" w:cs="Times New Roman"/>
                <w:kern w:val="0"/>
                <w:sz w:val="21"/>
              </w:rPr>
              <w:t>0.2</w:t>
            </w:r>
          </w:p>
        </w:tc>
        <w:tc>
          <w:tcPr>
            <w:tcW w:w="585" w:type="pct"/>
            <w:tcBorders>
              <w:top w:val="nil"/>
              <w:left w:val="nil"/>
              <w:bottom w:val="single" w:color="auto" w:sz="4" w:space="0"/>
              <w:right w:val="single" w:color="auto" w:sz="4" w:space="0"/>
            </w:tcBorders>
            <w:shd w:val="clear" w:color="auto" w:fill="auto"/>
            <w:vAlign w:val="center"/>
          </w:tcPr>
          <w:p w14:paraId="350FBE04">
            <w:pPr>
              <w:spacing w:line="240" w:lineRule="auto"/>
              <w:ind w:firstLine="0" w:firstLineChars="0"/>
              <w:jc w:val="center"/>
              <w:rPr>
                <w:rFonts w:eastAsia="等线" w:cs="Times New Roman"/>
                <w:kern w:val="0"/>
                <w:sz w:val="21"/>
              </w:rPr>
            </w:pPr>
            <w:r>
              <w:rPr>
                <w:rFonts w:eastAsia="等线" w:cs="Times New Roman"/>
                <w:kern w:val="0"/>
                <w:sz w:val="21"/>
              </w:rPr>
              <w:t>40</w:t>
            </w:r>
          </w:p>
        </w:tc>
        <w:tc>
          <w:tcPr>
            <w:tcW w:w="552" w:type="pct"/>
            <w:tcBorders>
              <w:top w:val="nil"/>
              <w:left w:val="nil"/>
              <w:bottom w:val="single" w:color="auto" w:sz="4" w:space="0"/>
              <w:right w:val="single" w:color="auto" w:sz="4" w:space="0"/>
            </w:tcBorders>
            <w:shd w:val="clear" w:color="auto" w:fill="auto"/>
            <w:vAlign w:val="center"/>
          </w:tcPr>
          <w:p w14:paraId="37F978D8">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789DC4B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E9EEC5A">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3DD650EC">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61EB5595">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臭气浓度</w:t>
            </w:r>
          </w:p>
        </w:tc>
        <w:tc>
          <w:tcPr>
            <w:tcW w:w="366" w:type="pct"/>
            <w:tcBorders>
              <w:top w:val="nil"/>
              <w:left w:val="nil"/>
              <w:bottom w:val="single" w:color="auto" w:sz="4" w:space="0"/>
              <w:right w:val="single" w:color="auto" w:sz="4" w:space="0"/>
            </w:tcBorders>
            <w:shd w:val="clear" w:color="auto" w:fill="auto"/>
            <w:vAlign w:val="center"/>
          </w:tcPr>
          <w:p w14:paraId="1C3F2BE5">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3E839FD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5A980F63">
            <w:pPr>
              <w:spacing w:line="240" w:lineRule="auto"/>
              <w:ind w:firstLine="0" w:firstLineChars="0"/>
              <w:jc w:val="center"/>
              <w:rPr>
                <w:rFonts w:eastAsia="等线" w:cs="Times New Roman"/>
                <w:kern w:val="0"/>
                <w:sz w:val="21"/>
              </w:rPr>
            </w:pPr>
            <w:r>
              <w:rPr>
                <w:rFonts w:eastAsia="等线" w:cs="Times New Roman"/>
                <w:kern w:val="0"/>
                <w:sz w:val="21"/>
              </w:rPr>
              <w:t>13</w:t>
            </w:r>
          </w:p>
        </w:tc>
        <w:tc>
          <w:tcPr>
            <w:tcW w:w="481" w:type="pct"/>
            <w:tcBorders>
              <w:top w:val="nil"/>
              <w:left w:val="nil"/>
              <w:bottom w:val="single" w:color="auto" w:sz="4" w:space="0"/>
              <w:right w:val="single" w:color="auto" w:sz="4" w:space="0"/>
            </w:tcBorders>
            <w:shd w:val="clear" w:color="auto" w:fill="auto"/>
            <w:vAlign w:val="center"/>
          </w:tcPr>
          <w:p w14:paraId="169334B7">
            <w:pPr>
              <w:spacing w:line="240" w:lineRule="auto"/>
              <w:ind w:firstLine="0" w:firstLineChars="0"/>
              <w:jc w:val="center"/>
              <w:rPr>
                <w:rFonts w:eastAsia="等线" w:cs="Times New Roman"/>
                <w:kern w:val="0"/>
                <w:sz w:val="21"/>
              </w:rPr>
            </w:pPr>
            <w:r>
              <w:rPr>
                <w:rFonts w:eastAsia="等线" w:cs="Times New Roman"/>
                <w:kern w:val="0"/>
                <w:sz w:val="21"/>
              </w:rPr>
              <w:t>19</w:t>
            </w:r>
          </w:p>
        </w:tc>
        <w:tc>
          <w:tcPr>
            <w:tcW w:w="402" w:type="pct"/>
            <w:tcBorders>
              <w:top w:val="nil"/>
              <w:left w:val="nil"/>
              <w:bottom w:val="single" w:color="auto" w:sz="4" w:space="0"/>
              <w:right w:val="single" w:color="auto" w:sz="4" w:space="0"/>
            </w:tcBorders>
            <w:shd w:val="clear" w:color="auto" w:fill="auto"/>
            <w:vAlign w:val="center"/>
          </w:tcPr>
          <w:p w14:paraId="285A0B9A">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5" w:type="pct"/>
            <w:tcBorders>
              <w:top w:val="nil"/>
              <w:left w:val="nil"/>
              <w:bottom w:val="single" w:color="auto" w:sz="4" w:space="0"/>
              <w:right w:val="single" w:color="auto" w:sz="4" w:space="0"/>
            </w:tcBorders>
            <w:shd w:val="clear" w:color="auto" w:fill="auto"/>
            <w:vAlign w:val="center"/>
          </w:tcPr>
          <w:p w14:paraId="217BD27D">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52" w:type="pct"/>
            <w:tcBorders>
              <w:top w:val="nil"/>
              <w:left w:val="nil"/>
              <w:bottom w:val="single" w:color="auto" w:sz="4" w:space="0"/>
              <w:right w:val="single" w:color="auto" w:sz="4" w:space="0"/>
            </w:tcBorders>
            <w:shd w:val="clear" w:color="auto" w:fill="auto"/>
            <w:vAlign w:val="center"/>
          </w:tcPr>
          <w:p w14:paraId="2646BA1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025DAC1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7E615A9">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11DE3349">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146221EF">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非甲烷总烃</w:t>
            </w:r>
          </w:p>
        </w:tc>
        <w:tc>
          <w:tcPr>
            <w:tcW w:w="366" w:type="pct"/>
            <w:tcBorders>
              <w:top w:val="nil"/>
              <w:left w:val="nil"/>
              <w:bottom w:val="single" w:color="auto" w:sz="4" w:space="0"/>
              <w:right w:val="single" w:color="auto" w:sz="4" w:space="0"/>
            </w:tcBorders>
            <w:shd w:val="clear" w:color="auto" w:fill="auto"/>
            <w:vAlign w:val="center"/>
          </w:tcPr>
          <w:p w14:paraId="13BC79F6">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409F855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42CA620C">
            <w:pPr>
              <w:spacing w:line="240" w:lineRule="auto"/>
              <w:ind w:firstLine="0" w:firstLineChars="0"/>
              <w:jc w:val="center"/>
              <w:rPr>
                <w:rFonts w:eastAsia="等线" w:cs="Times New Roman"/>
                <w:kern w:val="0"/>
                <w:sz w:val="21"/>
              </w:rPr>
            </w:pPr>
            <w:r>
              <w:rPr>
                <w:rFonts w:eastAsia="等线" w:cs="Times New Roman"/>
                <w:kern w:val="0"/>
                <w:sz w:val="21"/>
              </w:rPr>
              <w:t>0.51</w:t>
            </w:r>
          </w:p>
        </w:tc>
        <w:tc>
          <w:tcPr>
            <w:tcW w:w="481" w:type="pct"/>
            <w:tcBorders>
              <w:top w:val="nil"/>
              <w:left w:val="nil"/>
              <w:bottom w:val="single" w:color="auto" w:sz="4" w:space="0"/>
              <w:right w:val="single" w:color="auto" w:sz="4" w:space="0"/>
            </w:tcBorders>
            <w:shd w:val="clear" w:color="auto" w:fill="auto"/>
            <w:vAlign w:val="center"/>
          </w:tcPr>
          <w:p w14:paraId="6920363B">
            <w:pPr>
              <w:spacing w:line="240" w:lineRule="auto"/>
              <w:ind w:firstLine="0" w:firstLineChars="0"/>
              <w:jc w:val="center"/>
              <w:rPr>
                <w:rFonts w:eastAsia="等线" w:cs="Times New Roman"/>
                <w:kern w:val="0"/>
                <w:sz w:val="21"/>
              </w:rPr>
            </w:pPr>
            <w:r>
              <w:rPr>
                <w:rFonts w:eastAsia="等线" w:cs="Times New Roman"/>
                <w:kern w:val="0"/>
                <w:sz w:val="21"/>
              </w:rPr>
              <w:t>0.59</w:t>
            </w:r>
          </w:p>
        </w:tc>
        <w:tc>
          <w:tcPr>
            <w:tcW w:w="402" w:type="pct"/>
            <w:tcBorders>
              <w:top w:val="nil"/>
              <w:left w:val="nil"/>
              <w:bottom w:val="single" w:color="auto" w:sz="4" w:space="0"/>
              <w:right w:val="single" w:color="auto" w:sz="4" w:space="0"/>
            </w:tcBorders>
            <w:shd w:val="clear" w:color="auto" w:fill="auto"/>
            <w:vAlign w:val="center"/>
          </w:tcPr>
          <w:p w14:paraId="13CD6767">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585" w:type="pct"/>
            <w:tcBorders>
              <w:top w:val="nil"/>
              <w:left w:val="nil"/>
              <w:bottom w:val="single" w:color="auto" w:sz="4" w:space="0"/>
              <w:right w:val="single" w:color="auto" w:sz="4" w:space="0"/>
            </w:tcBorders>
            <w:shd w:val="clear" w:color="auto" w:fill="auto"/>
            <w:vAlign w:val="center"/>
          </w:tcPr>
          <w:p w14:paraId="4A049875">
            <w:pPr>
              <w:spacing w:line="240" w:lineRule="auto"/>
              <w:ind w:firstLine="0" w:firstLineChars="0"/>
              <w:jc w:val="center"/>
              <w:rPr>
                <w:rFonts w:eastAsia="等线" w:cs="Times New Roman"/>
                <w:kern w:val="0"/>
                <w:sz w:val="21"/>
              </w:rPr>
            </w:pPr>
            <w:r>
              <w:rPr>
                <w:rFonts w:eastAsia="等线" w:cs="Times New Roman"/>
                <w:kern w:val="0"/>
                <w:sz w:val="21"/>
              </w:rPr>
              <w:t>29.5</w:t>
            </w:r>
          </w:p>
        </w:tc>
        <w:tc>
          <w:tcPr>
            <w:tcW w:w="552" w:type="pct"/>
            <w:tcBorders>
              <w:top w:val="nil"/>
              <w:left w:val="nil"/>
              <w:bottom w:val="single" w:color="auto" w:sz="4" w:space="0"/>
              <w:right w:val="single" w:color="auto" w:sz="4" w:space="0"/>
            </w:tcBorders>
            <w:shd w:val="clear" w:color="auto" w:fill="auto"/>
            <w:vAlign w:val="center"/>
          </w:tcPr>
          <w:p w14:paraId="2D59A9A1">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63CD594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0A2990B1">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30D9E8AF">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32C057D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TSP</w:t>
            </w:r>
          </w:p>
        </w:tc>
        <w:tc>
          <w:tcPr>
            <w:tcW w:w="366" w:type="pct"/>
            <w:tcBorders>
              <w:top w:val="nil"/>
              <w:left w:val="nil"/>
              <w:bottom w:val="single" w:color="auto" w:sz="4" w:space="0"/>
              <w:right w:val="single" w:color="auto" w:sz="4" w:space="0"/>
            </w:tcBorders>
            <w:shd w:val="clear" w:color="auto" w:fill="auto"/>
            <w:vAlign w:val="center"/>
          </w:tcPr>
          <w:p w14:paraId="17F5C964">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4B3BBA5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日均值</w:t>
            </w:r>
          </w:p>
        </w:tc>
        <w:tc>
          <w:tcPr>
            <w:tcW w:w="453" w:type="pct"/>
            <w:tcBorders>
              <w:top w:val="nil"/>
              <w:left w:val="nil"/>
              <w:bottom w:val="single" w:color="auto" w:sz="4" w:space="0"/>
              <w:right w:val="single" w:color="auto" w:sz="4" w:space="0"/>
            </w:tcBorders>
            <w:shd w:val="clear" w:color="auto" w:fill="auto"/>
            <w:vAlign w:val="center"/>
          </w:tcPr>
          <w:p w14:paraId="4D68CAF0">
            <w:pPr>
              <w:spacing w:line="240" w:lineRule="auto"/>
              <w:ind w:firstLine="0" w:firstLineChars="0"/>
              <w:jc w:val="center"/>
              <w:rPr>
                <w:rFonts w:eastAsia="等线" w:cs="Times New Roman"/>
                <w:kern w:val="0"/>
                <w:sz w:val="21"/>
              </w:rPr>
            </w:pPr>
            <w:r>
              <w:rPr>
                <w:rFonts w:eastAsia="等线" w:cs="Times New Roman"/>
                <w:kern w:val="0"/>
                <w:sz w:val="21"/>
              </w:rPr>
              <w:t>0.027</w:t>
            </w:r>
          </w:p>
        </w:tc>
        <w:tc>
          <w:tcPr>
            <w:tcW w:w="481" w:type="pct"/>
            <w:tcBorders>
              <w:top w:val="nil"/>
              <w:left w:val="nil"/>
              <w:bottom w:val="single" w:color="auto" w:sz="4" w:space="0"/>
              <w:right w:val="single" w:color="auto" w:sz="4" w:space="0"/>
            </w:tcBorders>
            <w:shd w:val="clear" w:color="auto" w:fill="auto"/>
            <w:vAlign w:val="center"/>
          </w:tcPr>
          <w:p w14:paraId="483E3486">
            <w:pPr>
              <w:spacing w:line="240" w:lineRule="auto"/>
              <w:ind w:firstLine="0" w:firstLineChars="0"/>
              <w:jc w:val="center"/>
              <w:rPr>
                <w:rFonts w:eastAsia="等线" w:cs="Times New Roman"/>
                <w:kern w:val="0"/>
                <w:sz w:val="21"/>
              </w:rPr>
            </w:pPr>
            <w:r>
              <w:rPr>
                <w:rFonts w:eastAsia="等线" w:cs="Times New Roman"/>
                <w:kern w:val="0"/>
                <w:sz w:val="21"/>
              </w:rPr>
              <w:t>0.056</w:t>
            </w:r>
          </w:p>
        </w:tc>
        <w:tc>
          <w:tcPr>
            <w:tcW w:w="402" w:type="pct"/>
            <w:tcBorders>
              <w:top w:val="nil"/>
              <w:left w:val="nil"/>
              <w:bottom w:val="single" w:color="auto" w:sz="4" w:space="0"/>
              <w:right w:val="single" w:color="auto" w:sz="4" w:space="0"/>
            </w:tcBorders>
            <w:shd w:val="clear" w:color="auto" w:fill="auto"/>
            <w:vAlign w:val="center"/>
          </w:tcPr>
          <w:p w14:paraId="1571E2A2">
            <w:pPr>
              <w:spacing w:line="240" w:lineRule="auto"/>
              <w:ind w:firstLine="0" w:firstLineChars="0"/>
              <w:jc w:val="center"/>
              <w:rPr>
                <w:rFonts w:eastAsia="等线" w:cs="Times New Roman"/>
                <w:kern w:val="0"/>
                <w:sz w:val="21"/>
              </w:rPr>
            </w:pPr>
            <w:r>
              <w:rPr>
                <w:rFonts w:eastAsia="等线" w:cs="Times New Roman"/>
                <w:kern w:val="0"/>
                <w:sz w:val="21"/>
              </w:rPr>
              <w:t>0.3</w:t>
            </w:r>
          </w:p>
        </w:tc>
        <w:tc>
          <w:tcPr>
            <w:tcW w:w="585" w:type="pct"/>
            <w:tcBorders>
              <w:top w:val="nil"/>
              <w:left w:val="nil"/>
              <w:bottom w:val="single" w:color="auto" w:sz="4" w:space="0"/>
              <w:right w:val="single" w:color="auto" w:sz="4" w:space="0"/>
            </w:tcBorders>
            <w:shd w:val="clear" w:color="auto" w:fill="auto"/>
            <w:vAlign w:val="center"/>
          </w:tcPr>
          <w:p w14:paraId="4D100E2F">
            <w:pPr>
              <w:spacing w:line="240" w:lineRule="auto"/>
              <w:ind w:firstLine="0" w:firstLineChars="0"/>
              <w:jc w:val="center"/>
              <w:rPr>
                <w:rFonts w:eastAsia="等线" w:cs="Times New Roman"/>
                <w:kern w:val="0"/>
                <w:sz w:val="21"/>
              </w:rPr>
            </w:pPr>
            <w:r>
              <w:rPr>
                <w:rFonts w:eastAsia="等线" w:cs="Times New Roman"/>
                <w:kern w:val="0"/>
                <w:sz w:val="21"/>
              </w:rPr>
              <w:t>18.7</w:t>
            </w:r>
          </w:p>
        </w:tc>
        <w:tc>
          <w:tcPr>
            <w:tcW w:w="552" w:type="pct"/>
            <w:tcBorders>
              <w:top w:val="nil"/>
              <w:left w:val="nil"/>
              <w:bottom w:val="single" w:color="auto" w:sz="4" w:space="0"/>
              <w:right w:val="single" w:color="auto" w:sz="4" w:space="0"/>
            </w:tcBorders>
            <w:shd w:val="clear" w:color="auto" w:fill="auto"/>
            <w:vAlign w:val="center"/>
          </w:tcPr>
          <w:p w14:paraId="7BFCF6C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32949BC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43E27055">
        <w:tblPrEx>
          <w:tblCellMar>
            <w:top w:w="0" w:type="dxa"/>
            <w:left w:w="108" w:type="dxa"/>
            <w:bottom w:w="0" w:type="dxa"/>
            <w:right w:w="108" w:type="dxa"/>
          </w:tblCellMar>
        </w:tblPrEx>
        <w:trPr>
          <w:trHeight w:val="312" w:hRule="atLeast"/>
          <w:jc w:val="center"/>
        </w:trPr>
        <w:tc>
          <w:tcPr>
            <w:tcW w:w="380" w:type="pct"/>
            <w:vMerge w:val="restart"/>
            <w:tcBorders>
              <w:top w:val="nil"/>
              <w:left w:val="single" w:color="auto" w:sz="4" w:space="0"/>
              <w:bottom w:val="single" w:color="auto" w:sz="4" w:space="0"/>
              <w:right w:val="single" w:color="auto" w:sz="4" w:space="0"/>
            </w:tcBorders>
            <w:shd w:val="clear" w:color="auto" w:fill="auto"/>
            <w:vAlign w:val="center"/>
          </w:tcPr>
          <w:p w14:paraId="77A096E3">
            <w:pPr>
              <w:spacing w:line="240" w:lineRule="auto"/>
              <w:ind w:firstLine="0" w:firstLineChars="0"/>
              <w:jc w:val="center"/>
              <w:rPr>
                <w:rFonts w:eastAsia="等线" w:cs="Times New Roman"/>
                <w:kern w:val="0"/>
                <w:sz w:val="21"/>
              </w:rPr>
            </w:pPr>
            <w:r>
              <w:rPr>
                <w:rFonts w:eastAsia="等线" w:cs="Times New Roman"/>
                <w:kern w:val="0"/>
                <w:sz w:val="21"/>
              </w:rPr>
              <w:t>G2</w:t>
            </w:r>
          </w:p>
        </w:tc>
        <w:tc>
          <w:tcPr>
            <w:tcW w:w="716" w:type="pct"/>
            <w:tcBorders>
              <w:top w:val="nil"/>
              <w:left w:val="nil"/>
              <w:bottom w:val="nil"/>
              <w:right w:val="single" w:color="auto" w:sz="4" w:space="0"/>
            </w:tcBorders>
            <w:shd w:val="clear" w:color="auto" w:fill="auto"/>
            <w:vAlign w:val="center"/>
          </w:tcPr>
          <w:p w14:paraId="66C97255">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硫化氢</w:t>
            </w:r>
          </w:p>
        </w:tc>
        <w:tc>
          <w:tcPr>
            <w:tcW w:w="366" w:type="pct"/>
            <w:tcBorders>
              <w:top w:val="nil"/>
              <w:left w:val="nil"/>
              <w:bottom w:val="single" w:color="auto" w:sz="4" w:space="0"/>
              <w:right w:val="single" w:color="auto" w:sz="4" w:space="0"/>
            </w:tcBorders>
            <w:shd w:val="clear" w:color="auto" w:fill="auto"/>
            <w:vAlign w:val="center"/>
          </w:tcPr>
          <w:p w14:paraId="5934080F">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3C2617D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1C6D7EA1">
            <w:pPr>
              <w:spacing w:line="240" w:lineRule="auto"/>
              <w:ind w:firstLine="0" w:firstLineChars="0"/>
              <w:jc w:val="center"/>
              <w:rPr>
                <w:rFonts w:eastAsia="等线" w:cs="Times New Roman"/>
                <w:kern w:val="0"/>
                <w:sz w:val="21"/>
              </w:rPr>
            </w:pPr>
            <w:r>
              <w:rPr>
                <w:rFonts w:eastAsia="等线" w:cs="Times New Roman"/>
                <w:kern w:val="0"/>
                <w:sz w:val="21"/>
              </w:rPr>
              <w:t>0.003</w:t>
            </w:r>
          </w:p>
        </w:tc>
        <w:tc>
          <w:tcPr>
            <w:tcW w:w="481" w:type="pct"/>
            <w:tcBorders>
              <w:top w:val="nil"/>
              <w:left w:val="nil"/>
              <w:bottom w:val="single" w:color="auto" w:sz="4" w:space="0"/>
              <w:right w:val="single" w:color="auto" w:sz="4" w:space="0"/>
            </w:tcBorders>
            <w:shd w:val="clear" w:color="auto" w:fill="auto"/>
            <w:vAlign w:val="center"/>
          </w:tcPr>
          <w:p w14:paraId="2F9FB311">
            <w:pPr>
              <w:spacing w:line="240" w:lineRule="auto"/>
              <w:ind w:firstLine="0" w:firstLineChars="0"/>
              <w:jc w:val="center"/>
              <w:rPr>
                <w:rFonts w:eastAsia="等线" w:cs="Times New Roman"/>
                <w:kern w:val="0"/>
                <w:sz w:val="21"/>
              </w:rPr>
            </w:pPr>
            <w:r>
              <w:rPr>
                <w:rFonts w:eastAsia="等线" w:cs="Times New Roman"/>
                <w:kern w:val="0"/>
                <w:sz w:val="21"/>
              </w:rPr>
              <w:t>0.008</w:t>
            </w:r>
          </w:p>
        </w:tc>
        <w:tc>
          <w:tcPr>
            <w:tcW w:w="402" w:type="pct"/>
            <w:tcBorders>
              <w:top w:val="nil"/>
              <w:left w:val="nil"/>
              <w:bottom w:val="single" w:color="auto" w:sz="4" w:space="0"/>
              <w:right w:val="single" w:color="auto" w:sz="4" w:space="0"/>
            </w:tcBorders>
            <w:shd w:val="clear" w:color="auto" w:fill="auto"/>
            <w:vAlign w:val="center"/>
          </w:tcPr>
          <w:p w14:paraId="1CA55F15">
            <w:pPr>
              <w:spacing w:line="240" w:lineRule="auto"/>
              <w:ind w:firstLine="0" w:firstLineChars="0"/>
              <w:jc w:val="center"/>
              <w:rPr>
                <w:rFonts w:eastAsia="等线" w:cs="Times New Roman"/>
                <w:kern w:val="0"/>
                <w:sz w:val="21"/>
              </w:rPr>
            </w:pPr>
            <w:r>
              <w:rPr>
                <w:rFonts w:eastAsia="等线" w:cs="Times New Roman"/>
                <w:kern w:val="0"/>
                <w:sz w:val="21"/>
              </w:rPr>
              <w:t>0.01</w:t>
            </w:r>
          </w:p>
        </w:tc>
        <w:tc>
          <w:tcPr>
            <w:tcW w:w="585" w:type="pct"/>
            <w:tcBorders>
              <w:top w:val="nil"/>
              <w:left w:val="nil"/>
              <w:bottom w:val="single" w:color="auto" w:sz="4" w:space="0"/>
              <w:right w:val="single" w:color="auto" w:sz="4" w:space="0"/>
            </w:tcBorders>
            <w:shd w:val="clear" w:color="auto" w:fill="auto"/>
            <w:vAlign w:val="center"/>
          </w:tcPr>
          <w:p w14:paraId="0F3D5C2F">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552" w:type="pct"/>
            <w:tcBorders>
              <w:top w:val="nil"/>
              <w:left w:val="nil"/>
              <w:bottom w:val="single" w:color="auto" w:sz="4" w:space="0"/>
              <w:right w:val="single" w:color="auto" w:sz="4" w:space="0"/>
            </w:tcBorders>
            <w:shd w:val="clear" w:color="auto" w:fill="auto"/>
            <w:vAlign w:val="center"/>
          </w:tcPr>
          <w:p w14:paraId="4006295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476D36F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12A0A9C1">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60FC351C">
            <w:pPr>
              <w:spacing w:line="240" w:lineRule="auto"/>
              <w:ind w:firstLine="0" w:firstLineChars="0"/>
              <w:rPr>
                <w:rFonts w:eastAsia="等线" w:cs="Times New Roman"/>
                <w:kern w:val="0"/>
                <w:sz w:val="21"/>
              </w:rPr>
            </w:pPr>
          </w:p>
        </w:tc>
        <w:tc>
          <w:tcPr>
            <w:tcW w:w="716" w:type="pct"/>
            <w:tcBorders>
              <w:top w:val="single" w:color="auto" w:sz="4" w:space="0"/>
              <w:left w:val="nil"/>
              <w:bottom w:val="single" w:color="auto" w:sz="4" w:space="0"/>
              <w:right w:val="single" w:color="auto" w:sz="4" w:space="0"/>
            </w:tcBorders>
            <w:shd w:val="clear" w:color="auto" w:fill="auto"/>
            <w:vAlign w:val="center"/>
          </w:tcPr>
          <w:p w14:paraId="468E50E8">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氨</w:t>
            </w:r>
          </w:p>
        </w:tc>
        <w:tc>
          <w:tcPr>
            <w:tcW w:w="366" w:type="pct"/>
            <w:tcBorders>
              <w:top w:val="nil"/>
              <w:left w:val="nil"/>
              <w:bottom w:val="single" w:color="auto" w:sz="4" w:space="0"/>
              <w:right w:val="single" w:color="auto" w:sz="4" w:space="0"/>
            </w:tcBorders>
            <w:shd w:val="clear" w:color="auto" w:fill="auto"/>
            <w:vAlign w:val="center"/>
          </w:tcPr>
          <w:p w14:paraId="5CC2B709">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34F4BD8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2C185F34">
            <w:pPr>
              <w:spacing w:line="240" w:lineRule="auto"/>
              <w:ind w:firstLine="0" w:firstLineChars="0"/>
              <w:jc w:val="center"/>
              <w:rPr>
                <w:rFonts w:eastAsia="等线" w:cs="Times New Roman"/>
                <w:kern w:val="0"/>
                <w:sz w:val="21"/>
              </w:rPr>
            </w:pPr>
            <w:r>
              <w:rPr>
                <w:rFonts w:eastAsia="等线" w:cs="Times New Roman"/>
                <w:kern w:val="0"/>
                <w:sz w:val="21"/>
              </w:rPr>
              <w:t>0.05</w:t>
            </w:r>
          </w:p>
        </w:tc>
        <w:tc>
          <w:tcPr>
            <w:tcW w:w="481" w:type="pct"/>
            <w:tcBorders>
              <w:top w:val="nil"/>
              <w:left w:val="nil"/>
              <w:bottom w:val="single" w:color="auto" w:sz="4" w:space="0"/>
              <w:right w:val="single" w:color="auto" w:sz="4" w:space="0"/>
            </w:tcBorders>
            <w:shd w:val="clear" w:color="auto" w:fill="auto"/>
            <w:vAlign w:val="center"/>
          </w:tcPr>
          <w:p w14:paraId="3E092256">
            <w:pPr>
              <w:spacing w:line="240" w:lineRule="auto"/>
              <w:ind w:firstLine="0" w:firstLineChars="0"/>
              <w:jc w:val="center"/>
              <w:rPr>
                <w:rFonts w:eastAsia="等线" w:cs="Times New Roman"/>
                <w:kern w:val="0"/>
                <w:sz w:val="21"/>
              </w:rPr>
            </w:pPr>
            <w:r>
              <w:rPr>
                <w:rFonts w:eastAsia="等线" w:cs="Times New Roman"/>
                <w:kern w:val="0"/>
                <w:sz w:val="21"/>
              </w:rPr>
              <w:t>0.07</w:t>
            </w:r>
          </w:p>
        </w:tc>
        <w:tc>
          <w:tcPr>
            <w:tcW w:w="402" w:type="pct"/>
            <w:tcBorders>
              <w:top w:val="nil"/>
              <w:left w:val="nil"/>
              <w:bottom w:val="single" w:color="auto" w:sz="4" w:space="0"/>
              <w:right w:val="single" w:color="auto" w:sz="4" w:space="0"/>
            </w:tcBorders>
            <w:shd w:val="clear" w:color="auto" w:fill="auto"/>
            <w:vAlign w:val="center"/>
          </w:tcPr>
          <w:p w14:paraId="7F770BEA">
            <w:pPr>
              <w:spacing w:line="240" w:lineRule="auto"/>
              <w:ind w:firstLine="0" w:firstLineChars="0"/>
              <w:jc w:val="center"/>
              <w:rPr>
                <w:rFonts w:eastAsia="等线" w:cs="Times New Roman"/>
                <w:kern w:val="0"/>
                <w:sz w:val="21"/>
              </w:rPr>
            </w:pPr>
            <w:r>
              <w:rPr>
                <w:rFonts w:eastAsia="等线" w:cs="Times New Roman"/>
                <w:kern w:val="0"/>
                <w:sz w:val="21"/>
              </w:rPr>
              <w:t>0.2</w:t>
            </w:r>
          </w:p>
        </w:tc>
        <w:tc>
          <w:tcPr>
            <w:tcW w:w="585" w:type="pct"/>
            <w:tcBorders>
              <w:top w:val="nil"/>
              <w:left w:val="nil"/>
              <w:bottom w:val="single" w:color="auto" w:sz="4" w:space="0"/>
              <w:right w:val="single" w:color="auto" w:sz="4" w:space="0"/>
            </w:tcBorders>
            <w:shd w:val="clear" w:color="auto" w:fill="auto"/>
            <w:vAlign w:val="center"/>
          </w:tcPr>
          <w:p w14:paraId="15110593">
            <w:pPr>
              <w:spacing w:line="240" w:lineRule="auto"/>
              <w:ind w:firstLine="0" w:firstLineChars="0"/>
              <w:jc w:val="center"/>
              <w:rPr>
                <w:rFonts w:eastAsia="等线" w:cs="Times New Roman"/>
                <w:kern w:val="0"/>
                <w:sz w:val="21"/>
              </w:rPr>
            </w:pPr>
            <w:r>
              <w:rPr>
                <w:rFonts w:eastAsia="等线" w:cs="Times New Roman"/>
                <w:kern w:val="0"/>
                <w:sz w:val="21"/>
              </w:rPr>
              <w:t>35</w:t>
            </w:r>
          </w:p>
        </w:tc>
        <w:tc>
          <w:tcPr>
            <w:tcW w:w="552" w:type="pct"/>
            <w:tcBorders>
              <w:top w:val="nil"/>
              <w:left w:val="nil"/>
              <w:bottom w:val="single" w:color="auto" w:sz="4" w:space="0"/>
              <w:right w:val="single" w:color="auto" w:sz="4" w:space="0"/>
            </w:tcBorders>
            <w:shd w:val="clear" w:color="auto" w:fill="auto"/>
            <w:vAlign w:val="center"/>
          </w:tcPr>
          <w:p w14:paraId="490F8BB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747048A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236AEFA3">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389D1EAA">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7EAE3985">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臭气浓度</w:t>
            </w:r>
          </w:p>
        </w:tc>
        <w:tc>
          <w:tcPr>
            <w:tcW w:w="366" w:type="pct"/>
            <w:tcBorders>
              <w:top w:val="nil"/>
              <w:left w:val="nil"/>
              <w:bottom w:val="single" w:color="auto" w:sz="4" w:space="0"/>
              <w:right w:val="single" w:color="auto" w:sz="4" w:space="0"/>
            </w:tcBorders>
            <w:shd w:val="clear" w:color="auto" w:fill="auto"/>
            <w:vAlign w:val="center"/>
          </w:tcPr>
          <w:p w14:paraId="7CE19461">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7506512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0E657356">
            <w:pPr>
              <w:spacing w:line="240" w:lineRule="auto"/>
              <w:ind w:firstLine="0" w:firstLineChars="0"/>
              <w:jc w:val="center"/>
              <w:rPr>
                <w:rFonts w:eastAsia="等线" w:cs="Times New Roman"/>
                <w:kern w:val="0"/>
                <w:sz w:val="21"/>
              </w:rPr>
            </w:pPr>
            <w:r>
              <w:rPr>
                <w:rFonts w:eastAsia="等线" w:cs="Times New Roman"/>
                <w:kern w:val="0"/>
                <w:sz w:val="21"/>
              </w:rPr>
              <w:t>13</w:t>
            </w:r>
          </w:p>
        </w:tc>
        <w:tc>
          <w:tcPr>
            <w:tcW w:w="481" w:type="pct"/>
            <w:tcBorders>
              <w:top w:val="nil"/>
              <w:left w:val="nil"/>
              <w:bottom w:val="single" w:color="auto" w:sz="4" w:space="0"/>
              <w:right w:val="single" w:color="auto" w:sz="4" w:space="0"/>
            </w:tcBorders>
            <w:shd w:val="clear" w:color="auto" w:fill="auto"/>
            <w:vAlign w:val="center"/>
          </w:tcPr>
          <w:p w14:paraId="65065613">
            <w:pPr>
              <w:spacing w:line="240" w:lineRule="auto"/>
              <w:ind w:firstLine="0" w:firstLineChars="0"/>
              <w:jc w:val="center"/>
              <w:rPr>
                <w:rFonts w:eastAsia="等线" w:cs="Times New Roman"/>
                <w:kern w:val="0"/>
                <w:sz w:val="21"/>
              </w:rPr>
            </w:pPr>
            <w:r>
              <w:rPr>
                <w:rFonts w:eastAsia="等线" w:cs="Times New Roman"/>
                <w:kern w:val="0"/>
                <w:sz w:val="21"/>
              </w:rPr>
              <w:t>18</w:t>
            </w:r>
          </w:p>
        </w:tc>
        <w:tc>
          <w:tcPr>
            <w:tcW w:w="402" w:type="pct"/>
            <w:tcBorders>
              <w:top w:val="nil"/>
              <w:left w:val="nil"/>
              <w:bottom w:val="single" w:color="auto" w:sz="4" w:space="0"/>
              <w:right w:val="single" w:color="auto" w:sz="4" w:space="0"/>
            </w:tcBorders>
            <w:shd w:val="clear" w:color="auto" w:fill="auto"/>
            <w:vAlign w:val="center"/>
          </w:tcPr>
          <w:p w14:paraId="3F20FAB5">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85" w:type="pct"/>
            <w:tcBorders>
              <w:top w:val="nil"/>
              <w:left w:val="nil"/>
              <w:bottom w:val="single" w:color="auto" w:sz="4" w:space="0"/>
              <w:right w:val="single" w:color="auto" w:sz="4" w:space="0"/>
            </w:tcBorders>
            <w:shd w:val="clear" w:color="auto" w:fill="auto"/>
            <w:vAlign w:val="center"/>
          </w:tcPr>
          <w:p w14:paraId="6F3EC97E">
            <w:pPr>
              <w:spacing w:line="240" w:lineRule="auto"/>
              <w:ind w:firstLine="0" w:firstLineChars="0"/>
              <w:jc w:val="center"/>
              <w:rPr>
                <w:rFonts w:eastAsia="等线" w:cs="Times New Roman"/>
                <w:kern w:val="0"/>
                <w:sz w:val="21"/>
              </w:rPr>
            </w:pPr>
            <w:r>
              <w:rPr>
                <w:rFonts w:eastAsia="等线" w:cs="Times New Roman"/>
                <w:kern w:val="0"/>
                <w:sz w:val="21"/>
              </w:rPr>
              <w:t>/</w:t>
            </w:r>
          </w:p>
        </w:tc>
        <w:tc>
          <w:tcPr>
            <w:tcW w:w="552" w:type="pct"/>
            <w:tcBorders>
              <w:top w:val="nil"/>
              <w:left w:val="nil"/>
              <w:bottom w:val="single" w:color="auto" w:sz="4" w:space="0"/>
              <w:right w:val="single" w:color="auto" w:sz="4" w:space="0"/>
            </w:tcBorders>
            <w:shd w:val="clear" w:color="auto" w:fill="auto"/>
            <w:vAlign w:val="center"/>
          </w:tcPr>
          <w:p w14:paraId="56C4DB83">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59260A6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4F0B2B66">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5877F33D">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0CBB5FC1">
            <w:pPr>
              <w:spacing w:line="240" w:lineRule="auto"/>
              <w:ind w:firstLine="0" w:firstLineChars="0"/>
              <w:jc w:val="center"/>
              <w:rPr>
                <w:rFonts w:hint="eastAsia" w:ascii="宋体" w:hAnsi="宋体" w:eastAsia="宋体" w:cs="宋体"/>
                <w:kern w:val="0"/>
                <w:sz w:val="22"/>
                <w:szCs w:val="22"/>
              </w:rPr>
            </w:pPr>
            <w:r>
              <w:rPr>
                <w:rFonts w:hint="eastAsia" w:ascii="宋体" w:hAnsi="宋体" w:eastAsia="宋体" w:cs="宋体"/>
                <w:kern w:val="0"/>
                <w:sz w:val="22"/>
                <w:szCs w:val="22"/>
              </w:rPr>
              <w:t>非甲烷总烃</w:t>
            </w:r>
          </w:p>
        </w:tc>
        <w:tc>
          <w:tcPr>
            <w:tcW w:w="366" w:type="pct"/>
            <w:tcBorders>
              <w:top w:val="nil"/>
              <w:left w:val="nil"/>
              <w:bottom w:val="single" w:color="auto" w:sz="4" w:space="0"/>
              <w:right w:val="single" w:color="auto" w:sz="4" w:space="0"/>
            </w:tcBorders>
            <w:shd w:val="clear" w:color="auto" w:fill="auto"/>
            <w:vAlign w:val="center"/>
          </w:tcPr>
          <w:p w14:paraId="0B551482">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5A0064D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小时浓度</w:t>
            </w:r>
          </w:p>
        </w:tc>
        <w:tc>
          <w:tcPr>
            <w:tcW w:w="453" w:type="pct"/>
            <w:tcBorders>
              <w:top w:val="nil"/>
              <w:left w:val="nil"/>
              <w:bottom w:val="single" w:color="auto" w:sz="4" w:space="0"/>
              <w:right w:val="single" w:color="auto" w:sz="4" w:space="0"/>
            </w:tcBorders>
            <w:shd w:val="clear" w:color="auto" w:fill="auto"/>
            <w:vAlign w:val="center"/>
          </w:tcPr>
          <w:p w14:paraId="5C296CFD">
            <w:pPr>
              <w:spacing w:line="240" w:lineRule="auto"/>
              <w:ind w:firstLine="0" w:firstLineChars="0"/>
              <w:jc w:val="center"/>
              <w:rPr>
                <w:rFonts w:eastAsia="等线" w:cs="Times New Roman"/>
                <w:kern w:val="0"/>
                <w:sz w:val="21"/>
              </w:rPr>
            </w:pPr>
            <w:r>
              <w:rPr>
                <w:rFonts w:eastAsia="等线" w:cs="Times New Roman"/>
                <w:kern w:val="0"/>
                <w:sz w:val="21"/>
              </w:rPr>
              <w:t>0.5</w:t>
            </w:r>
          </w:p>
        </w:tc>
        <w:tc>
          <w:tcPr>
            <w:tcW w:w="481" w:type="pct"/>
            <w:tcBorders>
              <w:top w:val="nil"/>
              <w:left w:val="nil"/>
              <w:bottom w:val="single" w:color="auto" w:sz="4" w:space="0"/>
              <w:right w:val="single" w:color="auto" w:sz="4" w:space="0"/>
            </w:tcBorders>
            <w:shd w:val="clear" w:color="auto" w:fill="auto"/>
            <w:vAlign w:val="center"/>
          </w:tcPr>
          <w:p w14:paraId="3C46FA6E">
            <w:pPr>
              <w:spacing w:line="240" w:lineRule="auto"/>
              <w:ind w:firstLine="0" w:firstLineChars="0"/>
              <w:jc w:val="center"/>
              <w:rPr>
                <w:rFonts w:eastAsia="等线" w:cs="Times New Roman"/>
                <w:kern w:val="0"/>
                <w:sz w:val="21"/>
              </w:rPr>
            </w:pPr>
            <w:r>
              <w:rPr>
                <w:rFonts w:eastAsia="等线" w:cs="Times New Roman"/>
                <w:kern w:val="0"/>
                <w:sz w:val="21"/>
              </w:rPr>
              <w:t>0.6</w:t>
            </w:r>
          </w:p>
        </w:tc>
        <w:tc>
          <w:tcPr>
            <w:tcW w:w="402" w:type="pct"/>
            <w:tcBorders>
              <w:top w:val="nil"/>
              <w:left w:val="nil"/>
              <w:bottom w:val="single" w:color="auto" w:sz="4" w:space="0"/>
              <w:right w:val="single" w:color="auto" w:sz="4" w:space="0"/>
            </w:tcBorders>
            <w:shd w:val="clear" w:color="auto" w:fill="auto"/>
            <w:vAlign w:val="center"/>
          </w:tcPr>
          <w:p w14:paraId="0A02239C">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585" w:type="pct"/>
            <w:tcBorders>
              <w:top w:val="nil"/>
              <w:left w:val="nil"/>
              <w:bottom w:val="single" w:color="auto" w:sz="4" w:space="0"/>
              <w:right w:val="single" w:color="auto" w:sz="4" w:space="0"/>
            </w:tcBorders>
            <w:shd w:val="clear" w:color="auto" w:fill="auto"/>
            <w:vAlign w:val="center"/>
          </w:tcPr>
          <w:p w14:paraId="0F1CBC64">
            <w:pPr>
              <w:spacing w:line="240" w:lineRule="auto"/>
              <w:ind w:firstLine="0" w:firstLineChars="0"/>
              <w:jc w:val="center"/>
              <w:rPr>
                <w:rFonts w:eastAsia="等线" w:cs="Times New Roman"/>
                <w:kern w:val="0"/>
                <w:sz w:val="21"/>
              </w:rPr>
            </w:pPr>
            <w:r>
              <w:rPr>
                <w:rFonts w:eastAsia="等线" w:cs="Times New Roman"/>
                <w:kern w:val="0"/>
                <w:sz w:val="21"/>
              </w:rPr>
              <w:t>30</w:t>
            </w:r>
          </w:p>
        </w:tc>
        <w:tc>
          <w:tcPr>
            <w:tcW w:w="552" w:type="pct"/>
            <w:tcBorders>
              <w:top w:val="nil"/>
              <w:left w:val="nil"/>
              <w:bottom w:val="single" w:color="auto" w:sz="4" w:space="0"/>
              <w:right w:val="single" w:color="auto" w:sz="4" w:space="0"/>
            </w:tcBorders>
            <w:shd w:val="clear" w:color="auto" w:fill="auto"/>
            <w:vAlign w:val="center"/>
          </w:tcPr>
          <w:p w14:paraId="5C73FBF4">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68959F3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73AAACAB">
        <w:tblPrEx>
          <w:tblCellMar>
            <w:top w:w="0" w:type="dxa"/>
            <w:left w:w="108" w:type="dxa"/>
            <w:bottom w:w="0" w:type="dxa"/>
            <w:right w:w="108" w:type="dxa"/>
          </w:tblCellMar>
        </w:tblPrEx>
        <w:trPr>
          <w:trHeight w:val="312" w:hRule="atLeast"/>
          <w:jc w:val="center"/>
        </w:trPr>
        <w:tc>
          <w:tcPr>
            <w:tcW w:w="380" w:type="pct"/>
            <w:vMerge w:val="continue"/>
            <w:tcBorders>
              <w:top w:val="nil"/>
              <w:left w:val="single" w:color="auto" w:sz="4" w:space="0"/>
              <w:bottom w:val="single" w:color="auto" w:sz="4" w:space="0"/>
              <w:right w:val="single" w:color="auto" w:sz="4" w:space="0"/>
            </w:tcBorders>
            <w:vAlign w:val="center"/>
          </w:tcPr>
          <w:p w14:paraId="7A8CB707">
            <w:pPr>
              <w:spacing w:line="240" w:lineRule="auto"/>
              <w:ind w:firstLine="0" w:firstLineChars="0"/>
              <w:rPr>
                <w:rFonts w:eastAsia="等线" w:cs="Times New Roman"/>
                <w:kern w:val="0"/>
                <w:sz w:val="21"/>
              </w:rPr>
            </w:pPr>
          </w:p>
        </w:tc>
        <w:tc>
          <w:tcPr>
            <w:tcW w:w="716" w:type="pct"/>
            <w:tcBorders>
              <w:top w:val="nil"/>
              <w:left w:val="nil"/>
              <w:bottom w:val="single" w:color="auto" w:sz="4" w:space="0"/>
              <w:right w:val="single" w:color="auto" w:sz="4" w:space="0"/>
            </w:tcBorders>
            <w:shd w:val="clear" w:color="auto" w:fill="auto"/>
            <w:vAlign w:val="center"/>
          </w:tcPr>
          <w:p w14:paraId="0356729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TSP</w:t>
            </w:r>
          </w:p>
        </w:tc>
        <w:tc>
          <w:tcPr>
            <w:tcW w:w="366" w:type="pct"/>
            <w:tcBorders>
              <w:top w:val="nil"/>
              <w:left w:val="nil"/>
              <w:bottom w:val="single" w:color="auto" w:sz="4" w:space="0"/>
              <w:right w:val="single" w:color="auto" w:sz="4" w:space="0"/>
            </w:tcBorders>
            <w:shd w:val="clear" w:color="auto" w:fill="auto"/>
            <w:vAlign w:val="center"/>
          </w:tcPr>
          <w:p w14:paraId="2677E09B">
            <w:pPr>
              <w:spacing w:line="240" w:lineRule="auto"/>
              <w:ind w:firstLine="0" w:firstLineChars="0"/>
              <w:jc w:val="center"/>
              <w:rPr>
                <w:rFonts w:eastAsia="等线" w:cs="Times New Roman"/>
                <w:kern w:val="0"/>
                <w:sz w:val="20"/>
                <w:szCs w:val="20"/>
              </w:rPr>
            </w:pPr>
            <w:r>
              <w:rPr>
                <w:rFonts w:eastAsia="等线" w:cs="Times New Roman"/>
                <w:kern w:val="0"/>
                <w:sz w:val="20"/>
                <w:szCs w:val="20"/>
              </w:rPr>
              <w:t>mg/m</w:t>
            </w:r>
            <w:r>
              <w:rPr>
                <w:rFonts w:eastAsia="等线" w:cs="Times New Roman"/>
                <w:kern w:val="0"/>
                <w:sz w:val="20"/>
                <w:szCs w:val="20"/>
                <w:vertAlign w:val="superscript"/>
              </w:rPr>
              <w:t>3</w:t>
            </w:r>
          </w:p>
        </w:tc>
        <w:tc>
          <w:tcPr>
            <w:tcW w:w="583" w:type="pct"/>
            <w:tcBorders>
              <w:top w:val="nil"/>
              <w:left w:val="nil"/>
              <w:bottom w:val="single" w:color="auto" w:sz="4" w:space="0"/>
              <w:right w:val="single" w:color="auto" w:sz="4" w:space="0"/>
            </w:tcBorders>
            <w:shd w:val="clear" w:color="auto" w:fill="auto"/>
            <w:vAlign w:val="center"/>
          </w:tcPr>
          <w:p w14:paraId="5FF05F8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日均值</w:t>
            </w:r>
          </w:p>
        </w:tc>
        <w:tc>
          <w:tcPr>
            <w:tcW w:w="453" w:type="pct"/>
            <w:tcBorders>
              <w:top w:val="nil"/>
              <w:left w:val="nil"/>
              <w:bottom w:val="single" w:color="auto" w:sz="4" w:space="0"/>
              <w:right w:val="single" w:color="auto" w:sz="4" w:space="0"/>
            </w:tcBorders>
            <w:shd w:val="clear" w:color="auto" w:fill="auto"/>
            <w:vAlign w:val="center"/>
          </w:tcPr>
          <w:p w14:paraId="238E2B0B">
            <w:pPr>
              <w:spacing w:line="240" w:lineRule="auto"/>
              <w:ind w:firstLine="0" w:firstLineChars="0"/>
              <w:jc w:val="center"/>
              <w:rPr>
                <w:rFonts w:eastAsia="等线" w:cs="Times New Roman"/>
                <w:kern w:val="0"/>
                <w:sz w:val="21"/>
              </w:rPr>
            </w:pPr>
            <w:r>
              <w:rPr>
                <w:rFonts w:eastAsia="等线" w:cs="Times New Roman"/>
                <w:kern w:val="0"/>
                <w:sz w:val="21"/>
              </w:rPr>
              <w:t>0.031</w:t>
            </w:r>
          </w:p>
        </w:tc>
        <w:tc>
          <w:tcPr>
            <w:tcW w:w="481" w:type="pct"/>
            <w:tcBorders>
              <w:top w:val="nil"/>
              <w:left w:val="nil"/>
              <w:bottom w:val="single" w:color="auto" w:sz="4" w:space="0"/>
              <w:right w:val="single" w:color="auto" w:sz="4" w:space="0"/>
            </w:tcBorders>
            <w:shd w:val="clear" w:color="auto" w:fill="auto"/>
            <w:vAlign w:val="center"/>
          </w:tcPr>
          <w:p w14:paraId="20160CC8">
            <w:pPr>
              <w:spacing w:line="240" w:lineRule="auto"/>
              <w:ind w:firstLine="0" w:firstLineChars="0"/>
              <w:jc w:val="center"/>
              <w:rPr>
                <w:rFonts w:eastAsia="等线" w:cs="Times New Roman"/>
                <w:kern w:val="0"/>
                <w:sz w:val="21"/>
              </w:rPr>
            </w:pPr>
            <w:r>
              <w:rPr>
                <w:rFonts w:eastAsia="等线" w:cs="Times New Roman"/>
                <w:kern w:val="0"/>
                <w:sz w:val="21"/>
              </w:rPr>
              <w:t>0.056</w:t>
            </w:r>
          </w:p>
        </w:tc>
        <w:tc>
          <w:tcPr>
            <w:tcW w:w="402" w:type="pct"/>
            <w:tcBorders>
              <w:top w:val="nil"/>
              <w:left w:val="nil"/>
              <w:bottom w:val="single" w:color="auto" w:sz="4" w:space="0"/>
              <w:right w:val="single" w:color="auto" w:sz="4" w:space="0"/>
            </w:tcBorders>
            <w:shd w:val="clear" w:color="auto" w:fill="auto"/>
            <w:vAlign w:val="center"/>
          </w:tcPr>
          <w:p w14:paraId="08F50896">
            <w:pPr>
              <w:spacing w:line="240" w:lineRule="auto"/>
              <w:ind w:firstLine="0" w:firstLineChars="0"/>
              <w:jc w:val="center"/>
              <w:rPr>
                <w:rFonts w:eastAsia="等线" w:cs="Times New Roman"/>
                <w:kern w:val="0"/>
                <w:sz w:val="21"/>
              </w:rPr>
            </w:pPr>
            <w:r>
              <w:rPr>
                <w:rFonts w:eastAsia="等线" w:cs="Times New Roman"/>
                <w:kern w:val="0"/>
                <w:sz w:val="21"/>
              </w:rPr>
              <w:t>0.3</w:t>
            </w:r>
          </w:p>
        </w:tc>
        <w:tc>
          <w:tcPr>
            <w:tcW w:w="585" w:type="pct"/>
            <w:tcBorders>
              <w:top w:val="nil"/>
              <w:left w:val="nil"/>
              <w:bottom w:val="single" w:color="auto" w:sz="4" w:space="0"/>
              <w:right w:val="single" w:color="auto" w:sz="4" w:space="0"/>
            </w:tcBorders>
            <w:shd w:val="clear" w:color="auto" w:fill="auto"/>
            <w:vAlign w:val="center"/>
          </w:tcPr>
          <w:p w14:paraId="3B571140">
            <w:pPr>
              <w:spacing w:line="240" w:lineRule="auto"/>
              <w:ind w:firstLine="0" w:firstLineChars="0"/>
              <w:jc w:val="center"/>
              <w:rPr>
                <w:rFonts w:eastAsia="等线" w:cs="Times New Roman"/>
                <w:kern w:val="0"/>
                <w:sz w:val="21"/>
              </w:rPr>
            </w:pPr>
            <w:r>
              <w:rPr>
                <w:rFonts w:eastAsia="等线" w:cs="Times New Roman"/>
                <w:kern w:val="0"/>
                <w:sz w:val="21"/>
              </w:rPr>
              <w:t>18.7</w:t>
            </w:r>
          </w:p>
        </w:tc>
        <w:tc>
          <w:tcPr>
            <w:tcW w:w="552" w:type="pct"/>
            <w:tcBorders>
              <w:top w:val="nil"/>
              <w:left w:val="nil"/>
              <w:bottom w:val="single" w:color="auto" w:sz="4" w:space="0"/>
              <w:right w:val="single" w:color="auto" w:sz="4" w:space="0"/>
            </w:tcBorders>
            <w:shd w:val="clear" w:color="auto" w:fill="auto"/>
            <w:vAlign w:val="center"/>
          </w:tcPr>
          <w:p w14:paraId="163D84EA">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483" w:type="pct"/>
            <w:tcBorders>
              <w:top w:val="nil"/>
              <w:left w:val="nil"/>
              <w:bottom w:val="single" w:color="auto" w:sz="4" w:space="0"/>
              <w:right w:val="single" w:color="auto" w:sz="4" w:space="0"/>
            </w:tcBorders>
            <w:shd w:val="clear" w:color="auto" w:fill="auto"/>
            <w:vAlign w:val="center"/>
          </w:tcPr>
          <w:p w14:paraId="5120D57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bl>
    <w:p w14:paraId="75AF05EB">
      <w:pPr>
        <w:pStyle w:val="86"/>
      </w:pPr>
      <w:r>
        <w:rPr>
          <w:rFonts w:hint="eastAsia"/>
        </w:rPr>
        <w:t>厂址同步气象参数</w:t>
      </w:r>
    </w:p>
    <w:tbl>
      <w:tblPr>
        <w:tblStyle w:val="38"/>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2116"/>
        <w:gridCol w:w="1201"/>
        <w:gridCol w:w="1411"/>
        <w:gridCol w:w="1280"/>
        <w:gridCol w:w="1135"/>
        <w:gridCol w:w="816"/>
        <w:gridCol w:w="885"/>
      </w:tblGrid>
      <w:tr w14:paraId="0865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jc w:val="center"/>
        </w:trPr>
        <w:tc>
          <w:tcPr>
            <w:tcW w:w="1216" w:type="dxa"/>
            <w:vMerge w:val="restart"/>
            <w:shd w:val="clear" w:color="auto" w:fill="auto"/>
            <w:vAlign w:val="center"/>
          </w:tcPr>
          <w:p w14:paraId="5682F47E">
            <w:pPr>
              <w:pStyle w:val="196"/>
            </w:pPr>
            <w:r>
              <w:rPr>
                <w:rFonts w:hint="eastAsia"/>
              </w:rPr>
              <w:t>采样日期</w:t>
            </w:r>
          </w:p>
        </w:tc>
        <w:tc>
          <w:tcPr>
            <w:tcW w:w="2116" w:type="dxa"/>
            <w:vMerge w:val="restart"/>
            <w:shd w:val="clear" w:color="auto" w:fill="auto"/>
            <w:vAlign w:val="center"/>
          </w:tcPr>
          <w:p w14:paraId="78EA63CE">
            <w:pPr>
              <w:pStyle w:val="196"/>
            </w:pPr>
            <w:r>
              <w:rPr>
                <w:rFonts w:hint="eastAsia"/>
              </w:rPr>
              <w:t>采样时间</w:t>
            </w:r>
          </w:p>
        </w:tc>
        <w:tc>
          <w:tcPr>
            <w:tcW w:w="1201" w:type="dxa"/>
            <w:shd w:val="clear" w:color="auto" w:fill="auto"/>
            <w:vAlign w:val="center"/>
          </w:tcPr>
          <w:p w14:paraId="5303D477">
            <w:pPr>
              <w:pStyle w:val="196"/>
            </w:pPr>
            <w:r>
              <w:rPr>
                <w:rFonts w:hint="eastAsia"/>
              </w:rPr>
              <w:t>环境温度</w:t>
            </w:r>
          </w:p>
        </w:tc>
        <w:tc>
          <w:tcPr>
            <w:tcW w:w="1411" w:type="dxa"/>
            <w:shd w:val="clear" w:color="auto" w:fill="auto"/>
            <w:vAlign w:val="center"/>
          </w:tcPr>
          <w:p w14:paraId="54FAB22B">
            <w:pPr>
              <w:pStyle w:val="196"/>
            </w:pPr>
            <w:r>
              <w:rPr>
                <w:rFonts w:hint="eastAsia"/>
              </w:rPr>
              <w:t>大气压</w:t>
            </w:r>
          </w:p>
        </w:tc>
        <w:tc>
          <w:tcPr>
            <w:tcW w:w="1280" w:type="dxa"/>
            <w:shd w:val="clear" w:color="auto" w:fill="auto"/>
            <w:vAlign w:val="center"/>
          </w:tcPr>
          <w:p w14:paraId="30920CC4">
            <w:pPr>
              <w:pStyle w:val="196"/>
            </w:pPr>
            <w:r>
              <w:rPr>
                <w:rFonts w:hint="eastAsia"/>
              </w:rPr>
              <w:t>相对湿度</w:t>
            </w:r>
          </w:p>
        </w:tc>
        <w:tc>
          <w:tcPr>
            <w:tcW w:w="1135" w:type="dxa"/>
            <w:shd w:val="clear" w:color="auto" w:fill="auto"/>
            <w:vAlign w:val="center"/>
          </w:tcPr>
          <w:p w14:paraId="6E007951">
            <w:pPr>
              <w:pStyle w:val="196"/>
            </w:pPr>
            <w:r>
              <w:rPr>
                <w:rFonts w:hint="eastAsia"/>
              </w:rPr>
              <w:t>风速</w:t>
            </w:r>
          </w:p>
        </w:tc>
        <w:tc>
          <w:tcPr>
            <w:tcW w:w="816" w:type="dxa"/>
            <w:vMerge w:val="restart"/>
            <w:shd w:val="clear" w:color="auto" w:fill="auto"/>
            <w:vAlign w:val="center"/>
          </w:tcPr>
          <w:p w14:paraId="233B0885">
            <w:pPr>
              <w:pStyle w:val="196"/>
            </w:pPr>
            <w:r>
              <w:rPr>
                <w:rFonts w:hint="eastAsia"/>
              </w:rPr>
              <w:t>风向</w:t>
            </w:r>
          </w:p>
        </w:tc>
        <w:tc>
          <w:tcPr>
            <w:tcW w:w="885" w:type="dxa"/>
            <w:vMerge w:val="restart"/>
            <w:shd w:val="clear" w:color="auto" w:fill="auto"/>
            <w:vAlign w:val="center"/>
          </w:tcPr>
          <w:p w14:paraId="2AC2A5F8">
            <w:pPr>
              <w:pStyle w:val="196"/>
            </w:pPr>
            <w:r>
              <w:rPr>
                <w:rFonts w:hint="eastAsia"/>
              </w:rPr>
              <w:t>天气状况</w:t>
            </w:r>
          </w:p>
        </w:tc>
      </w:tr>
      <w:tr w14:paraId="102C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vMerge w:val="continue"/>
            <w:vAlign w:val="center"/>
          </w:tcPr>
          <w:p w14:paraId="452E2326">
            <w:pPr>
              <w:pStyle w:val="196"/>
            </w:pPr>
          </w:p>
        </w:tc>
        <w:tc>
          <w:tcPr>
            <w:tcW w:w="2116" w:type="dxa"/>
            <w:vMerge w:val="continue"/>
            <w:vAlign w:val="center"/>
          </w:tcPr>
          <w:p w14:paraId="160750CF">
            <w:pPr>
              <w:pStyle w:val="196"/>
            </w:pPr>
          </w:p>
        </w:tc>
        <w:tc>
          <w:tcPr>
            <w:tcW w:w="1201" w:type="dxa"/>
            <w:shd w:val="clear" w:color="auto" w:fill="auto"/>
            <w:vAlign w:val="center"/>
          </w:tcPr>
          <w:p w14:paraId="31B3CD2C">
            <w:pPr>
              <w:pStyle w:val="196"/>
            </w:pPr>
            <w:r>
              <w:rPr>
                <w:rFonts w:hint="eastAsia"/>
              </w:rPr>
              <w:t>（</w:t>
            </w:r>
            <w:r>
              <w:rPr>
                <w:rFonts w:cs="Times New Roman"/>
              </w:rPr>
              <w:t>℃</w:t>
            </w:r>
            <w:r>
              <w:rPr>
                <w:rFonts w:hint="eastAsia"/>
              </w:rPr>
              <w:t>）</w:t>
            </w:r>
          </w:p>
        </w:tc>
        <w:tc>
          <w:tcPr>
            <w:tcW w:w="1411" w:type="dxa"/>
            <w:shd w:val="clear" w:color="auto" w:fill="auto"/>
            <w:vAlign w:val="center"/>
          </w:tcPr>
          <w:p w14:paraId="59D2DEC2">
            <w:pPr>
              <w:pStyle w:val="196"/>
            </w:pPr>
            <w:r>
              <w:rPr>
                <w:rFonts w:hint="eastAsia"/>
                <w:lang w:eastAsia="zh-CN"/>
              </w:rPr>
              <w:t>(</w:t>
            </w:r>
            <w:r>
              <w:rPr>
                <w:rFonts w:cs="Times New Roman"/>
              </w:rPr>
              <w:t>kPa</w:t>
            </w:r>
            <w:r>
              <w:rPr>
                <w:rFonts w:hint="eastAsia" w:cs="Times New Roman"/>
                <w:lang w:eastAsia="zh-CN"/>
              </w:rPr>
              <w:t>)</w:t>
            </w:r>
          </w:p>
        </w:tc>
        <w:tc>
          <w:tcPr>
            <w:tcW w:w="1280" w:type="dxa"/>
            <w:shd w:val="clear" w:color="auto" w:fill="auto"/>
            <w:vAlign w:val="center"/>
          </w:tcPr>
          <w:p w14:paraId="09B8A726">
            <w:pPr>
              <w:pStyle w:val="196"/>
            </w:pPr>
            <w:r>
              <w:rPr>
                <w:rFonts w:hint="eastAsia"/>
              </w:rPr>
              <w:t>（</w:t>
            </w:r>
            <w:r>
              <w:rPr>
                <w:rFonts w:cs="Times New Roman"/>
              </w:rPr>
              <w:t>%</w:t>
            </w:r>
            <w:r>
              <w:rPr>
                <w:rFonts w:hint="eastAsia"/>
              </w:rPr>
              <w:t>）</w:t>
            </w:r>
          </w:p>
        </w:tc>
        <w:tc>
          <w:tcPr>
            <w:tcW w:w="1135" w:type="dxa"/>
            <w:shd w:val="clear" w:color="auto" w:fill="auto"/>
            <w:vAlign w:val="center"/>
          </w:tcPr>
          <w:p w14:paraId="0BF11B26">
            <w:pPr>
              <w:pStyle w:val="196"/>
            </w:pPr>
            <w:r>
              <w:rPr>
                <w:rFonts w:hint="eastAsia"/>
                <w:lang w:eastAsia="zh-CN"/>
              </w:rPr>
              <w:t>(</w:t>
            </w:r>
            <w:r>
              <w:rPr>
                <w:rFonts w:cs="Times New Roman"/>
              </w:rPr>
              <w:t>m/s</w:t>
            </w:r>
            <w:r>
              <w:rPr>
                <w:rFonts w:hint="eastAsia" w:cs="Times New Roman"/>
                <w:lang w:eastAsia="zh-CN"/>
              </w:rPr>
              <w:t>)</w:t>
            </w:r>
          </w:p>
        </w:tc>
        <w:tc>
          <w:tcPr>
            <w:tcW w:w="816" w:type="dxa"/>
            <w:vMerge w:val="continue"/>
            <w:vAlign w:val="center"/>
          </w:tcPr>
          <w:p w14:paraId="3BAB3914">
            <w:pPr>
              <w:pStyle w:val="196"/>
            </w:pPr>
          </w:p>
        </w:tc>
        <w:tc>
          <w:tcPr>
            <w:tcW w:w="885" w:type="dxa"/>
            <w:vMerge w:val="continue"/>
            <w:vAlign w:val="center"/>
          </w:tcPr>
          <w:p w14:paraId="32B9778D">
            <w:pPr>
              <w:pStyle w:val="196"/>
            </w:pPr>
          </w:p>
        </w:tc>
      </w:tr>
      <w:tr w14:paraId="624A8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0BC98DFD">
            <w:pPr>
              <w:pStyle w:val="196"/>
              <w:rPr>
                <w:rFonts w:eastAsia="等线" w:cs="Times New Roman"/>
              </w:rPr>
            </w:pPr>
            <w:r>
              <w:rPr>
                <w:rFonts w:eastAsia="等线" w:cs="Times New Roman"/>
              </w:rPr>
              <w:t>8月16日</w:t>
            </w:r>
          </w:p>
        </w:tc>
        <w:tc>
          <w:tcPr>
            <w:tcW w:w="2116" w:type="dxa"/>
            <w:shd w:val="clear" w:color="auto" w:fill="auto"/>
            <w:vAlign w:val="center"/>
          </w:tcPr>
          <w:p w14:paraId="4E58CD18">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3FC0F5AC">
            <w:pPr>
              <w:pStyle w:val="196"/>
              <w:rPr>
                <w:rFonts w:eastAsia="等线" w:cs="Times New Roman"/>
              </w:rPr>
            </w:pPr>
            <w:r>
              <w:rPr>
                <w:rFonts w:eastAsia="等线" w:cs="Times New Roman"/>
              </w:rPr>
              <w:t>23.4-31.3</w:t>
            </w:r>
          </w:p>
        </w:tc>
        <w:tc>
          <w:tcPr>
            <w:tcW w:w="1411" w:type="dxa"/>
            <w:shd w:val="clear" w:color="auto" w:fill="auto"/>
            <w:vAlign w:val="center"/>
          </w:tcPr>
          <w:p w14:paraId="689DAD29">
            <w:pPr>
              <w:pStyle w:val="196"/>
              <w:rPr>
                <w:rFonts w:eastAsia="等线" w:cs="Times New Roman"/>
              </w:rPr>
            </w:pPr>
            <w:r>
              <w:rPr>
                <w:rFonts w:eastAsia="等线" w:cs="Times New Roman"/>
              </w:rPr>
              <w:t>99.9-100.4</w:t>
            </w:r>
          </w:p>
        </w:tc>
        <w:tc>
          <w:tcPr>
            <w:tcW w:w="1280" w:type="dxa"/>
            <w:shd w:val="clear" w:color="auto" w:fill="auto"/>
            <w:vAlign w:val="center"/>
          </w:tcPr>
          <w:p w14:paraId="0408EA65">
            <w:pPr>
              <w:pStyle w:val="196"/>
              <w:rPr>
                <w:rFonts w:eastAsia="等线" w:cs="Times New Roman"/>
              </w:rPr>
            </w:pPr>
            <w:r>
              <w:rPr>
                <w:rFonts w:eastAsia="等线" w:cs="Times New Roman"/>
              </w:rPr>
              <w:t>50.1-56.2</w:t>
            </w:r>
          </w:p>
        </w:tc>
        <w:tc>
          <w:tcPr>
            <w:tcW w:w="1135" w:type="dxa"/>
            <w:shd w:val="clear" w:color="auto" w:fill="auto"/>
            <w:vAlign w:val="center"/>
          </w:tcPr>
          <w:p w14:paraId="6514D8C4">
            <w:pPr>
              <w:pStyle w:val="196"/>
              <w:rPr>
                <w:rFonts w:eastAsia="等线" w:cs="Times New Roman"/>
              </w:rPr>
            </w:pPr>
            <w:r>
              <w:rPr>
                <w:rFonts w:eastAsia="等线" w:cs="Times New Roman"/>
              </w:rPr>
              <w:t>1.3-2.1</w:t>
            </w:r>
          </w:p>
        </w:tc>
        <w:tc>
          <w:tcPr>
            <w:tcW w:w="816" w:type="dxa"/>
            <w:shd w:val="clear" w:color="auto" w:fill="auto"/>
            <w:vAlign w:val="center"/>
          </w:tcPr>
          <w:p w14:paraId="6BCCBA42">
            <w:pPr>
              <w:pStyle w:val="196"/>
            </w:pPr>
            <w:r>
              <w:rPr>
                <w:rFonts w:hint="eastAsia"/>
              </w:rPr>
              <w:t>东</w:t>
            </w:r>
          </w:p>
        </w:tc>
        <w:tc>
          <w:tcPr>
            <w:tcW w:w="885" w:type="dxa"/>
            <w:shd w:val="clear" w:color="auto" w:fill="auto"/>
            <w:vAlign w:val="center"/>
          </w:tcPr>
          <w:p w14:paraId="281254C3">
            <w:pPr>
              <w:pStyle w:val="196"/>
            </w:pPr>
            <w:r>
              <w:rPr>
                <w:rFonts w:hint="eastAsia"/>
              </w:rPr>
              <w:t>多云</w:t>
            </w:r>
          </w:p>
        </w:tc>
      </w:tr>
      <w:tr w14:paraId="2660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613BB1A0">
            <w:pPr>
              <w:pStyle w:val="196"/>
              <w:rPr>
                <w:rFonts w:eastAsia="等线" w:cs="Times New Roman"/>
              </w:rPr>
            </w:pPr>
            <w:r>
              <w:rPr>
                <w:rFonts w:eastAsia="等线" w:cs="Times New Roman"/>
              </w:rPr>
              <w:t>8月17日</w:t>
            </w:r>
          </w:p>
        </w:tc>
        <w:tc>
          <w:tcPr>
            <w:tcW w:w="2116" w:type="dxa"/>
            <w:shd w:val="clear" w:color="auto" w:fill="auto"/>
            <w:vAlign w:val="center"/>
          </w:tcPr>
          <w:p w14:paraId="4A1A29F5">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68C865E2">
            <w:pPr>
              <w:pStyle w:val="196"/>
              <w:rPr>
                <w:rFonts w:eastAsia="等线" w:cs="Times New Roman"/>
              </w:rPr>
            </w:pPr>
            <w:r>
              <w:rPr>
                <w:rFonts w:eastAsia="等线" w:cs="Times New Roman"/>
              </w:rPr>
              <w:t>22.9-30.8</w:t>
            </w:r>
          </w:p>
        </w:tc>
        <w:tc>
          <w:tcPr>
            <w:tcW w:w="1411" w:type="dxa"/>
            <w:shd w:val="clear" w:color="auto" w:fill="auto"/>
            <w:vAlign w:val="center"/>
          </w:tcPr>
          <w:p w14:paraId="6AF96CAF">
            <w:pPr>
              <w:pStyle w:val="196"/>
              <w:rPr>
                <w:rFonts w:eastAsia="等线" w:cs="Times New Roman"/>
              </w:rPr>
            </w:pPr>
            <w:r>
              <w:rPr>
                <w:rFonts w:eastAsia="等线" w:cs="Times New Roman"/>
              </w:rPr>
              <w:t>100.0-100.5</w:t>
            </w:r>
          </w:p>
        </w:tc>
        <w:tc>
          <w:tcPr>
            <w:tcW w:w="1280" w:type="dxa"/>
            <w:shd w:val="clear" w:color="auto" w:fill="auto"/>
            <w:vAlign w:val="center"/>
          </w:tcPr>
          <w:p w14:paraId="7DCB70C1">
            <w:pPr>
              <w:pStyle w:val="196"/>
              <w:rPr>
                <w:rFonts w:eastAsia="等线" w:cs="Times New Roman"/>
              </w:rPr>
            </w:pPr>
            <w:r>
              <w:rPr>
                <w:rFonts w:eastAsia="等线" w:cs="Times New Roman"/>
              </w:rPr>
              <w:t>48.3-58.3</w:t>
            </w:r>
          </w:p>
        </w:tc>
        <w:tc>
          <w:tcPr>
            <w:tcW w:w="1135" w:type="dxa"/>
            <w:shd w:val="clear" w:color="auto" w:fill="auto"/>
            <w:vAlign w:val="center"/>
          </w:tcPr>
          <w:p w14:paraId="00B18DA2">
            <w:pPr>
              <w:pStyle w:val="196"/>
              <w:rPr>
                <w:rFonts w:eastAsia="等线" w:cs="Times New Roman"/>
              </w:rPr>
            </w:pPr>
            <w:r>
              <w:rPr>
                <w:rFonts w:eastAsia="等线" w:cs="Times New Roman"/>
              </w:rPr>
              <w:t>1.7-2.1</w:t>
            </w:r>
          </w:p>
        </w:tc>
        <w:tc>
          <w:tcPr>
            <w:tcW w:w="816" w:type="dxa"/>
            <w:shd w:val="clear" w:color="auto" w:fill="auto"/>
            <w:vAlign w:val="center"/>
          </w:tcPr>
          <w:p w14:paraId="36933A85">
            <w:pPr>
              <w:pStyle w:val="196"/>
            </w:pPr>
            <w:r>
              <w:rPr>
                <w:rFonts w:hint="eastAsia"/>
              </w:rPr>
              <w:t>东北</w:t>
            </w:r>
          </w:p>
        </w:tc>
        <w:tc>
          <w:tcPr>
            <w:tcW w:w="885" w:type="dxa"/>
            <w:shd w:val="clear" w:color="auto" w:fill="auto"/>
            <w:vAlign w:val="center"/>
          </w:tcPr>
          <w:p w14:paraId="4938E2C6">
            <w:pPr>
              <w:pStyle w:val="196"/>
            </w:pPr>
            <w:r>
              <w:rPr>
                <w:rFonts w:hint="eastAsia"/>
              </w:rPr>
              <w:t>多云</w:t>
            </w:r>
          </w:p>
        </w:tc>
      </w:tr>
      <w:tr w14:paraId="0636E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atLeast"/>
          <w:jc w:val="center"/>
        </w:trPr>
        <w:tc>
          <w:tcPr>
            <w:tcW w:w="1216" w:type="dxa"/>
            <w:shd w:val="clear" w:color="auto" w:fill="auto"/>
            <w:vAlign w:val="center"/>
          </w:tcPr>
          <w:p w14:paraId="63B8BBEB">
            <w:pPr>
              <w:pStyle w:val="196"/>
              <w:rPr>
                <w:rFonts w:eastAsia="等线" w:cs="Times New Roman"/>
              </w:rPr>
            </w:pPr>
            <w:r>
              <w:rPr>
                <w:rFonts w:eastAsia="等线" w:cs="Times New Roman"/>
              </w:rPr>
              <w:t>8月18日</w:t>
            </w:r>
          </w:p>
        </w:tc>
        <w:tc>
          <w:tcPr>
            <w:tcW w:w="2116" w:type="dxa"/>
            <w:shd w:val="clear" w:color="auto" w:fill="auto"/>
            <w:vAlign w:val="center"/>
          </w:tcPr>
          <w:p w14:paraId="410E0EF9">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53612FD0">
            <w:pPr>
              <w:pStyle w:val="196"/>
              <w:rPr>
                <w:rFonts w:eastAsia="等线" w:cs="Times New Roman"/>
              </w:rPr>
            </w:pPr>
            <w:r>
              <w:rPr>
                <w:rFonts w:eastAsia="等线" w:cs="Times New Roman"/>
              </w:rPr>
              <w:t>21.7-31.1</w:t>
            </w:r>
          </w:p>
        </w:tc>
        <w:tc>
          <w:tcPr>
            <w:tcW w:w="1411" w:type="dxa"/>
            <w:shd w:val="clear" w:color="auto" w:fill="auto"/>
            <w:vAlign w:val="center"/>
          </w:tcPr>
          <w:p w14:paraId="527411BB">
            <w:pPr>
              <w:pStyle w:val="196"/>
              <w:rPr>
                <w:rFonts w:eastAsia="等线" w:cs="Times New Roman"/>
              </w:rPr>
            </w:pPr>
            <w:r>
              <w:rPr>
                <w:rFonts w:eastAsia="等线" w:cs="Times New Roman"/>
              </w:rPr>
              <w:t>100.1-100.5</w:t>
            </w:r>
          </w:p>
        </w:tc>
        <w:tc>
          <w:tcPr>
            <w:tcW w:w="1280" w:type="dxa"/>
            <w:shd w:val="clear" w:color="auto" w:fill="auto"/>
            <w:vAlign w:val="center"/>
          </w:tcPr>
          <w:p w14:paraId="49D92499">
            <w:pPr>
              <w:pStyle w:val="196"/>
              <w:rPr>
                <w:rFonts w:eastAsia="等线" w:cs="Times New Roman"/>
              </w:rPr>
            </w:pPr>
            <w:r>
              <w:rPr>
                <w:rFonts w:eastAsia="等线" w:cs="Times New Roman"/>
              </w:rPr>
              <w:t>51.8-58.4</w:t>
            </w:r>
          </w:p>
        </w:tc>
        <w:tc>
          <w:tcPr>
            <w:tcW w:w="1135" w:type="dxa"/>
            <w:shd w:val="clear" w:color="auto" w:fill="auto"/>
            <w:vAlign w:val="center"/>
          </w:tcPr>
          <w:p w14:paraId="2A5DF07A">
            <w:pPr>
              <w:pStyle w:val="196"/>
              <w:rPr>
                <w:rFonts w:eastAsia="等线" w:cs="Times New Roman"/>
              </w:rPr>
            </w:pPr>
            <w:r>
              <w:rPr>
                <w:rFonts w:eastAsia="等线" w:cs="Times New Roman"/>
              </w:rPr>
              <w:t>1.3-1.8</w:t>
            </w:r>
          </w:p>
        </w:tc>
        <w:tc>
          <w:tcPr>
            <w:tcW w:w="816" w:type="dxa"/>
            <w:shd w:val="clear" w:color="auto" w:fill="auto"/>
            <w:vAlign w:val="center"/>
          </w:tcPr>
          <w:p w14:paraId="70DF4B90">
            <w:pPr>
              <w:pStyle w:val="196"/>
            </w:pPr>
            <w:r>
              <w:rPr>
                <w:rFonts w:hint="eastAsia"/>
              </w:rPr>
              <w:t>东</w:t>
            </w:r>
          </w:p>
        </w:tc>
        <w:tc>
          <w:tcPr>
            <w:tcW w:w="885" w:type="dxa"/>
            <w:shd w:val="clear" w:color="auto" w:fill="auto"/>
            <w:vAlign w:val="center"/>
          </w:tcPr>
          <w:p w14:paraId="4162CBF3">
            <w:pPr>
              <w:pStyle w:val="196"/>
            </w:pPr>
            <w:r>
              <w:rPr>
                <w:rFonts w:hint="eastAsia"/>
              </w:rPr>
              <w:t>多云</w:t>
            </w:r>
          </w:p>
        </w:tc>
      </w:tr>
      <w:tr w14:paraId="2E11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044F0C4E">
            <w:pPr>
              <w:pStyle w:val="196"/>
              <w:rPr>
                <w:rFonts w:eastAsia="等线" w:cs="Times New Roman"/>
              </w:rPr>
            </w:pPr>
            <w:r>
              <w:rPr>
                <w:rFonts w:eastAsia="等线" w:cs="Times New Roman"/>
              </w:rPr>
              <w:t>8月19日</w:t>
            </w:r>
          </w:p>
        </w:tc>
        <w:tc>
          <w:tcPr>
            <w:tcW w:w="2116" w:type="dxa"/>
            <w:shd w:val="clear" w:color="auto" w:fill="auto"/>
            <w:vAlign w:val="center"/>
          </w:tcPr>
          <w:p w14:paraId="6797AC7A">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40C0C19A">
            <w:pPr>
              <w:pStyle w:val="196"/>
              <w:rPr>
                <w:rFonts w:eastAsia="等线" w:cs="Times New Roman"/>
              </w:rPr>
            </w:pPr>
            <w:r>
              <w:rPr>
                <w:rFonts w:eastAsia="等线" w:cs="Times New Roman"/>
              </w:rPr>
              <w:t>22.7-30.5</w:t>
            </w:r>
          </w:p>
        </w:tc>
        <w:tc>
          <w:tcPr>
            <w:tcW w:w="1411" w:type="dxa"/>
            <w:shd w:val="clear" w:color="auto" w:fill="auto"/>
            <w:vAlign w:val="center"/>
          </w:tcPr>
          <w:p w14:paraId="3DCFFF65">
            <w:pPr>
              <w:pStyle w:val="196"/>
              <w:rPr>
                <w:rFonts w:eastAsia="等线" w:cs="Times New Roman"/>
              </w:rPr>
            </w:pPr>
            <w:r>
              <w:rPr>
                <w:rFonts w:eastAsia="等线" w:cs="Times New Roman"/>
              </w:rPr>
              <w:t>100.0-100.5</w:t>
            </w:r>
          </w:p>
        </w:tc>
        <w:tc>
          <w:tcPr>
            <w:tcW w:w="1280" w:type="dxa"/>
            <w:shd w:val="clear" w:color="auto" w:fill="auto"/>
            <w:vAlign w:val="center"/>
          </w:tcPr>
          <w:p w14:paraId="6F85A659">
            <w:pPr>
              <w:pStyle w:val="196"/>
              <w:rPr>
                <w:rFonts w:eastAsia="等线" w:cs="Times New Roman"/>
              </w:rPr>
            </w:pPr>
            <w:r>
              <w:rPr>
                <w:rFonts w:eastAsia="等线" w:cs="Times New Roman"/>
              </w:rPr>
              <w:t>52.2-58.2</w:t>
            </w:r>
          </w:p>
        </w:tc>
        <w:tc>
          <w:tcPr>
            <w:tcW w:w="1135" w:type="dxa"/>
            <w:shd w:val="clear" w:color="auto" w:fill="auto"/>
            <w:vAlign w:val="center"/>
          </w:tcPr>
          <w:p w14:paraId="754B8A4E">
            <w:pPr>
              <w:pStyle w:val="196"/>
              <w:rPr>
                <w:rFonts w:eastAsia="等线" w:cs="Times New Roman"/>
              </w:rPr>
            </w:pPr>
            <w:r>
              <w:rPr>
                <w:rFonts w:eastAsia="等线" w:cs="Times New Roman"/>
              </w:rPr>
              <w:t>1.4-1.8</w:t>
            </w:r>
          </w:p>
        </w:tc>
        <w:tc>
          <w:tcPr>
            <w:tcW w:w="816" w:type="dxa"/>
            <w:shd w:val="clear" w:color="auto" w:fill="auto"/>
            <w:vAlign w:val="center"/>
          </w:tcPr>
          <w:p w14:paraId="6E05DAC7">
            <w:pPr>
              <w:pStyle w:val="196"/>
            </w:pPr>
            <w:r>
              <w:rPr>
                <w:rFonts w:hint="eastAsia"/>
              </w:rPr>
              <w:t>东北</w:t>
            </w:r>
          </w:p>
        </w:tc>
        <w:tc>
          <w:tcPr>
            <w:tcW w:w="885" w:type="dxa"/>
            <w:shd w:val="clear" w:color="auto" w:fill="auto"/>
            <w:vAlign w:val="center"/>
          </w:tcPr>
          <w:p w14:paraId="71A6FBA7">
            <w:pPr>
              <w:pStyle w:val="196"/>
            </w:pPr>
            <w:r>
              <w:rPr>
                <w:rFonts w:hint="eastAsia"/>
              </w:rPr>
              <w:t>多云</w:t>
            </w:r>
          </w:p>
        </w:tc>
      </w:tr>
      <w:tr w14:paraId="2261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6197E86F">
            <w:pPr>
              <w:pStyle w:val="196"/>
              <w:rPr>
                <w:rFonts w:eastAsia="等线" w:cs="Times New Roman"/>
              </w:rPr>
            </w:pPr>
            <w:r>
              <w:rPr>
                <w:rFonts w:eastAsia="等线" w:cs="Times New Roman"/>
              </w:rPr>
              <w:t>8月20日</w:t>
            </w:r>
          </w:p>
        </w:tc>
        <w:tc>
          <w:tcPr>
            <w:tcW w:w="2116" w:type="dxa"/>
            <w:shd w:val="clear" w:color="auto" w:fill="auto"/>
            <w:vAlign w:val="center"/>
          </w:tcPr>
          <w:p w14:paraId="1BBCDBEB">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374D87EF">
            <w:pPr>
              <w:pStyle w:val="196"/>
              <w:rPr>
                <w:rFonts w:eastAsia="等线" w:cs="Times New Roman"/>
              </w:rPr>
            </w:pPr>
            <w:r>
              <w:rPr>
                <w:rFonts w:eastAsia="等线" w:cs="Times New Roman"/>
              </w:rPr>
              <w:t>22.8-31.2</w:t>
            </w:r>
          </w:p>
        </w:tc>
        <w:tc>
          <w:tcPr>
            <w:tcW w:w="1411" w:type="dxa"/>
            <w:shd w:val="clear" w:color="auto" w:fill="auto"/>
            <w:vAlign w:val="center"/>
          </w:tcPr>
          <w:p w14:paraId="3464B331">
            <w:pPr>
              <w:pStyle w:val="196"/>
              <w:rPr>
                <w:rFonts w:eastAsia="等线" w:cs="Times New Roman"/>
              </w:rPr>
            </w:pPr>
            <w:r>
              <w:rPr>
                <w:rFonts w:eastAsia="等线" w:cs="Times New Roman"/>
              </w:rPr>
              <w:t>99.8-100.3</w:t>
            </w:r>
          </w:p>
        </w:tc>
        <w:tc>
          <w:tcPr>
            <w:tcW w:w="1280" w:type="dxa"/>
            <w:shd w:val="clear" w:color="auto" w:fill="auto"/>
            <w:vAlign w:val="center"/>
          </w:tcPr>
          <w:p w14:paraId="163B30B3">
            <w:pPr>
              <w:pStyle w:val="196"/>
              <w:rPr>
                <w:rFonts w:eastAsia="等线" w:cs="Times New Roman"/>
              </w:rPr>
            </w:pPr>
            <w:r>
              <w:rPr>
                <w:rFonts w:eastAsia="等线" w:cs="Times New Roman"/>
              </w:rPr>
              <w:t>48.5-57.1</w:t>
            </w:r>
          </w:p>
        </w:tc>
        <w:tc>
          <w:tcPr>
            <w:tcW w:w="1135" w:type="dxa"/>
            <w:shd w:val="clear" w:color="auto" w:fill="auto"/>
            <w:vAlign w:val="center"/>
          </w:tcPr>
          <w:p w14:paraId="77C80AF5">
            <w:pPr>
              <w:pStyle w:val="196"/>
              <w:rPr>
                <w:rFonts w:eastAsia="等线" w:cs="Times New Roman"/>
              </w:rPr>
            </w:pPr>
            <w:r>
              <w:rPr>
                <w:rFonts w:eastAsia="等线" w:cs="Times New Roman"/>
              </w:rPr>
              <w:t>1.2-1.9</w:t>
            </w:r>
          </w:p>
        </w:tc>
        <w:tc>
          <w:tcPr>
            <w:tcW w:w="816" w:type="dxa"/>
            <w:shd w:val="clear" w:color="auto" w:fill="auto"/>
            <w:vAlign w:val="center"/>
          </w:tcPr>
          <w:p w14:paraId="5059413A">
            <w:pPr>
              <w:pStyle w:val="196"/>
            </w:pPr>
            <w:r>
              <w:rPr>
                <w:rFonts w:hint="eastAsia"/>
              </w:rPr>
              <w:t>东</w:t>
            </w:r>
          </w:p>
        </w:tc>
        <w:tc>
          <w:tcPr>
            <w:tcW w:w="885" w:type="dxa"/>
            <w:shd w:val="clear" w:color="auto" w:fill="auto"/>
            <w:vAlign w:val="center"/>
          </w:tcPr>
          <w:p w14:paraId="0B284163">
            <w:pPr>
              <w:pStyle w:val="196"/>
            </w:pPr>
            <w:r>
              <w:rPr>
                <w:rFonts w:hint="eastAsia"/>
              </w:rPr>
              <w:t>多云</w:t>
            </w:r>
          </w:p>
        </w:tc>
      </w:tr>
      <w:tr w14:paraId="6CC9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072E8AA5">
            <w:pPr>
              <w:pStyle w:val="196"/>
              <w:rPr>
                <w:rFonts w:eastAsia="等线" w:cs="Times New Roman"/>
              </w:rPr>
            </w:pPr>
            <w:r>
              <w:rPr>
                <w:rFonts w:eastAsia="等线" w:cs="Times New Roman"/>
              </w:rPr>
              <w:t>8月21日</w:t>
            </w:r>
          </w:p>
        </w:tc>
        <w:tc>
          <w:tcPr>
            <w:tcW w:w="2116" w:type="dxa"/>
            <w:shd w:val="clear" w:color="auto" w:fill="auto"/>
            <w:vAlign w:val="center"/>
          </w:tcPr>
          <w:p w14:paraId="1F899018">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7B69AC60">
            <w:pPr>
              <w:pStyle w:val="196"/>
              <w:rPr>
                <w:rFonts w:eastAsia="等线" w:cs="Times New Roman"/>
              </w:rPr>
            </w:pPr>
            <w:r>
              <w:rPr>
                <w:rFonts w:eastAsia="等线" w:cs="Times New Roman"/>
              </w:rPr>
              <w:t>23.6-31.2</w:t>
            </w:r>
          </w:p>
        </w:tc>
        <w:tc>
          <w:tcPr>
            <w:tcW w:w="1411" w:type="dxa"/>
            <w:shd w:val="clear" w:color="auto" w:fill="auto"/>
            <w:vAlign w:val="center"/>
          </w:tcPr>
          <w:p w14:paraId="2006DFE7">
            <w:pPr>
              <w:pStyle w:val="196"/>
              <w:rPr>
                <w:rFonts w:eastAsia="等线" w:cs="Times New Roman"/>
              </w:rPr>
            </w:pPr>
            <w:r>
              <w:rPr>
                <w:rFonts w:eastAsia="等线" w:cs="Times New Roman"/>
              </w:rPr>
              <w:t>99.9-100.5</w:t>
            </w:r>
          </w:p>
        </w:tc>
        <w:tc>
          <w:tcPr>
            <w:tcW w:w="1280" w:type="dxa"/>
            <w:shd w:val="clear" w:color="auto" w:fill="auto"/>
            <w:vAlign w:val="center"/>
          </w:tcPr>
          <w:p w14:paraId="42C872AA">
            <w:pPr>
              <w:pStyle w:val="196"/>
              <w:rPr>
                <w:rFonts w:eastAsia="等线" w:cs="Times New Roman"/>
              </w:rPr>
            </w:pPr>
            <w:r>
              <w:rPr>
                <w:rFonts w:eastAsia="等线" w:cs="Times New Roman"/>
              </w:rPr>
              <w:t>47.6-56.8</w:t>
            </w:r>
          </w:p>
        </w:tc>
        <w:tc>
          <w:tcPr>
            <w:tcW w:w="1135" w:type="dxa"/>
            <w:shd w:val="clear" w:color="auto" w:fill="auto"/>
            <w:vAlign w:val="center"/>
          </w:tcPr>
          <w:p w14:paraId="1EE3C41E">
            <w:pPr>
              <w:pStyle w:val="196"/>
              <w:rPr>
                <w:rFonts w:eastAsia="等线" w:cs="Times New Roman"/>
              </w:rPr>
            </w:pPr>
            <w:r>
              <w:rPr>
                <w:rFonts w:eastAsia="等线" w:cs="Times New Roman"/>
              </w:rPr>
              <w:t>1.3-2.1</w:t>
            </w:r>
          </w:p>
        </w:tc>
        <w:tc>
          <w:tcPr>
            <w:tcW w:w="816" w:type="dxa"/>
            <w:shd w:val="clear" w:color="auto" w:fill="auto"/>
            <w:vAlign w:val="center"/>
          </w:tcPr>
          <w:p w14:paraId="22E77D01">
            <w:pPr>
              <w:pStyle w:val="196"/>
            </w:pPr>
            <w:r>
              <w:rPr>
                <w:rFonts w:hint="eastAsia"/>
              </w:rPr>
              <w:t>东</w:t>
            </w:r>
          </w:p>
        </w:tc>
        <w:tc>
          <w:tcPr>
            <w:tcW w:w="885" w:type="dxa"/>
            <w:shd w:val="clear" w:color="auto" w:fill="auto"/>
            <w:vAlign w:val="center"/>
          </w:tcPr>
          <w:p w14:paraId="25B35B7E">
            <w:pPr>
              <w:pStyle w:val="196"/>
            </w:pPr>
            <w:r>
              <w:rPr>
                <w:rFonts w:hint="eastAsia"/>
              </w:rPr>
              <w:t>多云</w:t>
            </w:r>
          </w:p>
        </w:tc>
      </w:tr>
      <w:tr w14:paraId="5A01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1216" w:type="dxa"/>
            <w:shd w:val="clear" w:color="auto" w:fill="auto"/>
            <w:vAlign w:val="center"/>
          </w:tcPr>
          <w:p w14:paraId="11D3D8B7">
            <w:pPr>
              <w:pStyle w:val="196"/>
              <w:rPr>
                <w:rFonts w:eastAsia="等线" w:cs="Times New Roman"/>
              </w:rPr>
            </w:pPr>
            <w:r>
              <w:rPr>
                <w:rFonts w:eastAsia="等线" w:cs="Times New Roman"/>
              </w:rPr>
              <w:t>8月22日</w:t>
            </w:r>
          </w:p>
        </w:tc>
        <w:tc>
          <w:tcPr>
            <w:tcW w:w="2116" w:type="dxa"/>
            <w:shd w:val="clear" w:color="auto" w:fill="auto"/>
            <w:vAlign w:val="center"/>
          </w:tcPr>
          <w:p w14:paraId="072D94AA">
            <w:pPr>
              <w:pStyle w:val="196"/>
              <w:rPr>
                <w:rFonts w:eastAsia="等线" w:cs="Times New Roman"/>
              </w:rPr>
            </w:pPr>
            <w:r>
              <w:rPr>
                <w:rFonts w:eastAsia="等线" w:cs="Times New Roman"/>
              </w:rPr>
              <w:t>00:00-00:00</w:t>
            </w:r>
            <w:r>
              <w:rPr>
                <w:rFonts w:hint="eastAsia" w:cs="Times New Roman"/>
              </w:rPr>
              <w:t>（次日）</w:t>
            </w:r>
          </w:p>
        </w:tc>
        <w:tc>
          <w:tcPr>
            <w:tcW w:w="1201" w:type="dxa"/>
            <w:shd w:val="clear" w:color="auto" w:fill="auto"/>
            <w:vAlign w:val="center"/>
          </w:tcPr>
          <w:p w14:paraId="7AACE95D">
            <w:pPr>
              <w:pStyle w:val="196"/>
              <w:rPr>
                <w:rFonts w:eastAsia="等线" w:cs="Times New Roman"/>
              </w:rPr>
            </w:pPr>
            <w:r>
              <w:rPr>
                <w:rFonts w:eastAsia="等线" w:cs="Times New Roman"/>
              </w:rPr>
              <w:t>22.2-31.4</w:t>
            </w:r>
          </w:p>
        </w:tc>
        <w:tc>
          <w:tcPr>
            <w:tcW w:w="1411" w:type="dxa"/>
            <w:shd w:val="clear" w:color="auto" w:fill="auto"/>
            <w:vAlign w:val="center"/>
          </w:tcPr>
          <w:p w14:paraId="56818A0C">
            <w:pPr>
              <w:pStyle w:val="196"/>
              <w:rPr>
                <w:rFonts w:eastAsia="等线" w:cs="Times New Roman"/>
              </w:rPr>
            </w:pPr>
            <w:r>
              <w:rPr>
                <w:rFonts w:eastAsia="等线" w:cs="Times New Roman"/>
              </w:rPr>
              <w:t>99.7-100.4</w:t>
            </w:r>
          </w:p>
        </w:tc>
        <w:tc>
          <w:tcPr>
            <w:tcW w:w="1280" w:type="dxa"/>
            <w:shd w:val="clear" w:color="auto" w:fill="auto"/>
            <w:vAlign w:val="center"/>
          </w:tcPr>
          <w:p w14:paraId="4299D28A">
            <w:pPr>
              <w:pStyle w:val="196"/>
              <w:rPr>
                <w:rFonts w:eastAsia="等线" w:cs="Times New Roman"/>
              </w:rPr>
            </w:pPr>
            <w:r>
              <w:rPr>
                <w:rFonts w:eastAsia="等线" w:cs="Times New Roman"/>
              </w:rPr>
              <w:t>48.2-55.3</w:t>
            </w:r>
          </w:p>
        </w:tc>
        <w:tc>
          <w:tcPr>
            <w:tcW w:w="1135" w:type="dxa"/>
            <w:shd w:val="clear" w:color="auto" w:fill="auto"/>
            <w:vAlign w:val="center"/>
          </w:tcPr>
          <w:p w14:paraId="222ECC5B">
            <w:pPr>
              <w:pStyle w:val="196"/>
              <w:rPr>
                <w:rFonts w:eastAsia="等线" w:cs="Times New Roman"/>
              </w:rPr>
            </w:pPr>
            <w:r>
              <w:rPr>
                <w:rFonts w:eastAsia="等线" w:cs="Times New Roman"/>
              </w:rPr>
              <w:t>1.4-1.7</w:t>
            </w:r>
          </w:p>
        </w:tc>
        <w:tc>
          <w:tcPr>
            <w:tcW w:w="816" w:type="dxa"/>
            <w:shd w:val="clear" w:color="auto" w:fill="auto"/>
            <w:vAlign w:val="center"/>
          </w:tcPr>
          <w:p w14:paraId="786278D3">
            <w:pPr>
              <w:pStyle w:val="196"/>
            </w:pPr>
            <w:r>
              <w:rPr>
                <w:rFonts w:hint="eastAsia"/>
              </w:rPr>
              <w:t>东</w:t>
            </w:r>
          </w:p>
        </w:tc>
        <w:tc>
          <w:tcPr>
            <w:tcW w:w="885" w:type="dxa"/>
            <w:shd w:val="clear" w:color="auto" w:fill="auto"/>
            <w:vAlign w:val="center"/>
          </w:tcPr>
          <w:p w14:paraId="74C23893">
            <w:pPr>
              <w:pStyle w:val="196"/>
            </w:pPr>
            <w:r>
              <w:rPr>
                <w:rFonts w:hint="eastAsia"/>
              </w:rPr>
              <w:t>多云</w:t>
            </w:r>
          </w:p>
        </w:tc>
      </w:tr>
    </w:tbl>
    <w:p w14:paraId="018F9121">
      <w:pPr>
        <w:pStyle w:val="93"/>
      </w:pPr>
      <w:r>
        <w:rPr>
          <w:rFonts w:hint="eastAsia"/>
        </w:rPr>
        <w:t>由上表可知，项目周边区域各监测因子满足相应环境空气质量标准要求。</w:t>
      </w:r>
    </w:p>
    <w:p w14:paraId="7BBF4E31">
      <w:pPr>
        <w:pStyle w:val="82"/>
      </w:pPr>
      <w:r>
        <w:rPr>
          <w:rFonts w:hint="eastAsia"/>
        </w:rPr>
        <w:t>地表水环境质量现状监测与评价</w:t>
      </w:r>
    </w:p>
    <w:p w14:paraId="75279846">
      <w:pPr>
        <w:pStyle w:val="84"/>
      </w:pPr>
      <w:r>
        <w:rPr>
          <w:rFonts w:hint="eastAsia"/>
        </w:rPr>
        <w:t>水环境功能区达标状况</w:t>
      </w:r>
    </w:p>
    <w:p w14:paraId="0B099F28">
      <w:pPr>
        <w:pStyle w:val="139"/>
        <w:ind w:firstLine="480"/>
        <w:rPr>
          <w:color w:val="auto"/>
        </w:rPr>
      </w:pPr>
      <w:bookmarkStart w:id="253" w:name="OLE_LINK23"/>
      <w:r>
        <w:rPr>
          <w:rFonts w:hint="eastAsia"/>
          <w:color w:val="auto"/>
        </w:rPr>
        <w:t>根据《2023年度淮安市环境状况公报》，纳入“十四五”国家地表水环境质量考核的11个国考断面达标率为100%，水质优良（达到或优于Ⅲ类标准）的断面有9个（Ⅱ类断面 5 个），占比81.8%。</w:t>
      </w:r>
    </w:p>
    <w:p w14:paraId="0B2B8066">
      <w:pPr>
        <w:pStyle w:val="139"/>
        <w:ind w:firstLine="480"/>
        <w:rPr>
          <w:color w:val="auto"/>
        </w:rPr>
      </w:pPr>
      <w:r>
        <w:rPr>
          <w:rFonts w:hint="eastAsia"/>
          <w:color w:val="auto"/>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color w:val="auto"/>
          <w:lang w:eastAsia="zh-CN"/>
        </w:rPr>
        <w:t>－</w:t>
      </w:r>
      <w:r>
        <w:rPr>
          <w:rFonts w:hint="eastAsia"/>
          <w:color w:val="auto"/>
        </w:rPr>
        <w:t>新河、周桥灌区总干渠</w:t>
      </w:r>
      <w:r>
        <w:rPr>
          <w:rFonts w:hint="eastAsia"/>
          <w:color w:val="auto"/>
          <w:lang w:eastAsia="zh-CN"/>
        </w:rPr>
        <w:t>一帆</w:t>
      </w:r>
      <w:r>
        <w:rPr>
          <w:rFonts w:hint="eastAsia"/>
          <w:color w:val="auto"/>
        </w:rPr>
        <w:t>河、铜龙河、池河水质状况为良好；入海水道北偏泓赵公河、公兴河水质状况为轻度污染。</w:t>
      </w:r>
    </w:p>
    <w:bookmarkEnd w:id="253"/>
    <w:p w14:paraId="1EE98BBE">
      <w:pPr>
        <w:pStyle w:val="84"/>
      </w:pPr>
      <w:r>
        <w:rPr>
          <w:rFonts w:hint="eastAsia"/>
        </w:rPr>
        <w:t>地表水现状补充监测</w:t>
      </w:r>
    </w:p>
    <w:p w14:paraId="00A2C4D4">
      <w:pPr>
        <w:wordWrap w:val="0"/>
        <w:ind w:firstLine="480"/>
      </w:pPr>
      <w:r>
        <w:rPr>
          <w:rFonts w:hint="eastAsia"/>
        </w:rPr>
        <w:t>本次环评盐河水环境质量现状监测委托江苏正康检测技术有限公司，监测时间为202</w:t>
      </w:r>
      <w:r>
        <w:t>3</w:t>
      </w:r>
      <w:r>
        <w:rPr>
          <w:rFonts w:hint="eastAsia"/>
        </w:rPr>
        <w:t>年</w:t>
      </w:r>
      <w:r>
        <w:t>8</w:t>
      </w:r>
      <w:r>
        <w:rPr>
          <w:rFonts w:hint="eastAsia"/>
        </w:rPr>
        <w:t>月</w:t>
      </w:r>
      <w:r>
        <w:t>16</w:t>
      </w:r>
      <w:r>
        <w:rPr>
          <w:rFonts w:hint="eastAsia"/>
        </w:rPr>
        <w:t>日</w:t>
      </w:r>
      <w:r>
        <w:rPr>
          <w:rFonts w:hint="eastAsia"/>
          <w:lang w:eastAsia="zh-CN"/>
        </w:rPr>
        <w:t>—</w:t>
      </w:r>
      <w:r>
        <w:rPr>
          <w:rFonts w:hint="eastAsia"/>
        </w:rPr>
        <w:t>202</w:t>
      </w:r>
      <w:r>
        <w:t>3</w:t>
      </w:r>
      <w:r>
        <w:rPr>
          <w:rFonts w:hint="eastAsia"/>
        </w:rPr>
        <w:t>年</w:t>
      </w:r>
      <w:r>
        <w:t>8</w:t>
      </w:r>
      <w:r>
        <w:rPr>
          <w:rFonts w:hint="eastAsia"/>
        </w:rPr>
        <w:t>月</w:t>
      </w:r>
      <w:r>
        <w:t>18</w:t>
      </w:r>
      <w:r>
        <w:rPr>
          <w:rFonts w:hint="eastAsia"/>
        </w:rPr>
        <w:t>日连续监测3天。</w:t>
      </w:r>
    </w:p>
    <w:p w14:paraId="7F65B375">
      <w:pPr>
        <w:ind w:firstLine="480"/>
      </w:pPr>
      <w:r>
        <w:rPr>
          <w:rFonts w:hint="eastAsia"/>
        </w:rPr>
        <w:t>（1）监测布点和监测项目</w:t>
      </w:r>
    </w:p>
    <w:p w14:paraId="7BA2836A">
      <w:pPr>
        <w:ind w:firstLine="480"/>
      </w:pPr>
      <w:r>
        <w:rPr>
          <w:rFonts w:hint="eastAsia"/>
        </w:rPr>
        <w:t>地表水水质监测情况见表4.3-6，本项目地表水监测点位见图</w:t>
      </w:r>
      <w:r>
        <w:t>4.3</w:t>
      </w:r>
      <w:r>
        <w:rPr>
          <w:rFonts w:hint="eastAsia"/>
        </w:rPr>
        <w:t xml:space="preserve">-1。 </w:t>
      </w:r>
    </w:p>
    <w:p w14:paraId="24988540">
      <w:pPr>
        <w:pStyle w:val="86"/>
      </w:pPr>
      <w:r>
        <w:rPr>
          <w:rFonts w:hint="eastAsia"/>
        </w:rPr>
        <w:t>地表水水质监测断面</w:t>
      </w:r>
    </w:p>
    <w:tbl>
      <w:tblPr>
        <w:tblStyle w:val="38"/>
        <w:tblW w:w="51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622"/>
        <w:gridCol w:w="2199"/>
        <w:gridCol w:w="845"/>
        <w:gridCol w:w="1989"/>
        <w:gridCol w:w="2185"/>
      </w:tblGrid>
      <w:tr w14:paraId="6813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Align w:val="center"/>
          </w:tcPr>
          <w:p w14:paraId="0A3CB8F4">
            <w:pPr>
              <w:pStyle w:val="196"/>
              <w:rPr>
                <w:b/>
                <w:bCs/>
              </w:rPr>
            </w:pPr>
            <w:r>
              <w:rPr>
                <w:rFonts w:hint="eastAsia"/>
                <w:b/>
                <w:bCs/>
              </w:rPr>
              <w:t>断面编号</w:t>
            </w:r>
          </w:p>
        </w:tc>
        <w:tc>
          <w:tcPr>
            <w:tcW w:w="356" w:type="pct"/>
            <w:vAlign w:val="center"/>
          </w:tcPr>
          <w:p w14:paraId="56900DCE">
            <w:pPr>
              <w:pStyle w:val="196"/>
              <w:rPr>
                <w:b/>
                <w:bCs/>
              </w:rPr>
            </w:pPr>
            <w:r>
              <w:rPr>
                <w:rFonts w:hint="eastAsia"/>
                <w:b/>
                <w:bCs/>
              </w:rPr>
              <w:t>河流</w:t>
            </w:r>
          </w:p>
        </w:tc>
        <w:tc>
          <w:tcPr>
            <w:tcW w:w="1259" w:type="pct"/>
            <w:vAlign w:val="center"/>
          </w:tcPr>
          <w:p w14:paraId="6F6E7545">
            <w:pPr>
              <w:pStyle w:val="196"/>
              <w:rPr>
                <w:b/>
                <w:bCs/>
              </w:rPr>
            </w:pPr>
            <w:r>
              <w:rPr>
                <w:rFonts w:hint="eastAsia"/>
                <w:b/>
                <w:bCs/>
              </w:rPr>
              <w:t>监测点布设位置</w:t>
            </w:r>
          </w:p>
        </w:tc>
        <w:tc>
          <w:tcPr>
            <w:tcW w:w="484" w:type="pct"/>
            <w:vAlign w:val="center"/>
          </w:tcPr>
          <w:p w14:paraId="7B95C54F">
            <w:pPr>
              <w:pStyle w:val="196"/>
              <w:rPr>
                <w:b/>
                <w:bCs/>
              </w:rPr>
            </w:pPr>
            <w:r>
              <w:rPr>
                <w:rFonts w:hint="eastAsia"/>
                <w:b/>
                <w:bCs/>
              </w:rPr>
              <w:t>执行标准</w:t>
            </w:r>
          </w:p>
        </w:tc>
        <w:tc>
          <w:tcPr>
            <w:tcW w:w="1139" w:type="pct"/>
            <w:vAlign w:val="center"/>
          </w:tcPr>
          <w:p w14:paraId="3BBF619C">
            <w:pPr>
              <w:pStyle w:val="196"/>
              <w:rPr>
                <w:b/>
                <w:bCs/>
              </w:rPr>
            </w:pPr>
            <w:r>
              <w:rPr>
                <w:rFonts w:hint="eastAsia"/>
                <w:b/>
                <w:bCs/>
              </w:rPr>
              <w:t>监测因子</w:t>
            </w:r>
          </w:p>
        </w:tc>
        <w:tc>
          <w:tcPr>
            <w:tcW w:w="1251" w:type="pct"/>
            <w:vAlign w:val="center"/>
          </w:tcPr>
          <w:p w14:paraId="38106587">
            <w:pPr>
              <w:pStyle w:val="196"/>
              <w:rPr>
                <w:b/>
                <w:bCs/>
              </w:rPr>
            </w:pPr>
            <w:r>
              <w:rPr>
                <w:rFonts w:hint="eastAsia"/>
                <w:b/>
                <w:bCs/>
              </w:rPr>
              <w:t>监测时间</w:t>
            </w:r>
          </w:p>
        </w:tc>
      </w:tr>
      <w:tr w14:paraId="27B2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Align w:val="center"/>
          </w:tcPr>
          <w:p w14:paraId="5AB7D3F8">
            <w:pPr>
              <w:pStyle w:val="196"/>
            </w:pPr>
            <w:r>
              <w:rPr>
                <w:rFonts w:hint="eastAsia"/>
              </w:rPr>
              <w:t>W1</w:t>
            </w:r>
          </w:p>
        </w:tc>
        <w:tc>
          <w:tcPr>
            <w:tcW w:w="356" w:type="pct"/>
            <w:vMerge w:val="restart"/>
            <w:vAlign w:val="center"/>
          </w:tcPr>
          <w:p w14:paraId="594BB87E">
            <w:pPr>
              <w:pStyle w:val="196"/>
            </w:pPr>
            <w:r>
              <w:rPr>
                <w:rFonts w:hint="eastAsia"/>
              </w:rPr>
              <w:t>盐河</w:t>
            </w:r>
          </w:p>
        </w:tc>
        <w:tc>
          <w:tcPr>
            <w:tcW w:w="1259" w:type="pct"/>
            <w:vAlign w:val="center"/>
          </w:tcPr>
          <w:p w14:paraId="48F1AD16">
            <w:pPr>
              <w:pStyle w:val="196"/>
            </w:pPr>
            <w:r>
              <w:t>热电厂</w:t>
            </w:r>
            <w:r>
              <w:rPr>
                <w:rFonts w:hint="eastAsia"/>
              </w:rPr>
              <w:t>一期</w:t>
            </w:r>
            <w:r>
              <w:t>雨水排放口上游</w:t>
            </w:r>
            <w:r>
              <w:rPr>
                <w:lang w:val="en-US"/>
              </w:rPr>
              <w:t xml:space="preserve"> 500m</w:t>
            </w:r>
          </w:p>
        </w:tc>
        <w:tc>
          <w:tcPr>
            <w:tcW w:w="484" w:type="pct"/>
            <w:vMerge w:val="restart"/>
            <w:vAlign w:val="center"/>
          </w:tcPr>
          <w:p w14:paraId="7A8A13BC">
            <w:pPr>
              <w:pStyle w:val="196"/>
            </w:pPr>
            <w:r>
              <w:rPr>
                <w:rFonts w:hint="eastAsia"/>
              </w:rPr>
              <w:t>Ⅲ类</w:t>
            </w:r>
          </w:p>
        </w:tc>
        <w:tc>
          <w:tcPr>
            <w:tcW w:w="1139" w:type="pct"/>
            <w:vMerge w:val="restart"/>
            <w:vAlign w:val="center"/>
          </w:tcPr>
          <w:p w14:paraId="1E23FEF9">
            <w:pPr>
              <w:pStyle w:val="196"/>
            </w:pPr>
            <w:r>
              <w:t>pH</w:t>
            </w:r>
            <w:r>
              <w:rPr>
                <w:rFonts w:hint="eastAsia"/>
              </w:rPr>
              <w:t>、水温、溶解氧、悬浮物、化学需氧量、生化需氧量（BOD</w:t>
            </w:r>
            <w:r>
              <w:rPr>
                <w:rFonts w:hint="eastAsia"/>
                <w:vertAlign w:val="subscript"/>
              </w:rPr>
              <w:t>5</w:t>
            </w:r>
            <w:r>
              <w:rPr>
                <w:rFonts w:hint="eastAsia"/>
              </w:rPr>
              <w:t>）、氨氮、总氮、总磷、高锰酸盐指数、石油类</w:t>
            </w:r>
          </w:p>
        </w:tc>
        <w:tc>
          <w:tcPr>
            <w:tcW w:w="1251" w:type="pct"/>
            <w:vMerge w:val="restart"/>
            <w:vAlign w:val="center"/>
          </w:tcPr>
          <w:p w14:paraId="65F94AAE">
            <w:pPr>
              <w:pStyle w:val="196"/>
            </w:pPr>
            <w:r>
              <w:rPr>
                <w:rFonts w:hint="eastAsia"/>
              </w:rPr>
              <w:t>2023年8月16日</w:t>
            </w:r>
            <w:r>
              <w:rPr>
                <w:rFonts w:hint="eastAsia"/>
                <w:lang w:eastAsia="zh-CN"/>
              </w:rPr>
              <w:t>—</w:t>
            </w:r>
            <w:r>
              <w:rPr>
                <w:rFonts w:hint="eastAsia"/>
              </w:rPr>
              <w:t>2023年8月18日</w:t>
            </w:r>
          </w:p>
        </w:tc>
      </w:tr>
      <w:tr w14:paraId="7EEB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Align w:val="center"/>
          </w:tcPr>
          <w:p w14:paraId="15362F70">
            <w:pPr>
              <w:pStyle w:val="196"/>
            </w:pPr>
            <w:r>
              <w:rPr>
                <w:rFonts w:hint="eastAsia"/>
              </w:rPr>
              <w:t>W2</w:t>
            </w:r>
          </w:p>
        </w:tc>
        <w:tc>
          <w:tcPr>
            <w:tcW w:w="0" w:type="auto"/>
            <w:vMerge w:val="continue"/>
            <w:vAlign w:val="center"/>
          </w:tcPr>
          <w:p w14:paraId="5AC6874B">
            <w:pPr>
              <w:pStyle w:val="196"/>
            </w:pPr>
          </w:p>
        </w:tc>
        <w:tc>
          <w:tcPr>
            <w:tcW w:w="1259" w:type="pct"/>
            <w:vAlign w:val="center"/>
          </w:tcPr>
          <w:p w14:paraId="0D413D83">
            <w:pPr>
              <w:pStyle w:val="196"/>
            </w:pPr>
            <w:r>
              <w:rPr>
                <w:lang w:val="en-US"/>
              </w:rPr>
              <w:t>雨水排放口下游 500m</w:t>
            </w:r>
          </w:p>
        </w:tc>
        <w:tc>
          <w:tcPr>
            <w:tcW w:w="484" w:type="pct"/>
            <w:vMerge w:val="continue"/>
            <w:vAlign w:val="center"/>
          </w:tcPr>
          <w:p w14:paraId="1AE18855">
            <w:pPr>
              <w:pStyle w:val="196"/>
            </w:pPr>
          </w:p>
        </w:tc>
        <w:tc>
          <w:tcPr>
            <w:tcW w:w="1139" w:type="pct"/>
            <w:vMerge w:val="continue"/>
            <w:vAlign w:val="center"/>
          </w:tcPr>
          <w:p w14:paraId="5937F221">
            <w:pPr>
              <w:pStyle w:val="196"/>
            </w:pPr>
          </w:p>
        </w:tc>
        <w:tc>
          <w:tcPr>
            <w:tcW w:w="1251" w:type="pct"/>
            <w:vMerge w:val="continue"/>
            <w:vAlign w:val="center"/>
          </w:tcPr>
          <w:p w14:paraId="5250C03E">
            <w:pPr>
              <w:pStyle w:val="196"/>
            </w:pPr>
          </w:p>
        </w:tc>
      </w:tr>
      <w:tr w14:paraId="57A3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1" w:type="pct"/>
            <w:vAlign w:val="center"/>
          </w:tcPr>
          <w:p w14:paraId="3AD85321">
            <w:pPr>
              <w:pStyle w:val="196"/>
            </w:pPr>
            <w:r>
              <w:rPr>
                <w:rFonts w:hint="eastAsia"/>
              </w:rPr>
              <w:t>W3</w:t>
            </w:r>
          </w:p>
        </w:tc>
        <w:tc>
          <w:tcPr>
            <w:tcW w:w="0" w:type="auto"/>
            <w:vMerge w:val="continue"/>
            <w:vAlign w:val="center"/>
          </w:tcPr>
          <w:p w14:paraId="17F9F4EE">
            <w:pPr>
              <w:pStyle w:val="196"/>
            </w:pPr>
          </w:p>
        </w:tc>
        <w:tc>
          <w:tcPr>
            <w:tcW w:w="1259" w:type="pct"/>
            <w:vAlign w:val="center"/>
          </w:tcPr>
          <w:p w14:paraId="6B35FD10">
            <w:pPr>
              <w:pStyle w:val="196"/>
            </w:pPr>
            <w:r>
              <w:rPr>
                <w:lang w:val="en-US"/>
              </w:rPr>
              <w:t>雨水排放口</w:t>
            </w:r>
            <w:r>
              <w:t xml:space="preserve">下游 </w:t>
            </w:r>
            <w:r>
              <w:rPr>
                <w:lang w:val="en-US"/>
              </w:rPr>
              <w:t>1000m</w:t>
            </w:r>
          </w:p>
        </w:tc>
        <w:tc>
          <w:tcPr>
            <w:tcW w:w="484" w:type="pct"/>
            <w:vMerge w:val="continue"/>
            <w:vAlign w:val="center"/>
          </w:tcPr>
          <w:p w14:paraId="113A4E45">
            <w:pPr>
              <w:pStyle w:val="196"/>
            </w:pPr>
          </w:p>
        </w:tc>
        <w:tc>
          <w:tcPr>
            <w:tcW w:w="1139" w:type="pct"/>
            <w:vMerge w:val="continue"/>
            <w:vAlign w:val="center"/>
          </w:tcPr>
          <w:p w14:paraId="04D95F7F">
            <w:pPr>
              <w:pStyle w:val="196"/>
            </w:pPr>
          </w:p>
        </w:tc>
        <w:tc>
          <w:tcPr>
            <w:tcW w:w="1251" w:type="pct"/>
            <w:vMerge w:val="continue"/>
            <w:vAlign w:val="center"/>
          </w:tcPr>
          <w:p w14:paraId="223147FB">
            <w:pPr>
              <w:pStyle w:val="196"/>
            </w:pPr>
          </w:p>
        </w:tc>
      </w:tr>
    </w:tbl>
    <w:p w14:paraId="2A3D537A">
      <w:pPr>
        <w:pStyle w:val="93"/>
      </w:pPr>
      <w:r>
        <w:rPr>
          <w:rFonts w:hint="eastAsia"/>
        </w:rPr>
        <w:t>（2）监测频次</w:t>
      </w:r>
    </w:p>
    <w:p w14:paraId="0DB84604">
      <w:pPr>
        <w:ind w:firstLine="480"/>
      </w:pPr>
      <w:r>
        <w:rPr>
          <w:rFonts w:hint="eastAsia"/>
        </w:rPr>
        <w:t>监测频次：连续监测3天，每天监测2次（上午、下午各1次）。</w:t>
      </w:r>
    </w:p>
    <w:p w14:paraId="7162C0FF">
      <w:pPr>
        <w:ind w:firstLine="480"/>
      </w:pPr>
      <w:r>
        <w:rPr>
          <w:rFonts w:hint="eastAsia"/>
        </w:rPr>
        <w:t>（3）评价方法</w:t>
      </w:r>
    </w:p>
    <w:p w14:paraId="7492E3A8">
      <w:pPr>
        <w:pStyle w:val="93"/>
      </w:pPr>
      <w:r>
        <w:rPr>
          <w:rFonts w:hint="eastAsia"/>
        </w:rPr>
        <w:t>地表水环境质量现状采用单项水质参数评价模式，在各项水质参数评价中，对某一水质参数的现状浓度采用多次监测的平均浓度值。单因子污染指数计算公式为：</w:t>
      </w:r>
    </w:p>
    <w:p w14:paraId="423488F6">
      <w:pPr>
        <w:pStyle w:val="93"/>
      </w:pPr>
      <w:r>
        <w:rPr>
          <w:rFonts w:hint="eastAsia"/>
        </w:rPr>
        <w:t>S</w:t>
      </w:r>
      <w:r>
        <w:rPr>
          <w:rFonts w:hint="eastAsia"/>
          <w:vertAlign w:val="subscript"/>
        </w:rPr>
        <w:t>i,j</w:t>
      </w:r>
      <w:r>
        <w:rPr>
          <w:rFonts w:hint="eastAsia"/>
        </w:rPr>
        <w:t>=C</w:t>
      </w:r>
      <w:r>
        <w:rPr>
          <w:rFonts w:hint="eastAsia"/>
          <w:vertAlign w:val="subscript"/>
        </w:rPr>
        <w:t>i,j</w:t>
      </w:r>
      <w:r>
        <w:rPr>
          <w:rFonts w:hint="eastAsia"/>
        </w:rPr>
        <w:t>/C</w:t>
      </w:r>
      <w:r>
        <w:rPr>
          <w:rFonts w:hint="eastAsia"/>
          <w:vertAlign w:val="subscript"/>
        </w:rPr>
        <w:t>sj</w:t>
      </w:r>
    </w:p>
    <w:p w14:paraId="7477129E">
      <w:pPr>
        <w:pStyle w:val="93"/>
      </w:pPr>
      <w:r>
        <w:rPr>
          <w:rFonts w:hint="eastAsia"/>
        </w:rPr>
        <w:t>式中：</w:t>
      </w:r>
      <w:r>
        <w:rPr>
          <w:rFonts w:hint="eastAsia"/>
          <w:i/>
          <w:iCs/>
        </w:rPr>
        <w:t>S</w:t>
      </w:r>
      <w:r>
        <w:rPr>
          <w:rFonts w:hint="eastAsia"/>
          <w:i/>
          <w:iCs/>
          <w:vertAlign w:val="subscript"/>
        </w:rPr>
        <w:t>i,j</w:t>
      </w:r>
      <w:r>
        <w:rPr>
          <w:rFonts w:hint="eastAsia"/>
        </w:rPr>
        <w:t>—评价因子i的水质指数，大于1表明该水质因子超标；</w:t>
      </w:r>
    </w:p>
    <w:p w14:paraId="17121BA8">
      <w:pPr>
        <w:ind w:firstLine="480"/>
      </w:pPr>
      <w:r>
        <w:rPr>
          <w:rFonts w:hint="eastAsia"/>
          <w:i/>
          <w:iCs/>
        </w:rPr>
        <w:t>C</w:t>
      </w:r>
      <w:r>
        <w:rPr>
          <w:rFonts w:hint="eastAsia"/>
          <w:i/>
          <w:iCs/>
          <w:vertAlign w:val="subscript"/>
        </w:rPr>
        <w:t>i,j</w:t>
      </w:r>
      <w:r>
        <w:rPr>
          <w:rFonts w:hint="eastAsia"/>
        </w:rPr>
        <w:t>—评价因子i在j点的实测评价浓度值，mg/L；</w:t>
      </w:r>
    </w:p>
    <w:p w14:paraId="2CBBB102">
      <w:pPr>
        <w:ind w:firstLine="480"/>
      </w:pPr>
      <w:r>
        <w:rPr>
          <w:rFonts w:hint="eastAsia"/>
          <w:i/>
          <w:iCs/>
        </w:rPr>
        <w:t>C</w:t>
      </w:r>
      <w:r>
        <w:rPr>
          <w:rFonts w:hint="eastAsia"/>
          <w:i/>
          <w:iCs/>
          <w:vertAlign w:val="subscript"/>
        </w:rPr>
        <w:t>sj</w:t>
      </w:r>
      <w:r>
        <w:rPr>
          <w:rFonts w:hint="eastAsia"/>
        </w:rPr>
        <w:t>—评价因子i的水质评价标准值，mg/L；</w:t>
      </w:r>
    </w:p>
    <w:p w14:paraId="37825D50">
      <w:pPr>
        <w:ind w:firstLine="480"/>
      </w:pPr>
      <w:r>
        <w:rPr>
          <w:rFonts w:hint="eastAsia"/>
        </w:rPr>
        <w:t>其中pH为：</w:t>
      </w:r>
    </w:p>
    <w:p w14:paraId="1F4299C2">
      <w:pPr>
        <w:ind w:firstLine="480"/>
      </w:pPr>
      <w:r>
        <w:rPr>
          <w:rFonts w:hint="eastAsia"/>
        </w:rPr>
        <w:drawing>
          <wp:inline distT="0" distB="0" distL="0" distR="0">
            <wp:extent cx="1149985" cy="457200"/>
            <wp:effectExtent l="0" t="0" r="0" b="0"/>
            <wp:docPr id="16951878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87857" name="图片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149985" cy="457200"/>
                    </a:xfrm>
                    <a:prstGeom prst="rect">
                      <a:avLst/>
                    </a:prstGeom>
                    <a:noFill/>
                    <a:ln>
                      <a:noFill/>
                    </a:ln>
                  </pic:spPr>
                </pic:pic>
              </a:graphicData>
            </a:graphic>
          </wp:inline>
        </w:drawing>
      </w:r>
      <w:r>
        <w:rPr>
          <w:rFonts w:hint="eastAsia"/>
        </w:rPr>
        <w:t xml:space="preserve">    pH</w:t>
      </w:r>
      <w:r>
        <w:rPr>
          <w:rFonts w:hint="eastAsia"/>
          <w:vertAlign w:val="subscript"/>
        </w:rPr>
        <w:t>j</w:t>
      </w:r>
      <w:r>
        <w:rPr>
          <w:rFonts w:hint="eastAsia"/>
        </w:rPr>
        <w:t>≤7.0</w:t>
      </w:r>
    </w:p>
    <w:p w14:paraId="59117D31">
      <w:pPr>
        <w:ind w:firstLine="480"/>
      </w:pPr>
      <w:r>
        <w:rPr>
          <w:rFonts w:hint="eastAsia"/>
        </w:rPr>
        <w:drawing>
          <wp:inline distT="0" distB="0" distL="0" distR="0">
            <wp:extent cx="1184275" cy="457200"/>
            <wp:effectExtent l="0" t="0" r="0" b="0"/>
            <wp:docPr id="11104260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26026" name="图片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184275" cy="457200"/>
                    </a:xfrm>
                    <a:prstGeom prst="rect">
                      <a:avLst/>
                    </a:prstGeom>
                    <a:noFill/>
                    <a:ln>
                      <a:noFill/>
                    </a:ln>
                  </pic:spPr>
                </pic:pic>
              </a:graphicData>
            </a:graphic>
          </wp:inline>
        </w:drawing>
      </w:r>
      <w:r>
        <w:rPr>
          <w:rFonts w:hint="eastAsia"/>
        </w:rPr>
        <w:t xml:space="preserve">     pH</w:t>
      </w:r>
      <w:r>
        <w:rPr>
          <w:rFonts w:hint="eastAsia"/>
          <w:vertAlign w:val="subscript"/>
        </w:rPr>
        <w:t>j</w:t>
      </w:r>
      <w:r>
        <w:rPr>
          <w:rFonts w:hint="eastAsia"/>
        </w:rPr>
        <w:t>&gt;7.0</w:t>
      </w:r>
    </w:p>
    <w:p w14:paraId="0EFCB937">
      <w:pPr>
        <w:ind w:firstLine="480"/>
      </w:pPr>
      <w:r>
        <w:rPr>
          <w:rFonts w:hint="eastAsia"/>
        </w:rPr>
        <w:t>式中：</w:t>
      </w:r>
      <w:r>
        <w:rPr>
          <w:rFonts w:hint="eastAsia"/>
          <w:i/>
          <w:iCs/>
        </w:rPr>
        <w:t>S</w:t>
      </w:r>
      <w:r>
        <w:rPr>
          <w:rFonts w:hint="eastAsia"/>
          <w:i/>
          <w:iCs/>
          <w:vertAlign w:val="subscript"/>
        </w:rPr>
        <w:t>pH,j</w:t>
      </w:r>
      <w:r>
        <w:rPr>
          <w:rFonts w:hint="eastAsia"/>
        </w:rPr>
        <w:t>—为pH指数，大于1表明该水质因子超标；</w:t>
      </w:r>
    </w:p>
    <w:p w14:paraId="105A227D">
      <w:pPr>
        <w:ind w:firstLine="480"/>
      </w:pPr>
      <w:r>
        <w:rPr>
          <w:rFonts w:hint="eastAsia"/>
          <w:i/>
          <w:iCs/>
        </w:rPr>
        <w:t>pH</w:t>
      </w:r>
      <w:r>
        <w:rPr>
          <w:rFonts w:hint="eastAsia"/>
          <w:i/>
          <w:iCs/>
          <w:vertAlign w:val="subscript"/>
        </w:rPr>
        <w:t>j</w:t>
      </w:r>
      <w:r>
        <w:rPr>
          <w:rFonts w:hint="eastAsia"/>
        </w:rPr>
        <w:t>—为pH值实测统计代表值；</w:t>
      </w:r>
    </w:p>
    <w:p w14:paraId="6CE9CF07">
      <w:pPr>
        <w:pStyle w:val="93"/>
      </w:pPr>
      <w:r>
        <w:rPr>
          <w:rFonts w:hint="eastAsia"/>
          <w:i/>
          <w:iCs/>
        </w:rPr>
        <w:t>pH</w:t>
      </w:r>
      <w:r>
        <w:rPr>
          <w:rFonts w:hint="eastAsia"/>
          <w:i/>
          <w:iCs/>
          <w:vertAlign w:val="subscript"/>
        </w:rPr>
        <w:t>su</w:t>
      </w:r>
      <w:r>
        <w:rPr>
          <w:rFonts w:hint="eastAsia"/>
        </w:rPr>
        <w:t>—为评价标准中pH值的上限值；</w:t>
      </w:r>
    </w:p>
    <w:p w14:paraId="60B83388">
      <w:pPr>
        <w:ind w:firstLine="480"/>
      </w:pPr>
      <w:r>
        <w:rPr>
          <w:rFonts w:hint="eastAsia"/>
          <w:i/>
          <w:iCs/>
        </w:rPr>
        <w:t>pH</w:t>
      </w:r>
      <w:r>
        <w:rPr>
          <w:rFonts w:hint="eastAsia"/>
          <w:i/>
          <w:iCs/>
          <w:vertAlign w:val="subscript"/>
        </w:rPr>
        <w:t>sd</w:t>
      </w:r>
      <w:r>
        <w:rPr>
          <w:rFonts w:hint="eastAsia"/>
        </w:rPr>
        <w:t>—为评价标准中pH值的下限值；</w:t>
      </w:r>
    </w:p>
    <w:p w14:paraId="159DC924">
      <w:pPr>
        <w:ind w:firstLine="480"/>
      </w:pPr>
      <w:r>
        <w:rPr>
          <w:rFonts w:hint="eastAsia"/>
        </w:rPr>
        <w:t>其中DO为：</w:t>
      </w:r>
    </w:p>
    <w:p w14:paraId="613A30A9">
      <w:pPr>
        <w:ind w:firstLine="480"/>
        <w:rPr>
          <w:vertAlign w:val="subscript"/>
        </w:rPr>
      </w:pPr>
      <w:r>
        <w:rPr>
          <w:rFonts w:hint="eastAsia"/>
          <w:i/>
          <w:iCs/>
        </w:rPr>
        <w:t>S</w:t>
      </w:r>
      <w:r>
        <w:rPr>
          <w:rFonts w:hint="eastAsia"/>
          <w:i/>
          <w:iCs/>
          <w:vertAlign w:val="subscript"/>
        </w:rPr>
        <w:t>DO,j</w:t>
      </w:r>
      <w:r>
        <w:rPr>
          <w:rFonts w:hint="eastAsia"/>
          <w:i/>
          <w:iCs/>
        </w:rPr>
        <w:t>=DO</w:t>
      </w:r>
      <w:r>
        <w:rPr>
          <w:rFonts w:hint="eastAsia"/>
          <w:i/>
          <w:iCs/>
          <w:vertAlign w:val="subscript"/>
        </w:rPr>
        <w:t>s</w:t>
      </w:r>
      <w:r>
        <w:rPr>
          <w:rFonts w:hint="eastAsia"/>
          <w:i/>
          <w:iCs/>
        </w:rPr>
        <w:t>/DO</w:t>
      </w:r>
      <w:r>
        <w:rPr>
          <w:rFonts w:hint="eastAsia"/>
          <w:i/>
          <w:iCs/>
          <w:vertAlign w:val="subscript"/>
        </w:rPr>
        <w:t xml:space="preserve">j      </w:t>
      </w:r>
      <w:r>
        <w:rPr>
          <w:rFonts w:hint="eastAsia"/>
        </w:rPr>
        <w:t>DO</w:t>
      </w:r>
      <w:r>
        <w:rPr>
          <w:rFonts w:hint="eastAsia"/>
          <w:vertAlign w:val="subscript"/>
        </w:rPr>
        <w:t>j</w:t>
      </w:r>
      <w:r>
        <w:rPr>
          <w:rFonts w:hint="eastAsia"/>
        </w:rPr>
        <w:t>&lt;DO</w:t>
      </w:r>
      <w:r>
        <w:rPr>
          <w:rFonts w:hint="eastAsia"/>
          <w:vertAlign w:val="subscript"/>
        </w:rPr>
        <w:t>f</w:t>
      </w:r>
      <w:r>
        <w:rPr>
          <w:rFonts w:hint="eastAsia"/>
        </w:rPr>
        <w:t xml:space="preserve"> </w:t>
      </w:r>
    </w:p>
    <w:p w14:paraId="1069A148">
      <w:pPr>
        <w:ind w:firstLine="480"/>
      </w:pPr>
      <w:r>
        <w:rPr>
          <w:rFonts w:hint="eastAsia"/>
        </w:rPr>
        <w:drawing>
          <wp:inline distT="0" distB="0" distL="0" distR="0">
            <wp:extent cx="1308100" cy="526415"/>
            <wp:effectExtent l="0" t="0" r="6350" b="6985"/>
            <wp:docPr id="1542487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87912"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311321" cy="527651"/>
                    </a:xfrm>
                    <a:prstGeom prst="rect">
                      <a:avLst/>
                    </a:prstGeom>
                    <a:noFill/>
                    <a:ln>
                      <a:noFill/>
                    </a:ln>
                  </pic:spPr>
                </pic:pic>
              </a:graphicData>
            </a:graphic>
          </wp:inline>
        </w:drawing>
      </w:r>
      <w:r>
        <w:rPr>
          <w:rFonts w:hint="eastAsia"/>
        </w:rPr>
        <w:t xml:space="preserve">   DO</w:t>
      </w:r>
      <w:r>
        <w:rPr>
          <w:rFonts w:hint="eastAsia"/>
          <w:vertAlign w:val="subscript"/>
        </w:rPr>
        <w:t>j</w:t>
      </w:r>
      <w:r>
        <w:rPr>
          <w:rFonts w:hint="eastAsia"/>
        </w:rPr>
        <w:t>≥DO</w:t>
      </w:r>
      <w:r>
        <w:rPr>
          <w:rFonts w:hint="eastAsia"/>
          <w:vertAlign w:val="subscript"/>
        </w:rPr>
        <w:t>s</w:t>
      </w:r>
    </w:p>
    <w:p w14:paraId="3F5D117C">
      <w:pPr>
        <w:ind w:firstLine="480"/>
      </w:pPr>
      <w:r>
        <w:rPr>
          <w:rFonts w:hint="eastAsia"/>
        </w:rPr>
        <w:t>式中：</w:t>
      </w:r>
      <w:r>
        <w:rPr>
          <w:rFonts w:hint="eastAsia"/>
          <w:i/>
          <w:iCs/>
        </w:rPr>
        <w:t>S</w:t>
      </w:r>
      <w:r>
        <w:rPr>
          <w:rFonts w:hint="eastAsia"/>
          <w:i/>
          <w:iCs/>
          <w:vertAlign w:val="subscript"/>
        </w:rPr>
        <w:t>DO,j</w:t>
      </w:r>
      <w:r>
        <w:rPr>
          <w:rFonts w:hint="eastAsia"/>
        </w:rPr>
        <w:t>—为溶解氧的标准指数，大于1表明该水质因子超标；</w:t>
      </w:r>
    </w:p>
    <w:p w14:paraId="7074A314">
      <w:pPr>
        <w:ind w:firstLine="480"/>
      </w:pPr>
      <w:r>
        <w:rPr>
          <w:rFonts w:hint="eastAsia"/>
          <w:i/>
          <w:iCs/>
        </w:rPr>
        <w:t>DO</w:t>
      </w:r>
      <w:r>
        <w:rPr>
          <w:rFonts w:hint="eastAsia"/>
          <w:i/>
          <w:iCs/>
          <w:vertAlign w:val="subscript"/>
        </w:rPr>
        <w:t>f</w:t>
      </w:r>
      <w:r>
        <w:rPr>
          <w:rFonts w:hint="eastAsia"/>
        </w:rPr>
        <w:t>—饱和溶解氧浓度，mg/L，对于河流，DO</w:t>
      </w:r>
      <w:r>
        <w:rPr>
          <w:rFonts w:hint="eastAsia"/>
          <w:vertAlign w:val="subscript"/>
        </w:rPr>
        <w:t>f</w:t>
      </w:r>
      <w:r>
        <w:rPr>
          <w:rFonts w:hint="eastAsia"/>
        </w:rPr>
        <w:t>=486/（31.6+T），T为水温，℃；</w:t>
      </w:r>
    </w:p>
    <w:p w14:paraId="45A118B9">
      <w:pPr>
        <w:ind w:firstLine="480"/>
      </w:pPr>
      <w:r>
        <w:rPr>
          <w:rFonts w:hint="eastAsia"/>
          <w:i/>
          <w:iCs/>
        </w:rPr>
        <w:t>DO</w:t>
      </w:r>
      <w:r>
        <w:rPr>
          <w:rFonts w:hint="eastAsia"/>
          <w:i/>
          <w:iCs/>
          <w:vertAlign w:val="subscript"/>
        </w:rPr>
        <w:t>j</w:t>
      </w:r>
      <w:r>
        <w:rPr>
          <w:rFonts w:hint="eastAsia"/>
        </w:rPr>
        <w:t>—为溶解氧在j点的实测统计代表值，mg/L；</w:t>
      </w:r>
    </w:p>
    <w:p w14:paraId="503E3EC2">
      <w:pPr>
        <w:ind w:firstLine="480"/>
      </w:pPr>
      <w:r>
        <w:rPr>
          <w:rFonts w:hint="eastAsia"/>
          <w:i/>
          <w:iCs/>
        </w:rPr>
        <w:t>DO</w:t>
      </w:r>
      <w:r>
        <w:rPr>
          <w:rFonts w:hint="eastAsia"/>
          <w:i/>
          <w:iCs/>
          <w:vertAlign w:val="subscript"/>
        </w:rPr>
        <w:t>s</w:t>
      </w:r>
      <w:r>
        <w:rPr>
          <w:rFonts w:hint="eastAsia"/>
        </w:rPr>
        <w:t>—为溶解氧的水质评价标准限值，mg/L。</w:t>
      </w:r>
    </w:p>
    <w:p w14:paraId="7EFA723D">
      <w:pPr>
        <w:ind w:firstLine="480"/>
      </w:pPr>
      <w:r>
        <w:rPr>
          <w:rFonts w:hint="eastAsia"/>
        </w:rPr>
        <w:t>（4）地表水环境质量现状监测结果评价</w:t>
      </w:r>
    </w:p>
    <w:p w14:paraId="68FD7F3A">
      <w:pPr>
        <w:pStyle w:val="93"/>
      </w:pPr>
      <w:r>
        <w:rPr>
          <w:rFonts w:hint="eastAsia"/>
        </w:rPr>
        <w:t>根据表4.3-7，地表水各监测断面指标均满足《地表水环境质量标准》（GB3838-2002）中III类水质标准要求，说明地表水环境质量较好。</w:t>
      </w:r>
    </w:p>
    <w:p w14:paraId="6006B1A7">
      <w:pPr>
        <w:pStyle w:val="86"/>
      </w:pPr>
      <w:r>
        <w:rPr>
          <w:rFonts w:hint="eastAsia"/>
        </w:rPr>
        <w:t>盐河地表水环境质量监测数据统计及评价  单位：mg/L， pH无量纲</w:t>
      </w:r>
    </w:p>
    <w:tbl>
      <w:tblPr>
        <w:tblStyle w:val="38"/>
        <w:tblW w:w="5380" w:type="pct"/>
        <w:jc w:val="center"/>
        <w:tblLayout w:type="autofit"/>
        <w:tblCellMar>
          <w:top w:w="0" w:type="dxa"/>
          <w:left w:w="108" w:type="dxa"/>
          <w:bottom w:w="0" w:type="dxa"/>
          <w:right w:w="108" w:type="dxa"/>
        </w:tblCellMar>
      </w:tblPr>
      <w:tblGrid>
        <w:gridCol w:w="534"/>
        <w:gridCol w:w="1397"/>
        <w:gridCol w:w="699"/>
        <w:gridCol w:w="721"/>
        <w:gridCol w:w="708"/>
        <w:gridCol w:w="708"/>
        <w:gridCol w:w="763"/>
        <w:gridCol w:w="708"/>
        <w:gridCol w:w="600"/>
        <w:gridCol w:w="611"/>
        <w:gridCol w:w="924"/>
        <w:gridCol w:w="796"/>
      </w:tblGrid>
      <w:tr w14:paraId="55AE048A">
        <w:trPr>
          <w:trHeight w:val="324" w:hRule="atLeast"/>
          <w:tblHeader/>
          <w:jc w:val="center"/>
        </w:trPr>
        <w:tc>
          <w:tcPr>
            <w:tcW w:w="292" w:type="pct"/>
            <w:tcBorders>
              <w:top w:val="single" w:color="auto" w:sz="4" w:space="0"/>
              <w:left w:val="single" w:color="auto" w:sz="4" w:space="0"/>
              <w:bottom w:val="single" w:color="auto" w:sz="4" w:space="0"/>
              <w:right w:val="single" w:color="auto" w:sz="4" w:space="0"/>
            </w:tcBorders>
            <w:shd w:val="clear" w:color="auto" w:fill="auto"/>
            <w:vAlign w:val="center"/>
          </w:tcPr>
          <w:p w14:paraId="7BDA4ED9">
            <w:pPr>
              <w:pStyle w:val="196"/>
              <w:rPr>
                <w:rFonts w:eastAsia="等线"/>
                <w:b/>
                <w:bCs/>
              </w:rPr>
            </w:pPr>
            <w:r>
              <w:rPr>
                <w:rFonts w:hint="eastAsia"/>
                <w:b/>
                <w:bCs/>
              </w:rPr>
              <w:t>断面</w:t>
            </w:r>
          </w:p>
        </w:tc>
        <w:tc>
          <w:tcPr>
            <w:tcW w:w="762" w:type="pct"/>
            <w:tcBorders>
              <w:top w:val="single" w:color="auto" w:sz="4" w:space="0"/>
              <w:left w:val="nil"/>
              <w:bottom w:val="single" w:color="auto" w:sz="4" w:space="0"/>
              <w:right w:val="single" w:color="auto" w:sz="4" w:space="0"/>
            </w:tcBorders>
            <w:shd w:val="clear" w:color="auto" w:fill="auto"/>
            <w:vAlign w:val="center"/>
          </w:tcPr>
          <w:p w14:paraId="010FCC5A">
            <w:pPr>
              <w:pStyle w:val="196"/>
              <w:rPr>
                <w:rFonts w:eastAsia="等线"/>
                <w:b/>
                <w:bCs/>
              </w:rPr>
            </w:pPr>
            <w:r>
              <w:rPr>
                <w:rFonts w:hint="eastAsia"/>
                <w:b/>
                <w:bCs/>
              </w:rPr>
              <w:t>项目</w:t>
            </w:r>
          </w:p>
        </w:tc>
        <w:tc>
          <w:tcPr>
            <w:tcW w:w="381" w:type="pct"/>
            <w:tcBorders>
              <w:top w:val="single" w:color="auto" w:sz="4" w:space="0"/>
              <w:left w:val="nil"/>
              <w:bottom w:val="single" w:color="auto" w:sz="4" w:space="0"/>
              <w:right w:val="single" w:color="auto" w:sz="4" w:space="0"/>
            </w:tcBorders>
            <w:shd w:val="clear" w:color="auto" w:fill="auto"/>
            <w:vAlign w:val="center"/>
          </w:tcPr>
          <w:p w14:paraId="561F535D">
            <w:pPr>
              <w:pStyle w:val="196"/>
              <w:rPr>
                <w:rFonts w:eastAsia="等线"/>
                <w:b/>
                <w:bCs/>
              </w:rPr>
            </w:pPr>
            <w:r>
              <w:rPr>
                <w:rFonts w:eastAsia="等线"/>
                <w:b/>
                <w:bCs/>
              </w:rPr>
              <w:t>pH</w:t>
            </w:r>
          </w:p>
        </w:tc>
        <w:tc>
          <w:tcPr>
            <w:tcW w:w="393" w:type="pct"/>
            <w:tcBorders>
              <w:top w:val="single" w:color="auto" w:sz="4" w:space="0"/>
              <w:left w:val="nil"/>
              <w:bottom w:val="single" w:color="auto" w:sz="4" w:space="0"/>
              <w:right w:val="single" w:color="auto" w:sz="4" w:space="0"/>
            </w:tcBorders>
            <w:shd w:val="clear" w:color="auto" w:fill="auto"/>
            <w:vAlign w:val="center"/>
          </w:tcPr>
          <w:p w14:paraId="0ACDF93F">
            <w:pPr>
              <w:pStyle w:val="196"/>
              <w:rPr>
                <w:rFonts w:eastAsia="等线"/>
                <w:b/>
                <w:bCs/>
                <w:szCs w:val="24"/>
              </w:rPr>
            </w:pPr>
            <w:r>
              <w:rPr>
                <w:rFonts w:hint="eastAsia"/>
                <w:b/>
                <w:bCs/>
                <w:szCs w:val="24"/>
              </w:rPr>
              <w:t>溶解氧</w:t>
            </w:r>
          </w:p>
        </w:tc>
        <w:tc>
          <w:tcPr>
            <w:tcW w:w="386" w:type="pct"/>
            <w:tcBorders>
              <w:top w:val="single" w:color="auto" w:sz="4" w:space="0"/>
              <w:left w:val="nil"/>
              <w:bottom w:val="single" w:color="auto" w:sz="4" w:space="0"/>
              <w:right w:val="single" w:color="auto" w:sz="4" w:space="0"/>
            </w:tcBorders>
            <w:shd w:val="clear" w:color="auto" w:fill="auto"/>
            <w:vAlign w:val="center"/>
          </w:tcPr>
          <w:p w14:paraId="1ADF9864">
            <w:pPr>
              <w:pStyle w:val="196"/>
              <w:rPr>
                <w:rFonts w:eastAsia="等线"/>
                <w:b/>
                <w:bCs/>
                <w:szCs w:val="24"/>
              </w:rPr>
            </w:pPr>
            <w:r>
              <w:rPr>
                <w:rFonts w:hint="eastAsia"/>
                <w:b/>
                <w:bCs/>
                <w:szCs w:val="24"/>
              </w:rPr>
              <w:t>悬浮物</w:t>
            </w:r>
          </w:p>
        </w:tc>
        <w:tc>
          <w:tcPr>
            <w:tcW w:w="386" w:type="pct"/>
            <w:tcBorders>
              <w:top w:val="single" w:color="auto" w:sz="4" w:space="0"/>
              <w:left w:val="nil"/>
              <w:bottom w:val="single" w:color="auto" w:sz="4" w:space="0"/>
              <w:right w:val="single" w:color="auto" w:sz="4" w:space="0"/>
            </w:tcBorders>
            <w:shd w:val="clear" w:color="auto" w:fill="auto"/>
            <w:vAlign w:val="center"/>
          </w:tcPr>
          <w:p w14:paraId="0EE5F824">
            <w:pPr>
              <w:pStyle w:val="196"/>
              <w:rPr>
                <w:rFonts w:eastAsia="等线"/>
                <w:b/>
                <w:bCs/>
                <w:szCs w:val="24"/>
              </w:rPr>
            </w:pPr>
            <w:r>
              <w:rPr>
                <w:rFonts w:eastAsia="等线"/>
                <w:b/>
                <w:bCs/>
                <w:szCs w:val="24"/>
              </w:rPr>
              <w:t>COD</w:t>
            </w:r>
          </w:p>
        </w:tc>
        <w:tc>
          <w:tcPr>
            <w:tcW w:w="416" w:type="pct"/>
            <w:tcBorders>
              <w:top w:val="single" w:color="auto" w:sz="4" w:space="0"/>
              <w:left w:val="nil"/>
              <w:bottom w:val="single" w:color="auto" w:sz="4" w:space="0"/>
              <w:right w:val="single" w:color="auto" w:sz="4" w:space="0"/>
            </w:tcBorders>
            <w:shd w:val="clear" w:color="auto" w:fill="auto"/>
            <w:vAlign w:val="center"/>
          </w:tcPr>
          <w:p w14:paraId="276D3F51">
            <w:pPr>
              <w:pStyle w:val="196"/>
              <w:rPr>
                <w:rFonts w:eastAsia="等线"/>
                <w:b/>
                <w:bCs/>
                <w:szCs w:val="24"/>
              </w:rPr>
            </w:pPr>
            <w:r>
              <w:rPr>
                <w:rFonts w:eastAsia="等线"/>
                <w:b/>
                <w:bCs/>
                <w:szCs w:val="24"/>
              </w:rPr>
              <w:t>BOD</w:t>
            </w:r>
            <w:r>
              <w:rPr>
                <w:rFonts w:eastAsia="等线"/>
                <w:b/>
                <w:bCs/>
                <w:szCs w:val="24"/>
                <w:vertAlign w:val="subscript"/>
              </w:rPr>
              <w:t>5</w:t>
            </w:r>
          </w:p>
        </w:tc>
        <w:tc>
          <w:tcPr>
            <w:tcW w:w="386" w:type="pct"/>
            <w:tcBorders>
              <w:top w:val="single" w:color="auto" w:sz="4" w:space="0"/>
              <w:left w:val="nil"/>
              <w:bottom w:val="single" w:color="auto" w:sz="4" w:space="0"/>
              <w:right w:val="single" w:color="auto" w:sz="4" w:space="0"/>
            </w:tcBorders>
            <w:shd w:val="clear" w:color="auto" w:fill="auto"/>
            <w:vAlign w:val="center"/>
          </w:tcPr>
          <w:p w14:paraId="2522CFC8">
            <w:pPr>
              <w:pStyle w:val="196"/>
              <w:rPr>
                <w:rFonts w:eastAsia="等线"/>
                <w:b/>
                <w:bCs/>
                <w:szCs w:val="24"/>
              </w:rPr>
            </w:pPr>
            <w:r>
              <w:rPr>
                <w:rFonts w:hint="eastAsia"/>
                <w:b/>
                <w:bCs/>
                <w:szCs w:val="24"/>
              </w:rPr>
              <w:t>氨氮</w:t>
            </w:r>
          </w:p>
        </w:tc>
        <w:tc>
          <w:tcPr>
            <w:tcW w:w="327" w:type="pct"/>
            <w:tcBorders>
              <w:top w:val="single" w:color="auto" w:sz="4" w:space="0"/>
              <w:left w:val="nil"/>
              <w:bottom w:val="single" w:color="auto" w:sz="4" w:space="0"/>
              <w:right w:val="single" w:color="auto" w:sz="4" w:space="0"/>
            </w:tcBorders>
            <w:shd w:val="clear" w:color="auto" w:fill="auto"/>
            <w:vAlign w:val="center"/>
          </w:tcPr>
          <w:p w14:paraId="4389FED4">
            <w:pPr>
              <w:pStyle w:val="196"/>
              <w:rPr>
                <w:rFonts w:eastAsia="等线"/>
                <w:b/>
                <w:bCs/>
                <w:szCs w:val="24"/>
              </w:rPr>
            </w:pPr>
            <w:r>
              <w:rPr>
                <w:rFonts w:hint="eastAsia"/>
                <w:b/>
                <w:bCs/>
                <w:szCs w:val="24"/>
              </w:rPr>
              <w:t>总氮</w:t>
            </w:r>
          </w:p>
        </w:tc>
        <w:tc>
          <w:tcPr>
            <w:tcW w:w="333" w:type="pct"/>
            <w:tcBorders>
              <w:top w:val="single" w:color="auto" w:sz="4" w:space="0"/>
              <w:left w:val="nil"/>
              <w:bottom w:val="single" w:color="auto" w:sz="4" w:space="0"/>
              <w:right w:val="single" w:color="auto" w:sz="4" w:space="0"/>
            </w:tcBorders>
            <w:shd w:val="clear" w:color="auto" w:fill="auto"/>
            <w:vAlign w:val="center"/>
          </w:tcPr>
          <w:p w14:paraId="2001D652">
            <w:pPr>
              <w:pStyle w:val="196"/>
              <w:rPr>
                <w:rFonts w:eastAsia="等线"/>
                <w:b/>
                <w:bCs/>
                <w:szCs w:val="24"/>
              </w:rPr>
            </w:pPr>
            <w:r>
              <w:rPr>
                <w:rFonts w:hint="eastAsia"/>
                <w:b/>
                <w:bCs/>
                <w:szCs w:val="24"/>
              </w:rPr>
              <w:t>总磷</w:t>
            </w:r>
          </w:p>
        </w:tc>
        <w:tc>
          <w:tcPr>
            <w:tcW w:w="504" w:type="pct"/>
            <w:tcBorders>
              <w:top w:val="single" w:color="auto" w:sz="4" w:space="0"/>
              <w:left w:val="nil"/>
              <w:bottom w:val="single" w:color="auto" w:sz="4" w:space="0"/>
              <w:right w:val="single" w:color="auto" w:sz="4" w:space="0"/>
            </w:tcBorders>
            <w:shd w:val="clear" w:color="auto" w:fill="auto"/>
            <w:vAlign w:val="center"/>
          </w:tcPr>
          <w:p w14:paraId="0187D053">
            <w:pPr>
              <w:pStyle w:val="196"/>
              <w:rPr>
                <w:rFonts w:eastAsia="等线"/>
                <w:b/>
                <w:bCs/>
                <w:szCs w:val="24"/>
              </w:rPr>
            </w:pPr>
            <w:r>
              <w:rPr>
                <w:rFonts w:hint="eastAsia"/>
                <w:b/>
                <w:bCs/>
                <w:szCs w:val="24"/>
              </w:rPr>
              <w:t>高锰酸盐指数</w:t>
            </w:r>
          </w:p>
        </w:tc>
        <w:tc>
          <w:tcPr>
            <w:tcW w:w="434" w:type="pct"/>
            <w:tcBorders>
              <w:top w:val="single" w:color="auto" w:sz="4" w:space="0"/>
              <w:left w:val="nil"/>
              <w:bottom w:val="single" w:color="auto" w:sz="4" w:space="0"/>
              <w:right w:val="single" w:color="auto" w:sz="4" w:space="0"/>
            </w:tcBorders>
            <w:shd w:val="clear" w:color="auto" w:fill="auto"/>
            <w:vAlign w:val="center"/>
          </w:tcPr>
          <w:p w14:paraId="524FAD09">
            <w:pPr>
              <w:pStyle w:val="196"/>
              <w:rPr>
                <w:rFonts w:eastAsia="等线"/>
                <w:b/>
                <w:bCs/>
                <w:szCs w:val="24"/>
              </w:rPr>
            </w:pPr>
            <w:r>
              <w:rPr>
                <w:rFonts w:hint="eastAsia"/>
                <w:b/>
                <w:bCs/>
                <w:szCs w:val="24"/>
              </w:rPr>
              <w:t>石油类</w:t>
            </w:r>
          </w:p>
        </w:tc>
      </w:tr>
      <w:tr w14:paraId="0065DA15">
        <w:tblPrEx>
          <w:tblCellMar>
            <w:top w:w="0" w:type="dxa"/>
            <w:left w:w="108" w:type="dxa"/>
            <w:bottom w:w="0" w:type="dxa"/>
            <w:right w:w="108" w:type="dxa"/>
          </w:tblCellMar>
        </w:tblPrEx>
        <w:trPr>
          <w:trHeight w:val="288" w:hRule="atLeast"/>
          <w:jc w:val="center"/>
        </w:trPr>
        <w:tc>
          <w:tcPr>
            <w:tcW w:w="292" w:type="pct"/>
            <w:vMerge w:val="restart"/>
            <w:tcBorders>
              <w:top w:val="nil"/>
              <w:left w:val="single" w:color="auto" w:sz="4" w:space="0"/>
              <w:bottom w:val="single" w:color="auto" w:sz="4" w:space="0"/>
              <w:right w:val="single" w:color="auto" w:sz="4" w:space="0"/>
            </w:tcBorders>
            <w:shd w:val="clear" w:color="auto" w:fill="auto"/>
            <w:vAlign w:val="center"/>
          </w:tcPr>
          <w:p w14:paraId="0FF1185F">
            <w:pPr>
              <w:pStyle w:val="196"/>
              <w:rPr>
                <w:rFonts w:eastAsia="等线"/>
              </w:rPr>
            </w:pPr>
            <w:r>
              <w:rPr>
                <w:rFonts w:eastAsia="等线"/>
              </w:rPr>
              <w:t>W1</w:t>
            </w:r>
          </w:p>
        </w:tc>
        <w:tc>
          <w:tcPr>
            <w:tcW w:w="762" w:type="pct"/>
            <w:tcBorders>
              <w:top w:val="nil"/>
              <w:left w:val="nil"/>
              <w:bottom w:val="single" w:color="auto" w:sz="4" w:space="0"/>
              <w:right w:val="single" w:color="auto" w:sz="4" w:space="0"/>
            </w:tcBorders>
            <w:shd w:val="clear" w:color="auto" w:fill="auto"/>
            <w:vAlign w:val="center"/>
          </w:tcPr>
          <w:p w14:paraId="2F40C01E">
            <w:pPr>
              <w:pStyle w:val="196"/>
              <w:rPr>
                <w:rFonts w:eastAsia="等线"/>
              </w:rPr>
            </w:pPr>
            <w:r>
              <w:rPr>
                <w:rFonts w:hint="eastAsia"/>
              </w:rPr>
              <w:t>最小值</w:t>
            </w:r>
          </w:p>
        </w:tc>
        <w:tc>
          <w:tcPr>
            <w:tcW w:w="381" w:type="pct"/>
            <w:tcBorders>
              <w:top w:val="nil"/>
              <w:left w:val="nil"/>
              <w:bottom w:val="single" w:color="auto" w:sz="4" w:space="0"/>
              <w:right w:val="single" w:color="auto" w:sz="4" w:space="0"/>
            </w:tcBorders>
            <w:shd w:val="clear" w:color="auto" w:fill="auto"/>
            <w:vAlign w:val="center"/>
          </w:tcPr>
          <w:p w14:paraId="6216FCF0">
            <w:pPr>
              <w:pStyle w:val="196"/>
              <w:rPr>
                <w:rFonts w:eastAsia="等线"/>
              </w:rPr>
            </w:pPr>
            <w:r>
              <w:rPr>
                <w:rFonts w:eastAsia="等线"/>
              </w:rPr>
              <w:t>7.2</w:t>
            </w:r>
          </w:p>
        </w:tc>
        <w:tc>
          <w:tcPr>
            <w:tcW w:w="393" w:type="pct"/>
            <w:tcBorders>
              <w:top w:val="nil"/>
              <w:left w:val="nil"/>
              <w:bottom w:val="single" w:color="auto" w:sz="4" w:space="0"/>
              <w:right w:val="single" w:color="auto" w:sz="4" w:space="0"/>
            </w:tcBorders>
            <w:shd w:val="clear" w:color="auto" w:fill="auto"/>
            <w:vAlign w:val="center"/>
          </w:tcPr>
          <w:p w14:paraId="26F26C50">
            <w:pPr>
              <w:pStyle w:val="196"/>
              <w:rPr>
                <w:rFonts w:eastAsia="等线"/>
              </w:rPr>
            </w:pPr>
            <w:r>
              <w:rPr>
                <w:rFonts w:eastAsia="等线"/>
              </w:rPr>
              <w:t>6.2</w:t>
            </w:r>
          </w:p>
        </w:tc>
        <w:tc>
          <w:tcPr>
            <w:tcW w:w="386" w:type="pct"/>
            <w:tcBorders>
              <w:top w:val="nil"/>
              <w:left w:val="nil"/>
              <w:bottom w:val="single" w:color="auto" w:sz="4" w:space="0"/>
              <w:right w:val="single" w:color="auto" w:sz="4" w:space="0"/>
            </w:tcBorders>
            <w:shd w:val="clear" w:color="auto" w:fill="auto"/>
            <w:vAlign w:val="center"/>
          </w:tcPr>
          <w:p w14:paraId="3D320CD5">
            <w:pPr>
              <w:pStyle w:val="196"/>
              <w:rPr>
                <w:rFonts w:eastAsia="等线"/>
              </w:rPr>
            </w:pPr>
            <w:r>
              <w:rPr>
                <w:rFonts w:eastAsia="等线"/>
              </w:rPr>
              <w:t>12</w:t>
            </w:r>
          </w:p>
        </w:tc>
        <w:tc>
          <w:tcPr>
            <w:tcW w:w="386" w:type="pct"/>
            <w:tcBorders>
              <w:top w:val="nil"/>
              <w:left w:val="nil"/>
              <w:bottom w:val="single" w:color="auto" w:sz="4" w:space="0"/>
              <w:right w:val="single" w:color="auto" w:sz="4" w:space="0"/>
            </w:tcBorders>
            <w:shd w:val="clear" w:color="auto" w:fill="auto"/>
            <w:vAlign w:val="center"/>
          </w:tcPr>
          <w:p w14:paraId="44232411">
            <w:pPr>
              <w:pStyle w:val="196"/>
              <w:rPr>
                <w:rFonts w:eastAsia="等线"/>
              </w:rPr>
            </w:pPr>
            <w:r>
              <w:rPr>
                <w:rFonts w:eastAsia="等线"/>
              </w:rPr>
              <w:t>8</w:t>
            </w:r>
          </w:p>
        </w:tc>
        <w:tc>
          <w:tcPr>
            <w:tcW w:w="416" w:type="pct"/>
            <w:tcBorders>
              <w:top w:val="nil"/>
              <w:left w:val="nil"/>
              <w:bottom w:val="single" w:color="auto" w:sz="4" w:space="0"/>
              <w:right w:val="single" w:color="auto" w:sz="4" w:space="0"/>
            </w:tcBorders>
            <w:shd w:val="clear" w:color="auto" w:fill="auto"/>
            <w:vAlign w:val="center"/>
          </w:tcPr>
          <w:p w14:paraId="132B6E1B">
            <w:pPr>
              <w:pStyle w:val="196"/>
              <w:rPr>
                <w:rFonts w:eastAsia="等线"/>
              </w:rPr>
            </w:pPr>
            <w:r>
              <w:rPr>
                <w:rFonts w:eastAsia="等线"/>
              </w:rPr>
              <w:t>2.1</w:t>
            </w:r>
          </w:p>
        </w:tc>
        <w:tc>
          <w:tcPr>
            <w:tcW w:w="386" w:type="pct"/>
            <w:tcBorders>
              <w:top w:val="nil"/>
              <w:left w:val="nil"/>
              <w:bottom w:val="single" w:color="auto" w:sz="4" w:space="0"/>
              <w:right w:val="single" w:color="auto" w:sz="4" w:space="0"/>
            </w:tcBorders>
            <w:shd w:val="clear" w:color="auto" w:fill="auto"/>
            <w:vAlign w:val="center"/>
          </w:tcPr>
          <w:p w14:paraId="042BB1B1">
            <w:pPr>
              <w:pStyle w:val="196"/>
              <w:rPr>
                <w:rFonts w:eastAsia="等线"/>
              </w:rPr>
            </w:pPr>
            <w:r>
              <w:rPr>
                <w:rFonts w:eastAsia="等线"/>
              </w:rPr>
              <w:t>0.334</w:t>
            </w:r>
          </w:p>
        </w:tc>
        <w:tc>
          <w:tcPr>
            <w:tcW w:w="327" w:type="pct"/>
            <w:tcBorders>
              <w:top w:val="nil"/>
              <w:left w:val="nil"/>
              <w:bottom w:val="single" w:color="auto" w:sz="4" w:space="0"/>
              <w:right w:val="single" w:color="auto" w:sz="4" w:space="0"/>
            </w:tcBorders>
            <w:shd w:val="clear" w:color="auto" w:fill="auto"/>
            <w:vAlign w:val="center"/>
          </w:tcPr>
          <w:p w14:paraId="1B4C8967">
            <w:pPr>
              <w:pStyle w:val="196"/>
              <w:rPr>
                <w:rFonts w:eastAsia="等线"/>
              </w:rPr>
            </w:pPr>
            <w:r>
              <w:rPr>
                <w:rFonts w:eastAsia="等线"/>
              </w:rPr>
              <w:t>1.76</w:t>
            </w:r>
          </w:p>
        </w:tc>
        <w:tc>
          <w:tcPr>
            <w:tcW w:w="333" w:type="pct"/>
            <w:tcBorders>
              <w:top w:val="nil"/>
              <w:left w:val="nil"/>
              <w:bottom w:val="single" w:color="auto" w:sz="4" w:space="0"/>
              <w:right w:val="single" w:color="auto" w:sz="4" w:space="0"/>
            </w:tcBorders>
            <w:shd w:val="clear" w:color="auto" w:fill="auto"/>
            <w:vAlign w:val="center"/>
          </w:tcPr>
          <w:p w14:paraId="623FED70">
            <w:pPr>
              <w:pStyle w:val="196"/>
              <w:rPr>
                <w:rFonts w:eastAsia="等线"/>
              </w:rPr>
            </w:pPr>
            <w:r>
              <w:rPr>
                <w:rFonts w:eastAsia="等线"/>
              </w:rPr>
              <w:t>0.12</w:t>
            </w:r>
          </w:p>
        </w:tc>
        <w:tc>
          <w:tcPr>
            <w:tcW w:w="504" w:type="pct"/>
            <w:tcBorders>
              <w:top w:val="nil"/>
              <w:left w:val="nil"/>
              <w:bottom w:val="nil"/>
              <w:right w:val="single" w:color="auto" w:sz="4" w:space="0"/>
            </w:tcBorders>
            <w:shd w:val="clear" w:color="auto" w:fill="auto"/>
            <w:vAlign w:val="center"/>
          </w:tcPr>
          <w:p w14:paraId="4984C44B">
            <w:pPr>
              <w:pStyle w:val="196"/>
              <w:rPr>
                <w:rFonts w:eastAsia="等线"/>
              </w:rPr>
            </w:pPr>
            <w:r>
              <w:rPr>
                <w:rFonts w:eastAsia="等线"/>
              </w:rPr>
              <w:t>1.8</w:t>
            </w:r>
          </w:p>
        </w:tc>
        <w:tc>
          <w:tcPr>
            <w:tcW w:w="434" w:type="pct"/>
            <w:tcBorders>
              <w:top w:val="nil"/>
              <w:left w:val="nil"/>
              <w:bottom w:val="nil"/>
              <w:right w:val="single" w:color="auto" w:sz="4" w:space="0"/>
            </w:tcBorders>
            <w:shd w:val="clear" w:color="auto" w:fill="auto"/>
            <w:vAlign w:val="center"/>
          </w:tcPr>
          <w:p w14:paraId="056B4C96">
            <w:pPr>
              <w:pStyle w:val="196"/>
              <w:rPr>
                <w:rFonts w:eastAsia="等线"/>
              </w:rPr>
            </w:pPr>
            <w:r>
              <w:rPr>
                <w:rFonts w:eastAsia="等线"/>
              </w:rPr>
              <w:t>0.02</w:t>
            </w:r>
          </w:p>
        </w:tc>
      </w:tr>
      <w:tr w14:paraId="2F09C9F4">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5E6C04F6">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71072715">
            <w:pPr>
              <w:pStyle w:val="196"/>
              <w:rPr>
                <w:rFonts w:eastAsia="等线"/>
              </w:rPr>
            </w:pPr>
            <w:r>
              <w:rPr>
                <w:rFonts w:hint="eastAsia"/>
              </w:rPr>
              <w:t>最大值</w:t>
            </w:r>
          </w:p>
        </w:tc>
        <w:tc>
          <w:tcPr>
            <w:tcW w:w="381" w:type="pct"/>
            <w:tcBorders>
              <w:top w:val="nil"/>
              <w:left w:val="nil"/>
              <w:bottom w:val="single" w:color="auto" w:sz="4" w:space="0"/>
              <w:right w:val="single" w:color="auto" w:sz="4" w:space="0"/>
            </w:tcBorders>
            <w:shd w:val="clear" w:color="auto" w:fill="auto"/>
            <w:vAlign w:val="center"/>
          </w:tcPr>
          <w:p w14:paraId="3A73576D">
            <w:pPr>
              <w:pStyle w:val="196"/>
              <w:rPr>
                <w:rFonts w:eastAsia="等线"/>
              </w:rPr>
            </w:pPr>
            <w:r>
              <w:rPr>
                <w:rFonts w:eastAsia="等线"/>
              </w:rPr>
              <w:t>7.3</w:t>
            </w:r>
          </w:p>
        </w:tc>
        <w:tc>
          <w:tcPr>
            <w:tcW w:w="393" w:type="pct"/>
            <w:tcBorders>
              <w:top w:val="nil"/>
              <w:left w:val="nil"/>
              <w:bottom w:val="single" w:color="auto" w:sz="4" w:space="0"/>
              <w:right w:val="single" w:color="auto" w:sz="4" w:space="0"/>
            </w:tcBorders>
            <w:shd w:val="clear" w:color="auto" w:fill="auto"/>
            <w:vAlign w:val="center"/>
          </w:tcPr>
          <w:p w14:paraId="75EDC1BE">
            <w:pPr>
              <w:pStyle w:val="196"/>
              <w:rPr>
                <w:rFonts w:eastAsia="等线"/>
              </w:rPr>
            </w:pPr>
            <w:r>
              <w:rPr>
                <w:rFonts w:eastAsia="等线"/>
              </w:rPr>
              <w:t>6.3</w:t>
            </w:r>
          </w:p>
        </w:tc>
        <w:tc>
          <w:tcPr>
            <w:tcW w:w="386" w:type="pct"/>
            <w:tcBorders>
              <w:top w:val="nil"/>
              <w:left w:val="nil"/>
              <w:bottom w:val="single" w:color="auto" w:sz="4" w:space="0"/>
              <w:right w:val="single" w:color="auto" w:sz="4" w:space="0"/>
            </w:tcBorders>
            <w:shd w:val="clear" w:color="auto" w:fill="auto"/>
            <w:vAlign w:val="center"/>
          </w:tcPr>
          <w:p w14:paraId="3D2E8B5D">
            <w:pPr>
              <w:pStyle w:val="196"/>
              <w:rPr>
                <w:rFonts w:eastAsia="等线"/>
              </w:rPr>
            </w:pPr>
            <w:r>
              <w:rPr>
                <w:rFonts w:eastAsia="等线"/>
              </w:rPr>
              <w:t>15</w:t>
            </w:r>
          </w:p>
        </w:tc>
        <w:tc>
          <w:tcPr>
            <w:tcW w:w="386" w:type="pct"/>
            <w:tcBorders>
              <w:top w:val="nil"/>
              <w:left w:val="nil"/>
              <w:bottom w:val="single" w:color="auto" w:sz="4" w:space="0"/>
              <w:right w:val="single" w:color="auto" w:sz="4" w:space="0"/>
            </w:tcBorders>
            <w:shd w:val="clear" w:color="auto" w:fill="auto"/>
            <w:vAlign w:val="center"/>
          </w:tcPr>
          <w:p w14:paraId="3DA533A5">
            <w:pPr>
              <w:pStyle w:val="196"/>
              <w:rPr>
                <w:rFonts w:eastAsia="等线"/>
              </w:rPr>
            </w:pPr>
            <w:r>
              <w:rPr>
                <w:rFonts w:eastAsia="等线"/>
              </w:rPr>
              <w:t>14</w:t>
            </w:r>
          </w:p>
        </w:tc>
        <w:tc>
          <w:tcPr>
            <w:tcW w:w="416" w:type="pct"/>
            <w:tcBorders>
              <w:top w:val="nil"/>
              <w:left w:val="nil"/>
              <w:bottom w:val="single" w:color="auto" w:sz="4" w:space="0"/>
              <w:right w:val="single" w:color="auto" w:sz="4" w:space="0"/>
            </w:tcBorders>
            <w:shd w:val="clear" w:color="auto" w:fill="auto"/>
            <w:vAlign w:val="center"/>
          </w:tcPr>
          <w:p w14:paraId="05BB1803">
            <w:pPr>
              <w:pStyle w:val="196"/>
              <w:rPr>
                <w:rFonts w:eastAsia="等线"/>
              </w:rPr>
            </w:pPr>
            <w:r>
              <w:rPr>
                <w:rFonts w:eastAsia="等线"/>
              </w:rPr>
              <w:t>2.4</w:t>
            </w:r>
          </w:p>
        </w:tc>
        <w:tc>
          <w:tcPr>
            <w:tcW w:w="386" w:type="pct"/>
            <w:tcBorders>
              <w:top w:val="nil"/>
              <w:left w:val="nil"/>
              <w:bottom w:val="single" w:color="auto" w:sz="4" w:space="0"/>
              <w:right w:val="single" w:color="auto" w:sz="4" w:space="0"/>
            </w:tcBorders>
            <w:shd w:val="clear" w:color="auto" w:fill="auto"/>
            <w:vAlign w:val="center"/>
          </w:tcPr>
          <w:p w14:paraId="7594E11C">
            <w:pPr>
              <w:pStyle w:val="196"/>
              <w:rPr>
                <w:rFonts w:eastAsia="等线"/>
              </w:rPr>
            </w:pPr>
            <w:r>
              <w:rPr>
                <w:rFonts w:eastAsia="等线"/>
              </w:rPr>
              <w:t>0.35</w:t>
            </w:r>
          </w:p>
        </w:tc>
        <w:tc>
          <w:tcPr>
            <w:tcW w:w="327" w:type="pct"/>
            <w:tcBorders>
              <w:top w:val="nil"/>
              <w:left w:val="nil"/>
              <w:bottom w:val="single" w:color="auto" w:sz="4" w:space="0"/>
              <w:right w:val="single" w:color="auto" w:sz="4" w:space="0"/>
            </w:tcBorders>
            <w:shd w:val="clear" w:color="auto" w:fill="auto"/>
            <w:vAlign w:val="center"/>
          </w:tcPr>
          <w:p w14:paraId="6B8CEDF3">
            <w:pPr>
              <w:pStyle w:val="196"/>
              <w:rPr>
                <w:rFonts w:eastAsia="等线"/>
              </w:rPr>
            </w:pPr>
            <w:r>
              <w:rPr>
                <w:rFonts w:eastAsia="等线"/>
              </w:rPr>
              <w:t>1.79</w:t>
            </w:r>
          </w:p>
        </w:tc>
        <w:tc>
          <w:tcPr>
            <w:tcW w:w="333" w:type="pct"/>
            <w:tcBorders>
              <w:top w:val="nil"/>
              <w:left w:val="nil"/>
              <w:bottom w:val="single" w:color="auto" w:sz="4" w:space="0"/>
              <w:right w:val="single" w:color="auto" w:sz="4" w:space="0"/>
            </w:tcBorders>
            <w:shd w:val="clear" w:color="auto" w:fill="auto"/>
            <w:vAlign w:val="center"/>
          </w:tcPr>
          <w:p w14:paraId="18916A02">
            <w:pPr>
              <w:pStyle w:val="196"/>
              <w:rPr>
                <w:rFonts w:eastAsia="等线"/>
              </w:rPr>
            </w:pPr>
            <w:r>
              <w:rPr>
                <w:rFonts w:eastAsia="等线"/>
              </w:rPr>
              <w:t>0.12</w:t>
            </w:r>
          </w:p>
        </w:tc>
        <w:tc>
          <w:tcPr>
            <w:tcW w:w="504" w:type="pct"/>
            <w:tcBorders>
              <w:top w:val="single" w:color="auto" w:sz="4" w:space="0"/>
              <w:left w:val="nil"/>
              <w:bottom w:val="single" w:color="auto" w:sz="4" w:space="0"/>
              <w:right w:val="single" w:color="auto" w:sz="4" w:space="0"/>
            </w:tcBorders>
            <w:shd w:val="clear" w:color="auto" w:fill="auto"/>
            <w:vAlign w:val="center"/>
          </w:tcPr>
          <w:p w14:paraId="1D9C8367">
            <w:pPr>
              <w:pStyle w:val="196"/>
              <w:rPr>
                <w:rFonts w:eastAsia="等线"/>
              </w:rPr>
            </w:pPr>
            <w:r>
              <w:rPr>
                <w:rFonts w:eastAsia="等线"/>
              </w:rPr>
              <w:t>2.1</w:t>
            </w:r>
          </w:p>
        </w:tc>
        <w:tc>
          <w:tcPr>
            <w:tcW w:w="434" w:type="pct"/>
            <w:tcBorders>
              <w:top w:val="single" w:color="auto" w:sz="4" w:space="0"/>
              <w:left w:val="nil"/>
              <w:bottom w:val="single" w:color="auto" w:sz="4" w:space="0"/>
              <w:right w:val="single" w:color="auto" w:sz="4" w:space="0"/>
            </w:tcBorders>
            <w:shd w:val="clear" w:color="auto" w:fill="auto"/>
            <w:vAlign w:val="center"/>
          </w:tcPr>
          <w:p w14:paraId="1869D47F">
            <w:pPr>
              <w:pStyle w:val="196"/>
              <w:rPr>
                <w:rFonts w:eastAsia="等线"/>
              </w:rPr>
            </w:pPr>
            <w:r>
              <w:rPr>
                <w:rFonts w:eastAsia="等线"/>
              </w:rPr>
              <w:t>0.04</w:t>
            </w:r>
          </w:p>
        </w:tc>
      </w:tr>
      <w:tr w14:paraId="1C6FE560">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259569DD">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700AFD0D">
            <w:pPr>
              <w:pStyle w:val="196"/>
              <w:rPr>
                <w:rFonts w:eastAsia="等线"/>
              </w:rPr>
            </w:pPr>
            <w:r>
              <w:rPr>
                <w:rFonts w:hint="eastAsia"/>
              </w:rPr>
              <w:t>平均值</w:t>
            </w:r>
          </w:p>
        </w:tc>
        <w:tc>
          <w:tcPr>
            <w:tcW w:w="381" w:type="pct"/>
            <w:tcBorders>
              <w:top w:val="nil"/>
              <w:left w:val="nil"/>
              <w:bottom w:val="single" w:color="auto" w:sz="4" w:space="0"/>
              <w:right w:val="single" w:color="auto" w:sz="4" w:space="0"/>
            </w:tcBorders>
            <w:shd w:val="clear" w:color="auto" w:fill="auto"/>
            <w:vAlign w:val="center"/>
          </w:tcPr>
          <w:p w14:paraId="709ADDA5">
            <w:pPr>
              <w:pStyle w:val="196"/>
              <w:rPr>
                <w:rFonts w:eastAsia="等线"/>
              </w:rPr>
            </w:pPr>
            <w:r>
              <w:rPr>
                <w:rFonts w:eastAsia="等线"/>
              </w:rPr>
              <w:t>7.3</w:t>
            </w:r>
          </w:p>
        </w:tc>
        <w:tc>
          <w:tcPr>
            <w:tcW w:w="393" w:type="pct"/>
            <w:tcBorders>
              <w:top w:val="nil"/>
              <w:left w:val="nil"/>
              <w:bottom w:val="single" w:color="auto" w:sz="4" w:space="0"/>
              <w:right w:val="single" w:color="auto" w:sz="4" w:space="0"/>
            </w:tcBorders>
            <w:shd w:val="clear" w:color="auto" w:fill="auto"/>
            <w:vAlign w:val="center"/>
          </w:tcPr>
          <w:p w14:paraId="003601F3">
            <w:pPr>
              <w:pStyle w:val="196"/>
              <w:rPr>
                <w:rFonts w:eastAsia="等线"/>
              </w:rPr>
            </w:pPr>
            <w:r>
              <w:rPr>
                <w:rFonts w:eastAsia="等线"/>
              </w:rPr>
              <w:t>6.27</w:t>
            </w:r>
          </w:p>
        </w:tc>
        <w:tc>
          <w:tcPr>
            <w:tcW w:w="386" w:type="pct"/>
            <w:tcBorders>
              <w:top w:val="nil"/>
              <w:left w:val="nil"/>
              <w:bottom w:val="single" w:color="auto" w:sz="4" w:space="0"/>
              <w:right w:val="single" w:color="auto" w:sz="4" w:space="0"/>
            </w:tcBorders>
            <w:shd w:val="clear" w:color="auto" w:fill="auto"/>
            <w:vAlign w:val="center"/>
          </w:tcPr>
          <w:p w14:paraId="32F57642">
            <w:pPr>
              <w:pStyle w:val="196"/>
              <w:rPr>
                <w:rFonts w:eastAsia="等线"/>
              </w:rPr>
            </w:pPr>
            <w:r>
              <w:rPr>
                <w:rFonts w:eastAsia="等线"/>
              </w:rPr>
              <w:t>13.83</w:t>
            </w:r>
          </w:p>
        </w:tc>
        <w:tc>
          <w:tcPr>
            <w:tcW w:w="386" w:type="pct"/>
            <w:tcBorders>
              <w:top w:val="nil"/>
              <w:left w:val="nil"/>
              <w:bottom w:val="single" w:color="auto" w:sz="4" w:space="0"/>
              <w:right w:val="single" w:color="auto" w:sz="4" w:space="0"/>
            </w:tcBorders>
            <w:shd w:val="clear" w:color="auto" w:fill="auto"/>
            <w:vAlign w:val="center"/>
          </w:tcPr>
          <w:p w14:paraId="0DC6978D">
            <w:pPr>
              <w:pStyle w:val="196"/>
              <w:rPr>
                <w:rFonts w:eastAsia="等线"/>
              </w:rPr>
            </w:pPr>
            <w:r>
              <w:rPr>
                <w:rFonts w:eastAsia="等线"/>
              </w:rPr>
              <w:t>11.50</w:t>
            </w:r>
          </w:p>
        </w:tc>
        <w:tc>
          <w:tcPr>
            <w:tcW w:w="416" w:type="pct"/>
            <w:tcBorders>
              <w:top w:val="nil"/>
              <w:left w:val="nil"/>
              <w:bottom w:val="single" w:color="auto" w:sz="4" w:space="0"/>
              <w:right w:val="single" w:color="auto" w:sz="4" w:space="0"/>
            </w:tcBorders>
            <w:shd w:val="clear" w:color="auto" w:fill="auto"/>
            <w:vAlign w:val="center"/>
          </w:tcPr>
          <w:p w14:paraId="16B0A85C">
            <w:pPr>
              <w:pStyle w:val="196"/>
              <w:rPr>
                <w:rFonts w:eastAsia="等线"/>
              </w:rPr>
            </w:pPr>
            <w:r>
              <w:rPr>
                <w:rFonts w:eastAsia="等线"/>
              </w:rPr>
              <w:t>2.27</w:t>
            </w:r>
          </w:p>
        </w:tc>
        <w:tc>
          <w:tcPr>
            <w:tcW w:w="386" w:type="pct"/>
            <w:tcBorders>
              <w:top w:val="nil"/>
              <w:left w:val="nil"/>
              <w:bottom w:val="single" w:color="auto" w:sz="4" w:space="0"/>
              <w:right w:val="single" w:color="auto" w:sz="4" w:space="0"/>
            </w:tcBorders>
            <w:shd w:val="clear" w:color="auto" w:fill="auto"/>
            <w:vAlign w:val="center"/>
          </w:tcPr>
          <w:p w14:paraId="12378460">
            <w:pPr>
              <w:pStyle w:val="196"/>
              <w:rPr>
                <w:rFonts w:eastAsia="等线"/>
              </w:rPr>
            </w:pPr>
            <w:r>
              <w:rPr>
                <w:rFonts w:eastAsia="等线"/>
              </w:rPr>
              <w:t>0.34</w:t>
            </w:r>
          </w:p>
        </w:tc>
        <w:tc>
          <w:tcPr>
            <w:tcW w:w="327" w:type="pct"/>
            <w:tcBorders>
              <w:top w:val="nil"/>
              <w:left w:val="nil"/>
              <w:bottom w:val="single" w:color="auto" w:sz="4" w:space="0"/>
              <w:right w:val="single" w:color="auto" w:sz="4" w:space="0"/>
            </w:tcBorders>
            <w:shd w:val="clear" w:color="auto" w:fill="auto"/>
            <w:vAlign w:val="center"/>
          </w:tcPr>
          <w:p w14:paraId="76DE1E21">
            <w:pPr>
              <w:pStyle w:val="196"/>
              <w:rPr>
                <w:rFonts w:eastAsia="等线"/>
              </w:rPr>
            </w:pPr>
            <w:r>
              <w:rPr>
                <w:rFonts w:eastAsia="等线"/>
              </w:rPr>
              <w:t>1.78</w:t>
            </w:r>
          </w:p>
        </w:tc>
        <w:tc>
          <w:tcPr>
            <w:tcW w:w="333" w:type="pct"/>
            <w:tcBorders>
              <w:top w:val="nil"/>
              <w:left w:val="nil"/>
              <w:bottom w:val="single" w:color="auto" w:sz="4" w:space="0"/>
              <w:right w:val="single" w:color="auto" w:sz="4" w:space="0"/>
            </w:tcBorders>
            <w:shd w:val="clear" w:color="auto" w:fill="auto"/>
            <w:vAlign w:val="center"/>
          </w:tcPr>
          <w:p w14:paraId="4236CE3A">
            <w:pPr>
              <w:pStyle w:val="196"/>
              <w:rPr>
                <w:rFonts w:eastAsia="等线"/>
              </w:rPr>
            </w:pPr>
            <w:r>
              <w:rPr>
                <w:rFonts w:eastAsia="等线"/>
              </w:rPr>
              <w:t>0.12</w:t>
            </w:r>
          </w:p>
        </w:tc>
        <w:tc>
          <w:tcPr>
            <w:tcW w:w="504" w:type="pct"/>
            <w:tcBorders>
              <w:top w:val="nil"/>
              <w:left w:val="nil"/>
              <w:bottom w:val="single" w:color="auto" w:sz="4" w:space="0"/>
              <w:right w:val="single" w:color="auto" w:sz="4" w:space="0"/>
            </w:tcBorders>
            <w:shd w:val="clear" w:color="auto" w:fill="auto"/>
            <w:vAlign w:val="center"/>
          </w:tcPr>
          <w:p w14:paraId="4B9252D3">
            <w:pPr>
              <w:pStyle w:val="196"/>
              <w:rPr>
                <w:rFonts w:eastAsia="等线"/>
              </w:rPr>
            </w:pPr>
            <w:r>
              <w:rPr>
                <w:rFonts w:eastAsia="等线"/>
              </w:rPr>
              <w:t>1.90</w:t>
            </w:r>
          </w:p>
        </w:tc>
        <w:tc>
          <w:tcPr>
            <w:tcW w:w="434" w:type="pct"/>
            <w:tcBorders>
              <w:top w:val="nil"/>
              <w:left w:val="nil"/>
              <w:bottom w:val="single" w:color="auto" w:sz="4" w:space="0"/>
              <w:right w:val="single" w:color="auto" w:sz="4" w:space="0"/>
            </w:tcBorders>
            <w:shd w:val="clear" w:color="auto" w:fill="auto"/>
            <w:vAlign w:val="center"/>
          </w:tcPr>
          <w:p w14:paraId="478034A1">
            <w:pPr>
              <w:pStyle w:val="196"/>
              <w:rPr>
                <w:rFonts w:eastAsia="等线"/>
              </w:rPr>
            </w:pPr>
            <w:r>
              <w:rPr>
                <w:rFonts w:eastAsia="等线"/>
              </w:rPr>
              <w:t>0.03</w:t>
            </w:r>
          </w:p>
        </w:tc>
      </w:tr>
      <w:tr w14:paraId="44FBC601">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0BBF4209">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4355028D">
            <w:pPr>
              <w:pStyle w:val="196"/>
              <w:rPr>
                <w:rFonts w:eastAsia="等线"/>
              </w:rPr>
            </w:pPr>
            <w:r>
              <w:rPr>
                <w:rFonts w:hint="eastAsia"/>
              </w:rPr>
              <w:t>Ⅲ类标准值</w:t>
            </w:r>
          </w:p>
        </w:tc>
        <w:tc>
          <w:tcPr>
            <w:tcW w:w="381" w:type="pct"/>
            <w:tcBorders>
              <w:top w:val="nil"/>
              <w:left w:val="nil"/>
              <w:bottom w:val="single" w:color="auto" w:sz="4" w:space="0"/>
              <w:right w:val="single" w:color="auto" w:sz="4" w:space="0"/>
            </w:tcBorders>
            <w:shd w:val="clear" w:color="auto" w:fill="auto"/>
            <w:vAlign w:val="center"/>
          </w:tcPr>
          <w:p w14:paraId="2F4FA64D">
            <w:pPr>
              <w:pStyle w:val="196"/>
              <w:rPr>
                <w:rFonts w:eastAsia="等线"/>
              </w:rPr>
            </w:pPr>
            <w:r>
              <w:rPr>
                <w:rFonts w:eastAsia="等线"/>
              </w:rPr>
              <w:t>6~9</w:t>
            </w:r>
          </w:p>
        </w:tc>
        <w:tc>
          <w:tcPr>
            <w:tcW w:w="393" w:type="pct"/>
            <w:tcBorders>
              <w:top w:val="nil"/>
              <w:left w:val="nil"/>
              <w:bottom w:val="single" w:color="auto" w:sz="4" w:space="0"/>
              <w:right w:val="single" w:color="auto" w:sz="4" w:space="0"/>
            </w:tcBorders>
            <w:shd w:val="clear" w:color="auto" w:fill="auto"/>
            <w:vAlign w:val="center"/>
          </w:tcPr>
          <w:p w14:paraId="1DABB1F7">
            <w:pPr>
              <w:pStyle w:val="196"/>
              <w:rPr>
                <w:rFonts w:eastAsia="等线"/>
              </w:rPr>
            </w:pPr>
            <w:r>
              <w:rPr>
                <w:rFonts w:eastAsia="等线"/>
              </w:rPr>
              <w:t>5</w:t>
            </w:r>
          </w:p>
        </w:tc>
        <w:tc>
          <w:tcPr>
            <w:tcW w:w="386" w:type="pct"/>
            <w:tcBorders>
              <w:top w:val="nil"/>
              <w:left w:val="nil"/>
              <w:bottom w:val="single" w:color="auto" w:sz="4" w:space="0"/>
              <w:right w:val="single" w:color="auto" w:sz="4" w:space="0"/>
            </w:tcBorders>
            <w:shd w:val="clear" w:color="auto" w:fill="auto"/>
            <w:vAlign w:val="center"/>
          </w:tcPr>
          <w:p w14:paraId="5ED709F9">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7AA68CF7">
            <w:pPr>
              <w:pStyle w:val="196"/>
              <w:rPr>
                <w:rFonts w:eastAsia="等线"/>
              </w:rPr>
            </w:pPr>
            <w:r>
              <w:rPr>
                <w:rFonts w:eastAsia="等线"/>
              </w:rPr>
              <w:t>20</w:t>
            </w:r>
          </w:p>
        </w:tc>
        <w:tc>
          <w:tcPr>
            <w:tcW w:w="416" w:type="pct"/>
            <w:tcBorders>
              <w:top w:val="nil"/>
              <w:left w:val="nil"/>
              <w:bottom w:val="single" w:color="auto" w:sz="4" w:space="0"/>
              <w:right w:val="single" w:color="auto" w:sz="4" w:space="0"/>
            </w:tcBorders>
            <w:shd w:val="clear" w:color="auto" w:fill="auto"/>
            <w:vAlign w:val="center"/>
          </w:tcPr>
          <w:p w14:paraId="627AD511">
            <w:pPr>
              <w:pStyle w:val="196"/>
              <w:rPr>
                <w:rFonts w:eastAsia="等线"/>
              </w:rPr>
            </w:pPr>
            <w:r>
              <w:rPr>
                <w:rFonts w:eastAsia="等线"/>
              </w:rPr>
              <w:t>4</w:t>
            </w:r>
          </w:p>
        </w:tc>
        <w:tc>
          <w:tcPr>
            <w:tcW w:w="386" w:type="pct"/>
            <w:tcBorders>
              <w:top w:val="nil"/>
              <w:left w:val="nil"/>
              <w:bottom w:val="single" w:color="auto" w:sz="4" w:space="0"/>
              <w:right w:val="single" w:color="auto" w:sz="4" w:space="0"/>
            </w:tcBorders>
            <w:shd w:val="clear" w:color="auto" w:fill="auto"/>
            <w:vAlign w:val="center"/>
          </w:tcPr>
          <w:p w14:paraId="1D4CD867">
            <w:pPr>
              <w:pStyle w:val="196"/>
              <w:rPr>
                <w:rFonts w:eastAsia="等线"/>
              </w:rPr>
            </w:pPr>
            <w:r>
              <w:rPr>
                <w:rFonts w:eastAsia="等线"/>
              </w:rPr>
              <w:t>1</w:t>
            </w:r>
          </w:p>
        </w:tc>
        <w:tc>
          <w:tcPr>
            <w:tcW w:w="327" w:type="pct"/>
            <w:tcBorders>
              <w:top w:val="nil"/>
              <w:left w:val="nil"/>
              <w:bottom w:val="single" w:color="auto" w:sz="4" w:space="0"/>
              <w:right w:val="single" w:color="auto" w:sz="4" w:space="0"/>
            </w:tcBorders>
            <w:shd w:val="clear" w:color="auto" w:fill="auto"/>
            <w:vAlign w:val="center"/>
          </w:tcPr>
          <w:p w14:paraId="28169820">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05D6B9A7">
            <w:pPr>
              <w:pStyle w:val="196"/>
              <w:rPr>
                <w:rFonts w:eastAsia="等线"/>
              </w:rPr>
            </w:pPr>
            <w:r>
              <w:rPr>
                <w:rFonts w:eastAsia="等线"/>
              </w:rPr>
              <w:t>0.2</w:t>
            </w:r>
          </w:p>
        </w:tc>
        <w:tc>
          <w:tcPr>
            <w:tcW w:w="504" w:type="pct"/>
            <w:tcBorders>
              <w:top w:val="nil"/>
              <w:left w:val="nil"/>
              <w:bottom w:val="nil"/>
              <w:right w:val="single" w:color="auto" w:sz="4" w:space="0"/>
            </w:tcBorders>
            <w:shd w:val="clear" w:color="auto" w:fill="auto"/>
            <w:vAlign w:val="center"/>
          </w:tcPr>
          <w:p w14:paraId="199CEDB9">
            <w:pPr>
              <w:pStyle w:val="196"/>
              <w:rPr>
                <w:rFonts w:eastAsia="等线"/>
              </w:rPr>
            </w:pPr>
            <w:r>
              <w:rPr>
                <w:rFonts w:eastAsia="等线"/>
              </w:rPr>
              <w:t>6</w:t>
            </w:r>
          </w:p>
        </w:tc>
        <w:tc>
          <w:tcPr>
            <w:tcW w:w="434" w:type="pct"/>
            <w:tcBorders>
              <w:top w:val="nil"/>
              <w:left w:val="nil"/>
              <w:bottom w:val="nil"/>
              <w:right w:val="single" w:color="auto" w:sz="4" w:space="0"/>
            </w:tcBorders>
            <w:shd w:val="clear" w:color="auto" w:fill="auto"/>
            <w:vAlign w:val="center"/>
          </w:tcPr>
          <w:p w14:paraId="34589292">
            <w:pPr>
              <w:pStyle w:val="196"/>
              <w:rPr>
                <w:rFonts w:eastAsia="等线"/>
              </w:rPr>
            </w:pPr>
            <w:r>
              <w:rPr>
                <w:rFonts w:eastAsia="等线"/>
              </w:rPr>
              <w:t>0.05</w:t>
            </w:r>
          </w:p>
        </w:tc>
      </w:tr>
      <w:tr w14:paraId="199632A1">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09E7DB79">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1EDB72E5">
            <w:pPr>
              <w:pStyle w:val="196"/>
              <w:rPr>
                <w:rFonts w:eastAsia="等线"/>
              </w:rPr>
            </w:pPr>
            <w:r>
              <w:rPr>
                <w:rFonts w:hint="eastAsia"/>
              </w:rPr>
              <w:t>标准指数</w:t>
            </w:r>
          </w:p>
        </w:tc>
        <w:tc>
          <w:tcPr>
            <w:tcW w:w="381" w:type="pct"/>
            <w:tcBorders>
              <w:top w:val="nil"/>
              <w:left w:val="nil"/>
              <w:bottom w:val="single" w:color="auto" w:sz="4" w:space="0"/>
              <w:right w:val="single" w:color="auto" w:sz="4" w:space="0"/>
            </w:tcBorders>
            <w:shd w:val="clear" w:color="auto" w:fill="auto"/>
            <w:vAlign w:val="center"/>
          </w:tcPr>
          <w:p w14:paraId="63D38F09">
            <w:pPr>
              <w:pStyle w:val="196"/>
              <w:rPr>
                <w:rFonts w:eastAsia="等线"/>
              </w:rPr>
            </w:pPr>
            <w:r>
              <w:rPr>
                <w:rFonts w:eastAsia="等线"/>
              </w:rPr>
              <w:t>0.15</w:t>
            </w:r>
          </w:p>
        </w:tc>
        <w:tc>
          <w:tcPr>
            <w:tcW w:w="393" w:type="pct"/>
            <w:tcBorders>
              <w:top w:val="nil"/>
              <w:left w:val="nil"/>
              <w:bottom w:val="single" w:color="auto" w:sz="4" w:space="0"/>
              <w:right w:val="single" w:color="auto" w:sz="4" w:space="0"/>
            </w:tcBorders>
            <w:shd w:val="clear" w:color="auto" w:fill="auto"/>
            <w:vAlign w:val="center"/>
          </w:tcPr>
          <w:p w14:paraId="46232FED">
            <w:pPr>
              <w:pStyle w:val="196"/>
              <w:rPr>
                <w:rFonts w:eastAsia="等线"/>
              </w:rPr>
            </w:pPr>
            <w:r>
              <w:rPr>
                <w:rFonts w:eastAsia="等线"/>
              </w:rPr>
              <w:t>0.79</w:t>
            </w:r>
          </w:p>
        </w:tc>
        <w:tc>
          <w:tcPr>
            <w:tcW w:w="386" w:type="pct"/>
            <w:tcBorders>
              <w:top w:val="nil"/>
              <w:left w:val="nil"/>
              <w:bottom w:val="single" w:color="auto" w:sz="4" w:space="0"/>
              <w:right w:val="single" w:color="auto" w:sz="4" w:space="0"/>
            </w:tcBorders>
            <w:shd w:val="clear" w:color="auto" w:fill="auto"/>
            <w:vAlign w:val="center"/>
          </w:tcPr>
          <w:p w14:paraId="4EF260E7">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437C5489">
            <w:pPr>
              <w:pStyle w:val="196"/>
              <w:rPr>
                <w:rFonts w:eastAsia="等线"/>
              </w:rPr>
            </w:pPr>
            <w:r>
              <w:rPr>
                <w:rFonts w:eastAsia="等线"/>
              </w:rPr>
              <w:t>0.575</w:t>
            </w:r>
          </w:p>
        </w:tc>
        <w:tc>
          <w:tcPr>
            <w:tcW w:w="416" w:type="pct"/>
            <w:tcBorders>
              <w:top w:val="nil"/>
              <w:left w:val="nil"/>
              <w:bottom w:val="single" w:color="auto" w:sz="4" w:space="0"/>
              <w:right w:val="single" w:color="auto" w:sz="4" w:space="0"/>
            </w:tcBorders>
            <w:shd w:val="clear" w:color="auto" w:fill="auto"/>
            <w:vAlign w:val="center"/>
          </w:tcPr>
          <w:p w14:paraId="13C3E4B6">
            <w:pPr>
              <w:pStyle w:val="196"/>
              <w:rPr>
                <w:rFonts w:eastAsia="等线"/>
              </w:rPr>
            </w:pPr>
            <w:r>
              <w:rPr>
                <w:rFonts w:eastAsia="等线"/>
              </w:rPr>
              <w:t>0.57</w:t>
            </w:r>
          </w:p>
        </w:tc>
        <w:tc>
          <w:tcPr>
            <w:tcW w:w="386" w:type="pct"/>
            <w:tcBorders>
              <w:top w:val="nil"/>
              <w:left w:val="nil"/>
              <w:bottom w:val="single" w:color="auto" w:sz="4" w:space="0"/>
              <w:right w:val="single" w:color="auto" w:sz="4" w:space="0"/>
            </w:tcBorders>
            <w:shd w:val="clear" w:color="auto" w:fill="auto"/>
            <w:vAlign w:val="center"/>
          </w:tcPr>
          <w:p w14:paraId="5D29E4E5">
            <w:pPr>
              <w:pStyle w:val="196"/>
              <w:rPr>
                <w:rFonts w:eastAsia="等线"/>
              </w:rPr>
            </w:pPr>
            <w:r>
              <w:rPr>
                <w:rFonts w:eastAsia="等线"/>
              </w:rPr>
              <w:t>0.34</w:t>
            </w:r>
          </w:p>
        </w:tc>
        <w:tc>
          <w:tcPr>
            <w:tcW w:w="327" w:type="pct"/>
            <w:tcBorders>
              <w:top w:val="nil"/>
              <w:left w:val="nil"/>
              <w:bottom w:val="single" w:color="auto" w:sz="4" w:space="0"/>
              <w:right w:val="single" w:color="auto" w:sz="4" w:space="0"/>
            </w:tcBorders>
            <w:shd w:val="clear" w:color="auto" w:fill="auto"/>
            <w:vAlign w:val="center"/>
          </w:tcPr>
          <w:p w14:paraId="2B3F09AC">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2C62D537">
            <w:pPr>
              <w:pStyle w:val="196"/>
              <w:rPr>
                <w:rFonts w:eastAsia="等线"/>
              </w:rPr>
            </w:pPr>
            <w:r>
              <w:rPr>
                <w:rFonts w:eastAsia="等线"/>
              </w:rPr>
              <w:t>0.6</w:t>
            </w:r>
          </w:p>
        </w:tc>
        <w:tc>
          <w:tcPr>
            <w:tcW w:w="504" w:type="pct"/>
            <w:tcBorders>
              <w:top w:val="single" w:color="auto" w:sz="4" w:space="0"/>
              <w:left w:val="nil"/>
              <w:bottom w:val="single" w:color="auto" w:sz="4" w:space="0"/>
              <w:right w:val="single" w:color="auto" w:sz="4" w:space="0"/>
            </w:tcBorders>
            <w:shd w:val="clear" w:color="auto" w:fill="auto"/>
            <w:vAlign w:val="center"/>
          </w:tcPr>
          <w:p w14:paraId="669A6EA1">
            <w:pPr>
              <w:pStyle w:val="196"/>
              <w:rPr>
                <w:rFonts w:eastAsia="等线"/>
              </w:rPr>
            </w:pPr>
            <w:r>
              <w:rPr>
                <w:rFonts w:eastAsia="等线"/>
              </w:rPr>
              <w:t>0.32</w:t>
            </w:r>
          </w:p>
        </w:tc>
        <w:tc>
          <w:tcPr>
            <w:tcW w:w="434" w:type="pct"/>
            <w:tcBorders>
              <w:top w:val="single" w:color="auto" w:sz="4" w:space="0"/>
              <w:left w:val="nil"/>
              <w:bottom w:val="single" w:color="auto" w:sz="4" w:space="0"/>
              <w:right w:val="single" w:color="auto" w:sz="4" w:space="0"/>
            </w:tcBorders>
            <w:shd w:val="clear" w:color="auto" w:fill="auto"/>
            <w:vAlign w:val="center"/>
          </w:tcPr>
          <w:p w14:paraId="4D92F38C">
            <w:pPr>
              <w:pStyle w:val="196"/>
              <w:rPr>
                <w:rFonts w:eastAsia="等线"/>
              </w:rPr>
            </w:pPr>
            <w:r>
              <w:rPr>
                <w:rFonts w:eastAsia="等线"/>
              </w:rPr>
              <w:t>0.53</w:t>
            </w:r>
          </w:p>
        </w:tc>
      </w:tr>
      <w:tr w14:paraId="4BE37F9E">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32210C20">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38DB05F6">
            <w:pPr>
              <w:pStyle w:val="196"/>
              <w:rPr>
                <w:rFonts w:eastAsia="等线"/>
              </w:rPr>
            </w:pPr>
            <w:r>
              <w:rPr>
                <w:rFonts w:hint="eastAsia"/>
              </w:rPr>
              <w:t>超标率</w:t>
            </w:r>
            <w:r>
              <w:rPr>
                <w:rFonts w:eastAsia="等线"/>
              </w:rPr>
              <w:t>%</w:t>
            </w:r>
          </w:p>
        </w:tc>
        <w:tc>
          <w:tcPr>
            <w:tcW w:w="381" w:type="pct"/>
            <w:tcBorders>
              <w:top w:val="nil"/>
              <w:left w:val="nil"/>
              <w:bottom w:val="single" w:color="auto" w:sz="4" w:space="0"/>
              <w:right w:val="single" w:color="auto" w:sz="4" w:space="0"/>
            </w:tcBorders>
            <w:shd w:val="clear" w:color="auto" w:fill="auto"/>
            <w:vAlign w:val="center"/>
          </w:tcPr>
          <w:p w14:paraId="45807C25">
            <w:pPr>
              <w:pStyle w:val="196"/>
              <w:rPr>
                <w:rFonts w:eastAsia="等线"/>
              </w:rPr>
            </w:pPr>
            <w:r>
              <w:rPr>
                <w:rFonts w:eastAsia="等线"/>
              </w:rPr>
              <w:t>0</w:t>
            </w:r>
          </w:p>
        </w:tc>
        <w:tc>
          <w:tcPr>
            <w:tcW w:w="393" w:type="pct"/>
            <w:tcBorders>
              <w:top w:val="nil"/>
              <w:left w:val="nil"/>
              <w:bottom w:val="single" w:color="auto" w:sz="4" w:space="0"/>
              <w:right w:val="single" w:color="auto" w:sz="4" w:space="0"/>
            </w:tcBorders>
            <w:shd w:val="clear" w:color="auto" w:fill="auto"/>
            <w:vAlign w:val="center"/>
          </w:tcPr>
          <w:p w14:paraId="6D275FBF">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1A910718">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48C9DBFD">
            <w:pPr>
              <w:pStyle w:val="196"/>
              <w:rPr>
                <w:rFonts w:eastAsia="等线"/>
              </w:rPr>
            </w:pPr>
            <w:r>
              <w:rPr>
                <w:rFonts w:eastAsia="等线"/>
              </w:rPr>
              <w:t>0</w:t>
            </w:r>
          </w:p>
        </w:tc>
        <w:tc>
          <w:tcPr>
            <w:tcW w:w="416" w:type="pct"/>
            <w:tcBorders>
              <w:top w:val="nil"/>
              <w:left w:val="nil"/>
              <w:bottom w:val="single" w:color="auto" w:sz="4" w:space="0"/>
              <w:right w:val="single" w:color="auto" w:sz="4" w:space="0"/>
            </w:tcBorders>
            <w:shd w:val="clear" w:color="auto" w:fill="auto"/>
            <w:vAlign w:val="center"/>
          </w:tcPr>
          <w:p w14:paraId="03096290">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1A16E623">
            <w:pPr>
              <w:pStyle w:val="196"/>
              <w:rPr>
                <w:rFonts w:eastAsia="等线"/>
              </w:rPr>
            </w:pPr>
            <w:r>
              <w:rPr>
                <w:rFonts w:eastAsia="等线"/>
              </w:rPr>
              <w:t>0</w:t>
            </w:r>
          </w:p>
        </w:tc>
        <w:tc>
          <w:tcPr>
            <w:tcW w:w="327" w:type="pct"/>
            <w:tcBorders>
              <w:top w:val="nil"/>
              <w:left w:val="nil"/>
              <w:bottom w:val="single" w:color="auto" w:sz="4" w:space="0"/>
              <w:right w:val="single" w:color="auto" w:sz="4" w:space="0"/>
            </w:tcBorders>
            <w:shd w:val="clear" w:color="auto" w:fill="auto"/>
            <w:vAlign w:val="center"/>
          </w:tcPr>
          <w:p w14:paraId="7B878C8E">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1A280B24">
            <w:pPr>
              <w:pStyle w:val="196"/>
              <w:rPr>
                <w:rFonts w:eastAsia="等线"/>
              </w:rPr>
            </w:pPr>
            <w:r>
              <w:rPr>
                <w:rFonts w:eastAsia="等线"/>
              </w:rPr>
              <w:t>0</w:t>
            </w:r>
          </w:p>
        </w:tc>
        <w:tc>
          <w:tcPr>
            <w:tcW w:w="504" w:type="pct"/>
            <w:tcBorders>
              <w:top w:val="nil"/>
              <w:left w:val="nil"/>
              <w:bottom w:val="single" w:color="auto" w:sz="4" w:space="0"/>
              <w:right w:val="single" w:color="auto" w:sz="4" w:space="0"/>
            </w:tcBorders>
            <w:shd w:val="clear" w:color="auto" w:fill="auto"/>
            <w:vAlign w:val="center"/>
          </w:tcPr>
          <w:p w14:paraId="0D4018C2">
            <w:pPr>
              <w:pStyle w:val="196"/>
              <w:rPr>
                <w:rFonts w:eastAsia="等线"/>
              </w:rPr>
            </w:pPr>
            <w:r>
              <w:rPr>
                <w:rFonts w:eastAsia="等线"/>
              </w:rPr>
              <w:t>0</w:t>
            </w:r>
          </w:p>
        </w:tc>
        <w:tc>
          <w:tcPr>
            <w:tcW w:w="434" w:type="pct"/>
            <w:tcBorders>
              <w:top w:val="nil"/>
              <w:left w:val="nil"/>
              <w:bottom w:val="single" w:color="auto" w:sz="4" w:space="0"/>
              <w:right w:val="single" w:color="auto" w:sz="4" w:space="0"/>
            </w:tcBorders>
            <w:shd w:val="clear" w:color="auto" w:fill="auto"/>
            <w:vAlign w:val="center"/>
          </w:tcPr>
          <w:p w14:paraId="6F027230">
            <w:pPr>
              <w:pStyle w:val="196"/>
              <w:rPr>
                <w:rFonts w:eastAsia="等线"/>
              </w:rPr>
            </w:pPr>
            <w:r>
              <w:rPr>
                <w:rFonts w:eastAsia="等线"/>
              </w:rPr>
              <w:t>0</w:t>
            </w:r>
          </w:p>
        </w:tc>
      </w:tr>
      <w:tr w14:paraId="478901B6">
        <w:tblPrEx>
          <w:tblCellMar>
            <w:top w:w="0" w:type="dxa"/>
            <w:left w:w="108" w:type="dxa"/>
            <w:bottom w:w="0" w:type="dxa"/>
            <w:right w:w="108" w:type="dxa"/>
          </w:tblCellMar>
        </w:tblPrEx>
        <w:trPr>
          <w:trHeight w:val="288" w:hRule="atLeast"/>
          <w:jc w:val="center"/>
        </w:trPr>
        <w:tc>
          <w:tcPr>
            <w:tcW w:w="292" w:type="pct"/>
            <w:vMerge w:val="restart"/>
            <w:tcBorders>
              <w:top w:val="nil"/>
              <w:left w:val="single" w:color="auto" w:sz="4" w:space="0"/>
              <w:bottom w:val="single" w:color="auto" w:sz="4" w:space="0"/>
              <w:right w:val="single" w:color="auto" w:sz="4" w:space="0"/>
            </w:tcBorders>
            <w:shd w:val="clear" w:color="auto" w:fill="auto"/>
            <w:vAlign w:val="center"/>
          </w:tcPr>
          <w:p w14:paraId="71A3A4B1">
            <w:pPr>
              <w:pStyle w:val="196"/>
              <w:rPr>
                <w:rFonts w:eastAsia="等线"/>
              </w:rPr>
            </w:pPr>
            <w:r>
              <w:rPr>
                <w:rFonts w:eastAsia="等线"/>
              </w:rPr>
              <w:t>W2</w:t>
            </w:r>
          </w:p>
        </w:tc>
        <w:tc>
          <w:tcPr>
            <w:tcW w:w="762" w:type="pct"/>
            <w:tcBorders>
              <w:top w:val="nil"/>
              <w:left w:val="nil"/>
              <w:bottom w:val="single" w:color="auto" w:sz="4" w:space="0"/>
              <w:right w:val="single" w:color="auto" w:sz="4" w:space="0"/>
            </w:tcBorders>
            <w:shd w:val="clear" w:color="auto" w:fill="auto"/>
            <w:vAlign w:val="center"/>
          </w:tcPr>
          <w:p w14:paraId="2DF20167">
            <w:pPr>
              <w:pStyle w:val="196"/>
              <w:rPr>
                <w:rFonts w:eastAsia="等线"/>
              </w:rPr>
            </w:pPr>
            <w:r>
              <w:rPr>
                <w:rFonts w:hint="eastAsia"/>
              </w:rPr>
              <w:t>最小值</w:t>
            </w:r>
          </w:p>
        </w:tc>
        <w:tc>
          <w:tcPr>
            <w:tcW w:w="381" w:type="pct"/>
            <w:tcBorders>
              <w:top w:val="nil"/>
              <w:left w:val="nil"/>
              <w:bottom w:val="single" w:color="auto" w:sz="4" w:space="0"/>
              <w:right w:val="single" w:color="auto" w:sz="4" w:space="0"/>
            </w:tcBorders>
            <w:shd w:val="clear" w:color="auto" w:fill="auto"/>
            <w:vAlign w:val="center"/>
          </w:tcPr>
          <w:p w14:paraId="382CA3DC">
            <w:pPr>
              <w:pStyle w:val="196"/>
              <w:rPr>
                <w:rFonts w:eastAsia="等线"/>
              </w:rPr>
            </w:pPr>
            <w:r>
              <w:rPr>
                <w:rFonts w:eastAsia="等线"/>
              </w:rPr>
              <w:t>7.2</w:t>
            </w:r>
          </w:p>
        </w:tc>
        <w:tc>
          <w:tcPr>
            <w:tcW w:w="393" w:type="pct"/>
            <w:tcBorders>
              <w:top w:val="nil"/>
              <w:left w:val="nil"/>
              <w:bottom w:val="single" w:color="auto" w:sz="4" w:space="0"/>
              <w:right w:val="single" w:color="auto" w:sz="4" w:space="0"/>
            </w:tcBorders>
            <w:shd w:val="clear" w:color="auto" w:fill="auto"/>
            <w:vAlign w:val="center"/>
          </w:tcPr>
          <w:p w14:paraId="239707CA">
            <w:pPr>
              <w:pStyle w:val="196"/>
              <w:rPr>
                <w:rFonts w:eastAsia="等线"/>
              </w:rPr>
            </w:pPr>
            <w:r>
              <w:rPr>
                <w:rFonts w:eastAsia="等线"/>
              </w:rPr>
              <w:t>6.1</w:t>
            </w:r>
          </w:p>
        </w:tc>
        <w:tc>
          <w:tcPr>
            <w:tcW w:w="386" w:type="pct"/>
            <w:tcBorders>
              <w:top w:val="nil"/>
              <w:left w:val="nil"/>
              <w:bottom w:val="single" w:color="auto" w:sz="4" w:space="0"/>
              <w:right w:val="single" w:color="auto" w:sz="4" w:space="0"/>
            </w:tcBorders>
            <w:shd w:val="clear" w:color="auto" w:fill="auto"/>
            <w:vAlign w:val="center"/>
          </w:tcPr>
          <w:p w14:paraId="74129431">
            <w:pPr>
              <w:pStyle w:val="196"/>
              <w:rPr>
                <w:rFonts w:eastAsia="等线"/>
              </w:rPr>
            </w:pPr>
            <w:r>
              <w:rPr>
                <w:rFonts w:eastAsia="等线"/>
              </w:rPr>
              <w:t>17</w:t>
            </w:r>
          </w:p>
        </w:tc>
        <w:tc>
          <w:tcPr>
            <w:tcW w:w="386" w:type="pct"/>
            <w:tcBorders>
              <w:top w:val="nil"/>
              <w:left w:val="nil"/>
              <w:bottom w:val="single" w:color="auto" w:sz="4" w:space="0"/>
              <w:right w:val="single" w:color="auto" w:sz="4" w:space="0"/>
            </w:tcBorders>
            <w:shd w:val="clear" w:color="auto" w:fill="auto"/>
            <w:vAlign w:val="center"/>
          </w:tcPr>
          <w:p w14:paraId="07CC0468">
            <w:pPr>
              <w:pStyle w:val="196"/>
              <w:rPr>
                <w:rFonts w:eastAsia="等线"/>
              </w:rPr>
            </w:pPr>
            <w:r>
              <w:rPr>
                <w:rFonts w:eastAsia="等线"/>
              </w:rPr>
              <w:t>16</w:t>
            </w:r>
          </w:p>
        </w:tc>
        <w:tc>
          <w:tcPr>
            <w:tcW w:w="416" w:type="pct"/>
            <w:tcBorders>
              <w:top w:val="nil"/>
              <w:left w:val="nil"/>
              <w:bottom w:val="single" w:color="auto" w:sz="4" w:space="0"/>
              <w:right w:val="single" w:color="auto" w:sz="4" w:space="0"/>
            </w:tcBorders>
            <w:shd w:val="clear" w:color="auto" w:fill="auto"/>
            <w:vAlign w:val="center"/>
          </w:tcPr>
          <w:p w14:paraId="38D1ACC6">
            <w:pPr>
              <w:pStyle w:val="196"/>
              <w:rPr>
                <w:rFonts w:eastAsia="等线"/>
              </w:rPr>
            </w:pPr>
            <w:r>
              <w:rPr>
                <w:rFonts w:eastAsia="等线"/>
              </w:rPr>
              <w:t>2.7</w:t>
            </w:r>
          </w:p>
        </w:tc>
        <w:tc>
          <w:tcPr>
            <w:tcW w:w="386" w:type="pct"/>
            <w:tcBorders>
              <w:top w:val="nil"/>
              <w:left w:val="nil"/>
              <w:bottom w:val="single" w:color="auto" w:sz="4" w:space="0"/>
              <w:right w:val="single" w:color="auto" w:sz="4" w:space="0"/>
            </w:tcBorders>
            <w:shd w:val="clear" w:color="auto" w:fill="auto"/>
            <w:vAlign w:val="center"/>
          </w:tcPr>
          <w:p w14:paraId="5EDDFB19">
            <w:pPr>
              <w:pStyle w:val="196"/>
              <w:rPr>
                <w:rFonts w:eastAsia="等线"/>
              </w:rPr>
            </w:pPr>
            <w:r>
              <w:rPr>
                <w:rFonts w:eastAsia="等线"/>
              </w:rPr>
              <w:t>0.566</w:t>
            </w:r>
          </w:p>
        </w:tc>
        <w:tc>
          <w:tcPr>
            <w:tcW w:w="327" w:type="pct"/>
            <w:tcBorders>
              <w:top w:val="nil"/>
              <w:left w:val="nil"/>
              <w:bottom w:val="single" w:color="auto" w:sz="4" w:space="0"/>
              <w:right w:val="single" w:color="auto" w:sz="4" w:space="0"/>
            </w:tcBorders>
            <w:shd w:val="clear" w:color="auto" w:fill="auto"/>
            <w:vAlign w:val="center"/>
          </w:tcPr>
          <w:p w14:paraId="04F6DFC1">
            <w:pPr>
              <w:pStyle w:val="196"/>
              <w:rPr>
                <w:rFonts w:eastAsia="等线"/>
              </w:rPr>
            </w:pPr>
            <w:r>
              <w:rPr>
                <w:rFonts w:eastAsia="等线"/>
              </w:rPr>
              <w:t>1.76</w:t>
            </w:r>
          </w:p>
        </w:tc>
        <w:tc>
          <w:tcPr>
            <w:tcW w:w="333" w:type="pct"/>
            <w:tcBorders>
              <w:top w:val="nil"/>
              <w:left w:val="nil"/>
              <w:bottom w:val="single" w:color="auto" w:sz="4" w:space="0"/>
              <w:right w:val="single" w:color="auto" w:sz="4" w:space="0"/>
            </w:tcBorders>
            <w:shd w:val="clear" w:color="auto" w:fill="auto"/>
            <w:vAlign w:val="center"/>
          </w:tcPr>
          <w:p w14:paraId="0DF29149">
            <w:pPr>
              <w:pStyle w:val="196"/>
              <w:rPr>
                <w:rFonts w:eastAsia="等线"/>
              </w:rPr>
            </w:pPr>
            <w:r>
              <w:rPr>
                <w:rFonts w:eastAsia="等线"/>
              </w:rPr>
              <w:t>0.15</w:t>
            </w:r>
          </w:p>
        </w:tc>
        <w:tc>
          <w:tcPr>
            <w:tcW w:w="504" w:type="pct"/>
            <w:tcBorders>
              <w:top w:val="nil"/>
              <w:left w:val="nil"/>
              <w:bottom w:val="single" w:color="auto" w:sz="4" w:space="0"/>
              <w:right w:val="single" w:color="auto" w:sz="4" w:space="0"/>
            </w:tcBorders>
            <w:shd w:val="clear" w:color="auto" w:fill="auto"/>
            <w:vAlign w:val="center"/>
          </w:tcPr>
          <w:p w14:paraId="2DBC4A67">
            <w:pPr>
              <w:pStyle w:val="196"/>
              <w:rPr>
                <w:rFonts w:eastAsia="等线"/>
              </w:rPr>
            </w:pPr>
            <w:r>
              <w:rPr>
                <w:rFonts w:eastAsia="等线"/>
              </w:rPr>
              <w:t>3.3</w:t>
            </w:r>
          </w:p>
        </w:tc>
        <w:tc>
          <w:tcPr>
            <w:tcW w:w="434" w:type="pct"/>
            <w:tcBorders>
              <w:top w:val="nil"/>
              <w:left w:val="nil"/>
              <w:bottom w:val="single" w:color="auto" w:sz="4" w:space="0"/>
              <w:right w:val="single" w:color="auto" w:sz="4" w:space="0"/>
            </w:tcBorders>
            <w:shd w:val="clear" w:color="auto" w:fill="auto"/>
            <w:vAlign w:val="center"/>
          </w:tcPr>
          <w:p w14:paraId="2B7F23B1">
            <w:pPr>
              <w:pStyle w:val="196"/>
              <w:rPr>
                <w:rFonts w:eastAsia="等线"/>
              </w:rPr>
            </w:pPr>
            <w:r>
              <w:rPr>
                <w:rFonts w:eastAsia="等线"/>
              </w:rPr>
              <w:t>0.02</w:t>
            </w:r>
          </w:p>
        </w:tc>
      </w:tr>
      <w:tr w14:paraId="072DFA61">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6E1376BC">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7BBEFF68">
            <w:pPr>
              <w:pStyle w:val="196"/>
              <w:rPr>
                <w:rFonts w:eastAsia="等线"/>
              </w:rPr>
            </w:pPr>
            <w:r>
              <w:rPr>
                <w:rFonts w:hint="eastAsia"/>
              </w:rPr>
              <w:t>最大值</w:t>
            </w:r>
          </w:p>
        </w:tc>
        <w:tc>
          <w:tcPr>
            <w:tcW w:w="381" w:type="pct"/>
            <w:tcBorders>
              <w:top w:val="nil"/>
              <w:left w:val="nil"/>
              <w:bottom w:val="single" w:color="auto" w:sz="4" w:space="0"/>
              <w:right w:val="single" w:color="auto" w:sz="4" w:space="0"/>
            </w:tcBorders>
            <w:shd w:val="clear" w:color="auto" w:fill="auto"/>
            <w:vAlign w:val="center"/>
          </w:tcPr>
          <w:p w14:paraId="69593563">
            <w:pPr>
              <w:pStyle w:val="196"/>
              <w:rPr>
                <w:rFonts w:eastAsia="等线"/>
              </w:rPr>
            </w:pPr>
            <w:r>
              <w:rPr>
                <w:rFonts w:eastAsia="等线"/>
              </w:rPr>
              <w:t>7.5</w:t>
            </w:r>
          </w:p>
        </w:tc>
        <w:tc>
          <w:tcPr>
            <w:tcW w:w="393" w:type="pct"/>
            <w:tcBorders>
              <w:top w:val="nil"/>
              <w:left w:val="nil"/>
              <w:bottom w:val="single" w:color="auto" w:sz="4" w:space="0"/>
              <w:right w:val="single" w:color="auto" w:sz="4" w:space="0"/>
            </w:tcBorders>
            <w:shd w:val="clear" w:color="auto" w:fill="auto"/>
            <w:vAlign w:val="center"/>
          </w:tcPr>
          <w:p w14:paraId="1E61F381">
            <w:pPr>
              <w:pStyle w:val="196"/>
              <w:rPr>
                <w:rFonts w:eastAsia="等线"/>
              </w:rPr>
            </w:pPr>
            <w:r>
              <w:rPr>
                <w:rFonts w:eastAsia="等线"/>
              </w:rPr>
              <w:t>6.5</w:t>
            </w:r>
          </w:p>
        </w:tc>
        <w:tc>
          <w:tcPr>
            <w:tcW w:w="386" w:type="pct"/>
            <w:tcBorders>
              <w:top w:val="nil"/>
              <w:left w:val="nil"/>
              <w:bottom w:val="single" w:color="auto" w:sz="4" w:space="0"/>
              <w:right w:val="single" w:color="auto" w:sz="4" w:space="0"/>
            </w:tcBorders>
            <w:shd w:val="clear" w:color="auto" w:fill="auto"/>
            <w:vAlign w:val="center"/>
          </w:tcPr>
          <w:p w14:paraId="2EC75BDA">
            <w:pPr>
              <w:pStyle w:val="196"/>
              <w:rPr>
                <w:rFonts w:eastAsia="等线"/>
              </w:rPr>
            </w:pPr>
            <w:r>
              <w:rPr>
                <w:rFonts w:eastAsia="等线"/>
              </w:rPr>
              <w:t>19</w:t>
            </w:r>
          </w:p>
        </w:tc>
        <w:tc>
          <w:tcPr>
            <w:tcW w:w="386" w:type="pct"/>
            <w:tcBorders>
              <w:top w:val="nil"/>
              <w:left w:val="nil"/>
              <w:bottom w:val="single" w:color="auto" w:sz="4" w:space="0"/>
              <w:right w:val="single" w:color="auto" w:sz="4" w:space="0"/>
            </w:tcBorders>
            <w:shd w:val="clear" w:color="auto" w:fill="auto"/>
            <w:vAlign w:val="center"/>
          </w:tcPr>
          <w:p w14:paraId="311B98AE">
            <w:pPr>
              <w:pStyle w:val="196"/>
              <w:rPr>
                <w:rFonts w:eastAsia="等线"/>
              </w:rPr>
            </w:pPr>
            <w:r>
              <w:rPr>
                <w:rFonts w:eastAsia="等线"/>
              </w:rPr>
              <w:t>19</w:t>
            </w:r>
          </w:p>
        </w:tc>
        <w:tc>
          <w:tcPr>
            <w:tcW w:w="416" w:type="pct"/>
            <w:tcBorders>
              <w:top w:val="nil"/>
              <w:left w:val="nil"/>
              <w:bottom w:val="single" w:color="auto" w:sz="4" w:space="0"/>
              <w:right w:val="single" w:color="auto" w:sz="4" w:space="0"/>
            </w:tcBorders>
            <w:shd w:val="clear" w:color="auto" w:fill="auto"/>
            <w:vAlign w:val="center"/>
          </w:tcPr>
          <w:p w14:paraId="0ABD26ED">
            <w:pPr>
              <w:pStyle w:val="196"/>
              <w:rPr>
                <w:rFonts w:eastAsia="等线"/>
              </w:rPr>
            </w:pPr>
            <w:r>
              <w:rPr>
                <w:rFonts w:eastAsia="等线"/>
              </w:rPr>
              <w:t>3.7</w:t>
            </w:r>
          </w:p>
        </w:tc>
        <w:tc>
          <w:tcPr>
            <w:tcW w:w="386" w:type="pct"/>
            <w:tcBorders>
              <w:top w:val="nil"/>
              <w:left w:val="nil"/>
              <w:bottom w:val="single" w:color="auto" w:sz="4" w:space="0"/>
              <w:right w:val="single" w:color="auto" w:sz="4" w:space="0"/>
            </w:tcBorders>
            <w:shd w:val="clear" w:color="auto" w:fill="auto"/>
            <w:vAlign w:val="center"/>
          </w:tcPr>
          <w:p w14:paraId="158B122A">
            <w:pPr>
              <w:pStyle w:val="196"/>
              <w:rPr>
                <w:rFonts w:eastAsia="等线"/>
              </w:rPr>
            </w:pPr>
            <w:r>
              <w:rPr>
                <w:rFonts w:eastAsia="等线"/>
              </w:rPr>
              <w:t>0.58</w:t>
            </w:r>
          </w:p>
        </w:tc>
        <w:tc>
          <w:tcPr>
            <w:tcW w:w="327" w:type="pct"/>
            <w:tcBorders>
              <w:top w:val="nil"/>
              <w:left w:val="nil"/>
              <w:bottom w:val="single" w:color="auto" w:sz="4" w:space="0"/>
              <w:right w:val="single" w:color="auto" w:sz="4" w:space="0"/>
            </w:tcBorders>
            <w:shd w:val="clear" w:color="auto" w:fill="auto"/>
            <w:vAlign w:val="center"/>
          </w:tcPr>
          <w:p w14:paraId="1344945A">
            <w:pPr>
              <w:pStyle w:val="196"/>
              <w:rPr>
                <w:rFonts w:eastAsia="等线"/>
              </w:rPr>
            </w:pPr>
            <w:r>
              <w:rPr>
                <w:rFonts w:eastAsia="等线"/>
              </w:rPr>
              <w:t>1.76</w:t>
            </w:r>
          </w:p>
        </w:tc>
        <w:tc>
          <w:tcPr>
            <w:tcW w:w="333" w:type="pct"/>
            <w:tcBorders>
              <w:top w:val="nil"/>
              <w:left w:val="nil"/>
              <w:bottom w:val="single" w:color="auto" w:sz="4" w:space="0"/>
              <w:right w:val="single" w:color="auto" w:sz="4" w:space="0"/>
            </w:tcBorders>
            <w:shd w:val="clear" w:color="auto" w:fill="auto"/>
            <w:vAlign w:val="center"/>
          </w:tcPr>
          <w:p w14:paraId="48FBF1EC">
            <w:pPr>
              <w:pStyle w:val="196"/>
              <w:rPr>
                <w:rFonts w:eastAsia="等线"/>
              </w:rPr>
            </w:pPr>
            <w:r>
              <w:rPr>
                <w:rFonts w:eastAsia="等线"/>
              </w:rPr>
              <w:t>0.16</w:t>
            </w:r>
          </w:p>
        </w:tc>
        <w:tc>
          <w:tcPr>
            <w:tcW w:w="504" w:type="pct"/>
            <w:tcBorders>
              <w:top w:val="nil"/>
              <w:left w:val="nil"/>
              <w:bottom w:val="single" w:color="auto" w:sz="4" w:space="0"/>
              <w:right w:val="single" w:color="auto" w:sz="4" w:space="0"/>
            </w:tcBorders>
            <w:shd w:val="clear" w:color="auto" w:fill="auto"/>
            <w:vAlign w:val="center"/>
          </w:tcPr>
          <w:p w14:paraId="047CD18A">
            <w:pPr>
              <w:pStyle w:val="196"/>
              <w:rPr>
                <w:rFonts w:eastAsia="等线"/>
              </w:rPr>
            </w:pPr>
            <w:r>
              <w:rPr>
                <w:rFonts w:eastAsia="等线"/>
              </w:rPr>
              <w:t>3.5</w:t>
            </w:r>
          </w:p>
        </w:tc>
        <w:tc>
          <w:tcPr>
            <w:tcW w:w="434" w:type="pct"/>
            <w:tcBorders>
              <w:top w:val="nil"/>
              <w:left w:val="nil"/>
              <w:bottom w:val="single" w:color="auto" w:sz="4" w:space="0"/>
              <w:right w:val="single" w:color="auto" w:sz="4" w:space="0"/>
            </w:tcBorders>
            <w:shd w:val="clear" w:color="auto" w:fill="auto"/>
            <w:vAlign w:val="center"/>
          </w:tcPr>
          <w:p w14:paraId="437F56B3">
            <w:pPr>
              <w:pStyle w:val="196"/>
              <w:rPr>
                <w:rFonts w:eastAsia="等线"/>
              </w:rPr>
            </w:pPr>
            <w:r>
              <w:rPr>
                <w:rFonts w:eastAsia="等线"/>
              </w:rPr>
              <w:t>0.02</w:t>
            </w:r>
          </w:p>
        </w:tc>
      </w:tr>
      <w:tr w14:paraId="2629B574">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09EB1D8E">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1BD97A8C">
            <w:pPr>
              <w:pStyle w:val="196"/>
              <w:rPr>
                <w:rFonts w:eastAsia="等线"/>
              </w:rPr>
            </w:pPr>
            <w:r>
              <w:rPr>
                <w:rFonts w:hint="eastAsia"/>
              </w:rPr>
              <w:t>平均值</w:t>
            </w:r>
          </w:p>
        </w:tc>
        <w:tc>
          <w:tcPr>
            <w:tcW w:w="381" w:type="pct"/>
            <w:tcBorders>
              <w:top w:val="nil"/>
              <w:left w:val="nil"/>
              <w:bottom w:val="single" w:color="auto" w:sz="4" w:space="0"/>
              <w:right w:val="single" w:color="auto" w:sz="4" w:space="0"/>
            </w:tcBorders>
            <w:shd w:val="clear" w:color="auto" w:fill="auto"/>
            <w:vAlign w:val="center"/>
          </w:tcPr>
          <w:p w14:paraId="013F1BEA">
            <w:pPr>
              <w:pStyle w:val="196"/>
              <w:rPr>
                <w:rFonts w:eastAsia="等线"/>
              </w:rPr>
            </w:pPr>
            <w:r>
              <w:rPr>
                <w:rFonts w:eastAsia="等线"/>
              </w:rPr>
              <w:t>7.37</w:t>
            </w:r>
          </w:p>
        </w:tc>
        <w:tc>
          <w:tcPr>
            <w:tcW w:w="393" w:type="pct"/>
            <w:tcBorders>
              <w:top w:val="nil"/>
              <w:left w:val="nil"/>
              <w:bottom w:val="single" w:color="auto" w:sz="4" w:space="0"/>
              <w:right w:val="single" w:color="auto" w:sz="4" w:space="0"/>
            </w:tcBorders>
            <w:shd w:val="clear" w:color="auto" w:fill="auto"/>
            <w:vAlign w:val="center"/>
          </w:tcPr>
          <w:p w14:paraId="6D1E8552">
            <w:pPr>
              <w:pStyle w:val="196"/>
              <w:rPr>
                <w:rFonts w:eastAsia="等线"/>
              </w:rPr>
            </w:pPr>
            <w:r>
              <w:rPr>
                <w:rFonts w:eastAsia="等线"/>
              </w:rPr>
              <w:t>6.37</w:t>
            </w:r>
          </w:p>
        </w:tc>
        <w:tc>
          <w:tcPr>
            <w:tcW w:w="386" w:type="pct"/>
            <w:tcBorders>
              <w:top w:val="nil"/>
              <w:left w:val="nil"/>
              <w:bottom w:val="single" w:color="auto" w:sz="4" w:space="0"/>
              <w:right w:val="single" w:color="auto" w:sz="4" w:space="0"/>
            </w:tcBorders>
            <w:shd w:val="clear" w:color="auto" w:fill="auto"/>
            <w:vAlign w:val="center"/>
          </w:tcPr>
          <w:p w14:paraId="46ED862A">
            <w:pPr>
              <w:pStyle w:val="196"/>
              <w:rPr>
                <w:rFonts w:eastAsia="等线"/>
              </w:rPr>
            </w:pPr>
            <w:r>
              <w:rPr>
                <w:rFonts w:eastAsia="等线"/>
              </w:rPr>
              <w:t>18.00</w:t>
            </w:r>
          </w:p>
        </w:tc>
        <w:tc>
          <w:tcPr>
            <w:tcW w:w="386" w:type="pct"/>
            <w:tcBorders>
              <w:top w:val="nil"/>
              <w:left w:val="nil"/>
              <w:bottom w:val="single" w:color="auto" w:sz="4" w:space="0"/>
              <w:right w:val="single" w:color="auto" w:sz="4" w:space="0"/>
            </w:tcBorders>
            <w:shd w:val="clear" w:color="auto" w:fill="auto"/>
            <w:vAlign w:val="center"/>
          </w:tcPr>
          <w:p w14:paraId="2140C384">
            <w:pPr>
              <w:pStyle w:val="196"/>
              <w:rPr>
                <w:rFonts w:eastAsia="等线"/>
              </w:rPr>
            </w:pPr>
            <w:r>
              <w:rPr>
                <w:rFonts w:eastAsia="等线"/>
              </w:rPr>
              <w:t>17.33</w:t>
            </w:r>
          </w:p>
        </w:tc>
        <w:tc>
          <w:tcPr>
            <w:tcW w:w="416" w:type="pct"/>
            <w:tcBorders>
              <w:top w:val="nil"/>
              <w:left w:val="nil"/>
              <w:bottom w:val="single" w:color="auto" w:sz="4" w:space="0"/>
              <w:right w:val="single" w:color="auto" w:sz="4" w:space="0"/>
            </w:tcBorders>
            <w:shd w:val="clear" w:color="auto" w:fill="auto"/>
            <w:vAlign w:val="center"/>
          </w:tcPr>
          <w:p w14:paraId="4C9952A7">
            <w:pPr>
              <w:pStyle w:val="196"/>
              <w:rPr>
                <w:rFonts w:eastAsia="等线"/>
              </w:rPr>
            </w:pPr>
            <w:r>
              <w:rPr>
                <w:rFonts w:eastAsia="等线"/>
              </w:rPr>
              <w:t>3.12</w:t>
            </w:r>
          </w:p>
        </w:tc>
        <w:tc>
          <w:tcPr>
            <w:tcW w:w="386" w:type="pct"/>
            <w:tcBorders>
              <w:top w:val="nil"/>
              <w:left w:val="nil"/>
              <w:bottom w:val="single" w:color="auto" w:sz="4" w:space="0"/>
              <w:right w:val="single" w:color="auto" w:sz="4" w:space="0"/>
            </w:tcBorders>
            <w:shd w:val="clear" w:color="auto" w:fill="auto"/>
            <w:vAlign w:val="center"/>
          </w:tcPr>
          <w:p w14:paraId="3104B73F">
            <w:pPr>
              <w:pStyle w:val="196"/>
              <w:rPr>
                <w:rFonts w:eastAsia="等线"/>
              </w:rPr>
            </w:pPr>
            <w:r>
              <w:rPr>
                <w:rFonts w:eastAsia="等线"/>
              </w:rPr>
              <w:t>0.57</w:t>
            </w:r>
          </w:p>
        </w:tc>
        <w:tc>
          <w:tcPr>
            <w:tcW w:w="327" w:type="pct"/>
            <w:tcBorders>
              <w:top w:val="nil"/>
              <w:left w:val="nil"/>
              <w:bottom w:val="single" w:color="auto" w:sz="4" w:space="0"/>
              <w:right w:val="single" w:color="auto" w:sz="4" w:space="0"/>
            </w:tcBorders>
            <w:shd w:val="clear" w:color="auto" w:fill="auto"/>
            <w:vAlign w:val="center"/>
          </w:tcPr>
          <w:p w14:paraId="1CF6B8EA">
            <w:pPr>
              <w:pStyle w:val="196"/>
              <w:rPr>
                <w:rFonts w:eastAsia="等线"/>
              </w:rPr>
            </w:pPr>
            <w:r>
              <w:rPr>
                <w:rFonts w:eastAsia="等线"/>
              </w:rPr>
              <w:t>1.76</w:t>
            </w:r>
          </w:p>
        </w:tc>
        <w:tc>
          <w:tcPr>
            <w:tcW w:w="333" w:type="pct"/>
            <w:tcBorders>
              <w:top w:val="nil"/>
              <w:left w:val="nil"/>
              <w:bottom w:val="single" w:color="auto" w:sz="4" w:space="0"/>
              <w:right w:val="single" w:color="auto" w:sz="4" w:space="0"/>
            </w:tcBorders>
            <w:shd w:val="clear" w:color="auto" w:fill="auto"/>
            <w:vAlign w:val="center"/>
          </w:tcPr>
          <w:p w14:paraId="4020B85B">
            <w:pPr>
              <w:pStyle w:val="196"/>
              <w:rPr>
                <w:rFonts w:eastAsia="等线"/>
              </w:rPr>
            </w:pPr>
            <w:r>
              <w:rPr>
                <w:rFonts w:eastAsia="等线"/>
              </w:rPr>
              <w:t>0.15</w:t>
            </w:r>
          </w:p>
        </w:tc>
        <w:tc>
          <w:tcPr>
            <w:tcW w:w="504" w:type="pct"/>
            <w:tcBorders>
              <w:top w:val="nil"/>
              <w:left w:val="nil"/>
              <w:bottom w:val="single" w:color="auto" w:sz="4" w:space="0"/>
              <w:right w:val="single" w:color="auto" w:sz="4" w:space="0"/>
            </w:tcBorders>
            <w:shd w:val="clear" w:color="auto" w:fill="auto"/>
            <w:vAlign w:val="center"/>
          </w:tcPr>
          <w:p w14:paraId="424D629C">
            <w:pPr>
              <w:pStyle w:val="196"/>
              <w:rPr>
                <w:rFonts w:eastAsia="等线"/>
              </w:rPr>
            </w:pPr>
            <w:r>
              <w:rPr>
                <w:rFonts w:eastAsia="等线"/>
              </w:rPr>
              <w:t>3.42</w:t>
            </w:r>
          </w:p>
        </w:tc>
        <w:tc>
          <w:tcPr>
            <w:tcW w:w="434" w:type="pct"/>
            <w:tcBorders>
              <w:top w:val="nil"/>
              <w:left w:val="nil"/>
              <w:bottom w:val="single" w:color="auto" w:sz="4" w:space="0"/>
              <w:right w:val="single" w:color="auto" w:sz="4" w:space="0"/>
            </w:tcBorders>
            <w:shd w:val="clear" w:color="auto" w:fill="auto"/>
            <w:vAlign w:val="center"/>
          </w:tcPr>
          <w:p w14:paraId="2DCCD590">
            <w:pPr>
              <w:pStyle w:val="196"/>
              <w:rPr>
                <w:rFonts w:eastAsia="等线"/>
              </w:rPr>
            </w:pPr>
            <w:r>
              <w:rPr>
                <w:rFonts w:eastAsia="等线"/>
              </w:rPr>
              <w:t>0.02</w:t>
            </w:r>
          </w:p>
        </w:tc>
      </w:tr>
      <w:tr w14:paraId="5491C9F8">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2922E933">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3B591D00">
            <w:pPr>
              <w:pStyle w:val="196"/>
              <w:rPr>
                <w:rFonts w:eastAsia="等线"/>
              </w:rPr>
            </w:pPr>
            <w:r>
              <w:rPr>
                <w:rFonts w:hint="eastAsia"/>
              </w:rPr>
              <w:t>Ⅲ类标准值</w:t>
            </w:r>
          </w:p>
        </w:tc>
        <w:tc>
          <w:tcPr>
            <w:tcW w:w="381" w:type="pct"/>
            <w:tcBorders>
              <w:top w:val="nil"/>
              <w:left w:val="nil"/>
              <w:bottom w:val="single" w:color="auto" w:sz="4" w:space="0"/>
              <w:right w:val="single" w:color="auto" w:sz="4" w:space="0"/>
            </w:tcBorders>
            <w:shd w:val="clear" w:color="auto" w:fill="auto"/>
            <w:vAlign w:val="center"/>
          </w:tcPr>
          <w:p w14:paraId="64BA49D0">
            <w:pPr>
              <w:pStyle w:val="196"/>
              <w:rPr>
                <w:rFonts w:eastAsia="等线"/>
              </w:rPr>
            </w:pPr>
            <w:r>
              <w:rPr>
                <w:rFonts w:eastAsia="等线"/>
              </w:rPr>
              <w:t>6~9</w:t>
            </w:r>
          </w:p>
        </w:tc>
        <w:tc>
          <w:tcPr>
            <w:tcW w:w="393" w:type="pct"/>
            <w:tcBorders>
              <w:top w:val="nil"/>
              <w:left w:val="nil"/>
              <w:bottom w:val="single" w:color="auto" w:sz="4" w:space="0"/>
              <w:right w:val="single" w:color="auto" w:sz="4" w:space="0"/>
            </w:tcBorders>
            <w:shd w:val="clear" w:color="auto" w:fill="auto"/>
            <w:vAlign w:val="center"/>
          </w:tcPr>
          <w:p w14:paraId="59AE8EF9">
            <w:pPr>
              <w:pStyle w:val="196"/>
              <w:rPr>
                <w:rFonts w:eastAsia="等线"/>
              </w:rPr>
            </w:pPr>
            <w:r>
              <w:rPr>
                <w:rFonts w:eastAsia="等线"/>
              </w:rPr>
              <w:t>5</w:t>
            </w:r>
          </w:p>
        </w:tc>
        <w:tc>
          <w:tcPr>
            <w:tcW w:w="386" w:type="pct"/>
            <w:tcBorders>
              <w:top w:val="nil"/>
              <w:left w:val="nil"/>
              <w:bottom w:val="single" w:color="auto" w:sz="4" w:space="0"/>
              <w:right w:val="single" w:color="auto" w:sz="4" w:space="0"/>
            </w:tcBorders>
            <w:shd w:val="clear" w:color="auto" w:fill="auto"/>
            <w:vAlign w:val="center"/>
          </w:tcPr>
          <w:p w14:paraId="18AFBB34">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28AD7E14">
            <w:pPr>
              <w:pStyle w:val="196"/>
              <w:rPr>
                <w:rFonts w:eastAsia="等线"/>
              </w:rPr>
            </w:pPr>
            <w:r>
              <w:rPr>
                <w:rFonts w:eastAsia="等线"/>
              </w:rPr>
              <w:t>20</w:t>
            </w:r>
          </w:p>
        </w:tc>
        <w:tc>
          <w:tcPr>
            <w:tcW w:w="416" w:type="pct"/>
            <w:tcBorders>
              <w:top w:val="nil"/>
              <w:left w:val="nil"/>
              <w:bottom w:val="single" w:color="auto" w:sz="4" w:space="0"/>
              <w:right w:val="single" w:color="auto" w:sz="4" w:space="0"/>
            </w:tcBorders>
            <w:shd w:val="clear" w:color="auto" w:fill="auto"/>
            <w:vAlign w:val="center"/>
          </w:tcPr>
          <w:p w14:paraId="22CA83FC">
            <w:pPr>
              <w:pStyle w:val="196"/>
              <w:rPr>
                <w:rFonts w:eastAsia="等线"/>
              </w:rPr>
            </w:pPr>
            <w:r>
              <w:rPr>
                <w:rFonts w:eastAsia="等线"/>
              </w:rPr>
              <w:t>4</w:t>
            </w:r>
          </w:p>
        </w:tc>
        <w:tc>
          <w:tcPr>
            <w:tcW w:w="386" w:type="pct"/>
            <w:tcBorders>
              <w:top w:val="nil"/>
              <w:left w:val="nil"/>
              <w:bottom w:val="single" w:color="auto" w:sz="4" w:space="0"/>
              <w:right w:val="single" w:color="auto" w:sz="4" w:space="0"/>
            </w:tcBorders>
            <w:shd w:val="clear" w:color="auto" w:fill="auto"/>
            <w:vAlign w:val="center"/>
          </w:tcPr>
          <w:p w14:paraId="4E360F4C">
            <w:pPr>
              <w:pStyle w:val="196"/>
              <w:rPr>
                <w:rFonts w:eastAsia="等线"/>
              </w:rPr>
            </w:pPr>
            <w:r>
              <w:rPr>
                <w:rFonts w:eastAsia="等线"/>
              </w:rPr>
              <w:t>1</w:t>
            </w:r>
          </w:p>
        </w:tc>
        <w:tc>
          <w:tcPr>
            <w:tcW w:w="327" w:type="pct"/>
            <w:tcBorders>
              <w:top w:val="nil"/>
              <w:left w:val="nil"/>
              <w:bottom w:val="single" w:color="auto" w:sz="4" w:space="0"/>
              <w:right w:val="single" w:color="auto" w:sz="4" w:space="0"/>
            </w:tcBorders>
            <w:shd w:val="clear" w:color="auto" w:fill="auto"/>
            <w:vAlign w:val="center"/>
          </w:tcPr>
          <w:p w14:paraId="0AF5ABA8">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0DC705BB">
            <w:pPr>
              <w:pStyle w:val="196"/>
              <w:rPr>
                <w:rFonts w:eastAsia="等线"/>
              </w:rPr>
            </w:pPr>
            <w:r>
              <w:rPr>
                <w:rFonts w:eastAsia="等线"/>
              </w:rPr>
              <w:t>0.2</w:t>
            </w:r>
          </w:p>
        </w:tc>
        <w:tc>
          <w:tcPr>
            <w:tcW w:w="504" w:type="pct"/>
            <w:tcBorders>
              <w:top w:val="nil"/>
              <w:left w:val="nil"/>
              <w:bottom w:val="nil"/>
              <w:right w:val="single" w:color="auto" w:sz="4" w:space="0"/>
            </w:tcBorders>
            <w:shd w:val="clear" w:color="auto" w:fill="auto"/>
            <w:vAlign w:val="center"/>
          </w:tcPr>
          <w:p w14:paraId="2733852B">
            <w:pPr>
              <w:pStyle w:val="196"/>
              <w:rPr>
                <w:rFonts w:eastAsia="等线"/>
              </w:rPr>
            </w:pPr>
            <w:r>
              <w:rPr>
                <w:rFonts w:eastAsia="等线"/>
              </w:rPr>
              <w:t>6</w:t>
            </w:r>
          </w:p>
        </w:tc>
        <w:tc>
          <w:tcPr>
            <w:tcW w:w="434" w:type="pct"/>
            <w:tcBorders>
              <w:top w:val="nil"/>
              <w:left w:val="nil"/>
              <w:bottom w:val="nil"/>
              <w:right w:val="single" w:color="auto" w:sz="4" w:space="0"/>
            </w:tcBorders>
            <w:shd w:val="clear" w:color="auto" w:fill="auto"/>
            <w:vAlign w:val="center"/>
          </w:tcPr>
          <w:p w14:paraId="7E8878DE">
            <w:pPr>
              <w:pStyle w:val="196"/>
              <w:rPr>
                <w:rFonts w:eastAsia="等线"/>
              </w:rPr>
            </w:pPr>
            <w:r>
              <w:rPr>
                <w:rFonts w:eastAsia="等线"/>
              </w:rPr>
              <w:t>0.05</w:t>
            </w:r>
          </w:p>
        </w:tc>
      </w:tr>
      <w:tr w14:paraId="7430D99A">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77FE0987">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67C08976">
            <w:pPr>
              <w:pStyle w:val="196"/>
              <w:rPr>
                <w:rFonts w:eastAsia="等线"/>
              </w:rPr>
            </w:pPr>
            <w:r>
              <w:rPr>
                <w:rFonts w:hint="eastAsia"/>
              </w:rPr>
              <w:t>标准指数</w:t>
            </w:r>
          </w:p>
        </w:tc>
        <w:tc>
          <w:tcPr>
            <w:tcW w:w="381" w:type="pct"/>
            <w:tcBorders>
              <w:top w:val="nil"/>
              <w:left w:val="nil"/>
              <w:bottom w:val="single" w:color="auto" w:sz="4" w:space="0"/>
              <w:right w:val="single" w:color="auto" w:sz="4" w:space="0"/>
            </w:tcBorders>
            <w:shd w:val="clear" w:color="auto" w:fill="auto"/>
            <w:vAlign w:val="center"/>
          </w:tcPr>
          <w:p w14:paraId="606652CD">
            <w:pPr>
              <w:pStyle w:val="196"/>
              <w:rPr>
                <w:rFonts w:eastAsia="等线"/>
              </w:rPr>
            </w:pPr>
            <w:r>
              <w:rPr>
                <w:rFonts w:eastAsia="等线"/>
              </w:rPr>
              <w:t>0.25</w:t>
            </w:r>
          </w:p>
        </w:tc>
        <w:tc>
          <w:tcPr>
            <w:tcW w:w="393" w:type="pct"/>
            <w:tcBorders>
              <w:top w:val="nil"/>
              <w:left w:val="nil"/>
              <w:bottom w:val="single" w:color="auto" w:sz="4" w:space="0"/>
              <w:right w:val="single" w:color="auto" w:sz="4" w:space="0"/>
            </w:tcBorders>
            <w:shd w:val="clear" w:color="auto" w:fill="auto"/>
            <w:vAlign w:val="center"/>
          </w:tcPr>
          <w:p w14:paraId="508361A2">
            <w:pPr>
              <w:pStyle w:val="196"/>
              <w:rPr>
                <w:rFonts w:eastAsia="等线"/>
              </w:rPr>
            </w:pPr>
            <w:r>
              <w:rPr>
                <w:rFonts w:eastAsia="等线"/>
              </w:rPr>
              <w:t>0.77</w:t>
            </w:r>
          </w:p>
        </w:tc>
        <w:tc>
          <w:tcPr>
            <w:tcW w:w="386" w:type="pct"/>
            <w:tcBorders>
              <w:top w:val="nil"/>
              <w:left w:val="nil"/>
              <w:bottom w:val="single" w:color="auto" w:sz="4" w:space="0"/>
              <w:right w:val="single" w:color="auto" w:sz="4" w:space="0"/>
            </w:tcBorders>
            <w:shd w:val="clear" w:color="auto" w:fill="auto"/>
            <w:vAlign w:val="center"/>
          </w:tcPr>
          <w:p w14:paraId="5B45518D">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0D5675ED">
            <w:pPr>
              <w:pStyle w:val="196"/>
              <w:rPr>
                <w:rFonts w:eastAsia="等线"/>
              </w:rPr>
            </w:pPr>
            <w:r>
              <w:rPr>
                <w:rFonts w:eastAsia="等线"/>
              </w:rPr>
              <w:t>0.87</w:t>
            </w:r>
          </w:p>
        </w:tc>
        <w:tc>
          <w:tcPr>
            <w:tcW w:w="416" w:type="pct"/>
            <w:tcBorders>
              <w:top w:val="nil"/>
              <w:left w:val="nil"/>
              <w:bottom w:val="single" w:color="auto" w:sz="4" w:space="0"/>
              <w:right w:val="single" w:color="auto" w:sz="4" w:space="0"/>
            </w:tcBorders>
            <w:shd w:val="clear" w:color="auto" w:fill="auto"/>
            <w:vAlign w:val="center"/>
          </w:tcPr>
          <w:p w14:paraId="48F6C78F">
            <w:pPr>
              <w:pStyle w:val="196"/>
              <w:rPr>
                <w:rFonts w:eastAsia="等线"/>
              </w:rPr>
            </w:pPr>
            <w:r>
              <w:rPr>
                <w:rFonts w:eastAsia="等线"/>
              </w:rPr>
              <w:t>0.78</w:t>
            </w:r>
          </w:p>
        </w:tc>
        <w:tc>
          <w:tcPr>
            <w:tcW w:w="386" w:type="pct"/>
            <w:tcBorders>
              <w:top w:val="nil"/>
              <w:left w:val="nil"/>
              <w:bottom w:val="single" w:color="auto" w:sz="4" w:space="0"/>
              <w:right w:val="single" w:color="auto" w:sz="4" w:space="0"/>
            </w:tcBorders>
            <w:shd w:val="clear" w:color="auto" w:fill="auto"/>
            <w:vAlign w:val="center"/>
          </w:tcPr>
          <w:p w14:paraId="3E529736">
            <w:pPr>
              <w:pStyle w:val="196"/>
              <w:rPr>
                <w:rFonts w:eastAsia="等线"/>
              </w:rPr>
            </w:pPr>
            <w:r>
              <w:rPr>
                <w:rFonts w:eastAsia="等线"/>
              </w:rPr>
              <w:t>0.57</w:t>
            </w:r>
          </w:p>
        </w:tc>
        <w:tc>
          <w:tcPr>
            <w:tcW w:w="327" w:type="pct"/>
            <w:tcBorders>
              <w:top w:val="nil"/>
              <w:left w:val="nil"/>
              <w:bottom w:val="single" w:color="auto" w:sz="4" w:space="0"/>
              <w:right w:val="single" w:color="auto" w:sz="4" w:space="0"/>
            </w:tcBorders>
            <w:shd w:val="clear" w:color="auto" w:fill="auto"/>
            <w:vAlign w:val="center"/>
          </w:tcPr>
          <w:p w14:paraId="017FB96E">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1BF95707">
            <w:pPr>
              <w:pStyle w:val="196"/>
              <w:rPr>
                <w:rFonts w:eastAsia="等线"/>
              </w:rPr>
            </w:pPr>
            <w:r>
              <w:rPr>
                <w:rFonts w:eastAsia="等线"/>
              </w:rPr>
              <w:t>0.76</w:t>
            </w:r>
          </w:p>
        </w:tc>
        <w:tc>
          <w:tcPr>
            <w:tcW w:w="504" w:type="pct"/>
            <w:tcBorders>
              <w:top w:val="single" w:color="auto" w:sz="4" w:space="0"/>
              <w:left w:val="nil"/>
              <w:bottom w:val="single" w:color="auto" w:sz="4" w:space="0"/>
              <w:right w:val="single" w:color="auto" w:sz="4" w:space="0"/>
            </w:tcBorders>
            <w:shd w:val="clear" w:color="auto" w:fill="auto"/>
            <w:vAlign w:val="center"/>
          </w:tcPr>
          <w:p w14:paraId="478C6582">
            <w:pPr>
              <w:pStyle w:val="196"/>
              <w:rPr>
                <w:rFonts w:eastAsia="等线"/>
              </w:rPr>
            </w:pPr>
            <w:r>
              <w:rPr>
                <w:rFonts w:eastAsia="等线"/>
              </w:rPr>
              <w:t>0.57</w:t>
            </w:r>
          </w:p>
        </w:tc>
        <w:tc>
          <w:tcPr>
            <w:tcW w:w="434" w:type="pct"/>
            <w:tcBorders>
              <w:top w:val="single" w:color="auto" w:sz="4" w:space="0"/>
              <w:left w:val="nil"/>
              <w:bottom w:val="single" w:color="auto" w:sz="4" w:space="0"/>
              <w:right w:val="single" w:color="auto" w:sz="4" w:space="0"/>
            </w:tcBorders>
            <w:shd w:val="clear" w:color="auto" w:fill="auto"/>
            <w:vAlign w:val="center"/>
          </w:tcPr>
          <w:p w14:paraId="701F19E2">
            <w:pPr>
              <w:pStyle w:val="196"/>
              <w:rPr>
                <w:rFonts w:eastAsia="等线"/>
              </w:rPr>
            </w:pPr>
            <w:r>
              <w:rPr>
                <w:rFonts w:eastAsia="等线"/>
              </w:rPr>
              <w:t>0.40</w:t>
            </w:r>
          </w:p>
        </w:tc>
      </w:tr>
      <w:tr w14:paraId="43D57A3A">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1118D55F">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00BE4AB3">
            <w:pPr>
              <w:pStyle w:val="196"/>
              <w:rPr>
                <w:rFonts w:eastAsia="等线"/>
              </w:rPr>
            </w:pPr>
            <w:r>
              <w:rPr>
                <w:rFonts w:hint="eastAsia"/>
              </w:rPr>
              <w:t>超标率</w:t>
            </w:r>
            <w:r>
              <w:rPr>
                <w:rFonts w:eastAsia="等线"/>
              </w:rPr>
              <w:t>%</w:t>
            </w:r>
          </w:p>
        </w:tc>
        <w:tc>
          <w:tcPr>
            <w:tcW w:w="381" w:type="pct"/>
            <w:tcBorders>
              <w:top w:val="nil"/>
              <w:left w:val="nil"/>
              <w:bottom w:val="single" w:color="auto" w:sz="4" w:space="0"/>
              <w:right w:val="single" w:color="auto" w:sz="4" w:space="0"/>
            </w:tcBorders>
            <w:shd w:val="clear" w:color="auto" w:fill="auto"/>
            <w:vAlign w:val="center"/>
          </w:tcPr>
          <w:p w14:paraId="1F445673">
            <w:pPr>
              <w:pStyle w:val="196"/>
              <w:rPr>
                <w:rFonts w:eastAsia="等线"/>
              </w:rPr>
            </w:pPr>
            <w:r>
              <w:rPr>
                <w:rFonts w:eastAsia="等线"/>
              </w:rPr>
              <w:t>0</w:t>
            </w:r>
          </w:p>
        </w:tc>
        <w:tc>
          <w:tcPr>
            <w:tcW w:w="393" w:type="pct"/>
            <w:tcBorders>
              <w:top w:val="nil"/>
              <w:left w:val="nil"/>
              <w:bottom w:val="single" w:color="auto" w:sz="4" w:space="0"/>
              <w:right w:val="single" w:color="auto" w:sz="4" w:space="0"/>
            </w:tcBorders>
            <w:shd w:val="clear" w:color="auto" w:fill="auto"/>
            <w:vAlign w:val="center"/>
          </w:tcPr>
          <w:p w14:paraId="1BB52DB5">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10A73304">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795CC966">
            <w:pPr>
              <w:pStyle w:val="196"/>
              <w:rPr>
                <w:rFonts w:eastAsia="等线"/>
              </w:rPr>
            </w:pPr>
            <w:r>
              <w:rPr>
                <w:rFonts w:eastAsia="等线"/>
              </w:rPr>
              <w:t>0</w:t>
            </w:r>
          </w:p>
        </w:tc>
        <w:tc>
          <w:tcPr>
            <w:tcW w:w="416" w:type="pct"/>
            <w:tcBorders>
              <w:top w:val="nil"/>
              <w:left w:val="nil"/>
              <w:bottom w:val="single" w:color="auto" w:sz="4" w:space="0"/>
              <w:right w:val="single" w:color="auto" w:sz="4" w:space="0"/>
            </w:tcBorders>
            <w:shd w:val="clear" w:color="auto" w:fill="auto"/>
            <w:vAlign w:val="center"/>
          </w:tcPr>
          <w:p w14:paraId="77A7454D">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671A8B23">
            <w:pPr>
              <w:pStyle w:val="196"/>
              <w:rPr>
                <w:rFonts w:eastAsia="等线"/>
              </w:rPr>
            </w:pPr>
            <w:r>
              <w:rPr>
                <w:rFonts w:eastAsia="等线"/>
              </w:rPr>
              <w:t>0</w:t>
            </w:r>
          </w:p>
        </w:tc>
        <w:tc>
          <w:tcPr>
            <w:tcW w:w="327" w:type="pct"/>
            <w:tcBorders>
              <w:top w:val="nil"/>
              <w:left w:val="nil"/>
              <w:bottom w:val="single" w:color="auto" w:sz="4" w:space="0"/>
              <w:right w:val="single" w:color="auto" w:sz="4" w:space="0"/>
            </w:tcBorders>
            <w:shd w:val="clear" w:color="auto" w:fill="auto"/>
            <w:vAlign w:val="center"/>
          </w:tcPr>
          <w:p w14:paraId="0058BAC6">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6701F779">
            <w:pPr>
              <w:pStyle w:val="196"/>
              <w:rPr>
                <w:rFonts w:eastAsia="等线"/>
              </w:rPr>
            </w:pPr>
            <w:r>
              <w:rPr>
                <w:rFonts w:eastAsia="等线"/>
              </w:rPr>
              <w:t>0</w:t>
            </w:r>
          </w:p>
        </w:tc>
        <w:tc>
          <w:tcPr>
            <w:tcW w:w="504" w:type="pct"/>
            <w:tcBorders>
              <w:top w:val="nil"/>
              <w:left w:val="nil"/>
              <w:bottom w:val="single" w:color="auto" w:sz="4" w:space="0"/>
              <w:right w:val="single" w:color="auto" w:sz="4" w:space="0"/>
            </w:tcBorders>
            <w:shd w:val="clear" w:color="auto" w:fill="auto"/>
            <w:noWrap/>
            <w:vAlign w:val="center"/>
          </w:tcPr>
          <w:p w14:paraId="517FC9FA">
            <w:pPr>
              <w:pStyle w:val="196"/>
              <w:rPr>
                <w:rFonts w:eastAsia="等线"/>
                <w:sz w:val="22"/>
              </w:rPr>
            </w:pPr>
            <w:r>
              <w:rPr>
                <w:rFonts w:eastAsia="等线"/>
                <w:sz w:val="22"/>
              </w:rPr>
              <w:t>0</w:t>
            </w:r>
          </w:p>
        </w:tc>
        <w:tc>
          <w:tcPr>
            <w:tcW w:w="434" w:type="pct"/>
            <w:tcBorders>
              <w:top w:val="nil"/>
              <w:left w:val="nil"/>
              <w:bottom w:val="single" w:color="auto" w:sz="4" w:space="0"/>
              <w:right w:val="single" w:color="auto" w:sz="4" w:space="0"/>
            </w:tcBorders>
            <w:shd w:val="clear" w:color="auto" w:fill="auto"/>
            <w:noWrap/>
            <w:vAlign w:val="center"/>
          </w:tcPr>
          <w:p w14:paraId="2E746F10">
            <w:pPr>
              <w:pStyle w:val="196"/>
              <w:rPr>
                <w:rFonts w:eastAsia="等线"/>
                <w:sz w:val="22"/>
              </w:rPr>
            </w:pPr>
            <w:r>
              <w:rPr>
                <w:rFonts w:eastAsia="等线"/>
                <w:sz w:val="22"/>
              </w:rPr>
              <w:t>0</w:t>
            </w:r>
          </w:p>
        </w:tc>
      </w:tr>
      <w:tr w14:paraId="04ACB734">
        <w:tblPrEx>
          <w:tblCellMar>
            <w:top w:w="0" w:type="dxa"/>
            <w:left w:w="108" w:type="dxa"/>
            <w:bottom w:w="0" w:type="dxa"/>
            <w:right w:w="108" w:type="dxa"/>
          </w:tblCellMar>
        </w:tblPrEx>
        <w:trPr>
          <w:trHeight w:val="288" w:hRule="atLeast"/>
          <w:jc w:val="center"/>
        </w:trPr>
        <w:tc>
          <w:tcPr>
            <w:tcW w:w="292" w:type="pct"/>
            <w:vMerge w:val="restart"/>
            <w:tcBorders>
              <w:top w:val="nil"/>
              <w:left w:val="single" w:color="auto" w:sz="4" w:space="0"/>
              <w:bottom w:val="single" w:color="auto" w:sz="4" w:space="0"/>
              <w:right w:val="single" w:color="auto" w:sz="4" w:space="0"/>
            </w:tcBorders>
            <w:shd w:val="clear" w:color="auto" w:fill="auto"/>
            <w:vAlign w:val="center"/>
          </w:tcPr>
          <w:p w14:paraId="6FBECC7F">
            <w:pPr>
              <w:pStyle w:val="196"/>
              <w:rPr>
                <w:rFonts w:eastAsia="等线"/>
              </w:rPr>
            </w:pPr>
            <w:r>
              <w:rPr>
                <w:rFonts w:eastAsia="等线"/>
              </w:rPr>
              <w:t>W3</w:t>
            </w:r>
          </w:p>
        </w:tc>
        <w:tc>
          <w:tcPr>
            <w:tcW w:w="762" w:type="pct"/>
            <w:tcBorders>
              <w:top w:val="nil"/>
              <w:left w:val="nil"/>
              <w:bottom w:val="single" w:color="auto" w:sz="4" w:space="0"/>
              <w:right w:val="single" w:color="auto" w:sz="4" w:space="0"/>
            </w:tcBorders>
            <w:shd w:val="clear" w:color="auto" w:fill="auto"/>
            <w:vAlign w:val="center"/>
          </w:tcPr>
          <w:p w14:paraId="05B824A5">
            <w:pPr>
              <w:pStyle w:val="196"/>
              <w:rPr>
                <w:rFonts w:eastAsia="等线"/>
              </w:rPr>
            </w:pPr>
            <w:r>
              <w:rPr>
                <w:rFonts w:hint="eastAsia"/>
              </w:rPr>
              <w:t>最小值</w:t>
            </w:r>
          </w:p>
        </w:tc>
        <w:tc>
          <w:tcPr>
            <w:tcW w:w="381" w:type="pct"/>
            <w:tcBorders>
              <w:top w:val="nil"/>
              <w:left w:val="nil"/>
              <w:bottom w:val="single" w:color="auto" w:sz="4" w:space="0"/>
              <w:right w:val="single" w:color="auto" w:sz="4" w:space="0"/>
            </w:tcBorders>
            <w:shd w:val="clear" w:color="auto" w:fill="auto"/>
            <w:vAlign w:val="center"/>
          </w:tcPr>
          <w:p w14:paraId="04626ED7">
            <w:pPr>
              <w:pStyle w:val="196"/>
              <w:rPr>
                <w:rFonts w:eastAsia="等线"/>
              </w:rPr>
            </w:pPr>
            <w:r>
              <w:rPr>
                <w:rFonts w:eastAsia="等线"/>
              </w:rPr>
              <w:t>7.3</w:t>
            </w:r>
          </w:p>
        </w:tc>
        <w:tc>
          <w:tcPr>
            <w:tcW w:w="393" w:type="pct"/>
            <w:tcBorders>
              <w:top w:val="nil"/>
              <w:left w:val="nil"/>
              <w:bottom w:val="single" w:color="auto" w:sz="4" w:space="0"/>
              <w:right w:val="single" w:color="auto" w:sz="4" w:space="0"/>
            </w:tcBorders>
            <w:shd w:val="clear" w:color="auto" w:fill="auto"/>
            <w:vAlign w:val="center"/>
          </w:tcPr>
          <w:p w14:paraId="4F42D79D">
            <w:pPr>
              <w:pStyle w:val="196"/>
              <w:rPr>
                <w:rFonts w:eastAsia="等线"/>
              </w:rPr>
            </w:pPr>
            <w:r>
              <w:rPr>
                <w:rFonts w:eastAsia="等线"/>
              </w:rPr>
              <w:t>6.3</w:t>
            </w:r>
          </w:p>
        </w:tc>
        <w:tc>
          <w:tcPr>
            <w:tcW w:w="386" w:type="pct"/>
            <w:tcBorders>
              <w:top w:val="nil"/>
              <w:left w:val="nil"/>
              <w:bottom w:val="single" w:color="auto" w:sz="4" w:space="0"/>
              <w:right w:val="single" w:color="auto" w:sz="4" w:space="0"/>
            </w:tcBorders>
            <w:shd w:val="clear" w:color="auto" w:fill="auto"/>
            <w:vAlign w:val="center"/>
          </w:tcPr>
          <w:p w14:paraId="52569400">
            <w:pPr>
              <w:pStyle w:val="196"/>
              <w:rPr>
                <w:rFonts w:eastAsia="等线"/>
              </w:rPr>
            </w:pPr>
            <w:r>
              <w:rPr>
                <w:rFonts w:eastAsia="等线"/>
              </w:rPr>
              <w:t>11</w:t>
            </w:r>
          </w:p>
        </w:tc>
        <w:tc>
          <w:tcPr>
            <w:tcW w:w="386" w:type="pct"/>
            <w:tcBorders>
              <w:top w:val="nil"/>
              <w:left w:val="nil"/>
              <w:bottom w:val="single" w:color="auto" w:sz="4" w:space="0"/>
              <w:right w:val="single" w:color="auto" w:sz="4" w:space="0"/>
            </w:tcBorders>
            <w:shd w:val="clear" w:color="auto" w:fill="auto"/>
            <w:vAlign w:val="center"/>
          </w:tcPr>
          <w:p w14:paraId="5E78A867">
            <w:pPr>
              <w:pStyle w:val="196"/>
              <w:rPr>
                <w:rFonts w:eastAsia="等线"/>
              </w:rPr>
            </w:pPr>
            <w:r>
              <w:rPr>
                <w:rFonts w:eastAsia="等线"/>
              </w:rPr>
              <w:t>12</w:t>
            </w:r>
          </w:p>
        </w:tc>
        <w:tc>
          <w:tcPr>
            <w:tcW w:w="416" w:type="pct"/>
            <w:tcBorders>
              <w:top w:val="nil"/>
              <w:left w:val="nil"/>
              <w:bottom w:val="single" w:color="auto" w:sz="4" w:space="0"/>
              <w:right w:val="single" w:color="auto" w:sz="4" w:space="0"/>
            </w:tcBorders>
            <w:shd w:val="clear" w:color="auto" w:fill="auto"/>
            <w:vAlign w:val="center"/>
          </w:tcPr>
          <w:p w14:paraId="55E1608B">
            <w:pPr>
              <w:pStyle w:val="196"/>
              <w:rPr>
                <w:rFonts w:eastAsia="等线"/>
              </w:rPr>
            </w:pPr>
            <w:r>
              <w:rPr>
                <w:rFonts w:eastAsia="等线"/>
              </w:rPr>
              <w:t>2.1</w:t>
            </w:r>
          </w:p>
        </w:tc>
        <w:tc>
          <w:tcPr>
            <w:tcW w:w="386" w:type="pct"/>
            <w:tcBorders>
              <w:top w:val="nil"/>
              <w:left w:val="nil"/>
              <w:bottom w:val="single" w:color="auto" w:sz="4" w:space="0"/>
              <w:right w:val="single" w:color="auto" w:sz="4" w:space="0"/>
            </w:tcBorders>
            <w:shd w:val="clear" w:color="auto" w:fill="auto"/>
            <w:vAlign w:val="center"/>
          </w:tcPr>
          <w:p w14:paraId="42418844">
            <w:pPr>
              <w:pStyle w:val="196"/>
              <w:rPr>
                <w:rFonts w:eastAsia="等线"/>
              </w:rPr>
            </w:pPr>
            <w:r>
              <w:rPr>
                <w:rFonts w:eastAsia="等线"/>
              </w:rPr>
              <w:t>0.601</w:t>
            </w:r>
          </w:p>
        </w:tc>
        <w:tc>
          <w:tcPr>
            <w:tcW w:w="327" w:type="pct"/>
            <w:tcBorders>
              <w:top w:val="nil"/>
              <w:left w:val="nil"/>
              <w:bottom w:val="single" w:color="auto" w:sz="4" w:space="0"/>
              <w:right w:val="single" w:color="auto" w:sz="4" w:space="0"/>
            </w:tcBorders>
            <w:shd w:val="clear" w:color="auto" w:fill="auto"/>
            <w:vAlign w:val="center"/>
          </w:tcPr>
          <w:p w14:paraId="67157563">
            <w:pPr>
              <w:pStyle w:val="196"/>
              <w:rPr>
                <w:rFonts w:eastAsia="等线"/>
              </w:rPr>
            </w:pPr>
            <w:r>
              <w:rPr>
                <w:rFonts w:eastAsia="等线"/>
              </w:rPr>
              <w:t>2.03</w:t>
            </w:r>
          </w:p>
        </w:tc>
        <w:tc>
          <w:tcPr>
            <w:tcW w:w="333" w:type="pct"/>
            <w:tcBorders>
              <w:top w:val="nil"/>
              <w:left w:val="nil"/>
              <w:bottom w:val="single" w:color="auto" w:sz="4" w:space="0"/>
              <w:right w:val="single" w:color="auto" w:sz="4" w:space="0"/>
            </w:tcBorders>
            <w:shd w:val="clear" w:color="auto" w:fill="auto"/>
            <w:vAlign w:val="center"/>
          </w:tcPr>
          <w:p w14:paraId="3D454B41">
            <w:pPr>
              <w:pStyle w:val="196"/>
              <w:rPr>
                <w:rFonts w:eastAsia="等线"/>
              </w:rPr>
            </w:pPr>
            <w:r>
              <w:rPr>
                <w:rFonts w:eastAsia="等线"/>
              </w:rPr>
              <w:t>0.14</w:t>
            </w:r>
          </w:p>
        </w:tc>
        <w:tc>
          <w:tcPr>
            <w:tcW w:w="504" w:type="pct"/>
            <w:tcBorders>
              <w:top w:val="nil"/>
              <w:left w:val="nil"/>
              <w:bottom w:val="single" w:color="auto" w:sz="4" w:space="0"/>
              <w:right w:val="single" w:color="auto" w:sz="4" w:space="0"/>
            </w:tcBorders>
            <w:shd w:val="clear" w:color="auto" w:fill="auto"/>
            <w:vAlign w:val="center"/>
          </w:tcPr>
          <w:p w14:paraId="2664D2DC">
            <w:pPr>
              <w:pStyle w:val="196"/>
              <w:rPr>
                <w:rFonts w:eastAsia="等线"/>
              </w:rPr>
            </w:pPr>
            <w:r>
              <w:rPr>
                <w:rFonts w:eastAsia="等线"/>
              </w:rPr>
              <w:t>2.5</w:t>
            </w:r>
          </w:p>
        </w:tc>
        <w:tc>
          <w:tcPr>
            <w:tcW w:w="434" w:type="pct"/>
            <w:tcBorders>
              <w:top w:val="nil"/>
              <w:left w:val="nil"/>
              <w:bottom w:val="single" w:color="auto" w:sz="4" w:space="0"/>
              <w:right w:val="single" w:color="auto" w:sz="4" w:space="0"/>
            </w:tcBorders>
            <w:shd w:val="clear" w:color="auto" w:fill="auto"/>
            <w:vAlign w:val="center"/>
          </w:tcPr>
          <w:p w14:paraId="04F9F806">
            <w:pPr>
              <w:pStyle w:val="196"/>
              <w:rPr>
                <w:rFonts w:eastAsia="等线"/>
              </w:rPr>
            </w:pPr>
            <w:r>
              <w:rPr>
                <w:rFonts w:eastAsia="等线"/>
              </w:rPr>
              <w:t>0.03</w:t>
            </w:r>
          </w:p>
        </w:tc>
      </w:tr>
      <w:tr w14:paraId="7E22A807">
        <w:tblPrEx>
          <w:tblCellMar>
            <w:top w:w="0" w:type="dxa"/>
            <w:left w:w="108" w:type="dxa"/>
            <w:bottom w:w="0" w:type="dxa"/>
            <w:right w:w="108" w:type="dxa"/>
          </w:tblCellMar>
        </w:tblPrEx>
        <w:trPr>
          <w:trHeight w:val="324"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70FD0221">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3547ADB1">
            <w:pPr>
              <w:pStyle w:val="196"/>
              <w:rPr>
                <w:rFonts w:eastAsia="等线"/>
              </w:rPr>
            </w:pPr>
            <w:r>
              <w:rPr>
                <w:rFonts w:hint="eastAsia"/>
              </w:rPr>
              <w:t>最大值</w:t>
            </w:r>
          </w:p>
        </w:tc>
        <w:tc>
          <w:tcPr>
            <w:tcW w:w="381" w:type="pct"/>
            <w:tcBorders>
              <w:top w:val="nil"/>
              <w:left w:val="nil"/>
              <w:bottom w:val="single" w:color="auto" w:sz="4" w:space="0"/>
              <w:right w:val="single" w:color="auto" w:sz="4" w:space="0"/>
            </w:tcBorders>
            <w:shd w:val="clear" w:color="auto" w:fill="auto"/>
            <w:vAlign w:val="center"/>
          </w:tcPr>
          <w:p w14:paraId="19DF22F7">
            <w:pPr>
              <w:pStyle w:val="196"/>
              <w:rPr>
                <w:rFonts w:eastAsia="等线"/>
              </w:rPr>
            </w:pPr>
            <w:r>
              <w:rPr>
                <w:rFonts w:eastAsia="等线"/>
              </w:rPr>
              <w:t>7.5</w:t>
            </w:r>
          </w:p>
        </w:tc>
        <w:tc>
          <w:tcPr>
            <w:tcW w:w="393" w:type="pct"/>
            <w:tcBorders>
              <w:top w:val="nil"/>
              <w:left w:val="nil"/>
              <w:bottom w:val="single" w:color="auto" w:sz="4" w:space="0"/>
              <w:right w:val="single" w:color="auto" w:sz="4" w:space="0"/>
            </w:tcBorders>
            <w:shd w:val="clear" w:color="auto" w:fill="auto"/>
            <w:vAlign w:val="center"/>
          </w:tcPr>
          <w:p w14:paraId="204D1208">
            <w:pPr>
              <w:pStyle w:val="196"/>
              <w:rPr>
                <w:rFonts w:eastAsia="等线"/>
              </w:rPr>
            </w:pPr>
            <w:r>
              <w:rPr>
                <w:rFonts w:eastAsia="等线"/>
              </w:rPr>
              <w:t>6.5</w:t>
            </w:r>
          </w:p>
        </w:tc>
        <w:tc>
          <w:tcPr>
            <w:tcW w:w="386" w:type="pct"/>
            <w:tcBorders>
              <w:top w:val="nil"/>
              <w:left w:val="nil"/>
              <w:bottom w:val="single" w:color="auto" w:sz="4" w:space="0"/>
              <w:right w:val="single" w:color="auto" w:sz="4" w:space="0"/>
            </w:tcBorders>
            <w:shd w:val="clear" w:color="auto" w:fill="auto"/>
            <w:vAlign w:val="center"/>
          </w:tcPr>
          <w:p w14:paraId="47B98E81">
            <w:pPr>
              <w:pStyle w:val="196"/>
              <w:rPr>
                <w:rFonts w:eastAsia="等线"/>
              </w:rPr>
            </w:pPr>
            <w:r>
              <w:rPr>
                <w:rFonts w:eastAsia="等线"/>
              </w:rPr>
              <w:t>15</w:t>
            </w:r>
          </w:p>
        </w:tc>
        <w:tc>
          <w:tcPr>
            <w:tcW w:w="386" w:type="pct"/>
            <w:tcBorders>
              <w:top w:val="nil"/>
              <w:left w:val="nil"/>
              <w:bottom w:val="single" w:color="auto" w:sz="4" w:space="0"/>
              <w:right w:val="single" w:color="auto" w:sz="4" w:space="0"/>
            </w:tcBorders>
            <w:shd w:val="clear" w:color="auto" w:fill="auto"/>
            <w:vAlign w:val="center"/>
          </w:tcPr>
          <w:p w14:paraId="349CBD49">
            <w:pPr>
              <w:pStyle w:val="196"/>
              <w:rPr>
                <w:rFonts w:eastAsia="等线"/>
              </w:rPr>
            </w:pPr>
            <w:r>
              <w:rPr>
                <w:rFonts w:eastAsia="等线"/>
              </w:rPr>
              <w:t>17</w:t>
            </w:r>
          </w:p>
        </w:tc>
        <w:tc>
          <w:tcPr>
            <w:tcW w:w="416" w:type="pct"/>
            <w:tcBorders>
              <w:top w:val="nil"/>
              <w:left w:val="nil"/>
              <w:bottom w:val="single" w:color="auto" w:sz="4" w:space="0"/>
              <w:right w:val="single" w:color="auto" w:sz="4" w:space="0"/>
            </w:tcBorders>
            <w:shd w:val="clear" w:color="auto" w:fill="auto"/>
            <w:vAlign w:val="center"/>
          </w:tcPr>
          <w:p w14:paraId="7C166BDD">
            <w:pPr>
              <w:pStyle w:val="196"/>
              <w:rPr>
                <w:rFonts w:eastAsia="等线"/>
              </w:rPr>
            </w:pPr>
            <w:r>
              <w:rPr>
                <w:rFonts w:eastAsia="等线"/>
              </w:rPr>
              <w:t>2.3</w:t>
            </w:r>
          </w:p>
        </w:tc>
        <w:tc>
          <w:tcPr>
            <w:tcW w:w="386" w:type="pct"/>
            <w:tcBorders>
              <w:top w:val="nil"/>
              <w:left w:val="nil"/>
              <w:bottom w:val="single" w:color="auto" w:sz="4" w:space="0"/>
              <w:right w:val="single" w:color="auto" w:sz="4" w:space="0"/>
            </w:tcBorders>
            <w:shd w:val="clear" w:color="auto" w:fill="auto"/>
            <w:vAlign w:val="center"/>
          </w:tcPr>
          <w:p w14:paraId="0334EF08">
            <w:pPr>
              <w:pStyle w:val="196"/>
              <w:rPr>
                <w:rFonts w:eastAsia="等线"/>
              </w:rPr>
            </w:pPr>
            <w:r>
              <w:rPr>
                <w:rFonts w:eastAsia="等线"/>
              </w:rPr>
              <w:t>0.61</w:t>
            </w:r>
          </w:p>
        </w:tc>
        <w:tc>
          <w:tcPr>
            <w:tcW w:w="327" w:type="pct"/>
            <w:tcBorders>
              <w:top w:val="nil"/>
              <w:left w:val="nil"/>
              <w:bottom w:val="single" w:color="auto" w:sz="4" w:space="0"/>
              <w:right w:val="single" w:color="auto" w:sz="4" w:space="0"/>
            </w:tcBorders>
            <w:shd w:val="clear" w:color="auto" w:fill="auto"/>
            <w:vAlign w:val="center"/>
          </w:tcPr>
          <w:p w14:paraId="20C2AF32">
            <w:pPr>
              <w:pStyle w:val="196"/>
              <w:rPr>
                <w:rFonts w:eastAsia="等线"/>
              </w:rPr>
            </w:pPr>
            <w:r>
              <w:rPr>
                <w:rFonts w:eastAsia="等线"/>
              </w:rPr>
              <w:t>2.11</w:t>
            </w:r>
          </w:p>
        </w:tc>
        <w:tc>
          <w:tcPr>
            <w:tcW w:w="333" w:type="pct"/>
            <w:tcBorders>
              <w:top w:val="nil"/>
              <w:left w:val="nil"/>
              <w:bottom w:val="single" w:color="auto" w:sz="4" w:space="0"/>
              <w:right w:val="single" w:color="auto" w:sz="4" w:space="0"/>
            </w:tcBorders>
            <w:shd w:val="clear" w:color="auto" w:fill="auto"/>
            <w:vAlign w:val="center"/>
          </w:tcPr>
          <w:p w14:paraId="67C7C7DD">
            <w:pPr>
              <w:pStyle w:val="196"/>
              <w:rPr>
                <w:rFonts w:eastAsia="等线"/>
              </w:rPr>
            </w:pPr>
            <w:r>
              <w:rPr>
                <w:rFonts w:eastAsia="等线"/>
              </w:rPr>
              <w:t>0.16</w:t>
            </w:r>
          </w:p>
        </w:tc>
        <w:tc>
          <w:tcPr>
            <w:tcW w:w="504" w:type="pct"/>
            <w:tcBorders>
              <w:top w:val="nil"/>
              <w:left w:val="nil"/>
              <w:bottom w:val="single" w:color="auto" w:sz="4" w:space="0"/>
              <w:right w:val="single" w:color="auto" w:sz="4" w:space="0"/>
            </w:tcBorders>
            <w:shd w:val="clear" w:color="auto" w:fill="auto"/>
            <w:vAlign w:val="center"/>
          </w:tcPr>
          <w:p w14:paraId="764B4AB0">
            <w:pPr>
              <w:pStyle w:val="196"/>
              <w:rPr>
                <w:rFonts w:eastAsia="等线"/>
              </w:rPr>
            </w:pPr>
            <w:r>
              <w:rPr>
                <w:rFonts w:eastAsia="等线"/>
              </w:rPr>
              <w:t>2.8</w:t>
            </w:r>
          </w:p>
        </w:tc>
        <w:tc>
          <w:tcPr>
            <w:tcW w:w="434" w:type="pct"/>
            <w:tcBorders>
              <w:top w:val="nil"/>
              <w:left w:val="nil"/>
              <w:bottom w:val="single" w:color="auto" w:sz="4" w:space="0"/>
              <w:right w:val="single" w:color="auto" w:sz="4" w:space="0"/>
            </w:tcBorders>
            <w:shd w:val="clear" w:color="auto" w:fill="auto"/>
            <w:vAlign w:val="center"/>
          </w:tcPr>
          <w:p w14:paraId="417D473C">
            <w:pPr>
              <w:pStyle w:val="196"/>
              <w:rPr>
                <w:rFonts w:eastAsia="等线"/>
              </w:rPr>
            </w:pPr>
            <w:r>
              <w:rPr>
                <w:rFonts w:eastAsia="等线"/>
              </w:rPr>
              <w:t>0.03</w:t>
            </w:r>
          </w:p>
        </w:tc>
      </w:tr>
      <w:tr w14:paraId="6CE226F0">
        <w:tblPrEx>
          <w:tblCellMar>
            <w:top w:w="0" w:type="dxa"/>
            <w:left w:w="108" w:type="dxa"/>
            <w:bottom w:w="0" w:type="dxa"/>
            <w:right w:w="108" w:type="dxa"/>
          </w:tblCellMar>
        </w:tblPrEx>
        <w:trPr>
          <w:trHeight w:val="324"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12950F94">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7B835E21">
            <w:pPr>
              <w:pStyle w:val="196"/>
              <w:rPr>
                <w:rFonts w:eastAsia="等线"/>
              </w:rPr>
            </w:pPr>
            <w:r>
              <w:rPr>
                <w:rFonts w:hint="eastAsia"/>
              </w:rPr>
              <w:t>平均值</w:t>
            </w:r>
          </w:p>
        </w:tc>
        <w:tc>
          <w:tcPr>
            <w:tcW w:w="381" w:type="pct"/>
            <w:tcBorders>
              <w:top w:val="nil"/>
              <w:left w:val="nil"/>
              <w:bottom w:val="single" w:color="auto" w:sz="4" w:space="0"/>
              <w:right w:val="single" w:color="auto" w:sz="4" w:space="0"/>
            </w:tcBorders>
            <w:shd w:val="clear" w:color="auto" w:fill="auto"/>
            <w:vAlign w:val="center"/>
          </w:tcPr>
          <w:p w14:paraId="79BF0F1F">
            <w:pPr>
              <w:pStyle w:val="196"/>
              <w:rPr>
                <w:rFonts w:eastAsia="等线"/>
              </w:rPr>
            </w:pPr>
            <w:r>
              <w:rPr>
                <w:rFonts w:eastAsia="等线"/>
              </w:rPr>
              <w:t>7.38</w:t>
            </w:r>
          </w:p>
        </w:tc>
        <w:tc>
          <w:tcPr>
            <w:tcW w:w="393" w:type="pct"/>
            <w:tcBorders>
              <w:top w:val="nil"/>
              <w:left w:val="nil"/>
              <w:bottom w:val="single" w:color="auto" w:sz="4" w:space="0"/>
              <w:right w:val="single" w:color="auto" w:sz="4" w:space="0"/>
            </w:tcBorders>
            <w:shd w:val="clear" w:color="auto" w:fill="auto"/>
            <w:vAlign w:val="center"/>
          </w:tcPr>
          <w:p w14:paraId="31B41146">
            <w:pPr>
              <w:pStyle w:val="196"/>
              <w:rPr>
                <w:rFonts w:eastAsia="等线"/>
              </w:rPr>
            </w:pPr>
            <w:r>
              <w:rPr>
                <w:rFonts w:eastAsia="等线"/>
              </w:rPr>
              <w:t>6.42</w:t>
            </w:r>
          </w:p>
        </w:tc>
        <w:tc>
          <w:tcPr>
            <w:tcW w:w="386" w:type="pct"/>
            <w:tcBorders>
              <w:top w:val="nil"/>
              <w:left w:val="nil"/>
              <w:bottom w:val="single" w:color="auto" w:sz="4" w:space="0"/>
              <w:right w:val="single" w:color="auto" w:sz="4" w:space="0"/>
            </w:tcBorders>
            <w:shd w:val="clear" w:color="auto" w:fill="auto"/>
            <w:vAlign w:val="center"/>
          </w:tcPr>
          <w:p w14:paraId="64076B64">
            <w:pPr>
              <w:pStyle w:val="196"/>
              <w:rPr>
                <w:rFonts w:eastAsia="等线"/>
              </w:rPr>
            </w:pPr>
            <w:r>
              <w:rPr>
                <w:rFonts w:eastAsia="等线"/>
              </w:rPr>
              <w:t>12.67</w:t>
            </w:r>
          </w:p>
        </w:tc>
        <w:tc>
          <w:tcPr>
            <w:tcW w:w="386" w:type="pct"/>
            <w:tcBorders>
              <w:top w:val="nil"/>
              <w:left w:val="nil"/>
              <w:bottom w:val="single" w:color="auto" w:sz="4" w:space="0"/>
              <w:right w:val="single" w:color="auto" w:sz="4" w:space="0"/>
            </w:tcBorders>
            <w:shd w:val="clear" w:color="auto" w:fill="auto"/>
            <w:vAlign w:val="center"/>
          </w:tcPr>
          <w:p w14:paraId="0BAFC7AE">
            <w:pPr>
              <w:pStyle w:val="196"/>
              <w:rPr>
                <w:rFonts w:eastAsia="等线"/>
              </w:rPr>
            </w:pPr>
            <w:r>
              <w:rPr>
                <w:rFonts w:eastAsia="等线"/>
              </w:rPr>
              <w:t>13.83</w:t>
            </w:r>
          </w:p>
        </w:tc>
        <w:tc>
          <w:tcPr>
            <w:tcW w:w="416" w:type="pct"/>
            <w:tcBorders>
              <w:top w:val="nil"/>
              <w:left w:val="nil"/>
              <w:bottom w:val="single" w:color="auto" w:sz="4" w:space="0"/>
              <w:right w:val="single" w:color="auto" w:sz="4" w:space="0"/>
            </w:tcBorders>
            <w:shd w:val="clear" w:color="auto" w:fill="auto"/>
            <w:vAlign w:val="center"/>
          </w:tcPr>
          <w:p w14:paraId="718C0459">
            <w:pPr>
              <w:pStyle w:val="196"/>
              <w:rPr>
                <w:rFonts w:eastAsia="等线"/>
              </w:rPr>
            </w:pPr>
            <w:r>
              <w:rPr>
                <w:rFonts w:eastAsia="等线"/>
              </w:rPr>
              <w:t>2.20</w:t>
            </w:r>
          </w:p>
        </w:tc>
        <w:tc>
          <w:tcPr>
            <w:tcW w:w="386" w:type="pct"/>
            <w:tcBorders>
              <w:top w:val="nil"/>
              <w:left w:val="nil"/>
              <w:bottom w:val="single" w:color="auto" w:sz="4" w:space="0"/>
              <w:right w:val="single" w:color="auto" w:sz="4" w:space="0"/>
            </w:tcBorders>
            <w:shd w:val="clear" w:color="auto" w:fill="auto"/>
            <w:vAlign w:val="center"/>
          </w:tcPr>
          <w:p w14:paraId="238FB5A2">
            <w:pPr>
              <w:pStyle w:val="196"/>
              <w:rPr>
                <w:rFonts w:eastAsia="等线"/>
              </w:rPr>
            </w:pPr>
            <w:r>
              <w:rPr>
                <w:rFonts w:eastAsia="等线"/>
              </w:rPr>
              <w:t>0.60</w:t>
            </w:r>
          </w:p>
        </w:tc>
        <w:tc>
          <w:tcPr>
            <w:tcW w:w="327" w:type="pct"/>
            <w:tcBorders>
              <w:top w:val="nil"/>
              <w:left w:val="nil"/>
              <w:bottom w:val="single" w:color="auto" w:sz="4" w:space="0"/>
              <w:right w:val="single" w:color="auto" w:sz="4" w:space="0"/>
            </w:tcBorders>
            <w:shd w:val="clear" w:color="auto" w:fill="auto"/>
            <w:vAlign w:val="center"/>
          </w:tcPr>
          <w:p w14:paraId="5B37BF86">
            <w:pPr>
              <w:pStyle w:val="196"/>
              <w:rPr>
                <w:rFonts w:eastAsia="等线"/>
              </w:rPr>
            </w:pPr>
            <w:r>
              <w:rPr>
                <w:rFonts w:eastAsia="等线"/>
              </w:rPr>
              <w:t>2.08</w:t>
            </w:r>
          </w:p>
        </w:tc>
        <w:tc>
          <w:tcPr>
            <w:tcW w:w="333" w:type="pct"/>
            <w:tcBorders>
              <w:top w:val="nil"/>
              <w:left w:val="nil"/>
              <w:bottom w:val="single" w:color="auto" w:sz="4" w:space="0"/>
              <w:right w:val="single" w:color="auto" w:sz="4" w:space="0"/>
            </w:tcBorders>
            <w:shd w:val="clear" w:color="auto" w:fill="auto"/>
            <w:vAlign w:val="center"/>
          </w:tcPr>
          <w:p w14:paraId="04BB4FF3">
            <w:pPr>
              <w:pStyle w:val="196"/>
              <w:rPr>
                <w:rFonts w:eastAsia="等线"/>
              </w:rPr>
            </w:pPr>
            <w:r>
              <w:rPr>
                <w:rFonts w:eastAsia="等线"/>
              </w:rPr>
              <w:t>0.15</w:t>
            </w:r>
          </w:p>
        </w:tc>
        <w:tc>
          <w:tcPr>
            <w:tcW w:w="504" w:type="pct"/>
            <w:tcBorders>
              <w:top w:val="nil"/>
              <w:left w:val="nil"/>
              <w:bottom w:val="single" w:color="auto" w:sz="4" w:space="0"/>
              <w:right w:val="single" w:color="auto" w:sz="4" w:space="0"/>
            </w:tcBorders>
            <w:shd w:val="clear" w:color="auto" w:fill="auto"/>
            <w:vAlign w:val="center"/>
          </w:tcPr>
          <w:p w14:paraId="20F6CFB5">
            <w:pPr>
              <w:pStyle w:val="196"/>
              <w:rPr>
                <w:rFonts w:eastAsia="等线"/>
              </w:rPr>
            </w:pPr>
            <w:r>
              <w:rPr>
                <w:rFonts w:eastAsia="等线"/>
              </w:rPr>
              <w:t>2.65</w:t>
            </w:r>
          </w:p>
        </w:tc>
        <w:tc>
          <w:tcPr>
            <w:tcW w:w="434" w:type="pct"/>
            <w:tcBorders>
              <w:top w:val="nil"/>
              <w:left w:val="nil"/>
              <w:bottom w:val="single" w:color="auto" w:sz="4" w:space="0"/>
              <w:right w:val="single" w:color="auto" w:sz="4" w:space="0"/>
            </w:tcBorders>
            <w:shd w:val="clear" w:color="auto" w:fill="auto"/>
            <w:vAlign w:val="center"/>
          </w:tcPr>
          <w:p w14:paraId="378B0F99">
            <w:pPr>
              <w:pStyle w:val="196"/>
              <w:rPr>
                <w:rFonts w:eastAsia="等线"/>
              </w:rPr>
            </w:pPr>
            <w:r>
              <w:rPr>
                <w:rFonts w:eastAsia="等线"/>
              </w:rPr>
              <w:t>0.03</w:t>
            </w:r>
          </w:p>
        </w:tc>
      </w:tr>
      <w:tr w14:paraId="7BF34EA8">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3AFCB488">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0BA69C40">
            <w:pPr>
              <w:pStyle w:val="196"/>
              <w:rPr>
                <w:rFonts w:eastAsia="等线"/>
              </w:rPr>
            </w:pPr>
            <w:r>
              <w:rPr>
                <w:rFonts w:hint="eastAsia"/>
              </w:rPr>
              <w:t>Ⅲ类标准值</w:t>
            </w:r>
          </w:p>
        </w:tc>
        <w:tc>
          <w:tcPr>
            <w:tcW w:w="381" w:type="pct"/>
            <w:tcBorders>
              <w:top w:val="nil"/>
              <w:left w:val="nil"/>
              <w:bottom w:val="single" w:color="auto" w:sz="4" w:space="0"/>
              <w:right w:val="single" w:color="auto" w:sz="4" w:space="0"/>
            </w:tcBorders>
            <w:shd w:val="clear" w:color="auto" w:fill="auto"/>
            <w:vAlign w:val="center"/>
          </w:tcPr>
          <w:p w14:paraId="11C50ABC">
            <w:pPr>
              <w:pStyle w:val="196"/>
              <w:rPr>
                <w:rFonts w:eastAsia="等线"/>
              </w:rPr>
            </w:pPr>
            <w:r>
              <w:rPr>
                <w:rFonts w:eastAsia="等线"/>
              </w:rPr>
              <w:t>6~9</w:t>
            </w:r>
          </w:p>
        </w:tc>
        <w:tc>
          <w:tcPr>
            <w:tcW w:w="393" w:type="pct"/>
            <w:tcBorders>
              <w:top w:val="nil"/>
              <w:left w:val="nil"/>
              <w:bottom w:val="single" w:color="auto" w:sz="4" w:space="0"/>
              <w:right w:val="single" w:color="auto" w:sz="4" w:space="0"/>
            </w:tcBorders>
            <w:shd w:val="clear" w:color="auto" w:fill="auto"/>
            <w:vAlign w:val="center"/>
          </w:tcPr>
          <w:p w14:paraId="4F398CB6">
            <w:pPr>
              <w:pStyle w:val="196"/>
              <w:rPr>
                <w:rFonts w:eastAsia="等线"/>
              </w:rPr>
            </w:pPr>
            <w:r>
              <w:rPr>
                <w:rFonts w:eastAsia="等线"/>
              </w:rPr>
              <w:t>5</w:t>
            </w:r>
          </w:p>
        </w:tc>
        <w:tc>
          <w:tcPr>
            <w:tcW w:w="386" w:type="pct"/>
            <w:tcBorders>
              <w:top w:val="nil"/>
              <w:left w:val="nil"/>
              <w:bottom w:val="single" w:color="auto" w:sz="4" w:space="0"/>
              <w:right w:val="single" w:color="auto" w:sz="4" w:space="0"/>
            </w:tcBorders>
            <w:shd w:val="clear" w:color="auto" w:fill="auto"/>
            <w:vAlign w:val="center"/>
          </w:tcPr>
          <w:p w14:paraId="6DD807B8">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13AD0360">
            <w:pPr>
              <w:pStyle w:val="196"/>
              <w:rPr>
                <w:rFonts w:eastAsia="等线"/>
              </w:rPr>
            </w:pPr>
            <w:r>
              <w:rPr>
                <w:rFonts w:eastAsia="等线"/>
              </w:rPr>
              <w:t>20</w:t>
            </w:r>
          </w:p>
        </w:tc>
        <w:tc>
          <w:tcPr>
            <w:tcW w:w="416" w:type="pct"/>
            <w:tcBorders>
              <w:top w:val="nil"/>
              <w:left w:val="nil"/>
              <w:bottom w:val="single" w:color="auto" w:sz="4" w:space="0"/>
              <w:right w:val="single" w:color="auto" w:sz="4" w:space="0"/>
            </w:tcBorders>
            <w:shd w:val="clear" w:color="auto" w:fill="auto"/>
            <w:vAlign w:val="center"/>
          </w:tcPr>
          <w:p w14:paraId="6F673225">
            <w:pPr>
              <w:pStyle w:val="196"/>
              <w:rPr>
                <w:rFonts w:eastAsia="等线"/>
              </w:rPr>
            </w:pPr>
            <w:r>
              <w:rPr>
                <w:rFonts w:eastAsia="等线"/>
              </w:rPr>
              <w:t>4</w:t>
            </w:r>
          </w:p>
        </w:tc>
        <w:tc>
          <w:tcPr>
            <w:tcW w:w="386" w:type="pct"/>
            <w:tcBorders>
              <w:top w:val="nil"/>
              <w:left w:val="nil"/>
              <w:bottom w:val="single" w:color="auto" w:sz="4" w:space="0"/>
              <w:right w:val="single" w:color="auto" w:sz="4" w:space="0"/>
            </w:tcBorders>
            <w:shd w:val="clear" w:color="auto" w:fill="auto"/>
            <w:vAlign w:val="center"/>
          </w:tcPr>
          <w:p w14:paraId="64FB9F17">
            <w:pPr>
              <w:pStyle w:val="196"/>
              <w:rPr>
                <w:rFonts w:eastAsia="等线"/>
              </w:rPr>
            </w:pPr>
            <w:r>
              <w:rPr>
                <w:rFonts w:eastAsia="等线"/>
              </w:rPr>
              <w:t>1</w:t>
            </w:r>
          </w:p>
        </w:tc>
        <w:tc>
          <w:tcPr>
            <w:tcW w:w="327" w:type="pct"/>
            <w:tcBorders>
              <w:top w:val="nil"/>
              <w:left w:val="nil"/>
              <w:bottom w:val="single" w:color="auto" w:sz="4" w:space="0"/>
              <w:right w:val="single" w:color="auto" w:sz="4" w:space="0"/>
            </w:tcBorders>
            <w:shd w:val="clear" w:color="auto" w:fill="auto"/>
            <w:vAlign w:val="center"/>
          </w:tcPr>
          <w:p w14:paraId="241313B1">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0AE73B14">
            <w:pPr>
              <w:pStyle w:val="196"/>
              <w:rPr>
                <w:rFonts w:eastAsia="等线"/>
              </w:rPr>
            </w:pPr>
            <w:r>
              <w:rPr>
                <w:rFonts w:eastAsia="等线"/>
              </w:rPr>
              <w:t>0.2</w:t>
            </w:r>
          </w:p>
        </w:tc>
        <w:tc>
          <w:tcPr>
            <w:tcW w:w="504" w:type="pct"/>
            <w:tcBorders>
              <w:top w:val="nil"/>
              <w:left w:val="nil"/>
              <w:bottom w:val="nil"/>
              <w:right w:val="single" w:color="auto" w:sz="4" w:space="0"/>
            </w:tcBorders>
            <w:shd w:val="clear" w:color="auto" w:fill="auto"/>
            <w:vAlign w:val="center"/>
          </w:tcPr>
          <w:p w14:paraId="63D23692">
            <w:pPr>
              <w:pStyle w:val="196"/>
              <w:rPr>
                <w:rFonts w:eastAsia="等线"/>
              </w:rPr>
            </w:pPr>
            <w:r>
              <w:rPr>
                <w:rFonts w:eastAsia="等线"/>
              </w:rPr>
              <w:t>6</w:t>
            </w:r>
          </w:p>
        </w:tc>
        <w:tc>
          <w:tcPr>
            <w:tcW w:w="434" w:type="pct"/>
            <w:tcBorders>
              <w:top w:val="nil"/>
              <w:left w:val="nil"/>
              <w:bottom w:val="nil"/>
              <w:right w:val="single" w:color="auto" w:sz="4" w:space="0"/>
            </w:tcBorders>
            <w:shd w:val="clear" w:color="auto" w:fill="auto"/>
            <w:vAlign w:val="center"/>
          </w:tcPr>
          <w:p w14:paraId="128463BF">
            <w:pPr>
              <w:pStyle w:val="196"/>
              <w:rPr>
                <w:rFonts w:eastAsia="等线"/>
              </w:rPr>
            </w:pPr>
            <w:r>
              <w:rPr>
                <w:rFonts w:eastAsia="等线"/>
              </w:rPr>
              <w:t>0.05</w:t>
            </w:r>
          </w:p>
        </w:tc>
      </w:tr>
      <w:tr w14:paraId="57784207">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401D6CAE">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43DF2D8C">
            <w:pPr>
              <w:pStyle w:val="196"/>
              <w:rPr>
                <w:rFonts w:eastAsia="等线"/>
              </w:rPr>
            </w:pPr>
            <w:r>
              <w:rPr>
                <w:rFonts w:hint="eastAsia"/>
              </w:rPr>
              <w:t>标准指数</w:t>
            </w:r>
          </w:p>
        </w:tc>
        <w:tc>
          <w:tcPr>
            <w:tcW w:w="381" w:type="pct"/>
            <w:tcBorders>
              <w:top w:val="nil"/>
              <w:left w:val="nil"/>
              <w:bottom w:val="single" w:color="auto" w:sz="4" w:space="0"/>
              <w:right w:val="single" w:color="auto" w:sz="4" w:space="0"/>
            </w:tcBorders>
            <w:shd w:val="clear" w:color="auto" w:fill="auto"/>
            <w:vAlign w:val="center"/>
          </w:tcPr>
          <w:p w14:paraId="63E321A2">
            <w:pPr>
              <w:pStyle w:val="196"/>
              <w:rPr>
                <w:rFonts w:eastAsia="等线"/>
              </w:rPr>
            </w:pPr>
            <w:r>
              <w:rPr>
                <w:rFonts w:eastAsia="等线"/>
              </w:rPr>
              <w:t>0.25</w:t>
            </w:r>
          </w:p>
        </w:tc>
        <w:tc>
          <w:tcPr>
            <w:tcW w:w="393" w:type="pct"/>
            <w:tcBorders>
              <w:top w:val="nil"/>
              <w:left w:val="nil"/>
              <w:bottom w:val="single" w:color="auto" w:sz="4" w:space="0"/>
              <w:right w:val="single" w:color="auto" w:sz="4" w:space="0"/>
            </w:tcBorders>
            <w:shd w:val="clear" w:color="auto" w:fill="auto"/>
            <w:vAlign w:val="center"/>
          </w:tcPr>
          <w:p w14:paraId="1B8E3286">
            <w:pPr>
              <w:pStyle w:val="196"/>
              <w:rPr>
                <w:rFonts w:eastAsia="等线"/>
              </w:rPr>
            </w:pPr>
            <w:r>
              <w:rPr>
                <w:rFonts w:eastAsia="等线"/>
              </w:rPr>
              <w:t>0.77</w:t>
            </w:r>
          </w:p>
        </w:tc>
        <w:tc>
          <w:tcPr>
            <w:tcW w:w="386" w:type="pct"/>
            <w:tcBorders>
              <w:top w:val="nil"/>
              <w:left w:val="nil"/>
              <w:bottom w:val="single" w:color="auto" w:sz="4" w:space="0"/>
              <w:right w:val="single" w:color="auto" w:sz="4" w:space="0"/>
            </w:tcBorders>
            <w:shd w:val="clear" w:color="auto" w:fill="auto"/>
            <w:vAlign w:val="center"/>
          </w:tcPr>
          <w:p w14:paraId="3934FD05">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40DB8773">
            <w:pPr>
              <w:pStyle w:val="196"/>
              <w:rPr>
                <w:rFonts w:eastAsia="等线"/>
              </w:rPr>
            </w:pPr>
            <w:r>
              <w:rPr>
                <w:rFonts w:eastAsia="等线"/>
              </w:rPr>
              <w:t>0.69</w:t>
            </w:r>
          </w:p>
        </w:tc>
        <w:tc>
          <w:tcPr>
            <w:tcW w:w="416" w:type="pct"/>
            <w:tcBorders>
              <w:top w:val="nil"/>
              <w:left w:val="nil"/>
              <w:bottom w:val="single" w:color="auto" w:sz="4" w:space="0"/>
              <w:right w:val="single" w:color="auto" w:sz="4" w:space="0"/>
            </w:tcBorders>
            <w:shd w:val="clear" w:color="auto" w:fill="auto"/>
            <w:vAlign w:val="center"/>
          </w:tcPr>
          <w:p w14:paraId="40E8306D">
            <w:pPr>
              <w:pStyle w:val="196"/>
              <w:rPr>
                <w:rFonts w:eastAsia="等线"/>
              </w:rPr>
            </w:pPr>
            <w:r>
              <w:rPr>
                <w:rFonts w:eastAsia="等线"/>
              </w:rPr>
              <w:t>0.55</w:t>
            </w:r>
          </w:p>
        </w:tc>
        <w:tc>
          <w:tcPr>
            <w:tcW w:w="386" w:type="pct"/>
            <w:tcBorders>
              <w:top w:val="nil"/>
              <w:left w:val="nil"/>
              <w:bottom w:val="single" w:color="auto" w:sz="4" w:space="0"/>
              <w:right w:val="single" w:color="auto" w:sz="4" w:space="0"/>
            </w:tcBorders>
            <w:shd w:val="clear" w:color="auto" w:fill="auto"/>
            <w:vAlign w:val="center"/>
          </w:tcPr>
          <w:p w14:paraId="2696A3C9">
            <w:pPr>
              <w:pStyle w:val="196"/>
              <w:rPr>
                <w:rFonts w:eastAsia="等线"/>
              </w:rPr>
            </w:pPr>
            <w:r>
              <w:rPr>
                <w:rFonts w:eastAsia="等线"/>
              </w:rPr>
              <w:t>0.60</w:t>
            </w:r>
          </w:p>
        </w:tc>
        <w:tc>
          <w:tcPr>
            <w:tcW w:w="327" w:type="pct"/>
            <w:tcBorders>
              <w:top w:val="nil"/>
              <w:left w:val="nil"/>
              <w:bottom w:val="single" w:color="auto" w:sz="4" w:space="0"/>
              <w:right w:val="single" w:color="auto" w:sz="4" w:space="0"/>
            </w:tcBorders>
            <w:shd w:val="clear" w:color="auto" w:fill="auto"/>
            <w:vAlign w:val="center"/>
          </w:tcPr>
          <w:p w14:paraId="7C1615DB">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76516978">
            <w:pPr>
              <w:pStyle w:val="196"/>
              <w:rPr>
                <w:rFonts w:eastAsia="等线"/>
              </w:rPr>
            </w:pPr>
            <w:r>
              <w:rPr>
                <w:rFonts w:eastAsia="等线"/>
              </w:rPr>
              <w:t>0.75</w:t>
            </w:r>
          </w:p>
        </w:tc>
        <w:tc>
          <w:tcPr>
            <w:tcW w:w="504" w:type="pct"/>
            <w:tcBorders>
              <w:top w:val="single" w:color="auto" w:sz="4" w:space="0"/>
              <w:left w:val="nil"/>
              <w:bottom w:val="single" w:color="auto" w:sz="4" w:space="0"/>
              <w:right w:val="single" w:color="auto" w:sz="4" w:space="0"/>
            </w:tcBorders>
            <w:shd w:val="clear" w:color="auto" w:fill="auto"/>
            <w:vAlign w:val="center"/>
          </w:tcPr>
          <w:p w14:paraId="2C4804A0">
            <w:pPr>
              <w:pStyle w:val="196"/>
              <w:rPr>
                <w:rFonts w:eastAsia="等线"/>
              </w:rPr>
            </w:pPr>
            <w:r>
              <w:rPr>
                <w:rFonts w:eastAsia="等线"/>
              </w:rPr>
              <w:t>0.44</w:t>
            </w:r>
          </w:p>
        </w:tc>
        <w:tc>
          <w:tcPr>
            <w:tcW w:w="434" w:type="pct"/>
            <w:tcBorders>
              <w:top w:val="single" w:color="auto" w:sz="4" w:space="0"/>
              <w:left w:val="nil"/>
              <w:bottom w:val="single" w:color="auto" w:sz="4" w:space="0"/>
              <w:right w:val="single" w:color="auto" w:sz="4" w:space="0"/>
            </w:tcBorders>
            <w:shd w:val="clear" w:color="auto" w:fill="auto"/>
            <w:vAlign w:val="center"/>
          </w:tcPr>
          <w:p w14:paraId="61E6347B">
            <w:pPr>
              <w:pStyle w:val="196"/>
              <w:rPr>
                <w:rFonts w:eastAsia="等线"/>
              </w:rPr>
            </w:pPr>
            <w:r>
              <w:rPr>
                <w:rFonts w:eastAsia="等线"/>
              </w:rPr>
              <w:t>0.60</w:t>
            </w:r>
          </w:p>
        </w:tc>
      </w:tr>
      <w:tr w14:paraId="5B93FD37">
        <w:tblPrEx>
          <w:tblCellMar>
            <w:top w:w="0" w:type="dxa"/>
            <w:left w:w="108" w:type="dxa"/>
            <w:bottom w:w="0" w:type="dxa"/>
            <w:right w:w="108" w:type="dxa"/>
          </w:tblCellMar>
        </w:tblPrEx>
        <w:trPr>
          <w:trHeight w:val="288" w:hRule="atLeast"/>
          <w:jc w:val="center"/>
        </w:trPr>
        <w:tc>
          <w:tcPr>
            <w:tcW w:w="292" w:type="pct"/>
            <w:vMerge w:val="continue"/>
            <w:tcBorders>
              <w:top w:val="nil"/>
              <w:left w:val="single" w:color="auto" w:sz="4" w:space="0"/>
              <w:bottom w:val="single" w:color="auto" w:sz="4" w:space="0"/>
              <w:right w:val="single" w:color="auto" w:sz="4" w:space="0"/>
            </w:tcBorders>
            <w:vAlign w:val="center"/>
          </w:tcPr>
          <w:p w14:paraId="3B89DD3C">
            <w:pPr>
              <w:pStyle w:val="196"/>
              <w:rPr>
                <w:rFonts w:eastAsia="等线"/>
              </w:rPr>
            </w:pPr>
          </w:p>
        </w:tc>
        <w:tc>
          <w:tcPr>
            <w:tcW w:w="762" w:type="pct"/>
            <w:tcBorders>
              <w:top w:val="nil"/>
              <w:left w:val="nil"/>
              <w:bottom w:val="single" w:color="auto" w:sz="4" w:space="0"/>
              <w:right w:val="single" w:color="auto" w:sz="4" w:space="0"/>
            </w:tcBorders>
            <w:shd w:val="clear" w:color="auto" w:fill="auto"/>
            <w:vAlign w:val="center"/>
          </w:tcPr>
          <w:p w14:paraId="32F926B5">
            <w:pPr>
              <w:pStyle w:val="196"/>
              <w:rPr>
                <w:rFonts w:eastAsia="等线"/>
              </w:rPr>
            </w:pPr>
            <w:r>
              <w:rPr>
                <w:rFonts w:hint="eastAsia"/>
              </w:rPr>
              <w:t>超标率</w:t>
            </w:r>
            <w:r>
              <w:rPr>
                <w:rFonts w:eastAsia="等线"/>
              </w:rPr>
              <w:t>%</w:t>
            </w:r>
          </w:p>
        </w:tc>
        <w:tc>
          <w:tcPr>
            <w:tcW w:w="381" w:type="pct"/>
            <w:tcBorders>
              <w:top w:val="nil"/>
              <w:left w:val="nil"/>
              <w:bottom w:val="single" w:color="auto" w:sz="4" w:space="0"/>
              <w:right w:val="single" w:color="auto" w:sz="4" w:space="0"/>
            </w:tcBorders>
            <w:shd w:val="clear" w:color="auto" w:fill="auto"/>
            <w:vAlign w:val="center"/>
          </w:tcPr>
          <w:p w14:paraId="1B4EB46A">
            <w:pPr>
              <w:pStyle w:val="196"/>
              <w:rPr>
                <w:rFonts w:eastAsia="等线"/>
              </w:rPr>
            </w:pPr>
            <w:r>
              <w:rPr>
                <w:rFonts w:eastAsia="等线"/>
              </w:rPr>
              <w:t>0</w:t>
            </w:r>
          </w:p>
        </w:tc>
        <w:tc>
          <w:tcPr>
            <w:tcW w:w="393" w:type="pct"/>
            <w:tcBorders>
              <w:top w:val="nil"/>
              <w:left w:val="nil"/>
              <w:bottom w:val="single" w:color="auto" w:sz="4" w:space="0"/>
              <w:right w:val="single" w:color="auto" w:sz="4" w:space="0"/>
            </w:tcBorders>
            <w:shd w:val="clear" w:color="auto" w:fill="auto"/>
            <w:vAlign w:val="center"/>
          </w:tcPr>
          <w:p w14:paraId="356C0500">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0C089736">
            <w:pPr>
              <w:pStyle w:val="196"/>
              <w:rPr>
                <w:rFonts w:eastAsia="等线"/>
              </w:rPr>
            </w:pPr>
            <w:r>
              <w:rPr>
                <w:rFonts w:eastAsia="等线"/>
              </w:rPr>
              <w:t>/</w:t>
            </w:r>
          </w:p>
        </w:tc>
        <w:tc>
          <w:tcPr>
            <w:tcW w:w="386" w:type="pct"/>
            <w:tcBorders>
              <w:top w:val="nil"/>
              <w:left w:val="nil"/>
              <w:bottom w:val="single" w:color="auto" w:sz="4" w:space="0"/>
              <w:right w:val="single" w:color="auto" w:sz="4" w:space="0"/>
            </w:tcBorders>
            <w:shd w:val="clear" w:color="auto" w:fill="auto"/>
            <w:vAlign w:val="center"/>
          </w:tcPr>
          <w:p w14:paraId="409DADA9">
            <w:pPr>
              <w:pStyle w:val="196"/>
              <w:rPr>
                <w:rFonts w:eastAsia="等线"/>
              </w:rPr>
            </w:pPr>
            <w:r>
              <w:rPr>
                <w:rFonts w:eastAsia="等线"/>
              </w:rPr>
              <w:t>0</w:t>
            </w:r>
          </w:p>
        </w:tc>
        <w:tc>
          <w:tcPr>
            <w:tcW w:w="416" w:type="pct"/>
            <w:tcBorders>
              <w:top w:val="nil"/>
              <w:left w:val="nil"/>
              <w:bottom w:val="single" w:color="auto" w:sz="4" w:space="0"/>
              <w:right w:val="single" w:color="auto" w:sz="4" w:space="0"/>
            </w:tcBorders>
            <w:shd w:val="clear" w:color="auto" w:fill="auto"/>
            <w:vAlign w:val="center"/>
          </w:tcPr>
          <w:p w14:paraId="7C1C0B53">
            <w:pPr>
              <w:pStyle w:val="196"/>
              <w:rPr>
                <w:rFonts w:eastAsia="等线"/>
              </w:rPr>
            </w:pPr>
            <w:r>
              <w:rPr>
                <w:rFonts w:eastAsia="等线"/>
              </w:rPr>
              <w:t>0</w:t>
            </w:r>
          </w:p>
        </w:tc>
        <w:tc>
          <w:tcPr>
            <w:tcW w:w="386" w:type="pct"/>
            <w:tcBorders>
              <w:top w:val="nil"/>
              <w:left w:val="nil"/>
              <w:bottom w:val="single" w:color="auto" w:sz="4" w:space="0"/>
              <w:right w:val="single" w:color="auto" w:sz="4" w:space="0"/>
            </w:tcBorders>
            <w:shd w:val="clear" w:color="auto" w:fill="auto"/>
            <w:vAlign w:val="center"/>
          </w:tcPr>
          <w:p w14:paraId="5AEB74AC">
            <w:pPr>
              <w:pStyle w:val="196"/>
              <w:rPr>
                <w:rFonts w:eastAsia="等线"/>
              </w:rPr>
            </w:pPr>
            <w:r>
              <w:rPr>
                <w:rFonts w:eastAsia="等线"/>
              </w:rPr>
              <w:t>0</w:t>
            </w:r>
          </w:p>
        </w:tc>
        <w:tc>
          <w:tcPr>
            <w:tcW w:w="327" w:type="pct"/>
            <w:tcBorders>
              <w:top w:val="nil"/>
              <w:left w:val="nil"/>
              <w:bottom w:val="single" w:color="auto" w:sz="4" w:space="0"/>
              <w:right w:val="single" w:color="auto" w:sz="4" w:space="0"/>
            </w:tcBorders>
            <w:shd w:val="clear" w:color="auto" w:fill="auto"/>
            <w:vAlign w:val="center"/>
          </w:tcPr>
          <w:p w14:paraId="15E7DEB3">
            <w:pPr>
              <w:pStyle w:val="196"/>
              <w:rPr>
                <w:rFonts w:eastAsia="等线"/>
              </w:rPr>
            </w:pPr>
            <w:r>
              <w:rPr>
                <w:rFonts w:eastAsia="等线"/>
              </w:rPr>
              <w:t>/</w:t>
            </w:r>
          </w:p>
        </w:tc>
        <w:tc>
          <w:tcPr>
            <w:tcW w:w="333" w:type="pct"/>
            <w:tcBorders>
              <w:top w:val="nil"/>
              <w:left w:val="nil"/>
              <w:bottom w:val="single" w:color="auto" w:sz="4" w:space="0"/>
              <w:right w:val="single" w:color="auto" w:sz="4" w:space="0"/>
            </w:tcBorders>
            <w:shd w:val="clear" w:color="auto" w:fill="auto"/>
            <w:vAlign w:val="center"/>
          </w:tcPr>
          <w:p w14:paraId="7B57484C">
            <w:pPr>
              <w:pStyle w:val="196"/>
              <w:rPr>
                <w:rFonts w:eastAsia="等线"/>
              </w:rPr>
            </w:pPr>
            <w:r>
              <w:rPr>
                <w:rFonts w:eastAsia="等线"/>
              </w:rPr>
              <w:t>0</w:t>
            </w:r>
          </w:p>
        </w:tc>
        <w:tc>
          <w:tcPr>
            <w:tcW w:w="504" w:type="pct"/>
            <w:tcBorders>
              <w:top w:val="nil"/>
              <w:left w:val="nil"/>
              <w:bottom w:val="single" w:color="auto" w:sz="4" w:space="0"/>
              <w:right w:val="single" w:color="auto" w:sz="4" w:space="0"/>
            </w:tcBorders>
            <w:shd w:val="clear" w:color="auto" w:fill="auto"/>
            <w:noWrap/>
            <w:vAlign w:val="center"/>
          </w:tcPr>
          <w:p w14:paraId="5E7D928E">
            <w:pPr>
              <w:pStyle w:val="196"/>
              <w:rPr>
                <w:rFonts w:eastAsia="等线"/>
                <w:sz w:val="22"/>
              </w:rPr>
            </w:pPr>
            <w:r>
              <w:rPr>
                <w:rFonts w:eastAsia="等线"/>
                <w:sz w:val="22"/>
              </w:rPr>
              <w:t>0</w:t>
            </w:r>
          </w:p>
        </w:tc>
        <w:tc>
          <w:tcPr>
            <w:tcW w:w="434" w:type="pct"/>
            <w:tcBorders>
              <w:top w:val="nil"/>
              <w:left w:val="nil"/>
              <w:bottom w:val="single" w:color="auto" w:sz="4" w:space="0"/>
              <w:right w:val="single" w:color="auto" w:sz="4" w:space="0"/>
            </w:tcBorders>
            <w:shd w:val="clear" w:color="auto" w:fill="auto"/>
            <w:noWrap/>
            <w:vAlign w:val="center"/>
          </w:tcPr>
          <w:p w14:paraId="126C30AC">
            <w:pPr>
              <w:pStyle w:val="196"/>
              <w:rPr>
                <w:rFonts w:eastAsia="等线"/>
                <w:sz w:val="22"/>
              </w:rPr>
            </w:pPr>
            <w:r>
              <w:rPr>
                <w:rFonts w:eastAsia="等线"/>
                <w:sz w:val="22"/>
              </w:rPr>
              <w:t>0</w:t>
            </w:r>
          </w:p>
        </w:tc>
      </w:tr>
    </w:tbl>
    <w:p w14:paraId="576612CD">
      <w:pPr>
        <w:pStyle w:val="82"/>
      </w:pPr>
      <w:bookmarkStart w:id="254" w:name="_Toc14161"/>
      <w:bookmarkEnd w:id="254"/>
      <w:bookmarkStart w:id="255" w:name="_Toc2990"/>
      <w:bookmarkEnd w:id="255"/>
      <w:r>
        <w:rPr>
          <w:rFonts w:hint="eastAsia"/>
        </w:rPr>
        <w:t>噪声环境质量现状监测和评价</w:t>
      </w:r>
    </w:p>
    <w:p w14:paraId="01EC2AED">
      <w:pPr>
        <w:pStyle w:val="93"/>
      </w:pPr>
      <w:r>
        <w:rPr>
          <w:rFonts w:hint="eastAsia"/>
        </w:rPr>
        <w:t>（1）现状监测方案</w:t>
      </w:r>
    </w:p>
    <w:p w14:paraId="5C378184">
      <w:pPr>
        <w:pStyle w:val="93"/>
      </w:pPr>
      <w:r>
        <w:rPr>
          <w:rFonts w:hint="eastAsia"/>
        </w:rPr>
        <w:t>根据《声环境质量标准》（GB 3096-2008）的要求，对本项目所在区域声环境质量进行监测。由江苏正康环境检测技术有限公司进行。</w:t>
      </w:r>
    </w:p>
    <w:p w14:paraId="5870805E">
      <w:pPr>
        <w:pStyle w:val="93"/>
      </w:pPr>
      <w:r>
        <w:rPr>
          <w:rFonts w:hint="eastAsia"/>
        </w:rPr>
        <w:t>（2）监测点位及监测项目</w:t>
      </w:r>
    </w:p>
    <w:p w14:paraId="6EF977B4">
      <w:pPr>
        <w:ind w:firstLine="480"/>
        <w:rPr>
          <w:bCs/>
        </w:rPr>
      </w:pPr>
      <w:r>
        <w:rPr>
          <w:rFonts w:hint="eastAsia"/>
          <w:bCs/>
        </w:rPr>
        <w:t>监测项目：等效连续A声级</w:t>
      </w:r>
    </w:p>
    <w:p w14:paraId="73722142">
      <w:pPr>
        <w:ind w:firstLine="480"/>
      </w:pPr>
      <w:r>
        <w:rPr>
          <w:rFonts w:hint="eastAsia"/>
          <w:bCs/>
        </w:rPr>
        <w:t>项目所在地东、南、西、北厂界，共设置9个</w:t>
      </w:r>
      <w:r>
        <w:rPr>
          <w:rFonts w:hint="eastAsia"/>
          <w:bCs/>
          <w:lang w:eastAsia="zh-CN"/>
        </w:rPr>
        <w:t>监测点</w:t>
      </w:r>
      <w:r>
        <w:rPr>
          <w:rFonts w:hint="eastAsia"/>
          <w:bCs/>
        </w:rPr>
        <w:t>，具体见图</w:t>
      </w:r>
      <w:r>
        <w:rPr>
          <w:bCs/>
        </w:rPr>
        <w:t>4.3-1</w:t>
      </w:r>
      <w:r>
        <w:rPr>
          <w:rFonts w:hint="eastAsia"/>
        </w:rPr>
        <w:t>。</w:t>
      </w:r>
    </w:p>
    <w:p w14:paraId="7C72DE54">
      <w:pPr>
        <w:ind w:firstLine="480"/>
      </w:pPr>
      <w:r>
        <w:rPr>
          <w:rFonts w:hint="eastAsia"/>
        </w:rPr>
        <w:t>（3）监测时间、频次及方法</w:t>
      </w:r>
    </w:p>
    <w:p w14:paraId="5DC8385F">
      <w:pPr>
        <w:ind w:firstLine="480"/>
      </w:pPr>
      <w:r>
        <w:rPr>
          <w:rFonts w:hint="eastAsia"/>
        </w:rPr>
        <w:t>监测时间：2023年</w:t>
      </w:r>
      <w:r>
        <w:t>8</w:t>
      </w:r>
      <w:r>
        <w:rPr>
          <w:rFonts w:hint="eastAsia"/>
        </w:rPr>
        <w:t>月1</w:t>
      </w:r>
      <w:r>
        <w:t>6</w:t>
      </w:r>
      <w:r>
        <w:rPr>
          <w:rFonts w:hint="eastAsia"/>
        </w:rPr>
        <w:t>日</w:t>
      </w:r>
      <w:r>
        <w:rPr>
          <w:rFonts w:hint="eastAsia"/>
          <w:lang w:eastAsia="zh-CN"/>
        </w:rPr>
        <w:t>—</w:t>
      </w:r>
      <w:r>
        <w:t>8</w:t>
      </w:r>
      <w:r>
        <w:rPr>
          <w:rFonts w:hint="eastAsia"/>
        </w:rPr>
        <w:t>月</w:t>
      </w:r>
      <w:r>
        <w:t>17</w:t>
      </w:r>
      <w:r>
        <w:rPr>
          <w:rFonts w:hint="eastAsia"/>
        </w:rPr>
        <w:t>日。</w:t>
      </w:r>
    </w:p>
    <w:p w14:paraId="65277817">
      <w:pPr>
        <w:ind w:firstLine="480"/>
        <w:rPr>
          <w:bCs/>
        </w:rPr>
      </w:pPr>
      <w:r>
        <w:rPr>
          <w:rFonts w:hint="eastAsia"/>
          <w:bCs/>
        </w:rPr>
        <w:t>监测频次：监测2天，每天昼间、夜间各1次。噪声监测按</w:t>
      </w:r>
      <w:r>
        <w:rPr>
          <w:rFonts w:hint="eastAsia"/>
          <w:bCs/>
          <w:lang w:eastAsia="zh-CN"/>
        </w:rPr>
        <w:t>生态环境部</w:t>
      </w:r>
      <w:r>
        <w:rPr>
          <w:rFonts w:hint="eastAsia"/>
          <w:bCs/>
        </w:rPr>
        <w:t>颁发的《环境监测技术规范》执行。</w:t>
      </w:r>
    </w:p>
    <w:p w14:paraId="3636F38E">
      <w:pPr>
        <w:pStyle w:val="93"/>
      </w:pPr>
      <w:r>
        <w:rPr>
          <w:rFonts w:hint="eastAsia"/>
        </w:rPr>
        <w:t>监测方法：按核实监测规范和方法中的时效性，列出有效的规范或标准，包括</w:t>
      </w:r>
      <w:r>
        <w:rPr>
          <w:rFonts w:hint="eastAsia"/>
          <w:lang w:eastAsia="zh-CN"/>
        </w:rPr>
        <w:t>标准</w:t>
      </w:r>
      <w:r>
        <w:rPr>
          <w:rFonts w:hint="eastAsia"/>
        </w:rPr>
        <w:t>有关规定和要求执行。</w:t>
      </w:r>
    </w:p>
    <w:p w14:paraId="752A6952">
      <w:pPr>
        <w:ind w:firstLine="480"/>
      </w:pPr>
      <w:r>
        <w:rPr>
          <w:rFonts w:hint="eastAsia"/>
        </w:rPr>
        <w:t>（4）监测结果及评价</w:t>
      </w:r>
    </w:p>
    <w:p w14:paraId="77176DB7">
      <w:pPr>
        <w:ind w:firstLine="480"/>
        <w:rPr>
          <w:bCs/>
        </w:rPr>
      </w:pPr>
      <w:r>
        <w:rPr>
          <w:rFonts w:hint="eastAsia"/>
          <w:bCs/>
        </w:rPr>
        <w:t>各</w:t>
      </w:r>
      <w:r>
        <w:rPr>
          <w:rFonts w:hint="eastAsia"/>
          <w:bCs/>
          <w:lang w:eastAsia="zh-CN"/>
        </w:rPr>
        <w:t>测点检测</w:t>
      </w:r>
      <w:r>
        <w:rPr>
          <w:rFonts w:hint="eastAsia"/>
          <w:bCs/>
        </w:rPr>
        <w:t>结果列入表4.3-8。</w:t>
      </w:r>
    </w:p>
    <w:p w14:paraId="58D8FA4B">
      <w:pPr>
        <w:pStyle w:val="86"/>
      </w:pPr>
      <w:r>
        <w:rPr>
          <w:rFonts w:hint="eastAsia"/>
        </w:rPr>
        <w:t>噪声监测结果</w:t>
      </w:r>
    </w:p>
    <w:tbl>
      <w:tblPr>
        <w:tblStyle w:val="38"/>
        <w:tblW w:w="5000" w:type="pct"/>
        <w:jc w:val="center"/>
        <w:tblLayout w:type="autofit"/>
        <w:tblCellMar>
          <w:top w:w="0" w:type="dxa"/>
          <w:left w:w="108" w:type="dxa"/>
          <w:bottom w:w="0" w:type="dxa"/>
          <w:right w:w="108" w:type="dxa"/>
        </w:tblCellMar>
      </w:tblPr>
      <w:tblGrid>
        <w:gridCol w:w="683"/>
        <w:gridCol w:w="683"/>
        <w:gridCol w:w="1479"/>
        <w:gridCol w:w="1578"/>
        <w:gridCol w:w="683"/>
        <w:gridCol w:w="683"/>
        <w:gridCol w:w="683"/>
        <w:gridCol w:w="684"/>
        <w:gridCol w:w="684"/>
        <w:gridCol w:w="681"/>
      </w:tblGrid>
      <w:tr w14:paraId="544DE7FE">
        <w:tblPrEx>
          <w:tblCellMar>
            <w:top w:w="0" w:type="dxa"/>
            <w:left w:w="108" w:type="dxa"/>
            <w:bottom w:w="0" w:type="dxa"/>
            <w:right w:w="108" w:type="dxa"/>
          </w:tblCellMar>
        </w:tblPrEx>
        <w:trPr>
          <w:trHeight w:val="288" w:hRule="atLeast"/>
          <w:tblHeader/>
          <w:jc w:val="center"/>
        </w:trPr>
        <w:tc>
          <w:tcPr>
            <w:tcW w:w="4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06EFFB">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采样日期</w:t>
            </w:r>
          </w:p>
        </w:tc>
        <w:tc>
          <w:tcPr>
            <w:tcW w:w="4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3136C5">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采样点</w:t>
            </w:r>
          </w:p>
        </w:tc>
        <w:tc>
          <w:tcPr>
            <w:tcW w:w="1794"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0EDB16">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采样时间</w:t>
            </w:r>
          </w:p>
        </w:tc>
        <w:tc>
          <w:tcPr>
            <w:tcW w:w="2405" w:type="pct"/>
            <w:gridSpan w:val="6"/>
            <w:tcBorders>
              <w:top w:val="single" w:color="auto" w:sz="4" w:space="0"/>
              <w:left w:val="nil"/>
              <w:bottom w:val="single" w:color="auto" w:sz="4" w:space="0"/>
              <w:right w:val="single" w:color="000000" w:sz="4" w:space="0"/>
            </w:tcBorders>
            <w:shd w:val="clear" w:color="auto" w:fill="auto"/>
            <w:vAlign w:val="center"/>
          </w:tcPr>
          <w:p w14:paraId="03F7CBB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等效声级值dB (A)</w:t>
            </w:r>
          </w:p>
        </w:tc>
      </w:tr>
      <w:tr w14:paraId="62CCE114">
        <w:tblPrEx>
          <w:tblCellMar>
            <w:top w:w="0" w:type="dxa"/>
            <w:left w:w="108" w:type="dxa"/>
            <w:bottom w:w="0" w:type="dxa"/>
            <w:right w:w="108" w:type="dxa"/>
          </w:tblCellMar>
        </w:tblPrEx>
        <w:trPr>
          <w:trHeight w:val="288" w:hRule="atLeast"/>
          <w:tblHeader/>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4BC9D8EF">
            <w:pPr>
              <w:spacing w:line="240" w:lineRule="auto"/>
              <w:ind w:firstLine="0" w:firstLineChars="0"/>
              <w:rPr>
                <w:rFonts w:hint="eastAsia" w:ascii="宋体" w:hAnsi="宋体" w:eastAsia="宋体" w:cs="宋体"/>
                <w:b/>
                <w:bCs/>
                <w:kern w:val="0"/>
                <w:sz w:val="21"/>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1994249D">
            <w:pPr>
              <w:spacing w:line="240" w:lineRule="auto"/>
              <w:ind w:firstLine="0" w:firstLineChars="0"/>
              <w:rPr>
                <w:rFonts w:hint="eastAsia" w:ascii="宋体" w:hAnsi="宋体" w:eastAsia="宋体" w:cs="宋体"/>
                <w:b/>
                <w:bCs/>
                <w:kern w:val="0"/>
                <w:sz w:val="21"/>
              </w:rPr>
            </w:pPr>
          </w:p>
        </w:tc>
        <w:tc>
          <w:tcPr>
            <w:tcW w:w="1794" w:type="pct"/>
            <w:gridSpan w:val="2"/>
            <w:vMerge w:val="continue"/>
            <w:tcBorders>
              <w:top w:val="single" w:color="auto" w:sz="4" w:space="0"/>
              <w:left w:val="single" w:color="auto" w:sz="4" w:space="0"/>
              <w:bottom w:val="single" w:color="auto" w:sz="4" w:space="0"/>
              <w:right w:val="single" w:color="auto" w:sz="4" w:space="0"/>
            </w:tcBorders>
            <w:vAlign w:val="center"/>
          </w:tcPr>
          <w:p w14:paraId="634D6211">
            <w:pPr>
              <w:spacing w:line="240" w:lineRule="auto"/>
              <w:ind w:firstLine="0" w:firstLineChars="0"/>
              <w:rPr>
                <w:rFonts w:hint="eastAsia" w:ascii="宋体" w:hAnsi="宋体" w:eastAsia="宋体" w:cs="宋体"/>
                <w:b/>
                <w:bCs/>
                <w:kern w:val="0"/>
                <w:sz w:val="21"/>
              </w:rPr>
            </w:pPr>
          </w:p>
        </w:tc>
        <w:tc>
          <w:tcPr>
            <w:tcW w:w="1202" w:type="pct"/>
            <w:gridSpan w:val="3"/>
            <w:tcBorders>
              <w:top w:val="single" w:color="auto" w:sz="4" w:space="0"/>
              <w:left w:val="nil"/>
              <w:bottom w:val="single" w:color="auto" w:sz="4" w:space="0"/>
              <w:right w:val="single" w:color="000000" w:sz="4" w:space="0"/>
            </w:tcBorders>
            <w:shd w:val="clear" w:color="auto" w:fill="auto"/>
            <w:vAlign w:val="center"/>
          </w:tcPr>
          <w:p w14:paraId="2AB80782">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昼间</w:t>
            </w:r>
          </w:p>
        </w:tc>
        <w:tc>
          <w:tcPr>
            <w:tcW w:w="1202" w:type="pct"/>
            <w:gridSpan w:val="3"/>
            <w:tcBorders>
              <w:top w:val="single" w:color="auto" w:sz="4" w:space="0"/>
              <w:left w:val="nil"/>
              <w:bottom w:val="single" w:color="auto" w:sz="4" w:space="0"/>
              <w:right w:val="single" w:color="000000" w:sz="4" w:space="0"/>
            </w:tcBorders>
            <w:shd w:val="clear" w:color="auto" w:fill="auto"/>
            <w:vAlign w:val="center"/>
          </w:tcPr>
          <w:p w14:paraId="7104DE3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夜间</w:t>
            </w:r>
          </w:p>
        </w:tc>
      </w:tr>
      <w:tr w14:paraId="5A118237">
        <w:tblPrEx>
          <w:tblCellMar>
            <w:top w:w="0" w:type="dxa"/>
            <w:left w:w="108" w:type="dxa"/>
            <w:bottom w:w="0" w:type="dxa"/>
            <w:right w:w="108" w:type="dxa"/>
          </w:tblCellMar>
        </w:tblPrEx>
        <w:trPr>
          <w:trHeight w:val="288" w:hRule="atLeast"/>
          <w:tblHeader/>
          <w:jc w:val="center"/>
        </w:trPr>
        <w:tc>
          <w:tcPr>
            <w:tcW w:w="401" w:type="pct"/>
            <w:vMerge w:val="continue"/>
            <w:tcBorders>
              <w:top w:val="single" w:color="auto" w:sz="4" w:space="0"/>
              <w:left w:val="single" w:color="auto" w:sz="4" w:space="0"/>
              <w:bottom w:val="single" w:color="auto" w:sz="4" w:space="0"/>
              <w:right w:val="single" w:color="auto" w:sz="4" w:space="0"/>
            </w:tcBorders>
            <w:vAlign w:val="center"/>
          </w:tcPr>
          <w:p w14:paraId="68E3B007">
            <w:pPr>
              <w:spacing w:line="240" w:lineRule="auto"/>
              <w:ind w:firstLine="0" w:firstLineChars="0"/>
              <w:rPr>
                <w:rFonts w:hint="eastAsia" w:ascii="宋体" w:hAnsi="宋体" w:eastAsia="宋体" w:cs="宋体"/>
                <w:b/>
                <w:bCs/>
                <w:kern w:val="0"/>
                <w:sz w:val="21"/>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01E4EEBD">
            <w:pPr>
              <w:spacing w:line="240" w:lineRule="auto"/>
              <w:ind w:firstLine="0" w:firstLineChars="0"/>
              <w:rPr>
                <w:rFonts w:hint="eastAsia" w:ascii="宋体" w:hAnsi="宋体" w:eastAsia="宋体" w:cs="宋体"/>
                <w:b/>
                <w:bCs/>
                <w:kern w:val="0"/>
                <w:sz w:val="21"/>
              </w:rPr>
            </w:pPr>
          </w:p>
        </w:tc>
        <w:tc>
          <w:tcPr>
            <w:tcW w:w="868" w:type="pct"/>
            <w:tcBorders>
              <w:top w:val="nil"/>
              <w:left w:val="nil"/>
              <w:bottom w:val="single" w:color="auto" w:sz="4" w:space="0"/>
              <w:right w:val="single" w:color="auto" w:sz="4" w:space="0"/>
            </w:tcBorders>
            <w:shd w:val="clear" w:color="auto" w:fill="auto"/>
            <w:vAlign w:val="center"/>
          </w:tcPr>
          <w:p w14:paraId="46A7753E">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昼间</w:t>
            </w:r>
          </w:p>
        </w:tc>
        <w:tc>
          <w:tcPr>
            <w:tcW w:w="925" w:type="pct"/>
            <w:tcBorders>
              <w:top w:val="nil"/>
              <w:left w:val="nil"/>
              <w:bottom w:val="single" w:color="auto" w:sz="4" w:space="0"/>
              <w:right w:val="single" w:color="auto" w:sz="4" w:space="0"/>
            </w:tcBorders>
            <w:shd w:val="clear" w:color="auto" w:fill="auto"/>
            <w:vAlign w:val="center"/>
          </w:tcPr>
          <w:p w14:paraId="2149A84A">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夜间</w:t>
            </w:r>
          </w:p>
        </w:tc>
        <w:tc>
          <w:tcPr>
            <w:tcW w:w="401" w:type="pct"/>
            <w:tcBorders>
              <w:top w:val="nil"/>
              <w:left w:val="nil"/>
              <w:bottom w:val="single" w:color="auto" w:sz="4" w:space="0"/>
              <w:right w:val="single" w:color="auto" w:sz="4" w:space="0"/>
            </w:tcBorders>
            <w:shd w:val="clear" w:color="auto" w:fill="auto"/>
            <w:vAlign w:val="center"/>
          </w:tcPr>
          <w:p w14:paraId="21C9E46B">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监测值</w:t>
            </w:r>
          </w:p>
        </w:tc>
        <w:tc>
          <w:tcPr>
            <w:tcW w:w="401" w:type="pct"/>
            <w:tcBorders>
              <w:top w:val="nil"/>
              <w:left w:val="nil"/>
              <w:bottom w:val="single" w:color="auto" w:sz="4" w:space="0"/>
              <w:right w:val="single" w:color="auto" w:sz="4" w:space="0"/>
            </w:tcBorders>
            <w:shd w:val="clear" w:color="auto" w:fill="auto"/>
            <w:vAlign w:val="center"/>
          </w:tcPr>
          <w:p w14:paraId="594CA5ED">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标准值</w:t>
            </w:r>
          </w:p>
        </w:tc>
        <w:tc>
          <w:tcPr>
            <w:tcW w:w="401" w:type="pct"/>
            <w:tcBorders>
              <w:top w:val="nil"/>
              <w:left w:val="nil"/>
              <w:bottom w:val="single" w:color="auto" w:sz="4" w:space="0"/>
              <w:right w:val="single" w:color="auto" w:sz="4" w:space="0"/>
            </w:tcBorders>
            <w:shd w:val="clear" w:color="auto" w:fill="auto"/>
            <w:vAlign w:val="center"/>
          </w:tcPr>
          <w:p w14:paraId="6C8652C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达标情况</w:t>
            </w:r>
          </w:p>
        </w:tc>
        <w:tc>
          <w:tcPr>
            <w:tcW w:w="401" w:type="pct"/>
            <w:tcBorders>
              <w:top w:val="nil"/>
              <w:left w:val="nil"/>
              <w:bottom w:val="single" w:color="auto" w:sz="4" w:space="0"/>
              <w:right w:val="single" w:color="auto" w:sz="4" w:space="0"/>
            </w:tcBorders>
            <w:shd w:val="clear" w:color="auto" w:fill="auto"/>
            <w:vAlign w:val="center"/>
          </w:tcPr>
          <w:p w14:paraId="7821B843">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监测值</w:t>
            </w:r>
          </w:p>
        </w:tc>
        <w:tc>
          <w:tcPr>
            <w:tcW w:w="401" w:type="pct"/>
            <w:tcBorders>
              <w:top w:val="nil"/>
              <w:left w:val="nil"/>
              <w:bottom w:val="single" w:color="auto" w:sz="4" w:space="0"/>
              <w:right w:val="single" w:color="auto" w:sz="4" w:space="0"/>
            </w:tcBorders>
            <w:shd w:val="clear" w:color="auto" w:fill="auto"/>
            <w:vAlign w:val="center"/>
          </w:tcPr>
          <w:p w14:paraId="40A6CFCF">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标准值</w:t>
            </w:r>
          </w:p>
        </w:tc>
        <w:tc>
          <w:tcPr>
            <w:tcW w:w="401" w:type="pct"/>
            <w:tcBorders>
              <w:top w:val="nil"/>
              <w:left w:val="nil"/>
              <w:bottom w:val="single" w:color="auto" w:sz="4" w:space="0"/>
              <w:right w:val="single" w:color="auto" w:sz="4" w:space="0"/>
            </w:tcBorders>
            <w:shd w:val="clear" w:color="auto" w:fill="auto"/>
            <w:vAlign w:val="center"/>
          </w:tcPr>
          <w:p w14:paraId="5A7F2093">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达标情况</w:t>
            </w:r>
          </w:p>
        </w:tc>
      </w:tr>
      <w:tr w14:paraId="319C6808">
        <w:tblPrEx>
          <w:tblCellMar>
            <w:top w:w="0" w:type="dxa"/>
            <w:left w:w="108" w:type="dxa"/>
            <w:bottom w:w="0" w:type="dxa"/>
            <w:right w:w="108" w:type="dxa"/>
          </w:tblCellMar>
        </w:tblPrEx>
        <w:trPr>
          <w:trHeight w:val="288" w:hRule="atLeast"/>
          <w:jc w:val="center"/>
        </w:trPr>
        <w:tc>
          <w:tcPr>
            <w:tcW w:w="401" w:type="pct"/>
            <w:vMerge w:val="restart"/>
            <w:tcBorders>
              <w:top w:val="nil"/>
              <w:left w:val="single" w:color="auto" w:sz="4" w:space="0"/>
              <w:bottom w:val="single" w:color="auto" w:sz="4" w:space="0"/>
              <w:right w:val="single" w:color="auto" w:sz="4" w:space="0"/>
            </w:tcBorders>
            <w:shd w:val="clear" w:color="auto" w:fill="auto"/>
            <w:vAlign w:val="center"/>
          </w:tcPr>
          <w:p w14:paraId="6CBD5783">
            <w:pPr>
              <w:spacing w:line="240" w:lineRule="auto"/>
              <w:ind w:firstLine="0" w:firstLineChars="0"/>
              <w:jc w:val="center"/>
              <w:rPr>
                <w:rFonts w:eastAsia="等线" w:cs="Times New Roman"/>
                <w:kern w:val="0"/>
                <w:sz w:val="21"/>
              </w:rPr>
            </w:pPr>
            <w:r>
              <w:rPr>
                <w:rFonts w:eastAsia="等线" w:cs="Times New Roman"/>
                <w:kern w:val="0"/>
                <w:sz w:val="21"/>
              </w:rPr>
              <w:t>8月16日</w:t>
            </w:r>
          </w:p>
        </w:tc>
        <w:tc>
          <w:tcPr>
            <w:tcW w:w="401" w:type="pct"/>
            <w:tcBorders>
              <w:top w:val="nil"/>
              <w:left w:val="nil"/>
              <w:bottom w:val="single" w:color="auto" w:sz="4" w:space="0"/>
              <w:right w:val="single" w:color="auto" w:sz="4" w:space="0"/>
            </w:tcBorders>
            <w:shd w:val="clear" w:color="auto" w:fill="auto"/>
            <w:vAlign w:val="center"/>
          </w:tcPr>
          <w:p w14:paraId="36D32D22">
            <w:pPr>
              <w:spacing w:line="240" w:lineRule="auto"/>
              <w:ind w:firstLine="0" w:firstLineChars="0"/>
              <w:jc w:val="center"/>
              <w:rPr>
                <w:rFonts w:eastAsia="等线" w:cs="Times New Roman"/>
                <w:kern w:val="0"/>
                <w:sz w:val="21"/>
              </w:rPr>
            </w:pPr>
            <w:r>
              <w:rPr>
                <w:rFonts w:eastAsia="等线" w:cs="Times New Roman"/>
                <w:kern w:val="0"/>
                <w:sz w:val="21"/>
              </w:rPr>
              <w:t>N1</w:t>
            </w:r>
          </w:p>
        </w:tc>
        <w:tc>
          <w:tcPr>
            <w:tcW w:w="868" w:type="pct"/>
            <w:tcBorders>
              <w:top w:val="nil"/>
              <w:left w:val="nil"/>
              <w:bottom w:val="single" w:color="auto" w:sz="4" w:space="0"/>
              <w:right w:val="single" w:color="auto" w:sz="4" w:space="0"/>
            </w:tcBorders>
            <w:shd w:val="clear" w:color="auto" w:fill="auto"/>
            <w:vAlign w:val="center"/>
          </w:tcPr>
          <w:p w14:paraId="5E774498">
            <w:pPr>
              <w:spacing w:line="240" w:lineRule="auto"/>
              <w:ind w:firstLine="0" w:firstLineChars="0"/>
              <w:jc w:val="center"/>
              <w:rPr>
                <w:rFonts w:eastAsia="等线" w:cs="Times New Roman"/>
                <w:kern w:val="0"/>
                <w:sz w:val="21"/>
              </w:rPr>
            </w:pPr>
            <w:r>
              <w:rPr>
                <w:rFonts w:eastAsia="等线" w:cs="Times New Roman"/>
                <w:kern w:val="0"/>
                <w:sz w:val="21"/>
              </w:rPr>
              <w:t>15:34-15:44</w:t>
            </w:r>
          </w:p>
        </w:tc>
        <w:tc>
          <w:tcPr>
            <w:tcW w:w="925" w:type="pct"/>
            <w:tcBorders>
              <w:top w:val="nil"/>
              <w:left w:val="nil"/>
              <w:bottom w:val="single" w:color="auto" w:sz="4" w:space="0"/>
              <w:right w:val="single" w:color="auto" w:sz="4" w:space="0"/>
            </w:tcBorders>
            <w:shd w:val="clear" w:color="auto" w:fill="auto"/>
            <w:vAlign w:val="center"/>
          </w:tcPr>
          <w:p w14:paraId="208F73DB">
            <w:pPr>
              <w:spacing w:line="240" w:lineRule="auto"/>
              <w:ind w:firstLine="0" w:firstLineChars="0"/>
              <w:jc w:val="center"/>
              <w:rPr>
                <w:rFonts w:eastAsia="等线" w:cs="Times New Roman"/>
                <w:kern w:val="0"/>
                <w:sz w:val="21"/>
              </w:rPr>
            </w:pPr>
            <w:r>
              <w:rPr>
                <w:rFonts w:eastAsia="等线" w:cs="Times New Roman"/>
                <w:kern w:val="0"/>
                <w:sz w:val="21"/>
              </w:rPr>
              <w:t>22:03-22:13</w:t>
            </w:r>
          </w:p>
        </w:tc>
        <w:tc>
          <w:tcPr>
            <w:tcW w:w="401" w:type="pct"/>
            <w:tcBorders>
              <w:top w:val="nil"/>
              <w:left w:val="nil"/>
              <w:bottom w:val="single" w:color="auto" w:sz="4" w:space="0"/>
              <w:right w:val="single" w:color="auto" w:sz="4" w:space="0"/>
            </w:tcBorders>
            <w:shd w:val="clear" w:color="auto" w:fill="auto"/>
            <w:vAlign w:val="center"/>
          </w:tcPr>
          <w:p w14:paraId="3A5C5CF8">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046769B8">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0E4F603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162B8D9B">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1FE42271">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0E0A063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0181947C">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584FD9C4">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0A620C66">
            <w:pPr>
              <w:spacing w:line="240" w:lineRule="auto"/>
              <w:ind w:firstLine="0" w:firstLineChars="0"/>
              <w:jc w:val="center"/>
              <w:rPr>
                <w:rFonts w:eastAsia="等线" w:cs="Times New Roman"/>
                <w:kern w:val="0"/>
                <w:sz w:val="21"/>
              </w:rPr>
            </w:pPr>
            <w:r>
              <w:rPr>
                <w:rFonts w:eastAsia="等线" w:cs="Times New Roman"/>
                <w:kern w:val="0"/>
                <w:sz w:val="21"/>
              </w:rPr>
              <w:t>N2</w:t>
            </w:r>
          </w:p>
        </w:tc>
        <w:tc>
          <w:tcPr>
            <w:tcW w:w="868" w:type="pct"/>
            <w:tcBorders>
              <w:top w:val="nil"/>
              <w:left w:val="nil"/>
              <w:bottom w:val="single" w:color="auto" w:sz="4" w:space="0"/>
              <w:right w:val="single" w:color="auto" w:sz="4" w:space="0"/>
            </w:tcBorders>
            <w:shd w:val="clear" w:color="auto" w:fill="auto"/>
            <w:vAlign w:val="center"/>
          </w:tcPr>
          <w:p w14:paraId="6E825083">
            <w:pPr>
              <w:spacing w:line="240" w:lineRule="auto"/>
              <w:ind w:firstLine="0" w:firstLineChars="0"/>
              <w:jc w:val="center"/>
              <w:rPr>
                <w:rFonts w:eastAsia="等线" w:cs="Times New Roman"/>
                <w:kern w:val="0"/>
                <w:sz w:val="21"/>
              </w:rPr>
            </w:pPr>
            <w:r>
              <w:rPr>
                <w:rFonts w:eastAsia="等线" w:cs="Times New Roman"/>
                <w:kern w:val="0"/>
                <w:sz w:val="21"/>
              </w:rPr>
              <w:t>15:49-15:59</w:t>
            </w:r>
          </w:p>
        </w:tc>
        <w:tc>
          <w:tcPr>
            <w:tcW w:w="925" w:type="pct"/>
            <w:tcBorders>
              <w:top w:val="nil"/>
              <w:left w:val="nil"/>
              <w:bottom w:val="single" w:color="auto" w:sz="4" w:space="0"/>
              <w:right w:val="single" w:color="auto" w:sz="4" w:space="0"/>
            </w:tcBorders>
            <w:shd w:val="clear" w:color="auto" w:fill="auto"/>
            <w:vAlign w:val="center"/>
          </w:tcPr>
          <w:p w14:paraId="185798EB">
            <w:pPr>
              <w:spacing w:line="240" w:lineRule="auto"/>
              <w:ind w:firstLine="0" w:firstLineChars="0"/>
              <w:jc w:val="center"/>
              <w:rPr>
                <w:rFonts w:eastAsia="等线" w:cs="Times New Roman"/>
                <w:kern w:val="0"/>
                <w:sz w:val="21"/>
              </w:rPr>
            </w:pPr>
            <w:r>
              <w:rPr>
                <w:rFonts w:eastAsia="等线" w:cs="Times New Roman"/>
                <w:kern w:val="0"/>
                <w:sz w:val="21"/>
              </w:rPr>
              <w:t>22:19-22:29</w:t>
            </w:r>
          </w:p>
        </w:tc>
        <w:tc>
          <w:tcPr>
            <w:tcW w:w="401" w:type="pct"/>
            <w:tcBorders>
              <w:top w:val="nil"/>
              <w:left w:val="nil"/>
              <w:bottom w:val="single" w:color="auto" w:sz="4" w:space="0"/>
              <w:right w:val="single" w:color="auto" w:sz="4" w:space="0"/>
            </w:tcBorders>
            <w:shd w:val="clear" w:color="auto" w:fill="auto"/>
            <w:vAlign w:val="center"/>
          </w:tcPr>
          <w:p w14:paraId="7392356D">
            <w:pPr>
              <w:spacing w:line="240" w:lineRule="auto"/>
              <w:ind w:firstLine="0" w:firstLineChars="0"/>
              <w:jc w:val="center"/>
              <w:rPr>
                <w:rFonts w:eastAsia="等线" w:cs="Times New Roman"/>
                <w:kern w:val="0"/>
                <w:sz w:val="21"/>
              </w:rPr>
            </w:pPr>
            <w:r>
              <w:rPr>
                <w:rFonts w:eastAsia="等线" w:cs="Times New Roman"/>
                <w:kern w:val="0"/>
                <w:sz w:val="21"/>
              </w:rPr>
              <w:t>54</w:t>
            </w:r>
          </w:p>
        </w:tc>
        <w:tc>
          <w:tcPr>
            <w:tcW w:w="401" w:type="pct"/>
            <w:tcBorders>
              <w:top w:val="nil"/>
              <w:left w:val="nil"/>
              <w:bottom w:val="single" w:color="auto" w:sz="4" w:space="0"/>
              <w:right w:val="single" w:color="auto" w:sz="4" w:space="0"/>
            </w:tcBorders>
            <w:shd w:val="clear" w:color="auto" w:fill="auto"/>
            <w:vAlign w:val="center"/>
          </w:tcPr>
          <w:p w14:paraId="4B18906E">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0869B34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5A0FE3DD">
            <w:pPr>
              <w:spacing w:line="240" w:lineRule="auto"/>
              <w:ind w:firstLine="0" w:firstLineChars="0"/>
              <w:jc w:val="center"/>
              <w:rPr>
                <w:rFonts w:eastAsia="等线" w:cs="Times New Roman"/>
                <w:kern w:val="0"/>
                <w:sz w:val="21"/>
              </w:rPr>
            </w:pPr>
            <w:r>
              <w:rPr>
                <w:rFonts w:eastAsia="等线" w:cs="Times New Roman"/>
                <w:kern w:val="0"/>
                <w:sz w:val="21"/>
              </w:rPr>
              <w:t>41</w:t>
            </w:r>
          </w:p>
        </w:tc>
        <w:tc>
          <w:tcPr>
            <w:tcW w:w="401" w:type="pct"/>
            <w:tcBorders>
              <w:top w:val="nil"/>
              <w:left w:val="nil"/>
              <w:bottom w:val="single" w:color="auto" w:sz="4" w:space="0"/>
              <w:right w:val="single" w:color="auto" w:sz="4" w:space="0"/>
            </w:tcBorders>
            <w:shd w:val="clear" w:color="auto" w:fill="auto"/>
            <w:vAlign w:val="center"/>
          </w:tcPr>
          <w:p w14:paraId="2EA58827">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1F65051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4D0AECB8">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632A0AF3">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5EF2E511">
            <w:pPr>
              <w:spacing w:line="240" w:lineRule="auto"/>
              <w:ind w:firstLine="0" w:firstLineChars="0"/>
              <w:jc w:val="center"/>
              <w:rPr>
                <w:rFonts w:eastAsia="等线" w:cs="Times New Roman"/>
                <w:kern w:val="0"/>
                <w:sz w:val="21"/>
              </w:rPr>
            </w:pPr>
            <w:r>
              <w:rPr>
                <w:rFonts w:eastAsia="等线" w:cs="Times New Roman"/>
                <w:kern w:val="0"/>
                <w:sz w:val="21"/>
              </w:rPr>
              <w:t>N3</w:t>
            </w:r>
          </w:p>
        </w:tc>
        <w:tc>
          <w:tcPr>
            <w:tcW w:w="868" w:type="pct"/>
            <w:tcBorders>
              <w:top w:val="nil"/>
              <w:left w:val="nil"/>
              <w:bottom w:val="single" w:color="auto" w:sz="4" w:space="0"/>
              <w:right w:val="single" w:color="auto" w:sz="4" w:space="0"/>
            </w:tcBorders>
            <w:shd w:val="clear" w:color="auto" w:fill="auto"/>
            <w:vAlign w:val="center"/>
          </w:tcPr>
          <w:p w14:paraId="274AABD9">
            <w:pPr>
              <w:spacing w:line="240" w:lineRule="auto"/>
              <w:ind w:firstLine="0" w:firstLineChars="0"/>
              <w:jc w:val="center"/>
              <w:rPr>
                <w:rFonts w:eastAsia="等线" w:cs="Times New Roman"/>
                <w:kern w:val="0"/>
                <w:sz w:val="21"/>
              </w:rPr>
            </w:pPr>
            <w:r>
              <w:rPr>
                <w:rFonts w:eastAsia="等线" w:cs="Times New Roman"/>
                <w:kern w:val="0"/>
                <w:sz w:val="21"/>
              </w:rPr>
              <w:t>16:07-16:17</w:t>
            </w:r>
          </w:p>
        </w:tc>
        <w:tc>
          <w:tcPr>
            <w:tcW w:w="925" w:type="pct"/>
            <w:tcBorders>
              <w:top w:val="nil"/>
              <w:left w:val="nil"/>
              <w:bottom w:val="single" w:color="auto" w:sz="4" w:space="0"/>
              <w:right w:val="single" w:color="auto" w:sz="4" w:space="0"/>
            </w:tcBorders>
            <w:shd w:val="clear" w:color="auto" w:fill="auto"/>
            <w:vAlign w:val="center"/>
          </w:tcPr>
          <w:p w14:paraId="76AF622B">
            <w:pPr>
              <w:spacing w:line="240" w:lineRule="auto"/>
              <w:ind w:firstLine="0" w:firstLineChars="0"/>
              <w:jc w:val="center"/>
              <w:rPr>
                <w:rFonts w:eastAsia="等线" w:cs="Times New Roman"/>
                <w:kern w:val="0"/>
                <w:sz w:val="21"/>
              </w:rPr>
            </w:pPr>
            <w:r>
              <w:rPr>
                <w:rFonts w:eastAsia="等线" w:cs="Times New Roman"/>
                <w:kern w:val="0"/>
                <w:sz w:val="21"/>
              </w:rPr>
              <w:t>22:34-22:44</w:t>
            </w:r>
          </w:p>
        </w:tc>
        <w:tc>
          <w:tcPr>
            <w:tcW w:w="401" w:type="pct"/>
            <w:tcBorders>
              <w:top w:val="nil"/>
              <w:left w:val="nil"/>
              <w:bottom w:val="single" w:color="auto" w:sz="4" w:space="0"/>
              <w:right w:val="single" w:color="auto" w:sz="4" w:space="0"/>
            </w:tcBorders>
            <w:shd w:val="clear" w:color="auto" w:fill="auto"/>
            <w:vAlign w:val="center"/>
          </w:tcPr>
          <w:p w14:paraId="4156109E">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1DC86720">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2C28F56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3A5BC597">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6DB802C7">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474F6CB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278CADBA">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37281DD2">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190CC600">
            <w:pPr>
              <w:spacing w:line="240" w:lineRule="auto"/>
              <w:ind w:firstLine="0" w:firstLineChars="0"/>
              <w:jc w:val="center"/>
              <w:rPr>
                <w:rFonts w:eastAsia="等线" w:cs="Times New Roman"/>
                <w:kern w:val="0"/>
                <w:sz w:val="21"/>
              </w:rPr>
            </w:pPr>
            <w:r>
              <w:rPr>
                <w:rFonts w:eastAsia="等线" w:cs="Times New Roman"/>
                <w:kern w:val="0"/>
                <w:sz w:val="21"/>
              </w:rPr>
              <w:t>N4</w:t>
            </w:r>
          </w:p>
        </w:tc>
        <w:tc>
          <w:tcPr>
            <w:tcW w:w="868" w:type="pct"/>
            <w:tcBorders>
              <w:top w:val="nil"/>
              <w:left w:val="nil"/>
              <w:bottom w:val="single" w:color="auto" w:sz="4" w:space="0"/>
              <w:right w:val="single" w:color="auto" w:sz="4" w:space="0"/>
            </w:tcBorders>
            <w:shd w:val="clear" w:color="auto" w:fill="auto"/>
            <w:vAlign w:val="center"/>
          </w:tcPr>
          <w:p w14:paraId="1A14B722">
            <w:pPr>
              <w:spacing w:line="240" w:lineRule="auto"/>
              <w:ind w:firstLine="0" w:firstLineChars="0"/>
              <w:jc w:val="center"/>
              <w:rPr>
                <w:rFonts w:eastAsia="等线" w:cs="Times New Roman"/>
                <w:kern w:val="0"/>
                <w:sz w:val="21"/>
              </w:rPr>
            </w:pPr>
            <w:r>
              <w:rPr>
                <w:rFonts w:eastAsia="等线" w:cs="Times New Roman"/>
                <w:kern w:val="0"/>
                <w:sz w:val="21"/>
              </w:rPr>
              <w:t>16:24-16:34</w:t>
            </w:r>
          </w:p>
        </w:tc>
        <w:tc>
          <w:tcPr>
            <w:tcW w:w="925" w:type="pct"/>
            <w:tcBorders>
              <w:top w:val="nil"/>
              <w:left w:val="nil"/>
              <w:bottom w:val="single" w:color="auto" w:sz="4" w:space="0"/>
              <w:right w:val="single" w:color="auto" w:sz="4" w:space="0"/>
            </w:tcBorders>
            <w:shd w:val="clear" w:color="auto" w:fill="auto"/>
            <w:vAlign w:val="center"/>
          </w:tcPr>
          <w:p w14:paraId="27C2519E">
            <w:pPr>
              <w:spacing w:line="240" w:lineRule="auto"/>
              <w:ind w:firstLine="0" w:firstLineChars="0"/>
              <w:jc w:val="center"/>
              <w:rPr>
                <w:rFonts w:eastAsia="等线" w:cs="Times New Roman"/>
                <w:kern w:val="0"/>
                <w:sz w:val="21"/>
              </w:rPr>
            </w:pPr>
            <w:r>
              <w:rPr>
                <w:rFonts w:eastAsia="等线" w:cs="Times New Roman"/>
                <w:kern w:val="0"/>
                <w:sz w:val="21"/>
              </w:rPr>
              <w:t>22:48-22:58</w:t>
            </w:r>
          </w:p>
        </w:tc>
        <w:tc>
          <w:tcPr>
            <w:tcW w:w="401" w:type="pct"/>
            <w:tcBorders>
              <w:top w:val="nil"/>
              <w:left w:val="nil"/>
              <w:bottom w:val="single" w:color="auto" w:sz="4" w:space="0"/>
              <w:right w:val="single" w:color="auto" w:sz="4" w:space="0"/>
            </w:tcBorders>
            <w:shd w:val="clear" w:color="auto" w:fill="auto"/>
            <w:vAlign w:val="center"/>
          </w:tcPr>
          <w:p w14:paraId="64C1F210">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7F703D94">
            <w:pPr>
              <w:spacing w:line="240" w:lineRule="auto"/>
              <w:ind w:firstLine="0" w:firstLineChars="0"/>
              <w:jc w:val="center"/>
              <w:rPr>
                <w:rFonts w:eastAsia="等线" w:cs="Times New Roman"/>
                <w:kern w:val="0"/>
                <w:sz w:val="21"/>
              </w:rPr>
            </w:pPr>
            <w:r>
              <w:rPr>
                <w:rFonts w:eastAsia="等线" w:cs="Times New Roman"/>
                <w:kern w:val="0"/>
                <w:sz w:val="21"/>
              </w:rPr>
              <w:t>70</w:t>
            </w:r>
          </w:p>
        </w:tc>
        <w:tc>
          <w:tcPr>
            <w:tcW w:w="401" w:type="pct"/>
            <w:tcBorders>
              <w:top w:val="nil"/>
              <w:left w:val="nil"/>
              <w:bottom w:val="single" w:color="auto" w:sz="4" w:space="0"/>
              <w:right w:val="single" w:color="auto" w:sz="4" w:space="0"/>
            </w:tcBorders>
            <w:shd w:val="clear" w:color="auto" w:fill="auto"/>
            <w:vAlign w:val="center"/>
          </w:tcPr>
          <w:p w14:paraId="0FF75AF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1F6892EA">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09D8D9CD">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5F28493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9AF1C97">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5AF172A3">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7BC7CEA6">
            <w:pPr>
              <w:spacing w:line="240" w:lineRule="auto"/>
              <w:ind w:firstLine="0" w:firstLineChars="0"/>
              <w:jc w:val="center"/>
              <w:rPr>
                <w:rFonts w:eastAsia="等线" w:cs="Times New Roman"/>
                <w:kern w:val="0"/>
                <w:sz w:val="21"/>
              </w:rPr>
            </w:pPr>
            <w:r>
              <w:rPr>
                <w:rFonts w:eastAsia="等线" w:cs="Times New Roman"/>
                <w:kern w:val="0"/>
                <w:sz w:val="21"/>
              </w:rPr>
              <w:t>N5</w:t>
            </w:r>
          </w:p>
        </w:tc>
        <w:tc>
          <w:tcPr>
            <w:tcW w:w="868" w:type="pct"/>
            <w:tcBorders>
              <w:top w:val="nil"/>
              <w:left w:val="nil"/>
              <w:bottom w:val="single" w:color="auto" w:sz="4" w:space="0"/>
              <w:right w:val="single" w:color="auto" w:sz="4" w:space="0"/>
            </w:tcBorders>
            <w:shd w:val="clear" w:color="auto" w:fill="auto"/>
            <w:vAlign w:val="center"/>
          </w:tcPr>
          <w:p w14:paraId="3B4FA4AD">
            <w:pPr>
              <w:spacing w:line="240" w:lineRule="auto"/>
              <w:ind w:firstLine="0" w:firstLineChars="0"/>
              <w:jc w:val="center"/>
              <w:rPr>
                <w:rFonts w:eastAsia="等线" w:cs="Times New Roman"/>
                <w:kern w:val="0"/>
                <w:sz w:val="21"/>
              </w:rPr>
            </w:pPr>
            <w:r>
              <w:rPr>
                <w:rFonts w:eastAsia="等线" w:cs="Times New Roman"/>
                <w:kern w:val="0"/>
                <w:sz w:val="21"/>
              </w:rPr>
              <w:t>16:40-16:50</w:t>
            </w:r>
          </w:p>
        </w:tc>
        <w:tc>
          <w:tcPr>
            <w:tcW w:w="925" w:type="pct"/>
            <w:tcBorders>
              <w:top w:val="nil"/>
              <w:left w:val="nil"/>
              <w:bottom w:val="single" w:color="auto" w:sz="4" w:space="0"/>
              <w:right w:val="single" w:color="auto" w:sz="4" w:space="0"/>
            </w:tcBorders>
            <w:shd w:val="clear" w:color="auto" w:fill="auto"/>
            <w:vAlign w:val="center"/>
          </w:tcPr>
          <w:p w14:paraId="796D49C0">
            <w:pPr>
              <w:spacing w:line="240" w:lineRule="auto"/>
              <w:ind w:firstLine="0" w:firstLineChars="0"/>
              <w:jc w:val="center"/>
              <w:rPr>
                <w:rFonts w:eastAsia="等线" w:cs="Times New Roman"/>
                <w:kern w:val="0"/>
                <w:sz w:val="21"/>
              </w:rPr>
            </w:pPr>
            <w:r>
              <w:rPr>
                <w:rFonts w:eastAsia="等线" w:cs="Times New Roman"/>
                <w:kern w:val="0"/>
                <w:sz w:val="21"/>
              </w:rPr>
              <w:t>23:03-23:13</w:t>
            </w:r>
          </w:p>
        </w:tc>
        <w:tc>
          <w:tcPr>
            <w:tcW w:w="401" w:type="pct"/>
            <w:tcBorders>
              <w:top w:val="nil"/>
              <w:left w:val="nil"/>
              <w:bottom w:val="single" w:color="auto" w:sz="4" w:space="0"/>
              <w:right w:val="single" w:color="auto" w:sz="4" w:space="0"/>
            </w:tcBorders>
            <w:shd w:val="clear" w:color="auto" w:fill="auto"/>
            <w:vAlign w:val="center"/>
          </w:tcPr>
          <w:p w14:paraId="70B340D6">
            <w:pPr>
              <w:spacing w:line="240" w:lineRule="auto"/>
              <w:ind w:firstLine="0" w:firstLineChars="0"/>
              <w:jc w:val="center"/>
              <w:rPr>
                <w:rFonts w:eastAsia="等线" w:cs="Times New Roman"/>
                <w:kern w:val="0"/>
                <w:sz w:val="21"/>
              </w:rPr>
            </w:pPr>
            <w:r>
              <w:rPr>
                <w:rFonts w:eastAsia="等线" w:cs="Times New Roman"/>
                <w:kern w:val="0"/>
                <w:sz w:val="21"/>
              </w:rPr>
              <w:t>54</w:t>
            </w:r>
          </w:p>
        </w:tc>
        <w:tc>
          <w:tcPr>
            <w:tcW w:w="401" w:type="pct"/>
            <w:tcBorders>
              <w:top w:val="nil"/>
              <w:left w:val="nil"/>
              <w:bottom w:val="single" w:color="auto" w:sz="4" w:space="0"/>
              <w:right w:val="single" w:color="auto" w:sz="4" w:space="0"/>
            </w:tcBorders>
            <w:shd w:val="clear" w:color="auto" w:fill="auto"/>
            <w:vAlign w:val="center"/>
          </w:tcPr>
          <w:p w14:paraId="27CB35C6">
            <w:pPr>
              <w:spacing w:line="240" w:lineRule="auto"/>
              <w:ind w:firstLine="0" w:firstLineChars="0"/>
              <w:jc w:val="center"/>
              <w:rPr>
                <w:rFonts w:eastAsia="等线" w:cs="Times New Roman"/>
                <w:kern w:val="0"/>
                <w:sz w:val="21"/>
              </w:rPr>
            </w:pPr>
            <w:r>
              <w:rPr>
                <w:rFonts w:eastAsia="等线" w:cs="Times New Roman"/>
                <w:kern w:val="0"/>
                <w:sz w:val="21"/>
              </w:rPr>
              <w:t>70</w:t>
            </w:r>
          </w:p>
        </w:tc>
        <w:tc>
          <w:tcPr>
            <w:tcW w:w="401" w:type="pct"/>
            <w:tcBorders>
              <w:top w:val="nil"/>
              <w:left w:val="nil"/>
              <w:bottom w:val="single" w:color="auto" w:sz="4" w:space="0"/>
              <w:right w:val="single" w:color="auto" w:sz="4" w:space="0"/>
            </w:tcBorders>
            <w:shd w:val="clear" w:color="auto" w:fill="auto"/>
            <w:vAlign w:val="center"/>
          </w:tcPr>
          <w:p w14:paraId="39DAB34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161CE6DE">
            <w:pPr>
              <w:spacing w:line="240" w:lineRule="auto"/>
              <w:ind w:firstLine="0" w:firstLineChars="0"/>
              <w:jc w:val="center"/>
              <w:rPr>
                <w:rFonts w:eastAsia="等线" w:cs="Times New Roman"/>
                <w:kern w:val="0"/>
                <w:sz w:val="21"/>
              </w:rPr>
            </w:pPr>
            <w:r>
              <w:rPr>
                <w:rFonts w:eastAsia="等线" w:cs="Times New Roman"/>
                <w:kern w:val="0"/>
                <w:sz w:val="21"/>
              </w:rPr>
              <w:t>41</w:t>
            </w:r>
          </w:p>
        </w:tc>
        <w:tc>
          <w:tcPr>
            <w:tcW w:w="401" w:type="pct"/>
            <w:tcBorders>
              <w:top w:val="nil"/>
              <w:left w:val="nil"/>
              <w:bottom w:val="single" w:color="auto" w:sz="4" w:space="0"/>
              <w:right w:val="single" w:color="auto" w:sz="4" w:space="0"/>
            </w:tcBorders>
            <w:shd w:val="clear" w:color="auto" w:fill="auto"/>
            <w:vAlign w:val="center"/>
          </w:tcPr>
          <w:p w14:paraId="6DD182FA">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199A90B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4176BBBF">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2DE8B1B6">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52F65953">
            <w:pPr>
              <w:spacing w:line="240" w:lineRule="auto"/>
              <w:ind w:firstLine="0" w:firstLineChars="0"/>
              <w:jc w:val="center"/>
              <w:rPr>
                <w:rFonts w:eastAsia="等线" w:cs="Times New Roman"/>
                <w:kern w:val="0"/>
                <w:sz w:val="21"/>
              </w:rPr>
            </w:pPr>
            <w:r>
              <w:rPr>
                <w:rFonts w:eastAsia="等线" w:cs="Times New Roman"/>
                <w:kern w:val="0"/>
                <w:sz w:val="21"/>
              </w:rPr>
              <w:t>N6</w:t>
            </w:r>
          </w:p>
        </w:tc>
        <w:tc>
          <w:tcPr>
            <w:tcW w:w="868" w:type="pct"/>
            <w:tcBorders>
              <w:top w:val="nil"/>
              <w:left w:val="nil"/>
              <w:bottom w:val="single" w:color="auto" w:sz="4" w:space="0"/>
              <w:right w:val="single" w:color="auto" w:sz="4" w:space="0"/>
            </w:tcBorders>
            <w:shd w:val="clear" w:color="auto" w:fill="auto"/>
            <w:vAlign w:val="center"/>
          </w:tcPr>
          <w:p w14:paraId="4FCDA68F">
            <w:pPr>
              <w:spacing w:line="240" w:lineRule="auto"/>
              <w:ind w:firstLine="0" w:firstLineChars="0"/>
              <w:jc w:val="center"/>
              <w:rPr>
                <w:rFonts w:eastAsia="等线" w:cs="Times New Roman"/>
                <w:kern w:val="0"/>
                <w:sz w:val="21"/>
              </w:rPr>
            </w:pPr>
            <w:r>
              <w:rPr>
                <w:rFonts w:eastAsia="等线" w:cs="Times New Roman"/>
                <w:kern w:val="0"/>
                <w:sz w:val="21"/>
              </w:rPr>
              <w:t>16:55-17:05</w:t>
            </w:r>
          </w:p>
        </w:tc>
        <w:tc>
          <w:tcPr>
            <w:tcW w:w="925" w:type="pct"/>
            <w:tcBorders>
              <w:top w:val="nil"/>
              <w:left w:val="nil"/>
              <w:bottom w:val="single" w:color="auto" w:sz="4" w:space="0"/>
              <w:right w:val="single" w:color="auto" w:sz="4" w:space="0"/>
            </w:tcBorders>
            <w:shd w:val="clear" w:color="auto" w:fill="auto"/>
            <w:vAlign w:val="center"/>
          </w:tcPr>
          <w:p w14:paraId="1F7B9AE3">
            <w:pPr>
              <w:spacing w:line="240" w:lineRule="auto"/>
              <w:ind w:firstLine="0" w:firstLineChars="0"/>
              <w:jc w:val="center"/>
              <w:rPr>
                <w:rFonts w:eastAsia="等线" w:cs="Times New Roman"/>
                <w:kern w:val="0"/>
                <w:sz w:val="21"/>
              </w:rPr>
            </w:pPr>
            <w:r>
              <w:rPr>
                <w:rFonts w:eastAsia="等线" w:cs="Times New Roman"/>
                <w:kern w:val="0"/>
                <w:sz w:val="21"/>
              </w:rPr>
              <w:t>23:19-23:29</w:t>
            </w:r>
          </w:p>
        </w:tc>
        <w:tc>
          <w:tcPr>
            <w:tcW w:w="401" w:type="pct"/>
            <w:tcBorders>
              <w:top w:val="nil"/>
              <w:left w:val="nil"/>
              <w:bottom w:val="single" w:color="auto" w:sz="4" w:space="0"/>
              <w:right w:val="single" w:color="auto" w:sz="4" w:space="0"/>
            </w:tcBorders>
            <w:shd w:val="clear" w:color="auto" w:fill="auto"/>
            <w:vAlign w:val="center"/>
          </w:tcPr>
          <w:p w14:paraId="63F1AF42">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49DD6B0A">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4E60465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5E7713B4">
            <w:pPr>
              <w:spacing w:line="240" w:lineRule="auto"/>
              <w:ind w:firstLine="0" w:firstLineChars="0"/>
              <w:jc w:val="center"/>
              <w:rPr>
                <w:rFonts w:eastAsia="等线" w:cs="Times New Roman"/>
                <w:kern w:val="0"/>
                <w:sz w:val="21"/>
              </w:rPr>
            </w:pPr>
            <w:r>
              <w:rPr>
                <w:rFonts w:eastAsia="等线" w:cs="Times New Roman"/>
                <w:kern w:val="0"/>
                <w:sz w:val="21"/>
              </w:rPr>
              <w:t>41</w:t>
            </w:r>
          </w:p>
        </w:tc>
        <w:tc>
          <w:tcPr>
            <w:tcW w:w="401" w:type="pct"/>
            <w:tcBorders>
              <w:top w:val="nil"/>
              <w:left w:val="nil"/>
              <w:bottom w:val="single" w:color="auto" w:sz="4" w:space="0"/>
              <w:right w:val="single" w:color="auto" w:sz="4" w:space="0"/>
            </w:tcBorders>
            <w:shd w:val="clear" w:color="auto" w:fill="auto"/>
            <w:vAlign w:val="center"/>
          </w:tcPr>
          <w:p w14:paraId="193BBEA7">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240DD37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11A98EC6">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030D72B8">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35F6B8A3">
            <w:pPr>
              <w:spacing w:line="240" w:lineRule="auto"/>
              <w:ind w:firstLine="0" w:firstLineChars="0"/>
              <w:jc w:val="center"/>
              <w:rPr>
                <w:rFonts w:eastAsia="等线" w:cs="Times New Roman"/>
                <w:kern w:val="0"/>
                <w:sz w:val="21"/>
              </w:rPr>
            </w:pPr>
            <w:r>
              <w:rPr>
                <w:rFonts w:eastAsia="等线" w:cs="Times New Roman"/>
                <w:kern w:val="0"/>
                <w:sz w:val="21"/>
              </w:rPr>
              <w:t>N7</w:t>
            </w:r>
          </w:p>
        </w:tc>
        <w:tc>
          <w:tcPr>
            <w:tcW w:w="868" w:type="pct"/>
            <w:tcBorders>
              <w:top w:val="nil"/>
              <w:left w:val="nil"/>
              <w:bottom w:val="single" w:color="auto" w:sz="4" w:space="0"/>
              <w:right w:val="single" w:color="auto" w:sz="4" w:space="0"/>
            </w:tcBorders>
            <w:shd w:val="clear" w:color="auto" w:fill="auto"/>
            <w:vAlign w:val="center"/>
          </w:tcPr>
          <w:p w14:paraId="55161D1B">
            <w:pPr>
              <w:spacing w:line="240" w:lineRule="auto"/>
              <w:ind w:firstLine="0" w:firstLineChars="0"/>
              <w:jc w:val="center"/>
              <w:rPr>
                <w:rFonts w:eastAsia="等线" w:cs="Times New Roman"/>
                <w:kern w:val="0"/>
                <w:sz w:val="21"/>
              </w:rPr>
            </w:pPr>
            <w:r>
              <w:rPr>
                <w:rFonts w:eastAsia="等线" w:cs="Times New Roman"/>
                <w:kern w:val="0"/>
                <w:sz w:val="21"/>
              </w:rPr>
              <w:t>17:11-17:21</w:t>
            </w:r>
          </w:p>
        </w:tc>
        <w:tc>
          <w:tcPr>
            <w:tcW w:w="925" w:type="pct"/>
            <w:tcBorders>
              <w:top w:val="nil"/>
              <w:left w:val="nil"/>
              <w:bottom w:val="single" w:color="auto" w:sz="4" w:space="0"/>
              <w:right w:val="single" w:color="auto" w:sz="4" w:space="0"/>
            </w:tcBorders>
            <w:shd w:val="clear" w:color="auto" w:fill="auto"/>
            <w:vAlign w:val="center"/>
          </w:tcPr>
          <w:p w14:paraId="4C67881F">
            <w:pPr>
              <w:spacing w:line="240" w:lineRule="auto"/>
              <w:ind w:firstLine="0" w:firstLineChars="0"/>
              <w:jc w:val="center"/>
              <w:rPr>
                <w:rFonts w:eastAsia="等线" w:cs="Times New Roman"/>
                <w:kern w:val="0"/>
                <w:sz w:val="21"/>
              </w:rPr>
            </w:pPr>
            <w:r>
              <w:rPr>
                <w:rFonts w:eastAsia="等线" w:cs="Times New Roman"/>
                <w:kern w:val="0"/>
                <w:sz w:val="21"/>
              </w:rPr>
              <w:t>23:35-23:45</w:t>
            </w:r>
          </w:p>
        </w:tc>
        <w:tc>
          <w:tcPr>
            <w:tcW w:w="401" w:type="pct"/>
            <w:tcBorders>
              <w:top w:val="nil"/>
              <w:left w:val="nil"/>
              <w:bottom w:val="single" w:color="auto" w:sz="4" w:space="0"/>
              <w:right w:val="single" w:color="auto" w:sz="4" w:space="0"/>
            </w:tcBorders>
            <w:shd w:val="clear" w:color="auto" w:fill="auto"/>
            <w:vAlign w:val="center"/>
          </w:tcPr>
          <w:p w14:paraId="3ADDFC02">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71199E08">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7ED099C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23A877AF">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110428F4">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67A3CAD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2F83963E">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30D6EE4A">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408054BD">
            <w:pPr>
              <w:spacing w:line="240" w:lineRule="auto"/>
              <w:ind w:firstLine="0" w:firstLineChars="0"/>
              <w:jc w:val="center"/>
              <w:rPr>
                <w:rFonts w:eastAsia="等线" w:cs="Times New Roman"/>
                <w:kern w:val="0"/>
                <w:sz w:val="21"/>
              </w:rPr>
            </w:pPr>
            <w:r>
              <w:rPr>
                <w:rFonts w:eastAsia="等线" w:cs="Times New Roman"/>
                <w:kern w:val="0"/>
                <w:sz w:val="21"/>
              </w:rPr>
              <w:t>N8</w:t>
            </w:r>
          </w:p>
        </w:tc>
        <w:tc>
          <w:tcPr>
            <w:tcW w:w="868" w:type="pct"/>
            <w:tcBorders>
              <w:top w:val="nil"/>
              <w:left w:val="nil"/>
              <w:bottom w:val="single" w:color="auto" w:sz="4" w:space="0"/>
              <w:right w:val="single" w:color="auto" w:sz="4" w:space="0"/>
            </w:tcBorders>
            <w:shd w:val="clear" w:color="auto" w:fill="auto"/>
            <w:vAlign w:val="center"/>
          </w:tcPr>
          <w:p w14:paraId="163FB7EC">
            <w:pPr>
              <w:spacing w:line="240" w:lineRule="auto"/>
              <w:ind w:firstLine="0" w:firstLineChars="0"/>
              <w:jc w:val="center"/>
              <w:rPr>
                <w:rFonts w:eastAsia="等线" w:cs="Times New Roman"/>
                <w:kern w:val="0"/>
                <w:sz w:val="21"/>
              </w:rPr>
            </w:pPr>
            <w:r>
              <w:rPr>
                <w:rFonts w:eastAsia="等线" w:cs="Times New Roman"/>
                <w:kern w:val="0"/>
                <w:sz w:val="21"/>
              </w:rPr>
              <w:t>17:28-17:38</w:t>
            </w:r>
          </w:p>
        </w:tc>
        <w:tc>
          <w:tcPr>
            <w:tcW w:w="925" w:type="pct"/>
            <w:tcBorders>
              <w:top w:val="nil"/>
              <w:left w:val="nil"/>
              <w:bottom w:val="single" w:color="auto" w:sz="4" w:space="0"/>
              <w:right w:val="single" w:color="auto" w:sz="4" w:space="0"/>
            </w:tcBorders>
            <w:shd w:val="clear" w:color="auto" w:fill="auto"/>
            <w:vAlign w:val="center"/>
          </w:tcPr>
          <w:p w14:paraId="257F835F">
            <w:pPr>
              <w:spacing w:line="240" w:lineRule="auto"/>
              <w:ind w:firstLine="0" w:firstLineChars="0"/>
              <w:jc w:val="center"/>
              <w:rPr>
                <w:rFonts w:eastAsia="等线" w:cs="Times New Roman"/>
                <w:kern w:val="0"/>
                <w:sz w:val="21"/>
              </w:rPr>
            </w:pPr>
            <w:r>
              <w:rPr>
                <w:rFonts w:eastAsia="等线" w:cs="Times New Roman"/>
                <w:kern w:val="0"/>
                <w:sz w:val="21"/>
              </w:rPr>
              <w:t>23:51-00:01</w:t>
            </w:r>
          </w:p>
          <w:p w14:paraId="27DF948D">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（次日）</w:t>
            </w:r>
          </w:p>
        </w:tc>
        <w:tc>
          <w:tcPr>
            <w:tcW w:w="401" w:type="pct"/>
            <w:tcBorders>
              <w:top w:val="nil"/>
              <w:left w:val="nil"/>
              <w:bottom w:val="single" w:color="auto" w:sz="4" w:space="0"/>
              <w:right w:val="single" w:color="auto" w:sz="4" w:space="0"/>
            </w:tcBorders>
            <w:shd w:val="clear" w:color="auto" w:fill="auto"/>
            <w:vAlign w:val="center"/>
          </w:tcPr>
          <w:p w14:paraId="4752B22D">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4A8A30BA">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327C3B3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62F99409">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1BB1074C">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7171A2E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1FF4C0B4">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66279B04">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1872E822">
            <w:pPr>
              <w:spacing w:line="240" w:lineRule="auto"/>
              <w:ind w:firstLine="0" w:firstLineChars="0"/>
              <w:jc w:val="center"/>
              <w:rPr>
                <w:rFonts w:eastAsia="等线" w:cs="Times New Roman"/>
                <w:kern w:val="0"/>
                <w:sz w:val="21"/>
              </w:rPr>
            </w:pPr>
            <w:r>
              <w:rPr>
                <w:rFonts w:eastAsia="等线" w:cs="Times New Roman"/>
                <w:kern w:val="0"/>
                <w:sz w:val="21"/>
              </w:rPr>
              <w:t>N9</w:t>
            </w:r>
          </w:p>
        </w:tc>
        <w:tc>
          <w:tcPr>
            <w:tcW w:w="868" w:type="pct"/>
            <w:tcBorders>
              <w:top w:val="nil"/>
              <w:left w:val="nil"/>
              <w:bottom w:val="single" w:color="auto" w:sz="4" w:space="0"/>
              <w:right w:val="single" w:color="auto" w:sz="4" w:space="0"/>
            </w:tcBorders>
            <w:shd w:val="clear" w:color="auto" w:fill="auto"/>
            <w:vAlign w:val="center"/>
          </w:tcPr>
          <w:p w14:paraId="0B40279D">
            <w:pPr>
              <w:spacing w:line="240" w:lineRule="auto"/>
              <w:ind w:firstLine="0" w:firstLineChars="0"/>
              <w:jc w:val="center"/>
              <w:rPr>
                <w:rFonts w:eastAsia="等线" w:cs="Times New Roman"/>
                <w:kern w:val="0"/>
                <w:sz w:val="21"/>
              </w:rPr>
            </w:pPr>
            <w:r>
              <w:rPr>
                <w:rFonts w:eastAsia="等线" w:cs="Times New Roman"/>
                <w:kern w:val="0"/>
                <w:sz w:val="21"/>
              </w:rPr>
              <w:t>17:44-17:54</w:t>
            </w:r>
          </w:p>
        </w:tc>
        <w:tc>
          <w:tcPr>
            <w:tcW w:w="925" w:type="pct"/>
            <w:tcBorders>
              <w:top w:val="nil"/>
              <w:left w:val="nil"/>
              <w:bottom w:val="single" w:color="auto" w:sz="4" w:space="0"/>
              <w:right w:val="single" w:color="auto" w:sz="4" w:space="0"/>
            </w:tcBorders>
            <w:shd w:val="clear" w:color="auto" w:fill="auto"/>
            <w:vAlign w:val="center"/>
          </w:tcPr>
          <w:p w14:paraId="373C5B8C">
            <w:pPr>
              <w:spacing w:line="240" w:lineRule="auto"/>
              <w:ind w:firstLine="0" w:firstLineChars="0"/>
              <w:jc w:val="center"/>
              <w:rPr>
                <w:rFonts w:eastAsia="等线" w:cs="Times New Roman"/>
                <w:kern w:val="0"/>
                <w:sz w:val="21"/>
              </w:rPr>
            </w:pPr>
            <w:r>
              <w:rPr>
                <w:rFonts w:eastAsia="等线" w:cs="Times New Roman"/>
                <w:kern w:val="0"/>
                <w:sz w:val="21"/>
              </w:rPr>
              <w:t>00:07-00:17</w:t>
            </w:r>
          </w:p>
          <w:p w14:paraId="2190D577">
            <w:pPr>
              <w:spacing w:line="240" w:lineRule="auto"/>
              <w:ind w:firstLine="0" w:firstLineChars="0"/>
              <w:jc w:val="center"/>
              <w:rPr>
                <w:rFonts w:eastAsia="等线" w:cs="Times New Roman"/>
                <w:kern w:val="0"/>
                <w:sz w:val="21"/>
              </w:rPr>
            </w:pPr>
            <w:r>
              <w:rPr>
                <w:rFonts w:hint="eastAsia" w:ascii="宋体" w:hAnsi="宋体" w:eastAsia="宋体" w:cs="Times New Roman"/>
                <w:kern w:val="0"/>
                <w:sz w:val="21"/>
              </w:rPr>
              <w:t>（次日）</w:t>
            </w:r>
          </w:p>
        </w:tc>
        <w:tc>
          <w:tcPr>
            <w:tcW w:w="401" w:type="pct"/>
            <w:tcBorders>
              <w:top w:val="nil"/>
              <w:left w:val="nil"/>
              <w:bottom w:val="single" w:color="auto" w:sz="4" w:space="0"/>
              <w:right w:val="single" w:color="auto" w:sz="4" w:space="0"/>
            </w:tcBorders>
            <w:shd w:val="clear" w:color="auto" w:fill="auto"/>
            <w:vAlign w:val="center"/>
          </w:tcPr>
          <w:p w14:paraId="4C59F445">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31FCE431">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4DCAFF9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7FBB60B9">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527A8D7F">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4293176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1FF328F">
        <w:tblPrEx>
          <w:tblCellMar>
            <w:top w:w="0" w:type="dxa"/>
            <w:left w:w="108" w:type="dxa"/>
            <w:bottom w:w="0" w:type="dxa"/>
            <w:right w:w="108" w:type="dxa"/>
          </w:tblCellMar>
        </w:tblPrEx>
        <w:trPr>
          <w:trHeight w:val="288" w:hRule="atLeast"/>
          <w:jc w:val="center"/>
        </w:trPr>
        <w:tc>
          <w:tcPr>
            <w:tcW w:w="401" w:type="pct"/>
            <w:vMerge w:val="restart"/>
            <w:tcBorders>
              <w:top w:val="nil"/>
              <w:left w:val="single" w:color="auto" w:sz="4" w:space="0"/>
              <w:bottom w:val="single" w:color="auto" w:sz="4" w:space="0"/>
              <w:right w:val="single" w:color="auto" w:sz="4" w:space="0"/>
            </w:tcBorders>
            <w:shd w:val="clear" w:color="auto" w:fill="auto"/>
            <w:vAlign w:val="center"/>
          </w:tcPr>
          <w:p w14:paraId="0B91726A">
            <w:pPr>
              <w:spacing w:line="240" w:lineRule="auto"/>
              <w:ind w:firstLine="0" w:firstLineChars="0"/>
              <w:jc w:val="center"/>
              <w:rPr>
                <w:rFonts w:eastAsia="等线" w:cs="Times New Roman"/>
                <w:kern w:val="0"/>
                <w:sz w:val="21"/>
              </w:rPr>
            </w:pPr>
            <w:r>
              <w:rPr>
                <w:rFonts w:eastAsia="等线" w:cs="Times New Roman"/>
                <w:kern w:val="0"/>
                <w:sz w:val="21"/>
              </w:rPr>
              <w:t>8月17日</w:t>
            </w:r>
          </w:p>
        </w:tc>
        <w:tc>
          <w:tcPr>
            <w:tcW w:w="401" w:type="pct"/>
            <w:tcBorders>
              <w:top w:val="nil"/>
              <w:left w:val="nil"/>
              <w:bottom w:val="single" w:color="auto" w:sz="4" w:space="0"/>
              <w:right w:val="single" w:color="auto" w:sz="4" w:space="0"/>
            </w:tcBorders>
            <w:shd w:val="clear" w:color="auto" w:fill="auto"/>
            <w:vAlign w:val="center"/>
          </w:tcPr>
          <w:p w14:paraId="65DF08C0">
            <w:pPr>
              <w:spacing w:line="240" w:lineRule="auto"/>
              <w:ind w:firstLine="0" w:firstLineChars="0"/>
              <w:jc w:val="center"/>
              <w:rPr>
                <w:rFonts w:eastAsia="等线" w:cs="Times New Roman"/>
                <w:kern w:val="0"/>
                <w:sz w:val="21"/>
              </w:rPr>
            </w:pPr>
            <w:r>
              <w:rPr>
                <w:rFonts w:eastAsia="等线" w:cs="Times New Roman"/>
                <w:kern w:val="0"/>
                <w:sz w:val="21"/>
              </w:rPr>
              <w:t>N1</w:t>
            </w:r>
          </w:p>
        </w:tc>
        <w:tc>
          <w:tcPr>
            <w:tcW w:w="868" w:type="pct"/>
            <w:tcBorders>
              <w:top w:val="nil"/>
              <w:left w:val="nil"/>
              <w:bottom w:val="single" w:color="auto" w:sz="4" w:space="0"/>
              <w:right w:val="single" w:color="auto" w:sz="4" w:space="0"/>
            </w:tcBorders>
            <w:shd w:val="clear" w:color="auto" w:fill="auto"/>
            <w:vAlign w:val="center"/>
          </w:tcPr>
          <w:p w14:paraId="385F8917">
            <w:pPr>
              <w:spacing w:line="240" w:lineRule="auto"/>
              <w:ind w:firstLine="0" w:firstLineChars="0"/>
              <w:jc w:val="center"/>
              <w:rPr>
                <w:rFonts w:eastAsia="等线" w:cs="Times New Roman"/>
                <w:kern w:val="0"/>
                <w:sz w:val="21"/>
              </w:rPr>
            </w:pPr>
            <w:r>
              <w:rPr>
                <w:rFonts w:eastAsia="等线" w:cs="Times New Roman"/>
                <w:kern w:val="0"/>
                <w:sz w:val="21"/>
              </w:rPr>
              <w:t>15:57-16:07</w:t>
            </w:r>
          </w:p>
        </w:tc>
        <w:tc>
          <w:tcPr>
            <w:tcW w:w="925" w:type="pct"/>
            <w:tcBorders>
              <w:top w:val="nil"/>
              <w:left w:val="nil"/>
              <w:bottom w:val="single" w:color="auto" w:sz="4" w:space="0"/>
              <w:right w:val="single" w:color="auto" w:sz="4" w:space="0"/>
            </w:tcBorders>
            <w:shd w:val="clear" w:color="auto" w:fill="auto"/>
            <w:vAlign w:val="center"/>
          </w:tcPr>
          <w:p w14:paraId="441AFAF1">
            <w:pPr>
              <w:spacing w:line="240" w:lineRule="auto"/>
              <w:ind w:firstLine="0" w:firstLineChars="0"/>
              <w:jc w:val="center"/>
              <w:rPr>
                <w:rFonts w:eastAsia="等线" w:cs="Times New Roman"/>
                <w:kern w:val="0"/>
                <w:sz w:val="21"/>
              </w:rPr>
            </w:pPr>
            <w:r>
              <w:rPr>
                <w:rFonts w:eastAsia="等线" w:cs="Times New Roman"/>
                <w:kern w:val="0"/>
                <w:sz w:val="21"/>
              </w:rPr>
              <w:t>22:01-22:11</w:t>
            </w:r>
          </w:p>
        </w:tc>
        <w:tc>
          <w:tcPr>
            <w:tcW w:w="401" w:type="pct"/>
            <w:tcBorders>
              <w:top w:val="nil"/>
              <w:left w:val="nil"/>
              <w:bottom w:val="single" w:color="auto" w:sz="4" w:space="0"/>
              <w:right w:val="single" w:color="auto" w:sz="4" w:space="0"/>
            </w:tcBorders>
            <w:shd w:val="clear" w:color="auto" w:fill="auto"/>
            <w:vAlign w:val="center"/>
          </w:tcPr>
          <w:p w14:paraId="5A19C33F">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29641D9B">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00D0955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5CFE99ED">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2E63F915">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4C5773B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042F0323">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46437430">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24CD1FEB">
            <w:pPr>
              <w:spacing w:line="240" w:lineRule="auto"/>
              <w:ind w:firstLine="0" w:firstLineChars="0"/>
              <w:jc w:val="center"/>
              <w:rPr>
                <w:rFonts w:eastAsia="等线" w:cs="Times New Roman"/>
                <w:kern w:val="0"/>
                <w:sz w:val="21"/>
              </w:rPr>
            </w:pPr>
            <w:r>
              <w:rPr>
                <w:rFonts w:eastAsia="等线" w:cs="Times New Roman"/>
                <w:kern w:val="0"/>
                <w:sz w:val="21"/>
              </w:rPr>
              <w:t>N2</w:t>
            </w:r>
          </w:p>
        </w:tc>
        <w:tc>
          <w:tcPr>
            <w:tcW w:w="868" w:type="pct"/>
            <w:tcBorders>
              <w:top w:val="nil"/>
              <w:left w:val="nil"/>
              <w:bottom w:val="single" w:color="auto" w:sz="4" w:space="0"/>
              <w:right w:val="single" w:color="auto" w:sz="4" w:space="0"/>
            </w:tcBorders>
            <w:shd w:val="clear" w:color="auto" w:fill="auto"/>
            <w:vAlign w:val="center"/>
          </w:tcPr>
          <w:p w14:paraId="6C4E42F9">
            <w:pPr>
              <w:spacing w:line="240" w:lineRule="auto"/>
              <w:ind w:firstLine="0" w:firstLineChars="0"/>
              <w:jc w:val="center"/>
              <w:rPr>
                <w:rFonts w:eastAsia="等线" w:cs="Times New Roman"/>
                <w:kern w:val="0"/>
                <w:sz w:val="21"/>
              </w:rPr>
            </w:pPr>
            <w:r>
              <w:rPr>
                <w:rFonts w:eastAsia="等线" w:cs="Times New Roman"/>
                <w:kern w:val="0"/>
                <w:sz w:val="21"/>
              </w:rPr>
              <w:t>16:12-16:22</w:t>
            </w:r>
          </w:p>
        </w:tc>
        <w:tc>
          <w:tcPr>
            <w:tcW w:w="925" w:type="pct"/>
            <w:tcBorders>
              <w:top w:val="nil"/>
              <w:left w:val="nil"/>
              <w:bottom w:val="single" w:color="auto" w:sz="4" w:space="0"/>
              <w:right w:val="single" w:color="auto" w:sz="4" w:space="0"/>
            </w:tcBorders>
            <w:shd w:val="clear" w:color="auto" w:fill="auto"/>
            <w:vAlign w:val="center"/>
          </w:tcPr>
          <w:p w14:paraId="116C4B0A">
            <w:pPr>
              <w:spacing w:line="240" w:lineRule="auto"/>
              <w:ind w:firstLine="0" w:firstLineChars="0"/>
              <w:jc w:val="center"/>
              <w:rPr>
                <w:rFonts w:eastAsia="等线" w:cs="Times New Roman"/>
                <w:kern w:val="0"/>
                <w:sz w:val="21"/>
              </w:rPr>
            </w:pPr>
            <w:r>
              <w:rPr>
                <w:rFonts w:eastAsia="等线" w:cs="Times New Roman"/>
                <w:kern w:val="0"/>
                <w:sz w:val="21"/>
              </w:rPr>
              <w:t>22:17-22:27</w:t>
            </w:r>
          </w:p>
        </w:tc>
        <w:tc>
          <w:tcPr>
            <w:tcW w:w="401" w:type="pct"/>
            <w:tcBorders>
              <w:top w:val="nil"/>
              <w:left w:val="nil"/>
              <w:bottom w:val="single" w:color="auto" w:sz="4" w:space="0"/>
              <w:right w:val="single" w:color="auto" w:sz="4" w:space="0"/>
            </w:tcBorders>
            <w:shd w:val="clear" w:color="auto" w:fill="auto"/>
            <w:vAlign w:val="center"/>
          </w:tcPr>
          <w:p w14:paraId="0287666C">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1F710205">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4D6749E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0E8B8D86">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1AC0F64B">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77B55FF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1EB2A3D2">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1A9813FC">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57435BD9">
            <w:pPr>
              <w:spacing w:line="240" w:lineRule="auto"/>
              <w:ind w:firstLine="0" w:firstLineChars="0"/>
              <w:jc w:val="center"/>
              <w:rPr>
                <w:rFonts w:eastAsia="等线" w:cs="Times New Roman"/>
                <w:kern w:val="0"/>
                <w:sz w:val="21"/>
              </w:rPr>
            </w:pPr>
            <w:r>
              <w:rPr>
                <w:rFonts w:eastAsia="等线" w:cs="Times New Roman"/>
                <w:kern w:val="0"/>
                <w:sz w:val="21"/>
              </w:rPr>
              <w:t>N3</w:t>
            </w:r>
          </w:p>
        </w:tc>
        <w:tc>
          <w:tcPr>
            <w:tcW w:w="868" w:type="pct"/>
            <w:tcBorders>
              <w:top w:val="nil"/>
              <w:left w:val="nil"/>
              <w:bottom w:val="single" w:color="auto" w:sz="4" w:space="0"/>
              <w:right w:val="single" w:color="auto" w:sz="4" w:space="0"/>
            </w:tcBorders>
            <w:shd w:val="clear" w:color="auto" w:fill="auto"/>
            <w:vAlign w:val="center"/>
          </w:tcPr>
          <w:p w14:paraId="4E27819A">
            <w:pPr>
              <w:spacing w:line="240" w:lineRule="auto"/>
              <w:ind w:firstLine="0" w:firstLineChars="0"/>
              <w:jc w:val="center"/>
              <w:rPr>
                <w:rFonts w:eastAsia="等线" w:cs="Times New Roman"/>
                <w:kern w:val="0"/>
                <w:sz w:val="21"/>
              </w:rPr>
            </w:pPr>
            <w:r>
              <w:rPr>
                <w:rFonts w:eastAsia="等线" w:cs="Times New Roman"/>
                <w:kern w:val="0"/>
                <w:sz w:val="21"/>
              </w:rPr>
              <w:t>16:28-16:38</w:t>
            </w:r>
          </w:p>
        </w:tc>
        <w:tc>
          <w:tcPr>
            <w:tcW w:w="925" w:type="pct"/>
            <w:tcBorders>
              <w:top w:val="nil"/>
              <w:left w:val="nil"/>
              <w:bottom w:val="single" w:color="auto" w:sz="4" w:space="0"/>
              <w:right w:val="single" w:color="auto" w:sz="4" w:space="0"/>
            </w:tcBorders>
            <w:shd w:val="clear" w:color="auto" w:fill="auto"/>
            <w:vAlign w:val="center"/>
          </w:tcPr>
          <w:p w14:paraId="5CA3CEC1">
            <w:pPr>
              <w:spacing w:line="240" w:lineRule="auto"/>
              <w:ind w:firstLine="0" w:firstLineChars="0"/>
              <w:jc w:val="center"/>
              <w:rPr>
                <w:rFonts w:eastAsia="等线" w:cs="Times New Roman"/>
                <w:kern w:val="0"/>
                <w:sz w:val="21"/>
              </w:rPr>
            </w:pPr>
            <w:r>
              <w:rPr>
                <w:rFonts w:eastAsia="等线" w:cs="Times New Roman"/>
                <w:kern w:val="0"/>
                <w:sz w:val="21"/>
              </w:rPr>
              <w:t>22:33-22:43</w:t>
            </w:r>
          </w:p>
        </w:tc>
        <w:tc>
          <w:tcPr>
            <w:tcW w:w="401" w:type="pct"/>
            <w:tcBorders>
              <w:top w:val="nil"/>
              <w:left w:val="nil"/>
              <w:bottom w:val="single" w:color="auto" w:sz="4" w:space="0"/>
              <w:right w:val="single" w:color="auto" w:sz="4" w:space="0"/>
            </w:tcBorders>
            <w:shd w:val="clear" w:color="auto" w:fill="auto"/>
            <w:vAlign w:val="center"/>
          </w:tcPr>
          <w:p w14:paraId="133FABD7">
            <w:pPr>
              <w:spacing w:line="240" w:lineRule="auto"/>
              <w:ind w:firstLine="0" w:firstLineChars="0"/>
              <w:jc w:val="center"/>
              <w:rPr>
                <w:rFonts w:eastAsia="等线" w:cs="Times New Roman"/>
                <w:kern w:val="0"/>
                <w:sz w:val="21"/>
              </w:rPr>
            </w:pPr>
            <w:r>
              <w:rPr>
                <w:rFonts w:eastAsia="等线" w:cs="Times New Roman"/>
                <w:kern w:val="0"/>
                <w:sz w:val="21"/>
              </w:rPr>
              <w:t>51</w:t>
            </w:r>
          </w:p>
        </w:tc>
        <w:tc>
          <w:tcPr>
            <w:tcW w:w="401" w:type="pct"/>
            <w:tcBorders>
              <w:top w:val="nil"/>
              <w:left w:val="nil"/>
              <w:bottom w:val="single" w:color="auto" w:sz="4" w:space="0"/>
              <w:right w:val="single" w:color="auto" w:sz="4" w:space="0"/>
            </w:tcBorders>
            <w:shd w:val="clear" w:color="auto" w:fill="auto"/>
            <w:vAlign w:val="center"/>
          </w:tcPr>
          <w:p w14:paraId="0CB015E6">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5A44D44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1D90525B">
            <w:pPr>
              <w:spacing w:line="240" w:lineRule="auto"/>
              <w:ind w:firstLine="0" w:firstLineChars="0"/>
              <w:jc w:val="center"/>
              <w:rPr>
                <w:rFonts w:eastAsia="等线" w:cs="Times New Roman"/>
                <w:kern w:val="0"/>
                <w:sz w:val="21"/>
              </w:rPr>
            </w:pPr>
            <w:r>
              <w:rPr>
                <w:rFonts w:eastAsia="等线" w:cs="Times New Roman"/>
                <w:kern w:val="0"/>
                <w:sz w:val="21"/>
              </w:rPr>
              <w:t>41</w:t>
            </w:r>
          </w:p>
        </w:tc>
        <w:tc>
          <w:tcPr>
            <w:tcW w:w="401" w:type="pct"/>
            <w:tcBorders>
              <w:top w:val="nil"/>
              <w:left w:val="nil"/>
              <w:bottom w:val="single" w:color="auto" w:sz="4" w:space="0"/>
              <w:right w:val="single" w:color="auto" w:sz="4" w:space="0"/>
            </w:tcBorders>
            <w:shd w:val="clear" w:color="auto" w:fill="auto"/>
            <w:vAlign w:val="center"/>
          </w:tcPr>
          <w:p w14:paraId="44B42721">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4E4DEE0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0990EFFB">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4643781F">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25640605">
            <w:pPr>
              <w:spacing w:line="240" w:lineRule="auto"/>
              <w:ind w:firstLine="0" w:firstLineChars="0"/>
              <w:jc w:val="center"/>
              <w:rPr>
                <w:rFonts w:eastAsia="等线" w:cs="Times New Roman"/>
                <w:kern w:val="0"/>
                <w:sz w:val="21"/>
              </w:rPr>
            </w:pPr>
            <w:r>
              <w:rPr>
                <w:rFonts w:eastAsia="等线" w:cs="Times New Roman"/>
                <w:kern w:val="0"/>
                <w:sz w:val="21"/>
              </w:rPr>
              <w:t>N4</w:t>
            </w:r>
          </w:p>
        </w:tc>
        <w:tc>
          <w:tcPr>
            <w:tcW w:w="868" w:type="pct"/>
            <w:tcBorders>
              <w:top w:val="nil"/>
              <w:left w:val="nil"/>
              <w:bottom w:val="single" w:color="auto" w:sz="4" w:space="0"/>
              <w:right w:val="single" w:color="auto" w:sz="4" w:space="0"/>
            </w:tcBorders>
            <w:shd w:val="clear" w:color="auto" w:fill="auto"/>
            <w:vAlign w:val="center"/>
          </w:tcPr>
          <w:p w14:paraId="0947AF9B">
            <w:pPr>
              <w:spacing w:line="240" w:lineRule="auto"/>
              <w:ind w:firstLine="0" w:firstLineChars="0"/>
              <w:jc w:val="center"/>
              <w:rPr>
                <w:rFonts w:eastAsia="等线" w:cs="Times New Roman"/>
                <w:kern w:val="0"/>
                <w:sz w:val="21"/>
              </w:rPr>
            </w:pPr>
            <w:r>
              <w:rPr>
                <w:rFonts w:eastAsia="等线" w:cs="Times New Roman"/>
                <w:kern w:val="0"/>
                <w:sz w:val="21"/>
              </w:rPr>
              <w:t>16:43-16:53</w:t>
            </w:r>
          </w:p>
        </w:tc>
        <w:tc>
          <w:tcPr>
            <w:tcW w:w="925" w:type="pct"/>
            <w:tcBorders>
              <w:top w:val="nil"/>
              <w:left w:val="nil"/>
              <w:bottom w:val="single" w:color="auto" w:sz="4" w:space="0"/>
              <w:right w:val="single" w:color="auto" w:sz="4" w:space="0"/>
            </w:tcBorders>
            <w:shd w:val="clear" w:color="auto" w:fill="auto"/>
            <w:vAlign w:val="center"/>
          </w:tcPr>
          <w:p w14:paraId="1E289338">
            <w:pPr>
              <w:spacing w:line="240" w:lineRule="auto"/>
              <w:ind w:firstLine="0" w:firstLineChars="0"/>
              <w:jc w:val="center"/>
              <w:rPr>
                <w:rFonts w:eastAsia="等线" w:cs="Times New Roman"/>
                <w:kern w:val="0"/>
                <w:sz w:val="21"/>
              </w:rPr>
            </w:pPr>
            <w:r>
              <w:rPr>
                <w:rFonts w:eastAsia="等线" w:cs="Times New Roman"/>
                <w:kern w:val="0"/>
                <w:sz w:val="21"/>
              </w:rPr>
              <w:t>22:48-22:58</w:t>
            </w:r>
          </w:p>
        </w:tc>
        <w:tc>
          <w:tcPr>
            <w:tcW w:w="401" w:type="pct"/>
            <w:tcBorders>
              <w:top w:val="nil"/>
              <w:left w:val="nil"/>
              <w:bottom w:val="single" w:color="auto" w:sz="4" w:space="0"/>
              <w:right w:val="single" w:color="auto" w:sz="4" w:space="0"/>
            </w:tcBorders>
            <w:shd w:val="clear" w:color="auto" w:fill="auto"/>
            <w:vAlign w:val="center"/>
          </w:tcPr>
          <w:p w14:paraId="15A490E1">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6556D0CB">
            <w:pPr>
              <w:spacing w:line="240" w:lineRule="auto"/>
              <w:ind w:firstLine="0" w:firstLineChars="0"/>
              <w:jc w:val="center"/>
              <w:rPr>
                <w:rFonts w:eastAsia="等线" w:cs="Times New Roman"/>
                <w:kern w:val="0"/>
                <w:sz w:val="21"/>
              </w:rPr>
            </w:pPr>
            <w:r>
              <w:rPr>
                <w:rFonts w:eastAsia="等线" w:cs="Times New Roman"/>
                <w:kern w:val="0"/>
                <w:sz w:val="21"/>
              </w:rPr>
              <w:t>70</w:t>
            </w:r>
          </w:p>
        </w:tc>
        <w:tc>
          <w:tcPr>
            <w:tcW w:w="401" w:type="pct"/>
            <w:tcBorders>
              <w:top w:val="nil"/>
              <w:left w:val="nil"/>
              <w:bottom w:val="single" w:color="auto" w:sz="4" w:space="0"/>
              <w:right w:val="single" w:color="auto" w:sz="4" w:space="0"/>
            </w:tcBorders>
            <w:shd w:val="clear" w:color="auto" w:fill="auto"/>
            <w:vAlign w:val="center"/>
          </w:tcPr>
          <w:p w14:paraId="4E94D96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3F654692">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2B511613">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60C891D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7E5DA53B">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18532D1A">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49F60BC5">
            <w:pPr>
              <w:spacing w:line="240" w:lineRule="auto"/>
              <w:ind w:firstLine="0" w:firstLineChars="0"/>
              <w:jc w:val="center"/>
              <w:rPr>
                <w:rFonts w:eastAsia="等线" w:cs="Times New Roman"/>
                <w:kern w:val="0"/>
                <w:sz w:val="21"/>
              </w:rPr>
            </w:pPr>
            <w:r>
              <w:rPr>
                <w:rFonts w:eastAsia="等线" w:cs="Times New Roman"/>
                <w:kern w:val="0"/>
                <w:sz w:val="21"/>
              </w:rPr>
              <w:t>N5</w:t>
            </w:r>
          </w:p>
        </w:tc>
        <w:tc>
          <w:tcPr>
            <w:tcW w:w="868" w:type="pct"/>
            <w:tcBorders>
              <w:top w:val="nil"/>
              <w:left w:val="nil"/>
              <w:bottom w:val="single" w:color="auto" w:sz="4" w:space="0"/>
              <w:right w:val="single" w:color="auto" w:sz="4" w:space="0"/>
            </w:tcBorders>
            <w:shd w:val="clear" w:color="auto" w:fill="auto"/>
            <w:vAlign w:val="center"/>
          </w:tcPr>
          <w:p w14:paraId="7F2E6FC9">
            <w:pPr>
              <w:spacing w:line="240" w:lineRule="auto"/>
              <w:ind w:firstLine="0" w:firstLineChars="0"/>
              <w:jc w:val="center"/>
              <w:rPr>
                <w:rFonts w:eastAsia="等线" w:cs="Times New Roman"/>
                <w:kern w:val="0"/>
                <w:sz w:val="21"/>
              </w:rPr>
            </w:pPr>
            <w:r>
              <w:rPr>
                <w:rFonts w:eastAsia="等线" w:cs="Times New Roman"/>
                <w:kern w:val="0"/>
                <w:sz w:val="21"/>
              </w:rPr>
              <w:t>17:00-17:10</w:t>
            </w:r>
          </w:p>
        </w:tc>
        <w:tc>
          <w:tcPr>
            <w:tcW w:w="925" w:type="pct"/>
            <w:tcBorders>
              <w:top w:val="nil"/>
              <w:left w:val="nil"/>
              <w:bottom w:val="single" w:color="auto" w:sz="4" w:space="0"/>
              <w:right w:val="single" w:color="auto" w:sz="4" w:space="0"/>
            </w:tcBorders>
            <w:shd w:val="clear" w:color="auto" w:fill="auto"/>
            <w:vAlign w:val="center"/>
          </w:tcPr>
          <w:p w14:paraId="33836F73">
            <w:pPr>
              <w:spacing w:line="240" w:lineRule="auto"/>
              <w:ind w:firstLine="0" w:firstLineChars="0"/>
              <w:jc w:val="center"/>
              <w:rPr>
                <w:rFonts w:eastAsia="等线" w:cs="Times New Roman"/>
                <w:kern w:val="0"/>
                <w:sz w:val="21"/>
              </w:rPr>
            </w:pPr>
            <w:r>
              <w:rPr>
                <w:rFonts w:eastAsia="等线" w:cs="Times New Roman"/>
                <w:kern w:val="0"/>
                <w:sz w:val="21"/>
              </w:rPr>
              <w:t>23:03-23:13</w:t>
            </w:r>
          </w:p>
        </w:tc>
        <w:tc>
          <w:tcPr>
            <w:tcW w:w="401" w:type="pct"/>
            <w:tcBorders>
              <w:top w:val="nil"/>
              <w:left w:val="nil"/>
              <w:bottom w:val="single" w:color="auto" w:sz="4" w:space="0"/>
              <w:right w:val="single" w:color="auto" w:sz="4" w:space="0"/>
            </w:tcBorders>
            <w:shd w:val="clear" w:color="auto" w:fill="auto"/>
            <w:vAlign w:val="center"/>
          </w:tcPr>
          <w:p w14:paraId="54576B50">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38BCC26A">
            <w:pPr>
              <w:spacing w:line="240" w:lineRule="auto"/>
              <w:ind w:firstLine="0" w:firstLineChars="0"/>
              <w:jc w:val="center"/>
              <w:rPr>
                <w:rFonts w:eastAsia="等线" w:cs="Times New Roman"/>
                <w:kern w:val="0"/>
                <w:sz w:val="21"/>
              </w:rPr>
            </w:pPr>
            <w:r>
              <w:rPr>
                <w:rFonts w:eastAsia="等线" w:cs="Times New Roman"/>
                <w:kern w:val="0"/>
                <w:sz w:val="21"/>
              </w:rPr>
              <w:t>70</w:t>
            </w:r>
          </w:p>
        </w:tc>
        <w:tc>
          <w:tcPr>
            <w:tcW w:w="401" w:type="pct"/>
            <w:tcBorders>
              <w:top w:val="nil"/>
              <w:left w:val="nil"/>
              <w:bottom w:val="single" w:color="auto" w:sz="4" w:space="0"/>
              <w:right w:val="single" w:color="auto" w:sz="4" w:space="0"/>
            </w:tcBorders>
            <w:shd w:val="clear" w:color="auto" w:fill="auto"/>
            <w:vAlign w:val="center"/>
          </w:tcPr>
          <w:p w14:paraId="3C7B3AF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5E92FDFC">
            <w:pPr>
              <w:spacing w:line="240" w:lineRule="auto"/>
              <w:ind w:firstLine="0" w:firstLineChars="0"/>
              <w:jc w:val="center"/>
              <w:rPr>
                <w:rFonts w:eastAsia="等线" w:cs="Times New Roman"/>
                <w:kern w:val="0"/>
                <w:sz w:val="21"/>
              </w:rPr>
            </w:pPr>
            <w:r>
              <w:rPr>
                <w:rFonts w:eastAsia="等线" w:cs="Times New Roman"/>
                <w:kern w:val="0"/>
                <w:sz w:val="21"/>
              </w:rPr>
              <w:t>41</w:t>
            </w:r>
          </w:p>
        </w:tc>
        <w:tc>
          <w:tcPr>
            <w:tcW w:w="401" w:type="pct"/>
            <w:tcBorders>
              <w:top w:val="nil"/>
              <w:left w:val="nil"/>
              <w:bottom w:val="single" w:color="auto" w:sz="4" w:space="0"/>
              <w:right w:val="single" w:color="auto" w:sz="4" w:space="0"/>
            </w:tcBorders>
            <w:shd w:val="clear" w:color="auto" w:fill="auto"/>
            <w:vAlign w:val="center"/>
          </w:tcPr>
          <w:p w14:paraId="482692F9">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0AE13FEA">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5EC84B9E">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6998D599">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27473084">
            <w:pPr>
              <w:spacing w:line="240" w:lineRule="auto"/>
              <w:ind w:firstLine="0" w:firstLineChars="0"/>
              <w:jc w:val="center"/>
              <w:rPr>
                <w:rFonts w:eastAsia="等线" w:cs="Times New Roman"/>
                <w:kern w:val="0"/>
                <w:sz w:val="21"/>
              </w:rPr>
            </w:pPr>
            <w:r>
              <w:rPr>
                <w:rFonts w:eastAsia="等线" w:cs="Times New Roman"/>
                <w:kern w:val="0"/>
                <w:sz w:val="21"/>
              </w:rPr>
              <w:t>N6</w:t>
            </w:r>
          </w:p>
        </w:tc>
        <w:tc>
          <w:tcPr>
            <w:tcW w:w="868" w:type="pct"/>
            <w:tcBorders>
              <w:top w:val="nil"/>
              <w:left w:val="nil"/>
              <w:bottom w:val="single" w:color="auto" w:sz="4" w:space="0"/>
              <w:right w:val="single" w:color="auto" w:sz="4" w:space="0"/>
            </w:tcBorders>
            <w:shd w:val="clear" w:color="auto" w:fill="auto"/>
            <w:vAlign w:val="center"/>
          </w:tcPr>
          <w:p w14:paraId="711CFAF0">
            <w:pPr>
              <w:spacing w:line="240" w:lineRule="auto"/>
              <w:ind w:firstLine="0" w:firstLineChars="0"/>
              <w:jc w:val="center"/>
              <w:rPr>
                <w:rFonts w:eastAsia="等线" w:cs="Times New Roman"/>
                <w:kern w:val="0"/>
                <w:sz w:val="21"/>
              </w:rPr>
            </w:pPr>
            <w:r>
              <w:rPr>
                <w:rFonts w:eastAsia="等线" w:cs="Times New Roman"/>
                <w:kern w:val="0"/>
                <w:sz w:val="21"/>
              </w:rPr>
              <w:t>17:16-17:26</w:t>
            </w:r>
          </w:p>
        </w:tc>
        <w:tc>
          <w:tcPr>
            <w:tcW w:w="925" w:type="pct"/>
            <w:tcBorders>
              <w:top w:val="nil"/>
              <w:left w:val="nil"/>
              <w:bottom w:val="single" w:color="auto" w:sz="4" w:space="0"/>
              <w:right w:val="single" w:color="auto" w:sz="4" w:space="0"/>
            </w:tcBorders>
            <w:shd w:val="clear" w:color="auto" w:fill="auto"/>
            <w:vAlign w:val="center"/>
          </w:tcPr>
          <w:p w14:paraId="7FD3B1DC">
            <w:pPr>
              <w:spacing w:line="240" w:lineRule="auto"/>
              <w:ind w:firstLine="0" w:firstLineChars="0"/>
              <w:jc w:val="center"/>
              <w:rPr>
                <w:rFonts w:eastAsia="等线" w:cs="Times New Roman"/>
                <w:kern w:val="0"/>
                <w:sz w:val="21"/>
              </w:rPr>
            </w:pPr>
            <w:r>
              <w:rPr>
                <w:rFonts w:eastAsia="等线" w:cs="Times New Roman"/>
                <w:kern w:val="0"/>
                <w:sz w:val="21"/>
              </w:rPr>
              <w:t>23:19-23:29</w:t>
            </w:r>
          </w:p>
        </w:tc>
        <w:tc>
          <w:tcPr>
            <w:tcW w:w="401" w:type="pct"/>
            <w:tcBorders>
              <w:top w:val="nil"/>
              <w:left w:val="nil"/>
              <w:bottom w:val="single" w:color="auto" w:sz="4" w:space="0"/>
              <w:right w:val="single" w:color="auto" w:sz="4" w:space="0"/>
            </w:tcBorders>
            <w:shd w:val="clear" w:color="auto" w:fill="auto"/>
            <w:vAlign w:val="center"/>
          </w:tcPr>
          <w:p w14:paraId="775B3BAE">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020D7EAC">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5AC134B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41106571">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2D106E6D">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6A69254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30E5A97F">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4509CE08">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2431D662">
            <w:pPr>
              <w:spacing w:line="240" w:lineRule="auto"/>
              <w:ind w:firstLine="0" w:firstLineChars="0"/>
              <w:jc w:val="center"/>
              <w:rPr>
                <w:rFonts w:eastAsia="等线" w:cs="Times New Roman"/>
                <w:kern w:val="0"/>
                <w:sz w:val="21"/>
              </w:rPr>
            </w:pPr>
            <w:r>
              <w:rPr>
                <w:rFonts w:eastAsia="等线" w:cs="Times New Roman"/>
                <w:kern w:val="0"/>
                <w:sz w:val="21"/>
              </w:rPr>
              <w:t>N7</w:t>
            </w:r>
          </w:p>
        </w:tc>
        <w:tc>
          <w:tcPr>
            <w:tcW w:w="868" w:type="pct"/>
            <w:tcBorders>
              <w:top w:val="nil"/>
              <w:left w:val="nil"/>
              <w:bottom w:val="single" w:color="auto" w:sz="4" w:space="0"/>
              <w:right w:val="single" w:color="auto" w:sz="4" w:space="0"/>
            </w:tcBorders>
            <w:shd w:val="clear" w:color="auto" w:fill="auto"/>
            <w:vAlign w:val="center"/>
          </w:tcPr>
          <w:p w14:paraId="26FA4066">
            <w:pPr>
              <w:spacing w:line="240" w:lineRule="auto"/>
              <w:ind w:firstLine="0" w:firstLineChars="0"/>
              <w:jc w:val="center"/>
              <w:rPr>
                <w:rFonts w:eastAsia="等线" w:cs="Times New Roman"/>
                <w:kern w:val="0"/>
                <w:sz w:val="21"/>
              </w:rPr>
            </w:pPr>
            <w:r>
              <w:rPr>
                <w:rFonts w:eastAsia="等线" w:cs="Times New Roman"/>
                <w:kern w:val="0"/>
                <w:sz w:val="21"/>
              </w:rPr>
              <w:t>17:31-17:41</w:t>
            </w:r>
          </w:p>
        </w:tc>
        <w:tc>
          <w:tcPr>
            <w:tcW w:w="925" w:type="pct"/>
            <w:tcBorders>
              <w:top w:val="nil"/>
              <w:left w:val="nil"/>
              <w:bottom w:val="single" w:color="auto" w:sz="4" w:space="0"/>
              <w:right w:val="single" w:color="auto" w:sz="4" w:space="0"/>
            </w:tcBorders>
            <w:shd w:val="clear" w:color="auto" w:fill="auto"/>
            <w:vAlign w:val="center"/>
          </w:tcPr>
          <w:p w14:paraId="698557E1">
            <w:pPr>
              <w:spacing w:line="240" w:lineRule="auto"/>
              <w:ind w:firstLine="0" w:firstLineChars="0"/>
              <w:jc w:val="center"/>
              <w:rPr>
                <w:rFonts w:eastAsia="等线" w:cs="Times New Roman"/>
                <w:kern w:val="0"/>
                <w:sz w:val="21"/>
              </w:rPr>
            </w:pPr>
            <w:r>
              <w:rPr>
                <w:rFonts w:eastAsia="等线" w:cs="Times New Roman"/>
                <w:kern w:val="0"/>
                <w:sz w:val="21"/>
              </w:rPr>
              <w:t>23:34-23:44</w:t>
            </w:r>
          </w:p>
        </w:tc>
        <w:tc>
          <w:tcPr>
            <w:tcW w:w="401" w:type="pct"/>
            <w:tcBorders>
              <w:top w:val="nil"/>
              <w:left w:val="nil"/>
              <w:bottom w:val="single" w:color="auto" w:sz="4" w:space="0"/>
              <w:right w:val="single" w:color="auto" w:sz="4" w:space="0"/>
            </w:tcBorders>
            <w:shd w:val="clear" w:color="auto" w:fill="auto"/>
            <w:vAlign w:val="center"/>
          </w:tcPr>
          <w:p w14:paraId="3B892FE0">
            <w:pPr>
              <w:spacing w:line="240" w:lineRule="auto"/>
              <w:ind w:firstLine="0" w:firstLineChars="0"/>
              <w:jc w:val="center"/>
              <w:rPr>
                <w:rFonts w:eastAsia="等线" w:cs="Times New Roman"/>
                <w:kern w:val="0"/>
                <w:sz w:val="21"/>
              </w:rPr>
            </w:pPr>
            <w:r>
              <w:rPr>
                <w:rFonts w:eastAsia="等线" w:cs="Times New Roman"/>
                <w:kern w:val="0"/>
                <w:sz w:val="21"/>
              </w:rPr>
              <w:t>53</w:t>
            </w:r>
          </w:p>
        </w:tc>
        <w:tc>
          <w:tcPr>
            <w:tcW w:w="401" w:type="pct"/>
            <w:tcBorders>
              <w:top w:val="nil"/>
              <w:left w:val="nil"/>
              <w:bottom w:val="single" w:color="auto" w:sz="4" w:space="0"/>
              <w:right w:val="single" w:color="auto" w:sz="4" w:space="0"/>
            </w:tcBorders>
            <w:shd w:val="clear" w:color="auto" w:fill="auto"/>
            <w:vAlign w:val="center"/>
          </w:tcPr>
          <w:p w14:paraId="18FE75C0">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74F8044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69C88369">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4C6643C3">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0A4269E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184A6A08">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75A43A29">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38582C9C">
            <w:pPr>
              <w:spacing w:line="240" w:lineRule="auto"/>
              <w:ind w:firstLine="0" w:firstLineChars="0"/>
              <w:jc w:val="center"/>
              <w:rPr>
                <w:rFonts w:eastAsia="等线" w:cs="Times New Roman"/>
                <w:kern w:val="0"/>
                <w:sz w:val="21"/>
              </w:rPr>
            </w:pPr>
            <w:r>
              <w:rPr>
                <w:rFonts w:eastAsia="等线" w:cs="Times New Roman"/>
                <w:kern w:val="0"/>
                <w:sz w:val="21"/>
              </w:rPr>
              <w:t>N8</w:t>
            </w:r>
          </w:p>
        </w:tc>
        <w:tc>
          <w:tcPr>
            <w:tcW w:w="868" w:type="pct"/>
            <w:tcBorders>
              <w:top w:val="nil"/>
              <w:left w:val="nil"/>
              <w:bottom w:val="single" w:color="auto" w:sz="4" w:space="0"/>
              <w:right w:val="single" w:color="auto" w:sz="4" w:space="0"/>
            </w:tcBorders>
            <w:shd w:val="clear" w:color="auto" w:fill="auto"/>
            <w:vAlign w:val="center"/>
          </w:tcPr>
          <w:p w14:paraId="29B41DF0">
            <w:pPr>
              <w:spacing w:line="240" w:lineRule="auto"/>
              <w:ind w:firstLine="0" w:firstLineChars="0"/>
              <w:jc w:val="center"/>
              <w:rPr>
                <w:rFonts w:eastAsia="等线" w:cs="Times New Roman"/>
                <w:kern w:val="0"/>
                <w:sz w:val="21"/>
              </w:rPr>
            </w:pPr>
            <w:r>
              <w:rPr>
                <w:rFonts w:eastAsia="等线" w:cs="Times New Roman"/>
                <w:kern w:val="0"/>
                <w:sz w:val="21"/>
              </w:rPr>
              <w:t>17:49-17:59</w:t>
            </w:r>
          </w:p>
        </w:tc>
        <w:tc>
          <w:tcPr>
            <w:tcW w:w="925" w:type="pct"/>
            <w:tcBorders>
              <w:top w:val="nil"/>
              <w:left w:val="nil"/>
              <w:bottom w:val="single" w:color="auto" w:sz="4" w:space="0"/>
              <w:right w:val="single" w:color="auto" w:sz="4" w:space="0"/>
            </w:tcBorders>
            <w:shd w:val="clear" w:color="auto" w:fill="auto"/>
            <w:vAlign w:val="center"/>
          </w:tcPr>
          <w:p w14:paraId="7DED3BAD">
            <w:pPr>
              <w:spacing w:line="240" w:lineRule="auto"/>
              <w:ind w:firstLine="0" w:firstLineChars="0"/>
              <w:jc w:val="center"/>
              <w:rPr>
                <w:rFonts w:eastAsia="等线" w:cs="Times New Roman"/>
                <w:kern w:val="0"/>
                <w:sz w:val="21"/>
              </w:rPr>
            </w:pPr>
            <w:r>
              <w:rPr>
                <w:rFonts w:eastAsia="等线" w:cs="Times New Roman"/>
                <w:kern w:val="0"/>
                <w:sz w:val="21"/>
              </w:rPr>
              <w:t>23:50-00:00</w:t>
            </w:r>
            <w:r>
              <w:rPr>
                <w:rFonts w:hint="eastAsia" w:ascii="宋体" w:hAnsi="宋体" w:eastAsia="宋体" w:cs="Times New Roman"/>
                <w:kern w:val="0"/>
                <w:sz w:val="21"/>
              </w:rPr>
              <w:t>（次日）</w:t>
            </w:r>
          </w:p>
        </w:tc>
        <w:tc>
          <w:tcPr>
            <w:tcW w:w="401" w:type="pct"/>
            <w:tcBorders>
              <w:top w:val="nil"/>
              <w:left w:val="nil"/>
              <w:bottom w:val="single" w:color="auto" w:sz="4" w:space="0"/>
              <w:right w:val="single" w:color="auto" w:sz="4" w:space="0"/>
            </w:tcBorders>
            <w:shd w:val="clear" w:color="auto" w:fill="auto"/>
            <w:vAlign w:val="center"/>
          </w:tcPr>
          <w:p w14:paraId="11176498">
            <w:pPr>
              <w:spacing w:line="240" w:lineRule="auto"/>
              <w:ind w:firstLine="0" w:firstLineChars="0"/>
              <w:jc w:val="center"/>
              <w:rPr>
                <w:rFonts w:eastAsia="等线" w:cs="Times New Roman"/>
                <w:kern w:val="0"/>
                <w:sz w:val="21"/>
              </w:rPr>
            </w:pPr>
            <w:r>
              <w:rPr>
                <w:rFonts w:eastAsia="等线" w:cs="Times New Roman"/>
                <w:kern w:val="0"/>
                <w:sz w:val="21"/>
              </w:rPr>
              <w:t>51</w:t>
            </w:r>
          </w:p>
        </w:tc>
        <w:tc>
          <w:tcPr>
            <w:tcW w:w="401" w:type="pct"/>
            <w:tcBorders>
              <w:top w:val="nil"/>
              <w:left w:val="nil"/>
              <w:bottom w:val="single" w:color="auto" w:sz="4" w:space="0"/>
              <w:right w:val="single" w:color="auto" w:sz="4" w:space="0"/>
            </w:tcBorders>
            <w:shd w:val="clear" w:color="auto" w:fill="auto"/>
            <w:vAlign w:val="center"/>
          </w:tcPr>
          <w:p w14:paraId="497AE1BA">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0A32737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4C8550DC">
            <w:pPr>
              <w:spacing w:line="240" w:lineRule="auto"/>
              <w:ind w:firstLine="0" w:firstLineChars="0"/>
              <w:jc w:val="center"/>
              <w:rPr>
                <w:rFonts w:eastAsia="等线" w:cs="Times New Roman"/>
                <w:kern w:val="0"/>
                <w:sz w:val="21"/>
              </w:rPr>
            </w:pPr>
            <w:r>
              <w:rPr>
                <w:rFonts w:eastAsia="等线" w:cs="Times New Roman"/>
                <w:kern w:val="0"/>
                <w:sz w:val="21"/>
              </w:rPr>
              <w:t>42</w:t>
            </w:r>
          </w:p>
        </w:tc>
        <w:tc>
          <w:tcPr>
            <w:tcW w:w="401" w:type="pct"/>
            <w:tcBorders>
              <w:top w:val="nil"/>
              <w:left w:val="nil"/>
              <w:bottom w:val="single" w:color="auto" w:sz="4" w:space="0"/>
              <w:right w:val="single" w:color="auto" w:sz="4" w:space="0"/>
            </w:tcBorders>
            <w:shd w:val="clear" w:color="auto" w:fill="auto"/>
            <w:vAlign w:val="center"/>
          </w:tcPr>
          <w:p w14:paraId="317BE895">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79965BB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361B3A79">
        <w:tblPrEx>
          <w:tblCellMar>
            <w:top w:w="0" w:type="dxa"/>
            <w:left w:w="108" w:type="dxa"/>
            <w:bottom w:w="0" w:type="dxa"/>
            <w:right w:w="108" w:type="dxa"/>
          </w:tblCellMar>
        </w:tblPrEx>
        <w:trPr>
          <w:trHeight w:val="288" w:hRule="atLeast"/>
          <w:jc w:val="center"/>
        </w:trPr>
        <w:tc>
          <w:tcPr>
            <w:tcW w:w="401" w:type="pct"/>
            <w:vMerge w:val="continue"/>
            <w:tcBorders>
              <w:top w:val="nil"/>
              <w:left w:val="single" w:color="auto" w:sz="4" w:space="0"/>
              <w:bottom w:val="single" w:color="auto" w:sz="4" w:space="0"/>
              <w:right w:val="single" w:color="auto" w:sz="4" w:space="0"/>
            </w:tcBorders>
            <w:vAlign w:val="center"/>
          </w:tcPr>
          <w:p w14:paraId="79D27EDB">
            <w:pPr>
              <w:spacing w:line="240" w:lineRule="auto"/>
              <w:ind w:firstLine="0" w:firstLineChars="0"/>
              <w:rPr>
                <w:rFonts w:eastAsia="等线" w:cs="Times New Roman"/>
                <w:kern w:val="0"/>
                <w:sz w:val="21"/>
              </w:rPr>
            </w:pPr>
          </w:p>
        </w:tc>
        <w:tc>
          <w:tcPr>
            <w:tcW w:w="401" w:type="pct"/>
            <w:tcBorders>
              <w:top w:val="nil"/>
              <w:left w:val="nil"/>
              <w:bottom w:val="single" w:color="auto" w:sz="4" w:space="0"/>
              <w:right w:val="single" w:color="auto" w:sz="4" w:space="0"/>
            </w:tcBorders>
            <w:shd w:val="clear" w:color="auto" w:fill="auto"/>
            <w:vAlign w:val="center"/>
          </w:tcPr>
          <w:p w14:paraId="1B59A27A">
            <w:pPr>
              <w:spacing w:line="240" w:lineRule="auto"/>
              <w:ind w:firstLine="0" w:firstLineChars="0"/>
              <w:jc w:val="center"/>
              <w:rPr>
                <w:rFonts w:eastAsia="等线" w:cs="Times New Roman"/>
                <w:kern w:val="0"/>
                <w:sz w:val="21"/>
              </w:rPr>
            </w:pPr>
            <w:r>
              <w:rPr>
                <w:rFonts w:eastAsia="等线" w:cs="Times New Roman"/>
                <w:kern w:val="0"/>
                <w:sz w:val="21"/>
              </w:rPr>
              <w:t>N9</w:t>
            </w:r>
          </w:p>
        </w:tc>
        <w:tc>
          <w:tcPr>
            <w:tcW w:w="868" w:type="pct"/>
            <w:tcBorders>
              <w:top w:val="nil"/>
              <w:left w:val="nil"/>
              <w:bottom w:val="single" w:color="auto" w:sz="4" w:space="0"/>
              <w:right w:val="single" w:color="auto" w:sz="4" w:space="0"/>
            </w:tcBorders>
            <w:shd w:val="clear" w:color="auto" w:fill="auto"/>
            <w:vAlign w:val="center"/>
          </w:tcPr>
          <w:p w14:paraId="58BAF32B">
            <w:pPr>
              <w:spacing w:line="240" w:lineRule="auto"/>
              <w:ind w:firstLine="0" w:firstLineChars="0"/>
              <w:jc w:val="center"/>
              <w:rPr>
                <w:rFonts w:eastAsia="等线" w:cs="Times New Roman"/>
                <w:kern w:val="0"/>
                <w:sz w:val="21"/>
              </w:rPr>
            </w:pPr>
            <w:r>
              <w:rPr>
                <w:rFonts w:eastAsia="等线" w:cs="Times New Roman"/>
                <w:kern w:val="0"/>
                <w:sz w:val="21"/>
              </w:rPr>
              <w:t>18:06-18:16</w:t>
            </w:r>
          </w:p>
        </w:tc>
        <w:tc>
          <w:tcPr>
            <w:tcW w:w="925" w:type="pct"/>
            <w:tcBorders>
              <w:top w:val="nil"/>
              <w:left w:val="nil"/>
              <w:bottom w:val="single" w:color="auto" w:sz="4" w:space="0"/>
              <w:right w:val="single" w:color="auto" w:sz="4" w:space="0"/>
            </w:tcBorders>
            <w:shd w:val="clear" w:color="auto" w:fill="auto"/>
            <w:vAlign w:val="center"/>
          </w:tcPr>
          <w:p w14:paraId="170F9217">
            <w:pPr>
              <w:spacing w:line="240" w:lineRule="auto"/>
              <w:ind w:firstLine="0" w:firstLineChars="0"/>
              <w:jc w:val="center"/>
              <w:rPr>
                <w:rFonts w:eastAsia="等线" w:cs="Times New Roman"/>
                <w:kern w:val="0"/>
                <w:sz w:val="21"/>
              </w:rPr>
            </w:pPr>
            <w:r>
              <w:rPr>
                <w:rFonts w:eastAsia="等线" w:cs="Times New Roman"/>
                <w:kern w:val="0"/>
                <w:sz w:val="21"/>
              </w:rPr>
              <w:t>00:07-00:17</w:t>
            </w:r>
            <w:r>
              <w:rPr>
                <w:rFonts w:hint="eastAsia" w:ascii="宋体" w:hAnsi="宋体" w:eastAsia="宋体" w:cs="Times New Roman"/>
                <w:kern w:val="0"/>
                <w:sz w:val="21"/>
              </w:rPr>
              <w:t>（次日）</w:t>
            </w:r>
          </w:p>
        </w:tc>
        <w:tc>
          <w:tcPr>
            <w:tcW w:w="401" w:type="pct"/>
            <w:tcBorders>
              <w:top w:val="nil"/>
              <w:left w:val="nil"/>
              <w:bottom w:val="single" w:color="auto" w:sz="4" w:space="0"/>
              <w:right w:val="single" w:color="auto" w:sz="4" w:space="0"/>
            </w:tcBorders>
            <w:shd w:val="clear" w:color="auto" w:fill="auto"/>
            <w:vAlign w:val="center"/>
          </w:tcPr>
          <w:p w14:paraId="4B642B2F">
            <w:pPr>
              <w:spacing w:line="240" w:lineRule="auto"/>
              <w:ind w:firstLine="0" w:firstLineChars="0"/>
              <w:jc w:val="center"/>
              <w:rPr>
                <w:rFonts w:eastAsia="等线" w:cs="Times New Roman"/>
                <w:kern w:val="0"/>
                <w:sz w:val="21"/>
              </w:rPr>
            </w:pPr>
            <w:r>
              <w:rPr>
                <w:rFonts w:eastAsia="等线" w:cs="Times New Roman"/>
                <w:kern w:val="0"/>
                <w:sz w:val="21"/>
              </w:rPr>
              <w:t>52</w:t>
            </w:r>
          </w:p>
        </w:tc>
        <w:tc>
          <w:tcPr>
            <w:tcW w:w="401" w:type="pct"/>
            <w:tcBorders>
              <w:top w:val="nil"/>
              <w:left w:val="nil"/>
              <w:bottom w:val="single" w:color="auto" w:sz="4" w:space="0"/>
              <w:right w:val="single" w:color="auto" w:sz="4" w:space="0"/>
            </w:tcBorders>
            <w:shd w:val="clear" w:color="auto" w:fill="auto"/>
            <w:vAlign w:val="center"/>
          </w:tcPr>
          <w:p w14:paraId="5CD99811">
            <w:pPr>
              <w:spacing w:line="240" w:lineRule="auto"/>
              <w:ind w:firstLine="0" w:firstLineChars="0"/>
              <w:jc w:val="center"/>
              <w:rPr>
                <w:rFonts w:eastAsia="等线" w:cs="Times New Roman"/>
                <w:kern w:val="0"/>
                <w:sz w:val="21"/>
              </w:rPr>
            </w:pPr>
            <w:r>
              <w:rPr>
                <w:rFonts w:eastAsia="等线" w:cs="Times New Roman"/>
                <w:kern w:val="0"/>
                <w:sz w:val="21"/>
              </w:rPr>
              <w:t>65</w:t>
            </w:r>
          </w:p>
        </w:tc>
        <w:tc>
          <w:tcPr>
            <w:tcW w:w="401" w:type="pct"/>
            <w:tcBorders>
              <w:top w:val="nil"/>
              <w:left w:val="nil"/>
              <w:bottom w:val="single" w:color="auto" w:sz="4" w:space="0"/>
              <w:right w:val="single" w:color="auto" w:sz="4" w:space="0"/>
            </w:tcBorders>
            <w:shd w:val="clear" w:color="auto" w:fill="auto"/>
            <w:vAlign w:val="center"/>
          </w:tcPr>
          <w:p w14:paraId="22ABB6E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c>
          <w:tcPr>
            <w:tcW w:w="401" w:type="pct"/>
            <w:tcBorders>
              <w:top w:val="nil"/>
              <w:left w:val="nil"/>
              <w:bottom w:val="single" w:color="auto" w:sz="4" w:space="0"/>
              <w:right w:val="single" w:color="auto" w:sz="4" w:space="0"/>
            </w:tcBorders>
            <w:shd w:val="clear" w:color="auto" w:fill="auto"/>
            <w:vAlign w:val="center"/>
          </w:tcPr>
          <w:p w14:paraId="30942631">
            <w:pPr>
              <w:spacing w:line="240" w:lineRule="auto"/>
              <w:ind w:firstLine="0" w:firstLineChars="0"/>
              <w:jc w:val="center"/>
              <w:rPr>
                <w:rFonts w:eastAsia="等线" w:cs="Times New Roman"/>
                <w:kern w:val="0"/>
                <w:sz w:val="21"/>
              </w:rPr>
            </w:pPr>
            <w:r>
              <w:rPr>
                <w:rFonts w:eastAsia="等线" w:cs="Times New Roman"/>
                <w:kern w:val="0"/>
                <w:sz w:val="21"/>
              </w:rPr>
              <w:t>43</w:t>
            </w:r>
          </w:p>
        </w:tc>
        <w:tc>
          <w:tcPr>
            <w:tcW w:w="401" w:type="pct"/>
            <w:tcBorders>
              <w:top w:val="nil"/>
              <w:left w:val="nil"/>
              <w:bottom w:val="single" w:color="auto" w:sz="4" w:space="0"/>
              <w:right w:val="single" w:color="auto" w:sz="4" w:space="0"/>
            </w:tcBorders>
            <w:shd w:val="clear" w:color="auto" w:fill="auto"/>
            <w:vAlign w:val="center"/>
          </w:tcPr>
          <w:p w14:paraId="3E89E5B7">
            <w:pPr>
              <w:spacing w:line="240" w:lineRule="auto"/>
              <w:ind w:firstLine="0" w:firstLineChars="0"/>
              <w:jc w:val="center"/>
              <w:rPr>
                <w:rFonts w:eastAsia="等线" w:cs="Times New Roman"/>
                <w:kern w:val="0"/>
                <w:sz w:val="21"/>
              </w:rPr>
            </w:pPr>
            <w:r>
              <w:rPr>
                <w:rFonts w:eastAsia="等线" w:cs="Times New Roman"/>
                <w:kern w:val="0"/>
                <w:sz w:val="21"/>
              </w:rPr>
              <w:t>55</w:t>
            </w:r>
          </w:p>
        </w:tc>
        <w:tc>
          <w:tcPr>
            <w:tcW w:w="401" w:type="pct"/>
            <w:tcBorders>
              <w:top w:val="nil"/>
              <w:left w:val="nil"/>
              <w:bottom w:val="single" w:color="auto" w:sz="4" w:space="0"/>
              <w:right w:val="single" w:color="auto" w:sz="4" w:space="0"/>
            </w:tcBorders>
            <w:shd w:val="clear" w:color="auto" w:fill="auto"/>
            <w:vAlign w:val="center"/>
          </w:tcPr>
          <w:p w14:paraId="4B3E74F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达标</w:t>
            </w:r>
          </w:p>
        </w:tc>
      </w:tr>
      <w:tr w14:paraId="65F5E9EA">
        <w:tblPrEx>
          <w:tblCellMar>
            <w:top w:w="0" w:type="dxa"/>
            <w:left w:w="108" w:type="dxa"/>
            <w:bottom w:w="0" w:type="dxa"/>
            <w:right w:w="108" w:type="dxa"/>
          </w:tblCellMar>
        </w:tblPrEx>
        <w:trPr>
          <w:trHeight w:val="480" w:hRule="atLeast"/>
          <w:jc w:val="center"/>
        </w:trPr>
        <w:tc>
          <w:tcPr>
            <w:tcW w:w="5000" w:type="pct"/>
            <w:gridSpan w:val="10"/>
            <w:tcBorders>
              <w:top w:val="single" w:color="auto" w:sz="4" w:space="0"/>
              <w:left w:val="single" w:color="auto" w:sz="4" w:space="0"/>
              <w:bottom w:val="single" w:color="auto" w:sz="4" w:space="0"/>
              <w:right w:val="single" w:color="000000" w:sz="4" w:space="0"/>
            </w:tcBorders>
            <w:shd w:val="clear" w:color="auto" w:fill="auto"/>
            <w:vAlign w:val="center"/>
          </w:tcPr>
          <w:p w14:paraId="4D9EF3A5">
            <w:pPr>
              <w:spacing w:line="240" w:lineRule="auto"/>
              <w:ind w:firstLine="0" w:firstLineChars="0"/>
              <w:jc w:val="center"/>
              <w:rPr>
                <w:rFonts w:hint="eastAsia" w:ascii="宋体" w:hAnsi="宋体" w:eastAsia="宋体" w:cs="宋体"/>
                <w:b/>
                <w:bCs/>
                <w:kern w:val="0"/>
                <w:sz w:val="18"/>
                <w:szCs w:val="18"/>
              </w:rPr>
            </w:pPr>
            <w:r>
              <w:rPr>
                <w:rFonts w:hint="eastAsia" w:ascii="宋体" w:hAnsi="宋体" w:eastAsia="宋体" w:cs="宋体"/>
                <w:b/>
                <w:bCs/>
                <w:kern w:val="0"/>
                <w:sz w:val="18"/>
                <w:szCs w:val="18"/>
              </w:rPr>
              <w:t>备注：</w:t>
            </w:r>
            <w:r>
              <w:rPr>
                <w:rFonts w:eastAsia="宋体" w:cs="Times New Roman"/>
                <w:kern w:val="0"/>
                <w:sz w:val="18"/>
                <w:szCs w:val="18"/>
              </w:rPr>
              <w:t>2023</w:t>
            </w:r>
            <w:r>
              <w:rPr>
                <w:rFonts w:hint="eastAsia" w:ascii="宋体" w:hAnsi="宋体" w:eastAsia="宋体" w:cs="宋体"/>
                <w:kern w:val="0"/>
                <w:sz w:val="18"/>
                <w:szCs w:val="18"/>
              </w:rPr>
              <w:t>年</w:t>
            </w:r>
            <w:r>
              <w:rPr>
                <w:rFonts w:eastAsia="宋体" w:cs="Times New Roman"/>
                <w:kern w:val="0"/>
                <w:sz w:val="18"/>
                <w:szCs w:val="18"/>
              </w:rPr>
              <w:t>08</w:t>
            </w:r>
            <w:r>
              <w:rPr>
                <w:rFonts w:hint="eastAsia" w:ascii="宋体" w:hAnsi="宋体" w:eastAsia="宋体" w:cs="宋体"/>
                <w:kern w:val="0"/>
                <w:sz w:val="18"/>
                <w:szCs w:val="18"/>
              </w:rPr>
              <w:t>月</w:t>
            </w:r>
            <w:r>
              <w:rPr>
                <w:rFonts w:eastAsia="宋体" w:cs="Times New Roman"/>
                <w:kern w:val="0"/>
                <w:sz w:val="18"/>
                <w:szCs w:val="18"/>
              </w:rPr>
              <w:t>16</w:t>
            </w:r>
            <w:r>
              <w:rPr>
                <w:rFonts w:hint="eastAsia" w:ascii="宋体" w:hAnsi="宋体" w:eastAsia="宋体" w:cs="宋体"/>
                <w:kern w:val="0"/>
                <w:sz w:val="18"/>
                <w:szCs w:val="18"/>
              </w:rPr>
              <w:t>日昼间多云、东风、风速</w:t>
            </w:r>
            <w:r>
              <w:rPr>
                <w:rFonts w:eastAsia="宋体" w:cs="Times New Roman"/>
                <w:kern w:val="0"/>
                <w:sz w:val="18"/>
                <w:szCs w:val="18"/>
              </w:rPr>
              <w:t>1.7m/s</w:t>
            </w:r>
            <w:r>
              <w:rPr>
                <w:rFonts w:hint="eastAsia" w:ascii="宋体" w:hAnsi="宋体" w:eastAsia="宋体" w:cs="宋体"/>
                <w:kern w:val="0"/>
                <w:sz w:val="18"/>
                <w:szCs w:val="18"/>
              </w:rPr>
              <w:t>；夜间多云、东风、风速</w:t>
            </w:r>
            <w:r>
              <w:rPr>
                <w:rFonts w:eastAsia="宋体" w:cs="Times New Roman"/>
                <w:kern w:val="0"/>
                <w:sz w:val="18"/>
                <w:szCs w:val="18"/>
              </w:rPr>
              <w:t>1.9m/s</w:t>
            </w:r>
            <w:r>
              <w:rPr>
                <w:rFonts w:hint="eastAsia" w:ascii="宋体" w:hAnsi="宋体" w:eastAsia="宋体" w:cs="宋体"/>
                <w:kern w:val="0"/>
                <w:sz w:val="18"/>
                <w:szCs w:val="18"/>
              </w:rPr>
              <w:t>。</w:t>
            </w:r>
            <w:r>
              <w:rPr>
                <w:rFonts w:eastAsia="宋体" w:cs="Times New Roman"/>
                <w:kern w:val="0"/>
                <w:sz w:val="18"/>
                <w:szCs w:val="18"/>
              </w:rPr>
              <w:t xml:space="preserve">      2023</w:t>
            </w:r>
            <w:r>
              <w:rPr>
                <w:rFonts w:hint="eastAsia" w:ascii="宋体" w:hAnsi="宋体" w:eastAsia="宋体" w:cs="宋体"/>
                <w:kern w:val="0"/>
                <w:sz w:val="18"/>
                <w:szCs w:val="18"/>
              </w:rPr>
              <w:t>年</w:t>
            </w:r>
            <w:r>
              <w:rPr>
                <w:rFonts w:eastAsia="宋体" w:cs="Times New Roman"/>
                <w:kern w:val="0"/>
                <w:sz w:val="18"/>
                <w:szCs w:val="18"/>
              </w:rPr>
              <w:t>08</w:t>
            </w:r>
            <w:r>
              <w:rPr>
                <w:rFonts w:hint="eastAsia" w:ascii="宋体" w:hAnsi="宋体" w:eastAsia="宋体" w:cs="宋体"/>
                <w:kern w:val="0"/>
                <w:sz w:val="18"/>
                <w:szCs w:val="18"/>
              </w:rPr>
              <w:t>月</w:t>
            </w:r>
            <w:r>
              <w:rPr>
                <w:rFonts w:eastAsia="宋体" w:cs="Times New Roman"/>
                <w:kern w:val="0"/>
                <w:sz w:val="18"/>
                <w:szCs w:val="18"/>
              </w:rPr>
              <w:t>17</w:t>
            </w:r>
            <w:r>
              <w:rPr>
                <w:rFonts w:hint="eastAsia" w:ascii="宋体" w:hAnsi="宋体" w:eastAsia="宋体" w:cs="宋体"/>
                <w:kern w:val="0"/>
                <w:sz w:val="18"/>
                <w:szCs w:val="18"/>
              </w:rPr>
              <w:t>日昼间多云、东风、风速</w:t>
            </w:r>
            <w:r>
              <w:rPr>
                <w:rFonts w:eastAsia="宋体" w:cs="Times New Roman"/>
                <w:kern w:val="0"/>
                <w:sz w:val="18"/>
                <w:szCs w:val="18"/>
              </w:rPr>
              <w:t>1.7m/s</w:t>
            </w:r>
            <w:r>
              <w:rPr>
                <w:rFonts w:hint="eastAsia" w:ascii="宋体" w:hAnsi="宋体" w:eastAsia="宋体" w:cs="宋体"/>
                <w:kern w:val="0"/>
                <w:sz w:val="18"/>
                <w:szCs w:val="18"/>
              </w:rPr>
              <w:t>；夜间多云、东风、风速</w:t>
            </w:r>
            <w:r>
              <w:rPr>
                <w:rFonts w:eastAsia="宋体" w:cs="Times New Roman"/>
                <w:kern w:val="0"/>
                <w:sz w:val="18"/>
                <w:szCs w:val="18"/>
              </w:rPr>
              <w:t>1.9m/s</w:t>
            </w:r>
            <w:r>
              <w:rPr>
                <w:rFonts w:hint="eastAsia" w:ascii="宋体" w:hAnsi="宋体" w:eastAsia="宋体" w:cs="宋体"/>
                <w:kern w:val="0"/>
                <w:sz w:val="18"/>
                <w:szCs w:val="18"/>
              </w:rPr>
              <w:t>。</w:t>
            </w:r>
          </w:p>
        </w:tc>
      </w:tr>
    </w:tbl>
    <w:p w14:paraId="261BA235">
      <w:pPr>
        <w:pStyle w:val="93"/>
      </w:pPr>
      <w:r>
        <w:rPr>
          <w:rFonts w:hint="eastAsia"/>
        </w:rPr>
        <w:t>现状监测结果表明，拟建项目所在地的声环境质量较好，监测期2天内北、南、西三个厂界6个噪声监测点昼、夜间等效声级Leq（A）平均值均满足《声环境质量标准》（GB3096–2008）中3类标准要求。东厂界2个噪声监测点昼、夜间等效声级Leq（A）平均值均满足《声环境质量标准》（GB3096–2008）中4a类标准要求。</w:t>
      </w:r>
    </w:p>
    <w:p w14:paraId="0D2A89D3">
      <w:pPr>
        <w:pStyle w:val="82"/>
      </w:pPr>
      <w:bookmarkStart w:id="256" w:name="_Toc6520"/>
      <w:bookmarkEnd w:id="256"/>
      <w:r>
        <w:rPr>
          <w:rFonts w:hint="eastAsia"/>
        </w:rPr>
        <w:t>底泥环境质量现状监测和评价</w:t>
      </w:r>
    </w:p>
    <w:p w14:paraId="33F60A77">
      <w:pPr>
        <w:pStyle w:val="93"/>
      </w:pPr>
      <w:r>
        <w:rPr>
          <w:rFonts w:hint="eastAsia"/>
        </w:rPr>
        <w:t>（1）监测布点</w:t>
      </w:r>
    </w:p>
    <w:p w14:paraId="00FC5485">
      <w:pPr>
        <w:ind w:firstLine="480"/>
      </w:pPr>
      <w:r>
        <w:rPr>
          <w:rFonts w:hint="eastAsia"/>
        </w:rPr>
        <w:t>监测点位：根据项目地形特点，在项目周界共布设1个底泥监测点，监测点位布设见表4.3-9、</w:t>
      </w:r>
      <w:r>
        <w:rPr>
          <w:rFonts w:hint="eastAsia"/>
          <w:bCs/>
        </w:rPr>
        <w:t>图4.</w:t>
      </w:r>
      <w:r>
        <w:rPr>
          <w:bCs/>
        </w:rPr>
        <w:t>1-1</w:t>
      </w:r>
      <w:r>
        <w:rPr>
          <w:rFonts w:hint="eastAsia"/>
        </w:rPr>
        <w:t>。</w:t>
      </w:r>
    </w:p>
    <w:p w14:paraId="6B432B42">
      <w:pPr>
        <w:pStyle w:val="86"/>
      </w:pPr>
      <w:r>
        <w:rPr>
          <w:rFonts w:hint="eastAsia"/>
        </w:rPr>
        <w:t>底泥监测点位一览表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587"/>
        <w:gridCol w:w="4635"/>
        <w:gridCol w:w="2194"/>
      </w:tblGrid>
      <w:tr w14:paraId="05BA5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3" w:type="pct"/>
            <w:vAlign w:val="center"/>
          </w:tcPr>
          <w:p w14:paraId="0ADF84FB">
            <w:pPr>
              <w:pStyle w:val="196"/>
            </w:pPr>
            <w:r>
              <w:rPr>
                <w:rFonts w:hint="eastAsia"/>
              </w:rPr>
              <w:t>序号</w:t>
            </w:r>
          </w:p>
        </w:tc>
        <w:tc>
          <w:tcPr>
            <w:tcW w:w="2753" w:type="pct"/>
            <w:vAlign w:val="center"/>
          </w:tcPr>
          <w:p w14:paraId="3BFD55E5">
            <w:pPr>
              <w:pStyle w:val="196"/>
            </w:pPr>
            <w:r>
              <w:rPr>
                <w:rFonts w:hint="eastAsia"/>
              </w:rPr>
              <w:t>位置</w:t>
            </w:r>
          </w:p>
        </w:tc>
        <w:tc>
          <w:tcPr>
            <w:tcW w:w="1303" w:type="pct"/>
            <w:vAlign w:val="center"/>
          </w:tcPr>
          <w:p w14:paraId="00D4FB53">
            <w:pPr>
              <w:pStyle w:val="196"/>
            </w:pPr>
            <w:r>
              <w:rPr>
                <w:rFonts w:hint="eastAsia"/>
              </w:rPr>
              <w:t>监测项目</w:t>
            </w:r>
          </w:p>
        </w:tc>
      </w:tr>
      <w:tr w14:paraId="541EA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943" w:type="pct"/>
            <w:vAlign w:val="center"/>
          </w:tcPr>
          <w:p w14:paraId="599EA98A">
            <w:pPr>
              <w:pStyle w:val="196"/>
            </w:pPr>
            <w:r>
              <w:rPr>
                <w:rFonts w:hint="eastAsia"/>
              </w:rPr>
              <w:t>BS1</w:t>
            </w:r>
          </w:p>
        </w:tc>
        <w:tc>
          <w:tcPr>
            <w:tcW w:w="2753" w:type="pct"/>
            <w:vAlign w:val="center"/>
          </w:tcPr>
          <w:p w14:paraId="36DAE60A">
            <w:pPr>
              <w:pStyle w:val="196"/>
            </w:pPr>
            <w:r>
              <w:rPr>
                <w:rFonts w:hint="eastAsia"/>
              </w:rPr>
              <w:t>拟开挖港池处河道底泥</w:t>
            </w:r>
          </w:p>
        </w:tc>
        <w:tc>
          <w:tcPr>
            <w:tcW w:w="1303" w:type="pct"/>
            <w:vAlign w:val="center"/>
          </w:tcPr>
          <w:p w14:paraId="06B7CC20">
            <w:pPr>
              <w:pStyle w:val="196"/>
            </w:pPr>
            <w:r>
              <w:rPr>
                <w:rFonts w:hint="eastAsia"/>
              </w:rPr>
              <w:t>45项、pH、锌、石油类</w:t>
            </w:r>
          </w:p>
        </w:tc>
      </w:tr>
    </w:tbl>
    <w:p w14:paraId="37FFA5C9">
      <w:pPr>
        <w:ind w:firstLine="482"/>
        <w:rPr>
          <w:b/>
          <w:bCs/>
        </w:rPr>
      </w:pPr>
      <w:r>
        <w:rPr>
          <w:rFonts w:hint="eastAsia"/>
          <w:b/>
          <w:bCs/>
        </w:rPr>
        <w:t>（2）监测项目</w:t>
      </w:r>
    </w:p>
    <w:p w14:paraId="6587EEF4">
      <w:pPr>
        <w:ind w:firstLine="480"/>
      </w:pPr>
      <w:r>
        <w:rPr>
          <w:rFonts w:hint="eastAsia"/>
        </w:rPr>
        <w:t>底泥</w:t>
      </w:r>
      <w:r>
        <w:rPr>
          <w:rFonts w:hint="eastAsia"/>
          <w:lang w:eastAsia="zh-CN"/>
        </w:rPr>
        <w:t>检测项目</w:t>
      </w:r>
      <w:r>
        <w:rPr>
          <w:rFonts w:hint="eastAsia"/>
        </w:rPr>
        <w:t>为：45项、pH、锌、石油烃。</w:t>
      </w:r>
    </w:p>
    <w:p w14:paraId="2AE6E5CD">
      <w:pPr>
        <w:ind w:firstLine="482"/>
        <w:rPr>
          <w:b/>
          <w:bCs/>
        </w:rPr>
      </w:pPr>
      <w:r>
        <w:rPr>
          <w:rFonts w:hint="eastAsia"/>
          <w:b/>
          <w:bCs/>
        </w:rPr>
        <w:t>（3）监测频次</w:t>
      </w:r>
    </w:p>
    <w:p w14:paraId="770AB72C">
      <w:pPr>
        <w:ind w:firstLine="480"/>
      </w:pPr>
      <w:r>
        <w:rPr>
          <w:rFonts w:hint="eastAsia"/>
        </w:rPr>
        <w:t>202</w:t>
      </w:r>
      <w:r>
        <w:t>3</w:t>
      </w:r>
      <w:r>
        <w:rPr>
          <w:rFonts w:hint="eastAsia"/>
        </w:rPr>
        <w:t>年</w:t>
      </w:r>
      <w:r>
        <w:t>8</w:t>
      </w:r>
      <w:r>
        <w:rPr>
          <w:rFonts w:hint="eastAsia"/>
        </w:rPr>
        <w:t>月</w:t>
      </w:r>
      <w:r>
        <w:t>17</w:t>
      </w:r>
      <w:r>
        <w:rPr>
          <w:rFonts w:hint="eastAsia"/>
        </w:rPr>
        <w:t>日，监测1天，监测1次。</w:t>
      </w:r>
    </w:p>
    <w:p w14:paraId="7121FAAF">
      <w:pPr>
        <w:ind w:firstLine="482"/>
        <w:rPr>
          <w:b/>
          <w:bCs/>
        </w:rPr>
      </w:pPr>
      <w:r>
        <w:rPr>
          <w:rFonts w:hint="eastAsia"/>
          <w:b/>
          <w:bCs/>
        </w:rPr>
        <w:t>（4）采样及分析方法</w:t>
      </w:r>
    </w:p>
    <w:p w14:paraId="3F9AF466">
      <w:pPr>
        <w:pStyle w:val="86"/>
      </w:pPr>
      <w:r>
        <w:rPr>
          <w:rFonts w:hint="eastAsia"/>
        </w:rPr>
        <w:t>底泥</w:t>
      </w:r>
      <w:r>
        <w:rPr>
          <w:rFonts w:hint="eastAsia"/>
          <w:lang w:eastAsia="zh-CN"/>
        </w:rPr>
        <w:t>检测项目</w:t>
      </w:r>
      <w:r>
        <w:rPr>
          <w:rFonts w:hint="eastAsia"/>
        </w:rPr>
        <w:t>、分析方法和依据</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2465"/>
        <w:gridCol w:w="1717"/>
        <w:gridCol w:w="2521"/>
      </w:tblGrid>
      <w:tr w14:paraId="5507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65" w:type="pct"/>
            <w:vAlign w:val="center"/>
          </w:tcPr>
          <w:p w14:paraId="369ECB64">
            <w:pPr>
              <w:pStyle w:val="196"/>
              <w:rPr>
                <w:b/>
                <w:bCs/>
              </w:rPr>
            </w:pPr>
            <w:r>
              <w:rPr>
                <w:rFonts w:hint="eastAsia"/>
                <w:b/>
                <w:bCs/>
              </w:rPr>
              <w:t>项目</w:t>
            </w:r>
          </w:p>
        </w:tc>
        <w:tc>
          <w:tcPr>
            <w:tcW w:w="1447" w:type="pct"/>
            <w:vAlign w:val="center"/>
          </w:tcPr>
          <w:p w14:paraId="04ED891C">
            <w:pPr>
              <w:pStyle w:val="196"/>
              <w:rPr>
                <w:b/>
                <w:bCs/>
              </w:rPr>
            </w:pPr>
            <w:r>
              <w:rPr>
                <w:rFonts w:hint="eastAsia"/>
                <w:b/>
                <w:bCs/>
              </w:rPr>
              <w:t>检测方法</w:t>
            </w:r>
          </w:p>
        </w:tc>
        <w:tc>
          <w:tcPr>
            <w:tcW w:w="1008" w:type="pct"/>
            <w:vAlign w:val="center"/>
          </w:tcPr>
          <w:p w14:paraId="27B1991E">
            <w:pPr>
              <w:pStyle w:val="196"/>
              <w:rPr>
                <w:b/>
                <w:bCs/>
              </w:rPr>
            </w:pPr>
            <w:r>
              <w:rPr>
                <w:rFonts w:hint="eastAsia"/>
                <w:b/>
                <w:bCs/>
              </w:rPr>
              <w:t>方法依据</w:t>
            </w:r>
          </w:p>
        </w:tc>
        <w:tc>
          <w:tcPr>
            <w:tcW w:w="1481" w:type="pct"/>
            <w:vAlign w:val="center"/>
          </w:tcPr>
          <w:p w14:paraId="634BD23D">
            <w:pPr>
              <w:pStyle w:val="196"/>
              <w:rPr>
                <w:b/>
                <w:bCs/>
              </w:rPr>
            </w:pPr>
            <w:r>
              <w:rPr>
                <w:rFonts w:hint="eastAsia"/>
                <w:b/>
                <w:bCs/>
              </w:rPr>
              <w:t>检出限mg/kg</w:t>
            </w:r>
          </w:p>
          <w:p w14:paraId="6ECD4CCB">
            <w:pPr>
              <w:pStyle w:val="196"/>
              <w:rPr>
                <w:b/>
                <w:bCs/>
              </w:rPr>
            </w:pPr>
            <w:r>
              <w:rPr>
                <w:rFonts w:hint="eastAsia"/>
                <w:b/>
                <w:bCs/>
              </w:rPr>
              <w:t>（除氯甲烷/μg·kg</w:t>
            </w:r>
            <w:r>
              <w:rPr>
                <w:rFonts w:hint="eastAsia"/>
                <w:b/>
                <w:bCs/>
                <w:vertAlign w:val="superscript"/>
              </w:rPr>
              <w:t>-1</w:t>
            </w:r>
            <w:r>
              <w:rPr>
                <w:rFonts w:hint="eastAsia"/>
                <w:b/>
                <w:bCs/>
              </w:rPr>
              <w:t>及pH）</w:t>
            </w:r>
          </w:p>
        </w:tc>
      </w:tr>
      <w:tr w14:paraId="02D0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065" w:type="pct"/>
            <w:vAlign w:val="center"/>
          </w:tcPr>
          <w:p w14:paraId="2CC48E07">
            <w:pPr>
              <w:pStyle w:val="196"/>
            </w:pPr>
            <w:r>
              <w:rPr>
                <w:rFonts w:hint="eastAsia"/>
              </w:rPr>
              <w:t>pH</w:t>
            </w:r>
          </w:p>
        </w:tc>
        <w:tc>
          <w:tcPr>
            <w:tcW w:w="1447" w:type="pct"/>
            <w:vAlign w:val="center"/>
          </w:tcPr>
          <w:p w14:paraId="0B897052">
            <w:pPr>
              <w:pStyle w:val="196"/>
            </w:pPr>
            <w:r>
              <w:rPr>
                <w:rFonts w:hint="eastAsia"/>
              </w:rPr>
              <w:t>NY/T</w:t>
            </w:r>
          </w:p>
        </w:tc>
        <w:tc>
          <w:tcPr>
            <w:tcW w:w="1008" w:type="pct"/>
            <w:vAlign w:val="center"/>
          </w:tcPr>
          <w:p w14:paraId="32A6C219">
            <w:pPr>
              <w:pStyle w:val="196"/>
            </w:pPr>
            <w:r>
              <w:rPr>
                <w:rFonts w:hint="eastAsia"/>
              </w:rPr>
              <w:t>1377-2007</w:t>
            </w:r>
          </w:p>
        </w:tc>
        <w:tc>
          <w:tcPr>
            <w:tcW w:w="1481" w:type="pct"/>
            <w:vAlign w:val="center"/>
          </w:tcPr>
          <w:p w14:paraId="4270F76C">
            <w:pPr>
              <w:pStyle w:val="196"/>
            </w:pPr>
            <w:r>
              <w:rPr>
                <w:rFonts w:hint="eastAsia"/>
              </w:rPr>
              <w:t>/</w:t>
            </w:r>
          </w:p>
        </w:tc>
      </w:tr>
      <w:tr w14:paraId="388B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EB6D64D">
            <w:pPr>
              <w:pStyle w:val="196"/>
            </w:pPr>
            <w:r>
              <w:rPr>
                <w:rFonts w:hint="eastAsia"/>
              </w:rPr>
              <w:t>六价铬</w:t>
            </w:r>
          </w:p>
        </w:tc>
        <w:tc>
          <w:tcPr>
            <w:tcW w:w="1447" w:type="pct"/>
            <w:vAlign w:val="center"/>
          </w:tcPr>
          <w:p w14:paraId="6747FFCB">
            <w:pPr>
              <w:pStyle w:val="196"/>
            </w:pPr>
            <w:r>
              <w:rPr>
                <w:rFonts w:hint="eastAsia"/>
              </w:rPr>
              <w:t>碱溶液提取－火焰原子吸收分光光度法</w:t>
            </w:r>
          </w:p>
        </w:tc>
        <w:tc>
          <w:tcPr>
            <w:tcW w:w="1008" w:type="pct"/>
            <w:vAlign w:val="center"/>
          </w:tcPr>
          <w:p w14:paraId="502D0BF3">
            <w:pPr>
              <w:pStyle w:val="196"/>
            </w:pPr>
            <w:r>
              <w:rPr>
                <w:rFonts w:hint="eastAsia"/>
              </w:rPr>
              <w:t>HJ 1082-2019</w:t>
            </w:r>
          </w:p>
        </w:tc>
        <w:tc>
          <w:tcPr>
            <w:tcW w:w="1481" w:type="pct"/>
            <w:vAlign w:val="center"/>
          </w:tcPr>
          <w:p w14:paraId="6B30571F">
            <w:pPr>
              <w:pStyle w:val="196"/>
            </w:pPr>
            <w:r>
              <w:rPr>
                <w:rFonts w:hint="eastAsia"/>
              </w:rPr>
              <w:t>0.5</w:t>
            </w:r>
          </w:p>
        </w:tc>
      </w:tr>
      <w:tr w14:paraId="571D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6C35657">
            <w:pPr>
              <w:pStyle w:val="196"/>
            </w:pPr>
            <w:r>
              <w:rPr>
                <w:rFonts w:hint="eastAsia"/>
              </w:rPr>
              <w:t>总铬</w:t>
            </w:r>
          </w:p>
        </w:tc>
        <w:tc>
          <w:tcPr>
            <w:tcW w:w="1447" w:type="pct"/>
            <w:vAlign w:val="center"/>
          </w:tcPr>
          <w:p w14:paraId="4ED42929">
            <w:pPr>
              <w:pStyle w:val="196"/>
            </w:pPr>
            <w:r>
              <w:rPr>
                <w:rFonts w:hint="eastAsia"/>
              </w:rPr>
              <w:t>土壤 总铬的测定 火焰原子吸收分光光度法</w:t>
            </w:r>
          </w:p>
        </w:tc>
        <w:tc>
          <w:tcPr>
            <w:tcW w:w="1008" w:type="pct"/>
            <w:vAlign w:val="center"/>
          </w:tcPr>
          <w:p w14:paraId="3C3BF6C4">
            <w:pPr>
              <w:pStyle w:val="196"/>
            </w:pPr>
            <w:r>
              <w:t>HJ 491</w:t>
            </w:r>
          </w:p>
        </w:tc>
        <w:tc>
          <w:tcPr>
            <w:tcW w:w="1481" w:type="pct"/>
            <w:vAlign w:val="center"/>
          </w:tcPr>
          <w:p w14:paraId="6376941E">
            <w:pPr>
              <w:pStyle w:val="196"/>
            </w:pPr>
            <w:r>
              <w:rPr>
                <w:rFonts w:hint="eastAsia"/>
              </w:rPr>
              <w:t>5</w:t>
            </w:r>
          </w:p>
        </w:tc>
      </w:tr>
      <w:tr w14:paraId="05ED3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pct"/>
            <w:vAlign w:val="center"/>
          </w:tcPr>
          <w:p w14:paraId="4D18D64F">
            <w:pPr>
              <w:pStyle w:val="196"/>
            </w:pPr>
            <w:r>
              <w:rPr>
                <w:rFonts w:hint="eastAsia"/>
              </w:rPr>
              <w:t>镉</w:t>
            </w:r>
          </w:p>
        </w:tc>
        <w:tc>
          <w:tcPr>
            <w:tcW w:w="1447" w:type="pct"/>
            <w:vAlign w:val="center"/>
          </w:tcPr>
          <w:p w14:paraId="4CE28132">
            <w:pPr>
              <w:pStyle w:val="196"/>
            </w:pPr>
            <w:r>
              <w:rPr>
                <w:rFonts w:hint="eastAsia"/>
              </w:rPr>
              <w:t>石墨炉原子吸收分光光度法</w:t>
            </w:r>
          </w:p>
        </w:tc>
        <w:tc>
          <w:tcPr>
            <w:tcW w:w="1008" w:type="pct"/>
            <w:vAlign w:val="center"/>
          </w:tcPr>
          <w:p w14:paraId="2883359B">
            <w:pPr>
              <w:pStyle w:val="196"/>
            </w:pPr>
            <w:r>
              <w:rPr>
                <w:rFonts w:hint="eastAsia"/>
              </w:rPr>
              <w:t>GB/T 17141-1997</w:t>
            </w:r>
          </w:p>
        </w:tc>
        <w:tc>
          <w:tcPr>
            <w:tcW w:w="1481" w:type="pct"/>
            <w:vAlign w:val="center"/>
          </w:tcPr>
          <w:p w14:paraId="4CAC3800">
            <w:pPr>
              <w:pStyle w:val="196"/>
            </w:pPr>
            <w:r>
              <w:rPr>
                <w:rFonts w:hint="eastAsia"/>
              </w:rPr>
              <w:t>0.01</w:t>
            </w:r>
          </w:p>
        </w:tc>
      </w:tr>
      <w:tr w14:paraId="1A558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5" w:type="pct"/>
            <w:vAlign w:val="center"/>
          </w:tcPr>
          <w:p w14:paraId="785B8E3D">
            <w:pPr>
              <w:pStyle w:val="196"/>
            </w:pPr>
            <w:r>
              <w:rPr>
                <w:rFonts w:hint="eastAsia"/>
              </w:rPr>
              <w:t>汞</w:t>
            </w:r>
          </w:p>
        </w:tc>
        <w:tc>
          <w:tcPr>
            <w:tcW w:w="1447" w:type="pct"/>
            <w:vAlign w:val="center"/>
          </w:tcPr>
          <w:p w14:paraId="6B6CB677">
            <w:pPr>
              <w:pStyle w:val="196"/>
            </w:pPr>
            <w:r>
              <w:rPr>
                <w:rFonts w:hint="eastAsia"/>
              </w:rPr>
              <w:t>微波消解 原子</w:t>
            </w:r>
            <w:r>
              <w:rPr>
                <w:rFonts w:hint="eastAsia"/>
                <w:lang w:eastAsia="zh-CN"/>
              </w:rPr>
              <w:t>荧光</w:t>
            </w:r>
            <w:r>
              <w:rPr>
                <w:rFonts w:hint="eastAsia"/>
              </w:rPr>
              <w:t>法</w:t>
            </w:r>
          </w:p>
        </w:tc>
        <w:tc>
          <w:tcPr>
            <w:tcW w:w="1008" w:type="pct"/>
            <w:vAlign w:val="center"/>
          </w:tcPr>
          <w:p w14:paraId="44A0DA42">
            <w:pPr>
              <w:pStyle w:val="196"/>
            </w:pPr>
            <w:r>
              <w:rPr>
                <w:rFonts w:hint="eastAsia"/>
              </w:rPr>
              <w:t>HJ 680-2013</w:t>
            </w:r>
          </w:p>
        </w:tc>
        <w:tc>
          <w:tcPr>
            <w:tcW w:w="1481" w:type="pct"/>
            <w:vAlign w:val="center"/>
          </w:tcPr>
          <w:p w14:paraId="69E1E686">
            <w:pPr>
              <w:pStyle w:val="196"/>
            </w:pPr>
            <w:r>
              <w:rPr>
                <w:rFonts w:hint="eastAsia"/>
              </w:rPr>
              <w:t>0.002</w:t>
            </w:r>
          </w:p>
        </w:tc>
      </w:tr>
      <w:tr w14:paraId="1B45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E1ADA87">
            <w:pPr>
              <w:pStyle w:val="196"/>
            </w:pPr>
            <w:r>
              <w:rPr>
                <w:rFonts w:hint="eastAsia"/>
              </w:rPr>
              <w:t>砷</w:t>
            </w:r>
          </w:p>
        </w:tc>
        <w:tc>
          <w:tcPr>
            <w:tcW w:w="1447" w:type="pct"/>
            <w:vAlign w:val="center"/>
          </w:tcPr>
          <w:p w14:paraId="473E598A">
            <w:pPr>
              <w:pStyle w:val="196"/>
            </w:pPr>
            <w:r>
              <w:rPr>
                <w:rFonts w:hint="eastAsia"/>
              </w:rPr>
              <w:t>微波消解 原子</w:t>
            </w:r>
            <w:r>
              <w:rPr>
                <w:rFonts w:hint="eastAsia"/>
                <w:lang w:eastAsia="zh-CN"/>
              </w:rPr>
              <w:t>荧光</w:t>
            </w:r>
            <w:r>
              <w:rPr>
                <w:rFonts w:hint="eastAsia"/>
              </w:rPr>
              <w:t>法</w:t>
            </w:r>
          </w:p>
        </w:tc>
        <w:tc>
          <w:tcPr>
            <w:tcW w:w="1008" w:type="pct"/>
            <w:vAlign w:val="center"/>
          </w:tcPr>
          <w:p w14:paraId="3DFDDD92">
            <w:pPr>
              <w:pStyle w:val="196"/>
            </w:pPr>
            <w:r>
              <w:rPr>
                <w:rFonts w:hint="eastAsia"/>
              </w:rPr>
              <w:t>HJ 680-2013</w:t>
            </w:r>
          </w:p>
        </w:tc>
        <w:tc>
          <w:tcPr>
            <w:tcW w:w="1481" w:type="pct"/>
            <w:vAlign w:val="center"/>
          </w:tcPr>
          <w:p w14:paraId="4F2A0D18">
            <w:pPr>
              <w:pStyle w:val="196"/>
            </w:pPr>
            <w:r>
              <w:rPr>
                <w:rFonts w:hint="eastAsia"/>
              </w:rPr>
              <w:t>0.01</w:t>
            </w:r>
          </w:p>
        </w:tc>
      </w:tr>
      <w:tr w14:paraId="7CF18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8629616">
            <w:pPr>
              <w:pStyle w:val="196"/>
            </w:pPr>
            <w:r>
              <w:rPr>
                <w:rFonts w:hint="eastAsia"/>
              </w:rPr>
              <w:t>铅</w:t>
            </w:r>
          </w:p>
        </w:tc>
        <w:tc>
          <w:tcPr>
            <w:tcW w:w="1447" w:type="pct"/>
            <w:vAlign w:val="center"/>
          </w:tcPr>
          <w:p w14:paraId="09249FF0">
            <w:pPr>
              <w:pStyle w:val="196"/>
            </w:pPr>
            <w:r>
              <w:rPr>
                <w:rFonts w:hint="eastAsia"/>
              </w:rPr>
              <w:t>石墨炉原子吸收分光光度法</w:t>
            </w:r>
          </w:p>
        </w:tc>
        <w:tc>
          <w:tcPr>
            <w:tcW w:w="1008" w:type="pct"/>
            <w:vAlign w:val="center"/>
          </w:tcPr>
          <w:p w14:paraId="5D187AC6">
            <w:pPr>
              <w:pStyle w:val="196"/>
            </w:pPr>
            <w:r>
              <w:rPr>
                <w:rFonts w:hint="eastAsia"/>
              </w:rPr>
              <w:t>GB/T 17141-1997</w:t>
            </w:r>
          </w:p>
        </w:tc>
        <w:tc>
          <w:tcPr>
            <w:tcW w:w="1481" w:type="pct"/>
            <w:vAlign w:val="center"/>
          </w:tcPr>
          <w:p w14:paraId="0F2AEDCD">
            <w:pPr>
              <w:pStyle w:val="196"/>
            </w:pPr>
            <w:r>
              <w:rPr>
                <w:rFonts w:hint="eastAsia"/>
              </w:rPr>
              <w:t>0.1</w:t>
            </w:r>
          </w:p>
        </w:tc>
      </w:tr>
      <w:tr w14:paraId="68D1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99D0367">
            <w:pPr>
              <w:pStyle w:val="196"/>
            </w:pPr>
            <w:r>
              <w:rPr>
                <w:rFonts w:hint="eastAsia"/>
              </w:rPr>
              <w:t>锌</w:t>
            </w:r>
          </w:p>
        </w:tc>
        <w:tc>
          <w:tcPr>
            <w:tcW w:w="1447" w:type="pct"/>
            <w:vAlign w:val="center"/>
          </w:tcPr>
          <w:p w14:paraId="77987622">
            <w:pPr>
              <w:pStyle w:val="196"/>
            </w:pPr>
            <w:r>
              <w:rPr>
                <w:rFonts w:hint="eastAsia"/>
              </w:rPr>
              <w:t>火焰原子吸收分光光度法</w:t>
            </w:r>
          </w:p>
        </w:tc>
        <w:tc>
          <w:tcPr>
            <w:tcW w:w="1008" w:type="pct"/>
            <w:vAlign w:val="center"/>
          </w:tcPr>
          <w:p w14:paraId="2EF8EFE3">
            <w:pPr>
              <w:pStyle w:val="196"/>
            </w:pPr>
            <w:r>
              <w:rPr>
                <w:rFonts w:hint="eastAsia"/>
              </w:rPr>
              <w:t>HJ 491-2019</w:t>
            </w:r>
          </w:p>
        </w:tc>
        <w:tc>
          <w:tcPr>
            <w:tcW w:w="1481" w:type="pct"/>
            <w:vAlign w:val="center"/>
          </w:tcPr>
          <w:p w14:paraId="1F17A2EC">
            <w:pPr>
              <w:pStyle w:val="196"/>
            </w:pPr>
            <w:r>
              <w:rPr>
                <w:rFonts w:hint="eastAsia"/>
              </w:rPr>
              <w:t>1</w:t>
            </w:r>
          </w:p>
        </w:tc>
      </w:tr>
      <w:tr w14:paraId="6B28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7B7EE1C">
            <w:pPr>
              <w:pStyle w:val="196"/>
            </w:pPr>
            <w:r>
              <w:rPr>
                <w:rFonts w:hint="eastAsia"/>
              </w:rPr>
              <w:t>铜</w:t>
            </w:r>
          </w:p>
        </w:tc>
        <w:tc>
          <w:tcPr>
            <w:tcW w:w="1447" w:type="pct"/>
            <w:vAlign w:val="center"/>
          </w:tcPr>
          <w:p w14:paraId="46367B31">
            <w:pPr>
              <w:pStyle w:val="196"/>
            </w:pPr>
            <w:r>
              <w:rPr>
                <w:rFonts w:hint="eastAsia"/>
              </w:rPr>
              <w:t>火焰原子吸收分光光度法</w:t>
            </w:r>
          </w:p>
        </w:tc>
        <w:tc>
          <w:tcPr>
            <w:tcW w:w="1008" w:type="pct"/>
            <w:vAlign w:val="center"/>
          </w:tcPr>
          <w:p w14:paraId="3320EA88">
            <w:pPr>
              <w:pStyle w:val="196"/>
            </w:pPr>
            <w:r>
              <w:rPr>
                <w:rFonts w:hint="eastAsia"/>
              </w:rPr>
              <w:t>HJ 491-2019</w:t>
            </w:r>
          </w:p>
        </w:tc>
        <w:tc>
          <w:tcPr>
            <w:tcW w:w="1481" w:type="pct"/>
            <w:vAlign w:val="center"/>
          </w:tcPr>
          <w:p w14:paraId="10D2342F">
            <w:pPr>
              <w:pStyle w:val="196"/>
            </w:pPr>
            <w:r>
              <w:rPr>
                <w:rFonts w:hint="eastAsia"/>
              </w:rPr>
              <w:t>1</w:t>
            </w:r>
          </w:p>
        </w:tc>
      </w:tr>
      <w:tr w14:paraId="7B0A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FD71992">
            <w:pPr>
              <w:pStyle w:val="196"/>
            </w:pPr>
            <w:r>
              <w:rPr>
                <w:rFonts w:hint="eastAsia"/>
              </w:rPr>
              <w:t>镍</w:t>
            </w:r>
          </w:p>
        </w:tc>
        <w:tc>
          <w:tcPr>
            <w:tcW w:w="1447" w:type="pct"/>
            <w:vAlign w:val="center"/>
          </w:tcPr>
          <w:p w14:paraId="49FCBD4C">
            <w:pPr>
              <w:pStyle w:val="196"/>
            </w:pPr>
            <w:r>
              <w:rPr>
                <w:rFonts w:hint="eastAsia"/>
              </w:rPr>
              <w:t>火焰原子吸收分光光度法</w:t>
            </w:r>
          </w:p>
        </w:tc>
        <w:tc>
          <w:tcPr>
            <w:tcW w:w="1008" w:type="pct"/>
            <w:vAlign w:val="center"/>
          </w:tcPr>
          <w:p w14:paraId="7FF6DC7B">
            <w:pPr>
              <w:pStyle w:val="196"/>
            </w:pPr>
            <w:r>
              <w:rPr>
                <w:rFonts w:hint="eastAsia"/>
              </w:rPr>
              <w:t>HJ 491-2019</w:t>
            </w:r>
          </w:p>
        </w:tc>
        <w:tc>
          <w:tcPr>
            <w:tcW w:w="1481" w:type="pct"/>
            <w:vAlign w:val="center"/>
          </w:tcPr>
          <w:p w14:paraId="3C754CA6">
            <w:pPr>
              <w:pStyle w:val="196"/>
            </w:pPr>
            <w:r>
              <w:rPr>
                <w:rFonts w:hint="eastAsia"/>
              </w:rPr>
              <w:t>3</w:t>
            </w:r>
          </w:p>
        </w:tc>
      </w:tr>
      <w:tr w14:paraId="780F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82FC8BF">
            <w:pPr>
              <w:pStyle w:val="196"/>
            </w:pPr>
            <w:r>
              <w:rPr>
                <w:rFonts w:hint="eastAsia"/>
              </w:rPr>
              <w:t>四氯化碳</w:t>
            </w:r>
          </w:p>
        </w:tc>
        <w:tc>
          <w:tcPr>
            <w:tcW w:w="1447" w:type="pct"/>
            <w:vAlign w:val="center"/>
          </w:tcPr>
          <w:p w14:paraId="3C353D66">
            <w:pPr>
              <w:pStyle w:val="196"/>
            </w:pPr>
            <w:r>
              <w:rPr>
                <w:rFonts w:hint="eastAsia"/>
              </w:rPr>
              <w:t>顶空/气相色谱</w:t>
            </w:r>
          </w:p>
        </w:tc>
        <w:tc>
          <w:tcPr>
            <w:tcW w:w="1008" w:type="pct"/>
            <w:vAlign w:val="center"/>
          </w:tcPr>
          <w:p w14:paraId="61814F1D">
            <w:pPr>
              <w:pStyle w:val="196"/>
            </w:pPr>
            <w:r>
              <w:rPr>
                <w:rFonts w:hint="eastAsia"/>
              </w:rPr>
              <w:t>HJ 741-2015</w:t>
            </w:r>
          </w:p>
        </w:tc>
        <w:tc>
          <w:tcPr>
            <w:tcW w:w="1481" w:type="pct"/>
            <w:vAlign w:val="center"/>
          </w:tcPr>
          <w:p w14:paraId="38C4FC4E">
            <w:pPr>
              <w:pStyle w:val="196"/>
            </w:pPr>
            <w:r>
              <w:rPr>
                <w:rFonts w:hint="eastAsia"/>
              </w:rPr>
              <w:t>0.03</w:t>
            </w:r>
          </w:p>
        </w:tc>
      </w:tr>
      <w:tr w14:paraId="7E65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88F17CB">
            <w:pPr>
              <w:pStyle w:val="196"/>
            </w:pPr>
            <w:r>
              <w:rPr>
                <w:rFonts w:hint="eastAsia"/>
              </w:rPr>
              <w:t>氯仿</w:t>
            </w:r>
          </w:p>
        </w:tc>
        <w:tc>
          <w:tcPr>
            <w:tcW w:w="1447" w:type="pct"/>
            <w:vAlign w:val="center"/>
          </w:tcPr>
          <w:p w14:paraId="44909499">
            <w:pPr>
              <w:pStyle w:val="196"/>
            </w:pPr>
            <w:r>
              <w:rPr>
                <w:rFonts w:hint="eastAsia"/>
              </w:rPr>
              <w:t>顶空/气相色谱</w:t>
            </w:r>
          </w:p>
        </w:tc>
        <w:tc>
          <w:tcPr>
            <w:tcW w:w="1008" w:type="pct"/>
            <w:vAlign w:val="center"/>
          </w:tcPr>
          <w:p w14:paraId="79A180DA">
            <w:pPr>
              <w:pStyle w:val="196"/>
            </w:pPr>
            <w:r>
              <w:rPr>
                <w:rFonts w:hint="eastAsia"/>
              </w:rPr>
              <w:t>HJ 736-2015</w:t>
            </w:r>
          </w:p>
        </w:tc>
        <w:tc>
          <w:tcPr>
            <w:tcW w:w="1481" w:type="pct"/>
            <w:vAlign w:val="center"/>
          </w:tcPr>
          <w:p w14:paraId="43D93224">
            <w:pPr>
              <w:pStyle w:val="196"/>
            </w:pPr>
            <w:r>
              <w:rPr>
                <w:rFonts w:hint="eastAsia"/>
              </w:rPr>
              <w:t>0.02</w:t>
            </w:r>
          </w:p>
        </w:tc>
      </w:tr>
      <w:tr w14:paraId="2100B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065" w:type="pct"/>
            <w:vAlign w:val="center"/>
          </w:tcPr>
          <w:p w14:paraId="144007FE">
            <w:pPr>
              <w:pStyle w:val="196"/>
            </w:pPr>
            <w:r>
              <w:rPr>
                <w:rFonts w:hint="eastAsia"/>
              </w:rPr>
              <w:t>氯甲烷</w:t>
            </w:r>
          </w:p>
        </w:tc>
        <w:tc>
          <w:tcPr>
            <w:tcW w:w="1447" w:type="pct"/>
            <w:vAlign w:val="center"/>
          </w:tcPr>
          <w:p w14:paraId="777F60BB">
            <w:pPr>
              <w:pStyle w:val="196"/>
            </w:pPr>
            <w:r>
              <w:rPr>
                <w:rFonts w:hint="eastAsia"/>
              </w:rPr>
              <w:t>顶空/气相色谱－质谱法</w:t>
            </w:r>
          </w:p>
        </w:tc>
        <w:tc>
          <w:tcPr>
            <w:tcW w:w="1008" w:type="pct"/>
            <w:vAlign w:val="center"/>
          </w:tcPr>
          <w:p w14:paraId="6CAECE62">
            <w:pPr>
              <w:pStyle w:val="196"/>
            </w:pPr>
            <w:r>
              <w:rPr>
                <w:rFonts w:hint="eastAsia"/>
              </w:rPr>
              <w:t>HJ 741-2015</w:t>
            </w:r>
          </w:p>
        </w:tc>
        <w:tc>
          <w:tcPr>
            <w:tcW w:w="1481" w:type="pct"/>
            <w:vAlign w:val="center"/>
          </w:tcPr>
          <w:p w14:paraId="09306789">
            <w:pPr>
              <w:pStyle w:val="196"/>
            </w:pPr>
            <w:r>
              <w:rPr>
                <w:rFonts w:hint="eastAsia"/>
              </w:rPr>
              <w:t>3</w:t>
            </w:r>
          </w:p>
        </w:tc>
      </w:tr>
      <w:tr w14:paraId="35F47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334C75A9">
            <w:pPr>
              <w:pStyle w:val="196"/>
            </w:pPr>
            <w:r>
              <w:rPr>
                <w:rFonts w:hint="eastAsia"/>
              </w:rPr>
              <w:t>1,1－二氯乙烷</w:t>
            </w:r>
          </w:p>
        </w:tc>
        <w:tc>
          <w:tcPr>
            <w:tcW w:w="1447" w:type="pct"/>
            <w:vAlign w:val="center"/>
          </w:tcPr>
          <w:p w14:paraId="174AA099">
            <w:pPr>
              <w:pStyle w:val="196"/>
            </w:pPr>
            <w:r>
              <w:rPr>
                <w:rFonts w:hint="eastAsia"/>
              </w:rPr>
              <w:t>顶空/气相色谱</w:t>
            </w:r>
          </w:p>
        </w:tc>
        <w:tc>
          <w:tcPr>
            <w:tcW w:w="1008" w:type="pct"/>
            <w:vAlign w:val="center"/>
          </w:tcPr>
          <w:p w14:paraId="24FFDD02">
            <w:pPr>
              <w:pStyle w:val="196"/>
            </w:pPr>
            <w:r>
              <w:rPr>
                <w:rFonts w:hint="eastAsia"/>
              </w:rPr>
              <w:t>HJ 741-2015</w:t>
            </w:r>
          </w:p>
        </w:tc>
        <w:tc>
          <w:tcPr>
            <w:tcW w:w="1481" w:type="pct"/>
            <w:vAlign w:val="center"/>
          </w:tcPr>
          <w:p w14:paraId="06CE5DE3">
            <w:pPr>
              <w:pStyle w:val="196"/>
            </w:pPr>
            <w:r>
              <w:rPr>
                <w:rFonts w:hint="eastAsia"/>
              </w:rPr>
              <w:t>0.02</w:t>
            </w:r>
          </w:p>
        </w:tc>
      </w:tr>
      <w:tr w14:paraId="1BD8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7F8D9485">
            <w:pPr>
              <w:pStyle w:val="196"/>
            </w:pPr>
            <w:r>
              <w:rPr>
                <w:rFonts w:hint="eastAsia"/>
              </w:rPr>
              <w:t>1,2－二氯乙烷</w:t>
            </w:r>
          </w:p>
        </w:tc>
        <w:tc>
          <w:tcPr>
            <w:tcW w:w="1447" w:type="pct"/>
            <w:vAlign w:val="center"/>
          </w:tcPr>
          <w:p w14:paraId="7587C194">
            <w:pPr>
              <w:pStyle w:val="196"/>
            </w:pPr>
            <w:r>
              <w:rPr>
                <w:rFonts w:hint="eastAsia"/>
              </w:rPr>
              <w:t>顶空/气相色谱</w:t>
            </w:r>
          </w:p>
        </w:tc>
        <w:tc>
          <w:tcPr>
            <w:tcW w:w="1008" w:type="pct"/>
            <w:vAlign w:val="center"/>
          </w:tcPr>
          <w:p w14:paraId="741A2FFE">
            <w:pPr>
              <w:pStyle w:val="196"/>
            </w:pPr>
            <w:r>
              <w:rPr>
                <w:rFonts w:hint="eastAsia"/>
              </w:rPr>
              <w:t>HJ 741-2015</w:t>
            </w:r>
          </w:p>
        </w:tc>
        <w:tc>
          <w:tcPr>
            <w:tcW w:w="1481" w:type="pct"/>
            <w:vAlign w:val="center"/>
          </w:tcPr>
          <w:p w14:paraId="2BB00C66">
            <w:pPr>
              <w:pStyle w:val="196"/>
            </w:pPr>
            <w:r>
              <w:rPr>
                <w:rFonts w:hint="eastAsia"/>
              </w:rPr>
              <w:t>0.01</w:t>
            </w:r>
          </w:p>
        </w:tc>
      </w:tr>
      <w:tr w14:paraId="66AAB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AA2F335">
            <w:pPr>
              <w:pStyle w:val="196"/>
            </w:pPr>
            <w:r>
              <w:rPr>
                <w:rFonts w:hint="eastAsia"/>
              </w:rPr>
              <w:t>1,1－二氯乙烯</w:t>
            </w:r>
          </w:p>
        </w:tc>
        <w:tc>
          <w:tcPr>
            <w:tcW w:w="1447" w:type="pct"/>
            <w:vAlign w:val="center"/>
          </w:tcPr>
          <w:p w14:paraId="3859286C">
            <w:pPr>
              <w:pStyle w:val="196"/>
            </w:pPr>
            <w:r>
              <w:rPr>
                <w:rFonts w:hint="eastAsia"/>
              </w:rPr>
              <w:t>顶空/气相色谱</w:t>
            </w:r>
          </w:p>
        </w:tc>
        <w:tc>
          <w:tcPr>
            <w:tcW w:w="1008" w:type="pct"/>
            <w:vAlign w:val="center"/>
          </w:tcPr>
          <w:p w14:paraId="4F708DDA">
            <w:pPr>
              <w:pStyle w:val="196"/>
            </w:pPr>
            <w:r>
              <w:rPr>
                <w:rFonts w:hint="eastAsia"/>
              </w:rPr>
              <w:t>HJ 741-2015</w:t>
            </w:r>
          </w:p>
        </w:tc>
        <w:tc>
          <w:tcPr>
            <w:tcW w:w="1481" w:type="pct"/>
            <w:vAlign w:val="center"/>
          </w:tcPr>
          <w:p w14:paraId="2BFEBD23">
            <w:pPr>
              <w:pStyle w:val="196"/>
            </w:pPr>
            <w:r>
              <w:rPr>
                <w:rFonts w:hint="eastAsia"/>
              </w:rPr>
              <w:t>0.01</w:t>
            </w:r>
          </w:p>
        </w:tc>
      </w:tr>
      <w:tr w14:paraId="13CE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3D8E7041">
            <w:pPr>
              <w:pStyle w:val="196"/>
            </w:pPr>
            <w:r>
              <w:rPr>
                <w:rFonts w:hint="eastAsia"/>
              </w:rPr>
              <w:t>顺－1,2－二氯乙烯</w:t>
            </w:r>
          </w:p>
        </w:tc>
        <w:tc>
          <w:tcPr>
            <w:tcW w:w="1447" w:type="pct"/>
            <w:vAlign w:val="center"/>
          </w:tcPr>
          <w:p w14:paraId="1C753758">
            <w:pPr>
              <w:pStyle w:val="196"/>
            </w:pPr>
            <w:r>
              <w:rPr>
                <w:rFonts w:hint="eastAsia"/>
              </w:rPr>
              <w:t>顶空/气相色谱</w:t>
            </w:r>
          </w:p>
        </w:tc>
        <w:tc>
          <w:tcPr>
            <w:tcW w:w="1008" w:type="pct"/>
            <w:vAlign w:val="center"/>
          </w:tcPr>
          <w:p w14:paraId="57D8FA9E">
            <w:pPr>
              <w:pStyle w:val="196"/>
            </w:pPr>
            <w:r>
              <w:rPr>
                <w:rFonts w:hint="eastAsia"/>
              </w:rPr>
              <w:t>HJ 741-2015</w:t>
            </w:r>
          </w:p>
        </w:tc>
        <w:tc>
          <w:tcPr>
            <w:tcW w:w="1481" w:type="pct"/>
            <w:vAlign w:val="center"/>
          </w:tcPr>
          <w:p w14:paraId="3A135C76">
            <w:pPr>
              <w:pStyle w:val="196"/>
            </w:pPr>
            <w:r>
              <w:rPr>
                <w:rFonts w:hint="eastAsia"/>
              </w:rPr>
              <w:t>0.008</w:t>
            </w:r>
          </w:p>
        </w:tc>
      </w:tr>
      <w:tr w14:paraId="38D8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33E7012">
            <w:pPr>
              <w:pStyle w:val="196"/>
            </w:pPr>
            <w:r>
              <w:rPr>
                <w:rFonts w:hint="eastAsia"/>
              </w:rPr>
              <w:t>反－1,2－二氯乙烯</w:t>
            </w:r>
          </w:p>
        </w:tc>
        <w:tc>
          <w:tcPr>
            <w:tcW w:w="1447" w:type="pct"/>
            <w:vAlign w:val="center"/>
          </w:tcPr>
          <w:p w14:paraId="0D5E1A84">
            <w:pPr>
              <w:pStyle w:val="196"/>
            </w:pPr>
            <w:r>
              <w:rPr>
                <w:rFonts w:hint="eastAsia"/>
              </w:rPr>
              <w:t>顶空/气相色谱</w:t>
            </w:r>
          </w:p>
        </w:tc>
        <w:tc>
          <w:tcPr>
            <w:tcW w:w="1008" w:type="pct"/>
            <w:vAlign w:val="center"/>
          </w:tcPr>
          <w:p w14:paraId="6E2BE15E">
            <w:pPr>
              <w:pStyle w:val="196"/>
            </w:pPr>
            <w:r>
              <w:rPr>
                <w:rFonts w:hint="eastAsia"/>
              </w:rPr>
              <w:t>HJ 741-2015</w:t>
            </w:r>
          </w:p>
        </w:tc>
        <w:tc>
          <w:tcPr>
            <w:tcW w:w="1481" w:type="pct"/>
            <w:vAlign w:val="center"/>
          </w:tcPr>
          <w:p w14:paraId="2471B276">
            <w:pPr>
              <w:pStyle w:val="196"/>
            </w:pPr>
            <w:r>
              <w:rPr>
                <w:rFonts w:hint="eastAsia"/>
              </w:rPr>
              <w:t>0.02</w:t>
            </w:r>
          </w:p>
        </w:tc>
      </w:tr>
      <w:tr w14:paraId="2BD64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3A35A89">
            <w:pPr>
              <w:pStyle w:val="196"/>
            </w:pPr>
            <w:r>
              <w:rPr>
                <w:rFonts w:hint="eastAsia"/>
              </w:rPr>
              <w:t>二氯甲烷</w:t>
            </w:r>
          </w:p>
        </w:tc>
        <w:tc>
          <w:tcPr>
            <w:tcW w:w="1447" w:type="pct"/>
            <w:vAlign w:val="center"/>
          </w:tcPr>
          <w:p w14:paraId="3CD52358">
            <w:pPr>
              <w:pStyle w:val="196"/>
            </w:pPr>
            <w:r>
              <w:rPr>
                <w:rFonts w:hint="eastAsia"/>
              </w:rPr>
              <w:t>顶空/气相色谱</w:t>
            </w:r>
          </w:p>
        </w:tc>
        <w:tc>
          <w:tcPr>
            <w:tcW w:w="1008" w:type="pct"/>
            <w:vAlign w:val="center"/>
          </w:tcPr>
          <w:p w14:paraId="57B9BE2F">
            <w:pPr>
              <w:pStyle w:val="196"/>
            </w:pPr>
            <w:r>
              <w:rPr>
                <w:rFonts w:hint="eastAsia"/>
              </w:rPr>
              <w:t>HJ 741-2015</w:t>
            </w:r>
          </w:p>
        </w:tc>
        <w:tc>
          <w:tcPr>
            <w:tcW w:w="1481" w:type="pct"/>
            <w:vAlign w:val="center"/>
          </w:tcPr>
          <w:p w14:paraId="0BC1FB67">
            <w:pPr>
              <w:pStyle w:val="196"/>
            </w:pPr>
            <w:r>
              <w:rPr>
                <w:rFonts w:hint="eastAsia"/>
              </w:rPr>
              <w:t>0.02</w:t>
            </w:r>
          </w:p>
        </w:tc>
      </w:tr>
      <w:tr w14:paraId="2A0B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69DC08C">
            <w:pPr>
              <w:pStyle w:val="196"/>
            </w:pPr>
            <w:r>
              <w:rPr>
                <w:rFonts w:hint="eastAsia"/>
              </w:rPr>
              <w:t>1,2－二氯丙烷</w:t>
            </w:r>
          </w:p>
        </w:tc>
        <w:tc>
          <w:tcPr>
            <w:tcW w:w="1447" w:type="pct"/>
            <w:vAlign w:val="center"/>
          </w:tcPr>
          <w:p w14:paraId="7CF08EC7">
            <w:pPr>
              <w:pStyle w:val="196"/>
            </w:pPr>
            <w:r>
              <w:rPr>
                <w:rFonts w:hint="eastAsia"/>
              </w:rPr>
              <w:t>顶空/气相色谱</w:t>
            </w:r>
          </w:p>
        </w:tc>
        <w:tc>
          <w:tcPr>
            <w:tcW w:w="1008" w:type="pct"/>
            <w:vAlign w:val="center"/>
          </w:tcPr>
          <w:p w14:paraId="33A252EB">
            <w:pPr>
              <w:pStyle w:val="196"/>
            </w:pPr>
            <w:r>
              <w:rPr>
                <w:rFonts w:hint="eastAsia"/>
              </w:rPr>
              <w:t>HJ 741-2015</w:t>
            </w:r>
          </w:p>
        </w:tc>
        <w:tc>
          <w:tcPr>
            <w:tcW w:w="1481" w:type="pct"/>
            <w:vAlign w:val="center"/>
          </w:tcPr>
          <w:p w14:paraId="7553C720">
            <w:pPr>
              <w:pStyle w:val="196"/>
            </w:pPr>
            <w:r>
              <w:rPr>
                <w:rFonts w:hint="eastAsia"/>
              </w:rPr>
              <w:t>0.008</w:t>
            </w:r>
          </w:p>
        </w:tc>
      </w:tr>
      <w:tr w14:paraId="61B5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65" w:type="pct"/>
            <w:vAlign w:val="center"/>
          </w:tcPr>
          <w:p w14:paraId="0715ADBA">
            <w:pPr>
              <w:pStyle w:val="196"/>
            </w:pPr>
            <w:r>
              <w:rPr>
                <w:rFonts w:hint="eastAsia"/>
              </w:rPr>
              <w:t>1,1,1,2－四氯乙烷</w:t>
            </w:r>
          </w:p>
        </w:tc>
        <w:tc>
          <w:tcPr>
            <w:tcW w:w="1447" w:type="pct"/>
            <w:vAlign w:val="center"/>
          </w:tcPr>
          <w:p w14:paraId="65B67D0E">
            <w:pPr>
              <w:pStyle w:val="196"/>
            </w:pPr>
            <w:r>
              <w:rPr>
                <w:rFonts w:hint="eastAsia"/>
              </w:rPr>
              <w:t>顶空/气相色谱</w:t>
            </w:r>
          </w:p>
        </w:tc>
        <w:tc>
          <w:tcPr>
            <w:tcW w:w="1008" w:type="pct"/>
            <w:vAlign w:val="center"/>
          </w:tcPr>
          <w:p w14:paraId="24E85CAD">
            <w:pPr>
              <w:pStyle w:val="196"/>
            </w:pPr>
            <w:r>
              <w:rPr>
                <w:rFonts w:hint="eastAsia"/>
              </w:rPr>
              <w:t>HJ 741-2015</w:t>
            </w:r>
          </w:p>
        </w:tc>
        <w:tc>
          <w:tcPr>
            <w:tcW w:w="1481" w:type="pct"/>
            <w:vAlign w:val="center"/>
          </w:tcPr>
          <w:p w14:paraId="0138237B">
            <w:pPr>
              <w:pStyle w:val="196"/>
            </w:pPr>
            <w:r>
              <w:rPr>
                <w:rFonts w:hint="eastAsia"/>
              </w:rPr>
              <w:t>0.02</w:t>
            </w:r>
          </w:p>
        </w:tc>
      </w:tr>
      <w:tr w14:paraId="68168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7DA5143">
            <w:pPr>
              <w:pStyle w:val="196"/>
            </w:pPr>
            <w:r>
              <w:rPr>
                <w:rFonts w:hint="eastAsia"/>
              </w:rPr>
              <w:t>1,1,2,2－四氯乙烷</w:t>
            </w:r>
          </w:p>
        </w:tc>
        <w:tc>
          <w:tcPr>
            <w:tcW w:w="1447" w:type="pct"/>
            <w:vAlign w:val="center"/>
          </w:tcPr>
          <w:p w14:paraId="2D6C2B57">
            <w:pPr>
              <w:pStyle w:val="196"/>
            </w:pPr>
            <w:r>
              <w:rPr>
                <w:rFonts w:hint="eastAsia"/>
              </w:rPr>
              <w:t>顶空/气相色谱</w:t>
            </w:r>
          </w:p>
        </w:tc>
        <w:tc>
          <w:tcPr>
            <w:tcW w:w="1008" w:type="pct"/>
            <w:vAlign w:val="center"/>
          </w:tcPr>
          <w:p w14:paraId="29C784B2">
            <w:pPr>
              <w:pStyle w:val="196"/>
            </w:pPr>
            <w:r>
              <w:rPr>
                <w:rFonts w:hint="eastAsia"/>
              </w:rPr>
              <w:t>HJ 741-2015</w:t>
            </w:r>
          </w:p>
        </w:tc>
        <w:tc>
          <w:tcPr>
            <w:tcW w:w="1481" w:type="pct"/>
            <w:vAlign w:val="center"/>
          </w:tcPr>
          <w:p w14:paraId="663A5D34">
            <w:pPr>
              <w:pStyle w:val="196"/>
            </w:pPr>
            <w:r>
              <w:rPr>
                <w:rFonts w:hint="eastAsia"/>
              </w:rPr>
              <w:t>0.02</w:t>
            </w:r>
          </w:p>
        </w:tc>
      </w:tr>
      <w:tr w14:paraId="1F65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3E33DE9">
            <w:pPr>
              <w:pStyle w:val="196"/>
            </w:pPr>
            <w:r>
              <w:rPr>
                <w:rFonts w:hint="eastAsia"/>
              </w:rPr>
              <w:t>四氯乙烯</w:t>
            </w:r>
          </w:p>
        </w:tc>
        <w:tc>
          <w:tcPr>
            <w:tcW w:w="1447" w:type="pct"/>
            <w:vAlign w:val="center"/>
          </w:tcPr>
          <w:p w14:paraId="7FCAE8D6">
            <w:pPr>
              <w:pStyle w:val="196"/>
            </w:pPr>
            <w:r>
              <w:rPr>
                <w:rFonts w:hint="eastAsia"/>
              </w:rPr>
              <w:t>顶空/气相色谱</w:t>
            </w:r>
          </w:p>
        </w:tc>
        <w:tc>
          <w:tcPr>
            <w:tcW w:w="1008" w:type="pct"/>
            <w:vAlign w:val="center"/>
          </w:tcPr>
          <w:p w14:paraId="265347BD">
            <w:pPr>
              <w:pStyle w:val="196"/>
            </w:pPr>
            <w:r>
              <w:rPr>
                <w:rFonts w:hint="eastAsia"/>
              </w:rPr>
              <w:t>HJ 741-2015</w:t>
            </w:r>
          </w:p>
        </w:tc>
        <w:tc>
          <w:tcPr>
            <w:tcW w:w="1481" w:type="pct"/>
            <w:vAlign w:val="center"/>
          </w:tcPr>
          <w:p w14:paraId="63F3EA03">
            <w:pPr>
              <w:pStyle w:val="196"/>
            </w:pPr>
            <w:r>
              <w:rPr>
                <w:rFonts w:hint="eastAsia"/>
              </w:rPr>
              <w:t>0.02</w:t>
            </w:r>
          </w:p>
        </w:tc>
      </w:tr>
      <w:tr w14:paraId="32A71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D18EC0F">
            <w:pPr>
              <w:pStyle w:val="196"/>
            </w:pPr>
            <w:r>
              <w:rPr>
                <w:rFonts w:hint="eastAsia"/>
              </w:rPr>
              <w:t>1,1,1－三氯乙烷</w:t>
            </w:r>
          </w:p>
        </w:tc>
        <w:tc>
          <w:tcPr>
            <w:tcW w:w="1447" w:type="pct"/>
            <w:vAlign w:val="center"/>
          </w:tcPr>
          <w:p w14:paraId="1024AC9B">
            <w:pPr>
              <w:pStyle w:val="196"/>
            </w:pPr>
            <w:r>
              <w:rPr>
                <w:rFonts w:hint="eastAsia"/>
              </w:rPr>
              <w:t>顶空/气相色谱</w:t>
            </w:r>
          </w:p>
        </w:tc>
        <w:tc>
          <w:tcPr>
            <w:tcW w:w="1008" w:type="pct"/>
            <w:vAlign w:val="center"/>
          </w:tcPr>
          <w:p w14:paraId="69FE6FC7">
            <w:pPr>
              <w:pStyle w:val="196"/>
            </w:pPr>
            <w:r>
              <w:rPr>
                <w:rFonts w:hint="eastAsia"/>
              </w:rPr>
              <w:t>HJ 741-2015</w:t>
            </w:r>
          </w:p>
        </w:tc>
        <w:tc>
          <w:tcPr>
            <w:tcW w:w="1481" w:type="pct"/>
            <w:vAlign w:val="center"/>
          </w:tcPr>
          <w:p w14:paraId="61130B58">
            <w:pPr>
              <w:pStyle w:val="196"/>
            </w:pPr>
            <w:r>
              <w:rPr>
                <w:rFonts w:hint="eastAsia"/>
              </w:rPr>
              <w:t>0.02</w:t>
            </w:r>
          </w:p>
        </w:tc>
      </w:tr>
      <w:tr w14:paraId="18D9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F4E64BF">
            <w:pPr>
              <w:pStyle w:val="196"/>
            </w:pPr>
            <w:r>
              <w:rPr>
                <w:rFonts w:hint="eastAsia"/>
              </w:rPr>
              <w:t>1,1,2－三氯乙烷</w:t>
            </w:r>
          </w:p>
        </w:tc>
        <w:tc>
          <w:tcPr>
            <w:tcW w:w="1447" w:type="pct"/>
            <w:vAlign w:val="center"/>
          </w:tcPr>
          <w:p w14:paraId="0D7BD852">
            <w:pPr>
              <w:pStyle w:val="196"/>
            </w:pPr>
            <w:r>
              <w:rPr>
                <w:rFonts w:hint="eastAsia"/>
              </w:rPr>
              <w:t>顶空/气相色谱</w:t>
            </w:r>
          </w:p>
        </w:tc>
        <w:tc>
          <w:tcPr>
            <w:tcW w:w="1008" w:type="pct"/>
            <w:vAlign w:val="center"/>
          </w:tcPr>
          <w:p w14:paraId="6326689A">
            <w:pPr>
              <w:pStyle w:val="196"/>
            </w:pPr>
            <w:r>
              <w:rPr>
                <w:rFonts w:hint="eastAsia"/>
              </w:rPr>
              <w:t>HJ 741-2015</w:t>
            </w:r>
          </w:p>
        </w:tc>
        <w:tc>
          <w:tcPr>
            <w:tcW w:w="1481" w:type="pct"/>
            <w:vAlign w:val="center"/>
          </w:tcPr>
          <w:p w14:paraId="5387B93B">
            <w:pPr>
              <w:pStyle w:val="196"/>
            </w:pPr>
            <w:r>
              <w:rPr>
                <w:rFonts w:hint="eastAsia"/>
              </w:rPr>
              <w:t>0.002</w:t>
            </w:r>
          </w:p>
        </w:tc>
      </w:tr>
      <w:tr w14:paraId="2F7B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7B35B3A8">
            <w:pPr>
              <w:pStyle w:val="196"/>
            </w:pPr>
            <w:r>
              <w:rPr>
                <w:rFonts w:hint="eastAsia"/>
              </w:rPr>
              <w:t>三氯乙烯</w:t>
            </w:r>
          </w:p>
        </w:tc>
        <w:tc>
          <w:tcPr>
            <w:tcW w:w="1447" w:type="pct"/>
            <w:vAlign w:val="center"/>
          </w:tcPr>
          <w:p w14:paraId="563A39DA">
            <w:pPr>
              <w:pStyle w:val="196"/>
            </w:pPr>
            <w:r>
              <w:rPr>
                <w:rFonts w:hint="eastAsia"/>
              </w:rPr>
              <w:t>顶空/气相色谱</w:t>
            </w:r>
          </w:p>
        </w:tc>
        <w:tc>
          <w:tcPr>
            <w:tcW w:w="1008" w:type="pct"/>
            <w:vAlign w:val="center"/>
          </w:tcPr>
          <w:p w14:paraId="12CA49EC">
            <w:pPr>
              <w:pStyle w:val="196"/>
            </w:pPr>
            <w:r>
              <w:rPr>
                <w:rFonts w:hint="eastAsia"/>
              </w:rPr>
              <w:t>HJ 741-2015</w:t>
            </w:r>
          </w:p>
        </w:tc>
        <w:tc>
          <w:tcPr>
            <w:tcW w:w="1481" w:type="pct"/>
            <w:vAlign w:val="center"/>
          </w:tcPr>
          <w:p w14:paraId="7582A185">
            <w:pPr>
              <w:pStyle w:val="196"/>
            </w:pPr>
            <w:r>
              <w:rPr>
                <w:rFonts w:hint="eastAsia"/>
              </w:rPr>
              <w:t>0.009</w:t>
            </w:r>
          </w:p>
        </w:tc>
      </w:tr>
      <w:tr w14:paraId="718E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065" w:type="pct"/>
            <w:vAlign w:val="center"/>
          </w:tcPr>
          <w:p w14:paraId="2E14D0D7">
            <w:pPr>
              <w:pStyle w:val="196"/>
            </w:pPr>
            <w:r>
              <w:rPr>
                <w:rFonts w:hint="eastAsia"/>
              </w:rPr>
              <w:t>1,2,3－三氯丙烷</w:t>
            </w:r>
          </w:p>
        </w:tc>
        <w:tc>
          <w:tcPr>
            <w:tcW w:w="1447" w:type="pct"/>
            <w:vAlign w:val="center"/>
          </w:tcPr>
          <w:p w14:paraId="6F9C8924">
            <w:pPr>
              <w:pStyle w:val="196"/>
            </w:pPr>
            <w:r>
              <w:rPr>
                <w:rFonts w:hint="eastAsia"/>
              </w:rPr>
              <w:t>顶空/气相色谱</w:t>
            </w:r>
          </w:p>
        </w:tc>
        <w:tc>
          <w:tcPr>
            <w:tcW w:w="1008" w:type="pct"/>
            <w:vAlign w:val="center"/>
          </w:tcPr>
          <w:p w14:paraId="63461D64">
            <w:pPr>
              <w:pStyle w:val="196"/>
            </w:pPr>
            <w:r>
              <w:rPr>
                <w:rFonts w:hint="eastAsia"/>
              </w:rPr>
              <w:t>HJ 741-2015</w:t>
            </w:r>
          </w:p>
        </w:tc>
        <w:tc>
          <w:tcPr>
            <w:tcW w:w="1481" w:type="pct"/>
            <w:vAlign w:val="center"/>
          </w:tcPr>
          <w:p w14:paraId="13E27426">
            <w:pPr>
              <w:pStyle w:val="196"/>
            </w:pPr>
            <w:r>
              <w:rPr>
                <w:rFonts w:hint="eastAsia"/>
              </w:rPr>
              <w:t>0.02</w:t>
            </w:r>
          </w:p>
        </w:tc>
      </w:tr>
      <w:tr w14:paraId="6196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7ECD606">
            <w:pPr>
              <w:pStyle w:val="196"/>
            </w:pPr>
            <w:r>
              <w:rPr>
                <w:rFonts w:hint="eastAsia"/>
              </w:rPr>
              <w:t>氯乙烯</w:t>
            </w:r>
          </w:p>
        </w:tc>
        <w:tc>
          <w:tcPr>
            <w:tcW w:w="1447" w:type="pct"/>
            <w:vAlign w:val="center"/>
          </w:tcPr>
          <w:p w14:paraId="23DB684B">
            <w:pPr>
              <w:pStyle w:val="196"/>
            </w:pPr>
            <w:r>
              <w:rPr>
                <w:rFonts w:hint="eastAsia"/>
              </w:rPr>
              <w:t>顶空/气相色谱</w:t>
            </w:r>
          </w:p>
        </w:tc>
        <w:tc>
          <w:tcPr>
            <w:tcW w:w="1008" w:type="pct"/>
            <w:vAlign w:val="center"/>
          </w:tcPr>
          <w:p w14:paraId="333CBCFE">
            <w:pPr>
              <w:pStyle w:val="196"/>
            </w:pPr>
            <w:r>
              <w:rPr>
                <w:rFonts w:hint="eastAsia"/>
              </w:rPr>
              <w:t>HJ 741-2015</w:t>
            </w:r>
          </w:p>
        </w:tc>
        <w:tc>
          <w:tcPr>
            <w:tcW w:w="1481" w:type="pct"/>
            <w:vAlign w:val="center"/>
          </w:tcPr>
          <w:p w14:paraId="3C2B3B82">
            <w:pPr>
              <w:pStyle w:val="196"/>
            </w:pPr>
            <w:r>
              <w:rPr>
                <w:rFonts w:hint="eastAsia"/>
              </w:rPr>
              <w:t>0.02</w:t>
            </w:r>
          </w:p>
        </w:tc>
      </w:tr>
      <w:tr w14:paraId="7EE9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F263AC5">
            <w:pPr>
              <w:pStyle w:val="196"/>
            </w:pPr>
            <w:r>
              <w:rPr>
                <w:rFonts w:hint="eastAsia"/>
              </w:rPr>
              <w:t>苯</w:t>
            </w:r>
          </w:p>
        </w:tc>
        <w:tc>
          <w:tcPr>
            <w:tcW w:w="1447" w:type="pct"/>
            <w:vAlign w:val="center"/>
          </w:tcPr>
          <w:p w14:paraId="28A980C4">
            <w:pPr>
              <w:pStyle w:val="196"/>
            </w:pPr>
            <w:r>
              <w:rPr>
                <w:rFonts w:hint="eastAsia"/>
              </w:rPr>
              <w:t>顶空/气相色谱</w:t>
            </w:r>
          </w:p>
        </w:tc>
        <w:tc>
          <w:tcPr>
            <w:tcW w:w="1008" w:type="pct"/>
            <w:vAlign w:val="center"/>
          </w:tcPr>
          <w:p w14:paraId="09BDB9F2">
            <w:pPr>
              <w:pStyle w:val="196"/>
            </w:pPr>
            <w:r>
              <w:rPr>
                <w:rFonts w:hint="eastAsia"/>
              </w:rPr>
              <w:t>HJ 741-2015</w:t>
            </w:r>
          </w:p>
        </w:tc>
        <w:tc>
          <w:tcPr>
            <w:tcW w:w="1481" w:type="pct"/>
            <w:vAlign w:val="center"/>
          </w:tcPr>
          <w:p w14:paraId="4E932B1E">
            <w:pPr>
              <w:pStyle w:val="196"/>
            </w:pPr>
            <w:r>
              <w:rPr>
                <w:rFonts w:hint="eastAsia"/>
              </w:rPr>
              <w:t>0.01</w:t>
            </w:r>
          </w:p>
        </w:tc>
      </w:tr>
      <w:tr w14:paraId="6E1D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F17333F">
            <w:pPr>
              <w:pStyle w:val="196"/>
            </w:pPr>
            <w:r>
              <w:rPr>
                <w:rFonts w:hint="eastAsia"/>
              </w:rPr>
              <w:t>氯苯</w:t>
            </w:r>
          </w:p>
        </w:tc>
        <w:tc>
          <w:tcPr>
            <w:tcW w:w="1447" w:type="pct"/>
            <w:vAlign w:val="center"/>
          </w:tcPr>
          <w:p w14:paraId="6815E61B">
            <w:pPr>
              <w:pStyle w:val="196"/>
            </w:pPr>
            <w:r>
              <w:rPr>
                <w:rFonts w:hint="eastAsia"/>
              </w:rPr>
              <w:t>顶空/气相色谱</w:t>
            </w:r>
          </w:p>
        </w:tc>
        <w:tc>
          <w:tcPr>
            <w:tcW w:w="1008" w:type="pct"/>
            <w:vAlign w:val="center"/>
          </w:tcPr>
          <w:p w14:paraId="2B297B24">
            <w:pPr>
              <w:pStyle w:val="196"/>
            </w:pPr>
            <w:r>
              <w:rPr>
                <w:rFonts w:hint="eastAsia"/>
              </w:rPr>
              <w:t>HJ 741-2015</w:t>
            </w:r>
          </w:p>
        </w:tc>
        <w:tc>
          <w:tcPr>
            <w:tcW w:w="1481" w:type="pct"/>
            <w:vAlign w:val="center"/>
          </w:tcPr>
          <w:p w14:paraId="7165EC0B">
            <w:pPr>
              <w:pStyle w:val="196"/>
            </w:pPr>
            <w:r>
              <w:rPr>
                <w:rFonts w:hint="eastAsia"/>
              </w:rPr>
              <w:t>0.005</w:t>
            </w:r>
          </w:p>
        </w:tc>
      </w:tr>
      <w:tr w14:paraId="625C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73F78231">
            <w:pPr>
              <w:pStyle w:val="196"/>
            </w:pPr>
            <w:r>
              <w:rPr>
                <w:rFonts w:hint="eastAsia"/>
              </w:rPr>
              <w:t>1,2－二氯苯</w:t>
            </w:r>
          </w:p>
        </w:tc>
        <w:tc>
          <w:tcPr>
            <w:tcW w:w="1447" w:type="pct"/>
            <w:vAlign w:val="center"/>
          </w:tcPr>
          <w:p w14:paraId="794A8410">
            <w:pPr>
              <w:pStyle w:val="196"/>
            </w:pPr>
            <w:r>
              <w:rPr>
                <w:rFonts w:hint="eastAsia"/>
              </w:rPr>
              <w:t>顶空/气相色谱</w:t>
            </w:r>
          </w:p>
        </w:tc>
        <w:tc>
          <w:tcPr>
            <w:tcW w:w="1008" w:type="pct"/>
            <w:vAlign w:val="center"/>
          </w:tcPr>
          <w:p w14:paraId="3AB95A2A">
            <w:pPr>
              <w:pStyle w:val="196"/>
            </w:pPr>
            <w:r>
              <w:rPr>
                <w:rFonts w:hint="eastAsia"/>
              </w:rPr>
              <w:t>HJ 741-2015</w:t>
            </w:r>
          </w:p>
        </w:tc>
        <w:tc>
          <w:tcPr>
            <w:tcW w:w="1481" w:type="pct"/>
            <w:vAlign w:val="center"/>
          </w:tcPr>
          <w:p w14:paraId="73C4DCF0">
            <w:pPr>
              <w:pStyle w:val="196"/>
            </w:pPr>
            <w:r>
              <w:rPr>
                <w:rFonts w:hint="eastAsia"/>
              </w:rPr>
              <w:t>0.02</w:t>
            </w:r>
          </w:p>
        </w:tc>
      </w:tr>
      <w:tr w14:paraId="151FE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204A27FA">
            <w:pPr>
              <w:pStyle w:val="196"/>
            </w:pPr>
            <w:r>
              <w:rPr>
                <w:rFonts w:hint="eastAsia"/>
              </w:rPr>
              <w:t>1,4－二氯苯</w:t>
            </w:r>
          </w:p>
        </w:tc>
        <w:tc>
          <w:tcPr>
            <w:tcW w:w="1447" w:type="pct"/>
            <w:vAlign w:val="center"/>
          </w:tcPr>
          <w:p w14:paraId="57EC66E7">
            <w:pPr>
              <w:pStyle w:val="196"/>
            </w:pPr>
            <w:r>
              <w:rPr>
                <w:rFonts w:hint="eastAsia"/>
              </w:rPr>
              <w:t>顶空/气相色谱</w:t>
            </w:r>
          </w:p>
        </w:tc>
        <w:tc>
          <w:tcPr>
            <w:tcW w:w="1008" w:type="pct"/>
            <w:vAlign w:val="center"/>
          </w:tcPr>
          <w:p w14:paraId="233497E4">
            <w:pPr>
              <w:pStyle w:val="196"/>
            </w:pPr>
            <w:r>
              <w:rPr>
                <w:rFonts w:hint="eastAsia"/>
              </w:rPr>
              <w:t>HJ 741-2015</w:t>
            </w:r>
          </w:p>
        </w:tc>
        <w:tc>
          <w:tcPr>
            <w:tcW w:w="1481" w:type="pct"/>
            <w:vAlign w:val="center"/>
          </w:tcPr>
          <w:p w14:paraId="33B3D5DA">
            <w:pPr>
              <w:pStyle w:val="196"/>
            </w:pPr>
            <w:r>
              <w:rPr>
                <w:rFonts w:hint="eastAsia"/>
              </w:rPr>
              <w:t>0.008</w:t>
            </w:r>
          </w:p>
        </w:tc>
      </w:tr>
      <w:tr w14:paraId="5A577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3BD3976">
            <w:pPr>
              <w:pStyle w:val="196"/>
            </w:pPr>
            <w:r>
              <w:rPr>
                <w:rFonts w:hint="eastAsia"/>
              </w:rPr>
              <w:t>乙苯</w:t>
            </w:r>
          </w:p>
        </w:tc>
        <w:tc>
          <w:tcPr>
            <w:tcW w:w="1447" w:type="pct"/>
            <w:vAlign w:val="center"/>
          </w:tcPr>
          <w:p w14:paraId="0D522762">
            <w:pPr>
              <w:pStyle w:val="196"/>
            </w:pPr>
            <w:r>
              <w:rPr>
                <w:rFonts w:hint="eastAsia"/>
              </w:rPr>
              <w:t>顶空/气相色谱</w:t>
            </w:r>
          </w:p>
        </w:tc>
        <w:tc>
          <w:tcPr>
            <w:tcW w:w="1008" w:type="pct"/>
            <w:vAlign w:val="center"/>
          </w:tcPr>
          <w:p w14:paraId="23BD80F8">
            <w:pPr>
              <w:pStyle w:val="196"/>
            </w:pPr>
            <w:r>
              <w:rPr>
                <w:rFonts w:hint="eastAsia"/>
              </w:rPr>
              <w:t>HJ 741-2015</w:t>
            </w:r>
          </w:p>
        </w:tc>
        <w:tc>
          <w:tcPr>
            <w:tcW w:w="1481" w:type="pct"/>
            <w:vAlign w:val="center"/>
          </w:tcPr>
          <w:p w14:paraId="38095D92">
            <w:pPr>
              <w:pStyle w:val="196"/>
            </w:pPr>
            <w:r>
              <w:rPr>
                <w:rFonts w:hint="eastAsia"/>
              </w:rPr>
              <w:t>0.006</w:t>
            </w:r>
          </w:p>
        </w:tc>
      </w:tr>
      <w:tr w14:paraId="359D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931CE81">
            <w:pPr>
              <w:pStyle w:val="196"/>
            </w:pPr>
            <w:r>
              <w:rPr>
                <w:rFonts w:hint="eastAsia"/>
              </w:rPr>
              <w:t>苯乙烯</w:t>
            </w:r>
          </w:p>
        </w:tc>
        <w:tc>
          <w:tcPr>
            <w:tcW w:w="1447" w:type="pct"/>
            <w:vAlign w:val="center"/>
          </w:tcPr>
          <w:p w14:paraId="36CC1F74">
            <w:pPr>
              <w:pStyle w:val="196"/>
            </w:pPr>
            <w:r>
              <w:rPr>
                <w:rFonts w:hint="eastAsia"/>
              </w:rPr>
              <w:t>顶空/气相色谱</w:t>
            </w:r>
          </w:p>
        </w:tc>
        <w:tc>
          <w:tcPr>
            <w:tcW w:w="1008" w:type="pct"/>
            <w:vAlign w:val="center"/>
          </w:tcPr>
          <w:p w14:paraId="4FDF70E4">
            <w:pPr>
              <w:pStyle w:val="196"/>
            </w:pPr>
            <w:r>
              <w:rPr>
                <w:rFonts w:hint="eastAsia"/>
              </w:rPr>
              <w:t>HJ 741-2015</w:t>
            </w:r>
          </w:p>
        </w:tc>
        <w:tc>
          <w:tcPr>
            <w:tcW w:w="1481" w:type="pct"/>
            <w:vAlign w:val="center"/>
          </w:tcPr>
          <w:p w14:paraId="49FACD2B">
            <w:pPr>
              <w:pStyle w:val="196"/>
            </w:pPr>
            <w:r>
              <w:rPr>
                <w:rFonts w:hint="eastAsia"/>
              </w:rPr>
              <w:t>0.02</w:t>
            </w:r>
          </w:p>
        </w:tc>
      </w:tr>
      <w:tr w14:paraId="7229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0194E863">
            <w:pPr>
              <w:pStyle w:val="196"/>
            </w:pPr>
            <w:r>
              <w:rPr>
                <w:rFonts w:hint="eastAsia"/>
              </w:rPr>
              <w:t>甲苯</w:t>
            </w:r>
          </w:p>
        </w:tc>
        <w:tc>
          <w:tcPr>
            <w:tcW w:w="1447" w:type="pct"/>
            <w:vAlign w:val="center"/>
          </w:tcPr>
          <w:p w14:paraId="48A3CD3F">
            <w:pPr>
              <w:pStyle w:val="196"/>
            </w:pPr>
            <w:r>
              <w:rPr>
                <w:rFonts w:hint="eastAsia"/>
              </w:rPr>
              <w:t>顶空/气相色谱</w:t>
            </w:r>
          </w:p>
        </w:tc>
        <w:tc>
          <w:tcPr>
            <w:tcW w:w="1008" w:type="pct"/>
            <w:vAlign w:val="center"/>
          </w:tcPr>
          <w:p w14:paraId="4F05B4F7">
            <w:pPr>
              <w:pStyle w:val="196"/>
            </w:pPr>
            <w:r>
              <w:rPr>
                <w:rFonts w:hint="eastAsia"/>
              </w:rPr>
              <w:t>HJ 741-2015</w:t>
            </w:r>
          </w:p>
        </w:tc>
        <w:tc>
          <w:tcPr>
            <w:tcW w:w="1481" w:type="pct"/>
            <w:vAlign w:val="center"/>
          </w:tcPr>
          <w:p w14:paraId="28FC4D2F">
            <w:pPr>
              <w:pStyle w:val="196"/>
            </w:pPr>
            <w:r>
              <w:rPr>
                <w:rFonts w:hint="eastAsia"/>
              </w:rPr>
              <w:t>0.006</w:t>
            </w:r>
          </w:p>
        </w:tc>
      </w:tr>
      <w:tr w14:paraId="10266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ADCEF8F">
            <w:pPr>
              <w:pStyle w:val="196"/>
            </w:pPr>
            <w:r>
              <w:rPr>
                <w:rFonts w:hint="eastAsia"/>
              </w:rPr>
              <w:t>间二甲苯+对二甲苯</w:t>
            </w:r>
          </w:p>
        </w:tc>
        <w:tc>
          <w:tcPr>
            <w:tcW w:w="1447" w:type="pct"/>
            <w:vAlign w:val="center"/>
          </w:tcPr>
          <w:p w14:paraId="18DF22E2">
            <w:pPr>
              <w:pStyle w:val="196"/>
            </w:pPr>
            <w:r>
              <w:rPr>
                <w:rFonts w:hint="eastAsia"/>
              </w:rPr>
              <w:t>顶空/气相色谱</w:t>
            </w:r>
          </w:p>
        </w:tc>
        <w:tc>
          <w:tcPr>
            <w:tcW w:w="1008" w:type="pct"/>
            <w:vAlign w:val="center"/>
          </w:tcPr>
          <w:p w14:paraId="4349FB16">
            <w:pPr>
              <w:pStyle w:val="196"/>
            </w:pPr>
            <w:r>
              <w:rPr>
                <w:rFonts w:hint="eastAsia"/>
              </w:rPr>
              <w:t>HJ 741-2015</w:t>
            </w:r>
          </w:p>
        </w:tc>
        <w:tc>
          <w:tcPr>
            <w:tcW w:w="1481" w:type="pct"/>
            <w:vAlign w:val="center"/>
          </w:tcPr>
          <w:p w14:paraId="083263AC">
            <w:pPr>
              <w:pStyle w:val="196"/>
            </w:pPr>
            <w:r>
              <w:rPr>
                <w:rFonts w:hint="eastAsia"/>
              </w:rPr>
              <w:t>0.009</w:t>
            </w:r>
          </w:p>
        </w:tc>
      </w:tr>
      <w:tr w14:paraId="5E5F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2C5B4F77">
            <w:pPr>
              <w:pStyle w:val="196"/>
            </w:pPr>
            <w:r>
              <w:rPr>
                <w:rFonts w:hint="eastAsia"/>
              </w:rPr>
              <w:t>邻二甲苯</w:t>
            </w:r>
          </w:p>
        </w:tc>
        <w:tc>
          <w:tcPr>
            <w:tcW w:w="1447" w:type="pct"/>
            <w:vAlign w:val="center"/>
          </w:tcPr>
          <w:p w14:paraId="460453E8">
            <w:pPr>
              <w:pStyle w:val="196"/>
            </w:pPr>
            <w:r>
              <w:rPr>
                <w:rFonts w:hint="eastAsia"/>
              </w:rPr>
              <w:t>顶空/气相色谱</w:t>
            </w:r>
          </w:p>
        </w:tc>
        <w:tc>
          <w:tcPr>
            <w:tcW w:w="1008" w:type="pct"/>
            <w:vAlign w:val="center"/>
          </w:tcPr>
          <w:p w14:paraId="2F13D6A8">
            <w:pPr>
              <w:pStyle w:val="196"/>
            </w:pPr>
            <w:r>
              <w:rPr>
                <w:rFonts w:hint="eastAsia"/>
              </w:rPr>
              <w:t>HJ 741-2015</w:t>
            </w:r>
          </w:p>
        </w:tc>
        <w:tc>
          <w:tcPr>
            <w:tcW w:w="1481" w:type="pct"/>
            <w:vAlign w:val="center"/>
          </w:tcPr>
          <w:p w14:paraId="271EA9AC">
            <w:pPr>
              <w:pStyle w:val="196"/>
            </w:pPr>
            <w:r>
              <w:rPr>
                <w:rFonts w:hint="eastAsia"/>
              </w:rPr>
              <w:t>0.02</w:t>
            </w:r>
          </w:p>
        </w:tc>
      </w:tr>
      <w:tr w14:paraId="7337F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23DE9CA8">
            <w:pPr>
              <w:pStyle w:val="196"/>
            </w:pPr>
            <w:r>
              <w:rPr>
                <w:rFonts w:hint="eastAsia"/>
              </w:rPr>
              <w:t>硝基苯</w:t>
            </w:r>
          </w:p>
        </w:tc>
        <w:tc>
          <w:tcPr>
            <w:tcW w:w="1447" w:type="pct"/>
            <w:vAlign w:val="center"/>
          </w:tcPr>
          <w:p w14:paraId="2E2C925A">
            <w:pPr>
              <w:pStyle w:val="196"/>
            </w:pPr>
            <w:r>
              <w:rPr>
                <w:rFonts w:hint="eastAsia"/>
              </w:rPr>
              <w:t>气相色谱－质谱法</w:t>
            </w:r>
          </w:p>
        </w:tc>
        <w:tc>
          <w:tcPr>
            <w:tcW w:w="1008" w:type="pct"/>
            <w:vAlign w:val="center"/>
          </w:tcPr>
          <w:p w14:paraId="7EF75ECF">
            <w:pPr>
              <w:pStyle w:val="196"/>
            </w:pPr>
            <w:r>
              <w:rPr>
                <w:rFonts w:hint="eastAsia"/>
              </w:rPr>
              <w:t>HJ 834-2017</w:t>
            </w:r>
          </w:p>
        </w:tc>
        <w:tc>
          <w:tcPr>
            <w:tcW w:w="1481" w:type="pct"/>
            <w:vAlign w:val="center"/>
          </w:tcPr>
          <w:p w14:paraId="72FD1C6A">
            <w:pPr>
              <w:pStyle w:val="196"/>
            </w:pPr>
            <w:r>
              <w:rPr>
                <w:rFonts w:hint="eastAsia"/>
              </w:rPr>
              <w:t>0.09</w:t>
            </w:r>
          </w:p>
        </w:tc>
      </w:tr>
      <w:tr w14:paraId="64704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57FD18F">
            <w:pPr>
              <w:pStyle w:val="196"/>
            </w:pPr>
            <w:r>
              <w:rPr>
                <w:rFonts w:hint="eastAsia"/>
              </w:rPr>
              <w:t>苯胺</w:t>
            </w:r>
          </w:p>
        </w:tc>
        <w:tc>
          <w:tcPr>
            <w:tcW w:w="1447" w:type="pct"/>
            <w:vAlign w:val="center"/>
          </w:tcPr>
          <w:p w14:paraId="53972DE5">
            <w:pPr>
              <w:pStyle w:val="196"/>
            </w:pPr>
            <w:r>
              <w:rPr>
                <w:rFonts w:hint="eastAsia"/>
              </w:rPr>
              <w:t>气相色谱－质谱法</w:t>
            </w:r>
          </w:p>
        </w:tc>
        <w:tc>
          <w:tcPr>
            <w:tcW w:w="1008" w:type="pct"/>
            <w:vAlign w:val="center"/>
          </w:tcPr>
          <w:p w14:paraId="69C886F3">
            <w:pPr>
              <w:pStyle w:val="196"/>
            </w:pPr>
            <w:r>
              <w:rPr>
                <w:rFonts w:hint="eastAsia"/>
              </w:rPr>
              <w:t>HJ 834-2017</w:t>
            </w:r>
          </w:p>
        </w:tc>
        <w:tc>
          <w:tcPr>
            <w:tcW w:w="1481" w:type="pct"/>
            <w:vAlign w:val="center"/>
          </w:tcPr>
          <w:p w14:paraId="4CEE1389">
            <w:pPr>
              <w:pStyle w:val="196"/>
            </w:pPr>
            <w:r>
              <w:rPr>
                <w:rFonts w:hint="eastAsia"/>
              </w:rPr>
              <w:t>0.02</w:t>
            </w:r>
          </w:p>
        </w:tc>
      </w:tr>
      <w:tr w14:paraId="2387B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417647AA">
            <w:pPr>
              <w:pStyle w:val="196"/>
            </w:pPr>
            <w:r>
              <w:rPr>
                <w:rFonts w:hint="eastAsia"/>
              </w:rPr>
              <w:t>2－氯酚</w:t>
            </w:r>
          </w:p>
        </w:tc>
        <w:tc>
          <w:tcPr>
            <w:tcW w:w="1447" w:type="pct"/>
            <w:vAlign w:val="center"/>
          </w:tcPr>
          <w:p w14:paraId="71A8209E">
            <w:pPr>
              <w:pStyle w:val="196"/>
            </w:pPr>
            <w:r>
              <w:rPr>
                <w:rFonts w:hint="eastAsia"/>
              </w:rPr>
              <w:t>气相色谱－质谱法</w:t>
            </w:r>
          </w:p>
        </w:tc>
        <w:tc>
          <w:tcPr>
            <w:tcW w:w="1008" w:type="pct"/>
            <w:vAlign w:val="center"/>
          </w:tcPr>
          <w:p w14:paraId="59F841C3">
            <w:pPr>
              <w:pStyle w:val="196"/>
            </w:pPr>
            <w:r>
              <w:rPr>
                <w:rFonts w:hint="eastAsia"/>
              </w:rPr>
              <w:t>HJ 834-2017</w:t>
            </w:r>
          </w:p>
        </w:tc>
        <w:tc>
          <w:tcPr>
            <w:tcW w:w="1481" w:type="pct"/>
            <w:vAlign w:val="center"/>
          </w:tcPr>
          <w:p w14:paraId="23FFB321">
            <w:pPr>
              <w:pStyle w:val="196"/>
            </w:pPr>
            <w:r>
              <w:rPr>
                <w:rFonts w:hint="eastAsia"/>
              </w:rPr>
              <w:t>0.06</w:t>
            </w:r>
          </w:p>
        </w:tc>
      </w:tr>
      <w:tr w14:paraId="79A91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27C1F977">
            <w:pPr>
              <w:pStyle w:val="196"/>
            </w:pPr>
            <w:r>
              <w:rPr>
                <w:rFonts w:hint="eastAsia"/>
              </w:rPr>
              <w:t>苯并[a]蒽</w:t>
            </w:r>
          </w:p>
        </w:tc>
        <w:tc>
          <w:tcPr>
            <w:tcW w:w="1447" w:type="pct"/>
            <w:vAlign w:val="center"/>
          </w:tcPr>
          <w:p w14:paraId="578C0353">
            <w:pPr>
              <w:pStyle w:val="196"/>
            </w:pPr>
            <w:r>
              <w:rPr>
                <w:rFonts w:hint="eastAsia"/>
              </w:rPr>
              <w:t>气相色谱－质谱法</w:t>
            </w:r>
          </w:p>
        </w:tc>
        <w:tc>
          <w:tcPr>
            <w:tcW w:w="1008" w:type="pct"/>
            <w:vAlign w:val="center"/>
          </w:tcPr>
          <w:p w14:paraId="316870BA">
            <w:pPr>
              <w:pStyle w:val="196"/>
            </w:pPr>
            <w:r>
              <w:rPr>
                <w:rFonts w:hint="eastAsia"/>
              </w:rPr>
              <w:t>HJ 834-2017</w:t>
            </w:r>
          </w:p>
        </w:tc>
        <w:tc>
          <w:tcPr>
            <w:tcW w:w="1481" w:type="pct"/>
            <w:vAlign w:val="center"/>
          </w:tcPr>
          <w:p w14:paraId="0EB966CA">
            <w:pPr>
              <w:pStyle w:val="196"/>
            </w:pPr>
            <w:r>
              <w:rPr>
                <w:rFonts w:hint="eastAsia"/>
              </w:rPr>
              <w:t>0.1</w:t>
            </w:r>
          </w:p>
        </w:tc>
      </w:tr>
      <w:tr w14:paraId="63E2F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6F15B24">
            <w:pPr>
              <w:pStyle w:val="196"/>
            </w:pPr>
            <w:r>
              <w:rPr>
                <w:rFonts w:hint="eastAsia"/>
              </w:rPr>
              <w:t>苯并[a]芘</w:t>
            </w:r>
          </w:p>
        </w:tc>
        <w:tc>
          <w:tcPr>
            <w:tcW w:w="1447" w:type="pct"/>
            <w:vAlign w:val="center"/>
          </w:tcPr>
          <w:p w14:paraId="54425BB4">
            <w:pPr>
              <w:pStyle w:val="196"/>
            </w:pPr>
            <w:r>
              <w:rPr>
                <w:rFonts w:hint="eastAsia"/>
              </w:rPr>
              <w:t>气相色谱－质谱法</w:t>
            </w:r>
          </w:p>
        </w:tc>
        <w:tc>
          <w:tcPr>
            <w:tcW w:w="1008" w:type="pct"/>
            <w:vAlign w:val="center"/>
          </w:tcPr>
          <w:p w14:paraId="10C4EA40">
            <w:pPr>
              <w:pStyle w:val="196"/>
            </w:pPr>
            <w:r>
              <w:rPr>
                <w:rFonts w:hint="eastAsia"/>
              </w:rPr>
              <w:t>HJ 834-2017</w:t>
            </w:r>
          </w:p>
        </w:tc>
        <w:tc>
          <w:tcPr>
            <w:tcW w:w="1481" w:type="pct"/>
            <w:vAlign w:val="center"/>
          </w:tcPr>
          <w:p w14:paraId="6D5B5544">
            <w:pPr>
              <w:pStyle w:val="196"/>
            </w:pPr>
            <w:r>
              <w:rPr>
                <w:rFonts w:hint="eastAsia"/>
              </w:rPr>
              <w:t>0.1</w:t>
            </w:r>
          </w:p>
        </w:tc>
      </w:tr>
      <w:tr w14:paraId="6BF4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64A4474">
            <w:pPr>
              <w:pStyle w:val="196"/>
            </w:pPr>
            <w:r>
              <w:rPr>
                <w:rFonts w:hint="eastAsia"/>
              </w:rPr>
              <w:t>苯并[b]荧蒽</w:t>
            </w:r>
          </w:p>
        </w:tc>
        <w:tc>
          <w:tcPr>
            <w:tcW w:w="1447" w:type="pct"/>
            <w:vAlign w:val="center"/>
          </w:tcPr>
          <w:p w14:paraId="3A30C259">
            <w:pPr>
              <w:pStyle w:val="196"/>
            </w:pPr>
            <w:r>
              <w:rPr>
                <w:rFonts w:hint="eastAsia"/>
              </w:rPr>
              <w:t>气相色谱－质谱法</w:t>
            </w:r>
          </w:p>
        </w:tc>
        <w:tc>
          <w:tcPr>
            <w:tcW w:w="1008" w:type="pct"/>
            <w:vAlign w:val="center"/>
          </w:tcPr>
          <w:p w14:paraId="7B9CB09D">
            <w:pPr>
              <w:pStyle w:val="196"/>
            </w:pPr>
            <w:r>
              <w:rPr>
                <w:rFonts w:hint="eastAsia"/>
              </w:rPr>
              <w:t>HJ 834-2017</w:t>
            </w:r>
          </w:p>
        </w:tc>
        <w:tc>
          <w:tcPr>
            <w:tcW w:w="1481" w:type="pct"/>
            <w:vAlign w:val="center"/>
          </w:tcPr>
          <w:p w14:paraId="45306089">
            <w:pPr>
              <w:pStyle w:val="196"/>
            </w:pPr>
            <w:r>
              <w:rPr>
                <w:rFonts w:hint="eastAsia"/>
              </w:rPr>
              <w:t>0.2</w:t>
            </w:r>
          </w:p>
        </w:tc>
      </w:tr>
      <w:tr w14:paraId="362A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315DFE7">
            <w:pPr>
              <w:pStyle w:val="196"/>
            </w:pPr>
            <w:r>
              <w:rPr>
                <w:rFonts w:hint="eastAsia"/>
              </w:rPr>
              <w:t>苯并[k]荧蒽</w:t>
            </w:r>
          </w:p>
        </w:tc>
        <w:tc>
          <w:tcPr>
            <w:tcW w:w="1447" w:type="pct"/>
            <w:vAlign w:val="center"/>
          </w:tcPr>
          <w:p w14:paraId="493B4A81">
            <w:pPr>
              <w:pStyle w:val="196"/>
            </w:pPr>
            <w:r>
              <w:rPr>
                <w:rFonts w:hint="eastAsia"/>
              </w:rPr>
              <w:t>气相色谱－质谱法</w:t>
            </w:r>
          </w:p>
        </w:tc>
        <w:tc>
          <w:tcPr>
            <w:tcW w:w="1008" w:type="pct"/>
            <w:vAlign w:val="center"/>
          </w:tcPr>
          <w:p w14:paraId="02A60970">
            <w:pPr>
              <w:pStyle w:val="196"/>
            </w:pPr>
            <w:r>
              <w:rPr>
                <w:rFonts w:hint="eastAsia"/>
              </w:rPr>
              <w:t>HJ 834-2017</w:t>
            </w:r>
          </w:p>
        </w:tc>
        <w:tc>
          <w:tcPr>
            <w:tcW w:w="1481" w:type="pct"/>
            <w:vAlign w:val="center"/>
          </w:tcPr>
          <w:p w14:paraId="36C4C79C">
            <w:pPr>
              <w:pStyle w:val="196"/>
            </w:pPr>
            <w:r>
              <w:rPr>
                <w:rFonts w:hint="eastAsia"/>
              </w:rPr>
              <w:t>0.1</w:t>
            </w:r>
          </w:p>
        </w:tc>
      </w:tr>
      <w:tr w14:paraId="00A8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14E9E274">
            <w:pPr>
              <w:pStyle w:val="196"/>
            </w:pPr>
            <w:r>
              <w:rPr>
                <w:rFonts w:hint="eastAsia"/>
              </w:rPr>
              <w:t>䓛</w:t>
            </w:r>
          </w:p>
        </w:tc>
        <w:tc>
          <w:tcPr>
            <w:tcW w:w="1447" w:type="pct"/>
            <w:vAlign w:val="center"/>
          </w:tcPr>
          <w:p w14:paraId="6BA13B27">
            <w:pPr>
              <w:pStyle w:val="196"/>
            </w:pPr>
            <w:r>
              <w:rPr>
                <w:rFonts w:hint="eastAsia"/>
              </w:rPr>
              <w:t>气相色谱－质谱法</w:t>
            </w:r>
          </w:p>
        </w:tc>
        <w:tc>
          <w:tcPr>
            <w:tcW w:w="1008" w:type="pct"/>
            <w:vAlign w:val="center"/>
          </w:tcPr>
          <w:p w14:paraId="23673E28">
            <w:pPr>
              <w:pStyle w:val="196"/>
            </w:pPr>
            <w:r>
              <w:rPr>
                <w:rFonts w:hint="eastAsia"/>
              </w:rPr>
              <w:t>HJ 834-2017</w:t>
            </w:r>
          </w:p>
        </w:tc>
        <w:tc>
          <w:tcPr>
            <w:tcW w:w="1481" w:type="pct"/>
            <w:vAlign w:val="center"/>
          </w:tcPr>
          <w:p w14:paraId="4AC84917">
            <w:pPr>
              <w:pStyle w:val="196"/>
            </w:pPr>
            <w:r>
              <w:rPr>
                <w:rFonts w:hint="eastAsia"/>
              </w:rPr>
              <w:t>0.1</w:t>
            </w:r>
          </w:p>
        </w:tc>
      </w:tr>
      <w:tr w14:paraId="5E7C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8964F83">
            <w:pPr>
              <w:pStyle w:val="196"/>
            </w:pPr>
            <w:r>
              <w:rPr>
                <w:rFonts w:hint="eastAsia"/>
              </w:rPr>
              <w:t>二苯并[a、h]蒽</w:t>
            </w:r>
          </w:p>
        </w:tc>
        <w:tc>
          <w:tcPr>
            <w:tcW w:w="1447" w:type="pct"/>
            <w:vAlign w:val="center"/>
          </w:tcPr>
          <w:p w14:paraId="697551DE">
            <w:pPr>
              <w:pStyle w:val="196"/>
            </w:pPr>
            <w:r>
              <w:rPr>
                <w:rFonts w:hint="eastAsia"/>
              </w:rPr>
              <w:t>气相色谱－质谱法</w:t>
            </w:r>
          </w:p>
        </w:tc>
        <w:tc>
          <w:tcPr>
            <w:tcW w:w="1008" w:type="pct"/>
            <w:vAlign w:val="center"/>
          </w:tcPr>
          <w:p w14:paraId="54D2B1ED">
            <w:pPr>
              <w:pStyle w:val="196"/>
            </w:pPr>
            <w:r>
              <w:rPr>
                <w:rFonts w:hint="eastAsia"/>
              </w:rPr>
              <w:t>HJ 834-2017</w:t>
            </w:r>
          </w:p>
        </w:tc>
        <w:tc>
          <w:tcPr>
            <w:tcW w:w="1481" w:type="pct"/>
            <w:vAlign w:val="center"/>
          </w:tcPr>
          <w:p w14:paraId="3200A9BD">
            <w:pPr>
              <w:pStyle w:val="196"/>
            </w:pPr>
            <w:r>
              <w:rPr>
                <w:rFonts w:hint="eastAsia"/>
              </w:rPr>
              <w:t>0.1</w:t>
            </w:r>
          </w:p>
        </w:tc>
      </w:tr>
      <w:tr w14:paraId="762A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6B37550F">
            <w:pPr>
              <w:pStyle w:val="196"/>
            </w:pPr>
            <w:r>
              <w:rPr>
                <w:rFonts w:hint="eastAsia"/>
              </w:rPr>
              <w:t>茚并[1,2,3-cd]芘</w:t>
            </w:r>
          </w:p>
        </w:tc>
        <w:tc>
          <w:tcPr>
            <w:tcW w:w="1447" w:type="pct"/>
            <w:vAlign w:val="center"/>
          </w:tcPr>
          <w:p w14:paraId="44C70F0B">
            <w:pPr>
              <w:pStyle w:val="196"/>
            </w:pPr>
            <w:r>
              <w:rPr>
                <w:rFonts w:hint="eastAsia"/>
              </w:rPr>
              <w:t>气相色谱－质谱法</w:t>
            </w:r>
          </w:p>
        </w:tc>
        <w:tc>
          <w:tcPr>
            <w:tcW w:w="1008" w:type="pct"/>
            <w:vAlign w:val="center"/>
          </w:tcPr>
          <w:p w14:paraId="2398F6BC">
            <w:pPr>
              <w:pStyle w:val="196"/>
            </w:pPr>
            <w:r>
              <w:rPr>
                <w:rFonts w:hint="eastAsia"/>
              </w:rPr>
              <w:t>HJ 834-2017</w:t>
            </w:r>
          </w:p>
        </w:tc>
        <w:tc>
          <w:tcPr>
            <w:tcW w:w="1481" w:type="pct"/>
            <w:vAlign w:val="center"/>
          </w:tcPr>
          <w:p w14:paraId="3E3E46B1">
            <w:pPr>
              <w:pStyle w:val="196"/>
            </w:pPr>
            <w:r>
              <w:rPr>
                <w:rFonts w:hint="eastAsia"/>
              </w:rPr>
              <w:t>0.1</w:t>
            </w:r>
          </w:p>
        </w:tc>
      </w:tr>
      <w:tr w14:paraId="689B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5FC37452">
            <w:pPr>
              <w:pStyle w:val="196"/>
            </w:pPr>
            <w:r>
              <w:rPr>
                <w:rFonts w:hint="eastAsia"/>
              </w:rPr>
              <w:t>萘</w:t>
            </w:r>
          </w:p>
        </w:tc>
        <w:tc>
          <w:tcPr>
            <w:tcW w:w="1447" w:type="pct"/>
            <w:vAlign w:val="center"/>
          </w:tcPr>
          <w:p w14:paraId="68526898">
            <w:pPr>
              <w:pStyle w:val="196"/>
            </w:pPr>
            <w:r>
              <w:rPr>
                <w:rFonts w:hint="eastAsia"/>
              </w:rPr>
              <w:t>气相色谱－质谱法</w:t>
            </w:r>
          </w:p>
        </w:tc>
        <w:tc>
          <w:tcPr>
            <w:tcW w:w="1008" w:type="pct"/>
            <w:vAlign w:val="center"/>
          </w:tcPr>
          <w:p w14:paraId="3C838442">
            <w:pPr>
              <w:pStyle w:val="196"/>
            </w:pPr>
            <w:r>
              <w:rPr>
                <w:rFonts w:hint="eastAsia"/>
              </w:rPr>
              <w:t>HJ 834-2017</w:t>
            </w:r>
          </w:p>
        </w:tc>
        <w:tc>
          <w:tcPr>
            <w:tcW w:w="1481" w:type="pct"/>
            <w:vAlign w:val="center"/>
          </w:tcPr>
          <w:p w14:paraId="1C75A72E">
            <w:pPr>
              <w:pStyle w:val="196"/>
            </w:pPr>
            <w:r>
              <w:rPr>
                <w:rFonts w:hint="eastAsia"/>
              </w:rPr>
              <w:t>0.09</w:t>
            </w:r>
          </w:p>
        </w:tc>
      </w:tr>
      <w:tr w14:paraId="3BDD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5" w:type="pct"/>
            <w:vAlign w:val="center"/>
          </w:tcPr>
          <w:p w14:paraId="2764BA80">
            <w:pPr>
              <w:pStyle w:val="196"/>
            </w:pPr>
            <w:r>
              <w:rPr>
                <w:rFonts w:hint="eastAsia"/>
              </w:rPr>
              <w:t>石油烃</w:t>
            </w:r>
          </w:p>
        </w:tc>
        <w:tc>
          <w:tcPr>
            <w:tcW w:w="1447" w:type="pct"/>
            <w:vAlign w:val="center"/>
          </w:tcPr>
          <w:p w14:paraId="5E537FE3">
            <w:pPr>
              <w:pStyle w:val="196"/>
            </w:pPr>
            <w:r>
              <w:rPr>
                <w:rFonts w:hint="eastAsia"/>
              </w:rPr>
              <w:t>气相色谱法</w:t>
            </w:r>
          </w:p>
        </w:tc>
        <w:tc>
          <w:tcPr>
            <w:tcW w:w="1008" w:type="pct"/>
            <w:vAlign w:val="center"/>
          </w:tcPr>
          <w:p w14:paraId="445E1AEE">
            <w:pPr>
              <w:pStyle w:val="196"/>
            </w:pPr>
            <w:r>
              <w:rPr>
                <w:rFonts w:hint="eastAsia"/>
              </w:rPr>
              <w:t>HJ 1021-2019</w:t>
            </w:r>
          </w:p>
        </w:tc>
        <w:tc>
          <w:tcPr>
            <w:tcW w:w="1481" w:type="pct"/>
            <w:vAlign w:val="center"/>
          </w:tcPr>
          <w:p w14:paraId="693BF2C7">
            <w:pPr>
              <w:pStyle w:val="196"/>
            </w:pPr>
          </w:p>
        </w:tc>
      </w:tr>
    </w:tbl>
    <w:p w14:paraId="40455778">
      <w:pPr>
        <w:ind w:firstLine="482"/>
        <w:rPr>
          <w:b/>
          <w:bCs/>
        </w:rPr>
      </w:pPr>
      <w:r>
        <w:rPr>
          <w:rFonts w:hint="eastAsia"/>
          <w:b/>
          <w:bCs/>
        </w:rPr>
        <w:t>（5）监测结果与评价</w:t>
      </w:r>
    </w:p>
    <w:p w14:paraId="3F397993">
      <w:pPr>
        <w:pStyle w:val="86"/>
      </w:pPr>
      <w:r>
        <w:rPr>
          <w:rFonts w:hint="eastAsia"/>
        </w:rPr>
        <w:t>底泥监测结果表</w:t>
      </w:r>
    </w:p>
    <w:tbl>
      <w:tblPr>
        <w:tblStyle w:val="38"/>
        <w:tblW w:w="9400" w:type="dxa"/>
        <w:jc w:val="center"/>
        <w:tblLayout w:type="autofit"/>
        <w:tblCellMar>
          <w:top w:w="0" w:type="dxa"/>
          <w:left w:w="108" w:type="dxa"/>
          <w:bottom w:w="0" w:type="dxa"/>
          <w:right w:w="108" w:type="dxa"/>
        </w:tblCellMar>
      </w:tblPr>
      <w:tblGrid>
        <w:gridCol w:w="1278"/>
        <w:gridCol w:w="1468"/>
        <w:gridCol w:w="1558"/>
        <w:gridCol w:w="937"/>
        <w:gridCol w:w="2281"/>
        <w:gridCol w:w="940"/>
        <w:gridCol w:w="938"/>
      </w:tblGrid>
      <w:tr w14:paraId="5926544E">
        <w:tblPrEx>
          <w:tblCellMar>
            <w:top w:w="0" w:type="dxa"/>
            <w:left w:w="108" w:type="dxa"/>
            <w:bottom w:w="0" w:type="dxa"/>
            <w:right w:w="108" w:type="dxa"/>
          </w:tblCellMar>
        </w:tblPrEx>
        <w:trPr>
          <w:trHeight w:val="312" w:hRule="atLeast"/>
          <w:tblHeader/>
          <w:jc w:val="center"/>
        </w:trPr>
        <w:tc>
          <w:tcPr>
            <w:tcW w:w="1244" w:type="dxa"/>
            <w:tcBorders>
              <w:top w:val="single" w:color="auto" w:sz="4" w:space="0"/>
              <w:left w:val="single" w:color="auto" w:sz="4" w:space="0"/>
              <w:bottom w:val="single" w:color="auto" w:sz="4" w:space="0"/>
              <w:right w:val="single" w:color="auto" w:sz="4" w:space="0"/>
            </w:tcBorders>
            <w:shd w:val="clear" w:color="auto" w:fill="auto"/>
            <w:vAlign w:val="center"/>
          </w:tcPr>
          <w:p w14:paraId="1AF9D439">
            <w:pPr>
              <w:pStyle w:val="196"/>
              <w:rPr>
                <w:b/>
                <w:bCs/>
              </w:rPr>
            </w:pPr>
            <w:r>
              <w:rPr>
                <w:rFonts w:hint="eastAsia"/>
                <w:b/>
                <w:bCs/>
              </w:rPr>
              <w:t>监测信息</w:t>
            </w:r>
          </w:p>
        </w:tc>
        <w:tc>
          <w:tcPr>
            <w:tcW w:w="1476" w:type="dxa"/>
            <w:tcBorders>
              <w:top w:val="single" w:color="auto" w:sz="4" w:space="0"/>
              <w:left w:val="nil"/>
              <w:bottom w:val="single" w:color="auto" w:sz="4" w:space="0"/>
              <w:right w:val="single" w:color="auto" w:sz="4" w:space="0"/>
            </w:tcBorders>
            <w:shd w:val="clear" w:color="auto" w:fill="auto"/>
            <w:vAlign w:val="center"/>
          </w:tcPr>
          <w:p w14:paraId="7D4F3DAF">
            <w:pPr>
              <w:pStyle w:val="196"/>
              <w:rPr>
                <w:rFonts w:hint="eastAsia" w:ascii="宋体" w:hAnsi="宋体"/>
                <w:b/>
                <w:bCs/>
                <w:szCs w:val="24"/>
              </w:rPr>
            </w:pPr>
            <w:r>
              <w:rPr>
                <w:rFonts w:hint="eastAsia" w:ascii="宋体" w:hAnsi="宋体"/>
                <w:b/>
                <w:bCs/>
                <w:szCs w:val="24"/>
              </w:rPr>
              <w:t>检测项目</w:t>
            </w:r>
          </w:p>
        </w:tc>
        <w:tc>
          <w:tcPr>
            <w:tcW w:w="1565" w:type="dxa"/>
            <w:tcBorders>
              <w:top w:val="single" w:color="auto" w:sz="4" w:space="0"/>
              <w:left w:val="nil"/>
              <w:bottom w:val="single" w:color="auto" w:sz="4" w:space="0"/>
              <w:right w:val="single" w:color="auto" w:sz="4" w:space="0"/>
            </w:tcBorders>
            <w:shd w:val="clear" w:color="auto" w:fill="auto"/>
            <w:vAlign w:val="center"/>
          </w:tcPr>
          <w:p w14:paraId="63FE5E81">
            <w:pPr>
              <w:pStyle w:val="196"/>
              <w:rPr>
                <w:rFonts w:hint="eastAsia" w:ascii="宋体" w:hAnsi="宋体"/>
                <w:b/>
                <w:bCs/>
                <w:szCs w:val="24"/>
              </w:rPr>
            </w:pPr>
            <w:r>
              <w:rPr>
                <w:rFonts w:hint="eastAsia" w:ascii="宋体" w:hAnsi="宋体"/>
                <w:b/>
                <w:bCs/>
                <w:szCs w:val="24"/>
              </w:rPr>
              <w:t>数值</w:t>
            </w:r>
          </w:p>
        </w:tc>
        <w:tc>
          <w:tcPr>
            <w:tcW w:w="939" w:type="dxa"/>
            <w:tcBorders>
              <w:top w:val="single" w:color="auto" w:sz="4" w:space="0"/>
              <w:left w:val="nil"/>
              <w:bottom w:val="single" w:color="auto" w:sz="4" w:space="0"/>
              <w:right w:val="single" w:color="auto" w:sz="4" w:space="0"/>
            </w:tcBorders>
            <w:shd w:val="clear" w:color="auto" w:fill="auto"/>
            <w:vAlign w:val="center"/>
          </w:tcPr>
          <w:p w14:paraId="307C657D">
            <w:pPr>
              <w:pStyle w:val="196"/>
              <w:rPr>
                <w:rFonts w:hint="eastAsia" w:ascii="宋体" w:hAnsi="宋体"/>
                <w:b/>
                <w:bCs/>
                <w:szCs w:val="24"/>
              </w:rPr>
            </w:pPr>
            <w:r>
              <w:rPr>
                <w:rFonts w:hint="eastAsia" w:ascii="宋体" w:hAnsi="宋体"/>
                <w:b/>
                <w:bCs/>
                <w:szCs w:val="24"/>
              </w:rPr>
              <w:t>单位</w:t>
            </w:r>
          </w:p>
        </w:tc>
        <w:tc>
          <w:tcPr>
            <w:tcW w:w="2295" w:type="dxa"/>
            <w:tcBorders>
              <w:top w:val="single" w:color="auto" w:sz="4" w:space="0"/>
              <w:left w:val="nil"/>
              <w:bottom w:val="single" w:color="auto" w:sz="4" w:space="0"/>
              <w:right w:val="single" w:color="auto" w:sz="4" w:space="0"/>
            </w:tcBorders>
            <w:shd w:val="clear" w:color="auto" w:fill="auto"/>
            <w:vAlign w:val="center"/>
          </w:tcPr>
          <w:p w14:paraId="2F4E3218">
            <w:pPr>
              <w:pStyle w:val="196"/>
              <w:rPr>
                <w:rFonts w:hint="eastAsia" w:ascii="宋体" w:hAnsi="宋体"/>
                <w:b/>
                <w:bCs/>
                <w:szCs w:val="24"/>
              </w:rPr>
            </w:pPr>
            <w:r>
              <w:rPr>
                <w:rFonts w:hint="eastAsia" w:ascii="宋体" w:hAnsi="宋体"/>
                <w:b/>
                <w:bCs/>
                <w:szCs w:val="24"/>
              </w:rPr>
              <w:t>检测项目</w:t>
            </w:r>
          </w:p>
        </w:tc>
        <w:tc>
          <w:tcPr>
            <w:tcW w:w="942" w:type="dxa"/>
            <w:tcBorders>
              <w:top w:val="single" w:color="auto" w:sz="4" w:space="0"/>
              <w:left w:val="nil"/>
              <w:bottom w:val="single" w:color="auto" w:sz="4" w:space="0"/>
              <w:right w:val="single" w:color="auto" w:sz="4" w:space="0"/>
            </w:tcBorders>
            <w:shd w:val="clear" w:color="auto" w:fill="auto"/>
            <w:vAlign w:val="center"/>
          </w:tcPr>
          <w:p w14:paraId="65E499B5">
            <w:pPr>
              <w:pStyle w:val="196"/>
              <w:rPr>
                <w:rFonts w:hint="eastAsia" w:ascii="宋体" w:hAnsi="宋体"/>
                <w:b/>
                <w:bCs/>
                <w:szCs w:val="24"/>
              </w:rPr>
            </w:pPr>
            <w:r>
              <w:rPr>
                <w:rFonts w:hint="eastAsia" w:ascii="宋体" w:hAnsi="宋体"/>
                <w:b/>
                <w:bCs/>
                <w:szCs w:val="24"/>
              </w:rPr>
              <w:t>数值</w:t>
            </w:r>
          </w:p>
        </w:tc>
        <w:tc>
          <w:tcPr>
            <w:tcW w:w="939" w:type="dxa"/>
            <w:tcBorders>
              <w:top w:val="single" w:color="auto" w:sz="4" w:space="0"/>
              <w:left w:val="nil"/>
              <w:bottom w:val="single" w:color="auto" w:sz="4" w:space="0"/>
              <w:right w:val="single" w:color="auto" w:sz="4" w:space="0"/>
            </w:tcBorders>
            <w:shd w:val="clear" w:color="auto" w:fill="auto"/>
            <w:vAlign w:val="center"/>
          </w:tcPr>
          <w:p w14:paraId="0DE9B08A">
            <w:pPr>
              <w:pStyle w:val="196"/>
              <w:rPr>
                <w:rFonts w:hint="eastAsia" w:ascii="宋体" w:hAnsi="宋体"/>
                <w:b/>
                <w:bCs/>
                <w:szCs w:val="24"/>
              </w:rPr>
            </w:pPr>
            <w:r>
              <w:rPr>
                <w:rFonts w:hint="eastAsia" w:ascii="宋体" w:hAnsi="宋体"/>
                <w:b/>
                <w:bCs/>
                <w:szCs w:val="24"/>
              </w:rPr>
              <w:t>单位</w:t>
            </w:r>
          </w:p>
        </w:tc>
      </w:tr>
      <w:tr w14:paraId="48AA5C0B">
        <w:tblPrEx>
          <w:tblCellMar>
            <w:top w:w="0" w:type="dxa"/>
            <w:left w:w="108" w:type="dxa"/>
            <w:bottom w:w="0" w:type="dxa"/>
            <w:right w:w="108" w:type="dxa"/>
          </w:tblCellMar>
        </w:tblPrEx>
        <w:trPr>
          <w:trHeight w:val="312" w:hRule="atLeast"/>
          <w:jc w:val="center"/>
        </w:trPr>
        <w:tc>
          <w:tcPr>
            <w:tcW w:w="1244" w:type="dxa"/>
            <w:vMerge w:val="restart"/>
            <w:tcBorders>
              <w:top w:val="nil"/>
              <w:left w:val="single" w:color="auto" w:sz="4" w:space="0"/>
              <w:bottom w:val="single" w:color="auto" w:sz="4" w:space="0"/>
              <w:right w:val="single" w:color="auto" w:sz="4" w:space="0"/>
            </w:tcBorders>
            <w:shd w:val="clear" w:color="auto" w:fill="auto"/>
            <w:vAlign w:val="center"/>
          </w:tcPr>
          <w:p w14:paraId="2E7D1AB0">
            <w:pPr>
              <w:pStyle w:val="196"/>
              <w:rPr>
                <w:rFonts w:cs="Times New Roman"/>
                <w:szCs w:val="24"/>
              </w:rPr>
            </w:pPr>
            <w:r>
              <w:rPr>
                <w:rFonts w:hint="eastAsia" w:ascii="宋体" w:hAnsi="宋体" w:cs="Times New Roman"/>
                <w:szCs w:val="24"/>
              </w:rPr>
              <w:t>监测点位：</w:t>
            </w:r>
            <w:r>
              <w:rPr>
                <w:rFonts w:cs="Times New Roman"/>
                <w:szCs w:val="24"/>
              </w:rPr>
              <w:t>BS1</w:t>
            </w:r>
          </w:p>
          <w:p w14:paraId="1075B06D">
            <w:pPr>
              <w:pStyle w:val="196"/>
              <w:rPr>
                <w:rFonts w:hint="eastAsia" w:ascii="宋体" w:hAnsi="宋体" w:cs="Times New Roman"/>
                <w:szCs w:val="24"/>
              </w:rPr>
            </w:pPr>
            <w:r>
              <w:rPr>
                <w:rFonts w:hint="eastAsia" w:ascii="宋体" w:hAnsi="宋体" w:cs="Times New Roman"/>
                <w:szCs w:val="24"/>
              </w:rPr>
              <w:t>监测时间：</w:t>
            </w:r>
            <w:r>
              <w:rPr>
                <w:rFonts w:cs="Times New Roman"/>
                <w:szCs w:val="24"/>
              </w:rPr>
              <w:t>08</w:t>
            </w:r>
            <w:r>
              <w:rPr>
                <w:rFonts w:hint="eastAsia" w:ascii="宋体" w:hAnsi="宋体" w:cs="Times New Roman"/>
                <w:szCs w:val="24"/>
              </w:rPr>
              <w:t>月</w:t>
            </w:r>
            <w:r>
              <w:rPr>
                <w:rFonts w:cs="Times New Roman"/>
                <w:szCs w:val="24"/>
              </w:rPr>
              <w:t>17</w:t>
            </w:r>
            <w:r>
              <w:rPr>
                <w:rFonts w:hint="eastAsia" w:ascii="宋体" w:hAnsi="宋体" w:cs="Times New Roman"/>
                <w:szCs w:val="24"/>
              </w:rPr>
              <w:t>日</w:t>
            </w:r>
          </w:p>
          <w:p w14:paraId="0DFDFAF3">
            <w:pPr>
              <w:pStyle w:val="196"/>
              <w:rPr>
                <w:rFonts w:cs="Times New Roman"/>
                <w:szCs w:val="24"/>
              </w:rPr>
            </w:pPr>
            <w:r>
              <w:rPr>
                <w:rFonts w:hint="eastAsia" w:ascii="宋体" w:hAnsi="宋体" w:cs="Times New Roman"/>
                <w:szCs w:val="24"/>
              </w:rPr>
              <w:t>样品编号：</w:t>
            </w:r>
            <w:r>
              <w:rPr>
                <w:rFonts w:cs="Times New Roman"/>
                <w:szCs w:val="24"/>
              </w:rPr>
              <w:t>ZKA080203</w:t>
            </w:r>
          </w:p>
        </w:tc>
        <w:tc>
          <w:tcPr>
            <w:tcW w:w="1476" w:type="dxa"/>
            <w:tcBorders>
              <w:top w:val="nil"/>
              <w:left w:val="nil"/>
              <w:bottom w:val="single" w:color="auto" w:sz="4" w:space="0"/>
              <w:right w:val="single" w:color="auto" w:sz="4" w:space="0"/>
            </w:tcBorders>
            <w:shd w:val="clear" w:color="auto" w:fill="auto"/>
            <w:vAlign w:val="center"/>
          </w:tcPr>
          <w:p w14:paraId="6390FC57">
            <w:pPr>
              <w:pStyle w:val="196"/>
              <w:rPr>
                <w:rFonts w:cs="Times New Roman"/>
                <w:szCs w:val="24"/>
              </w:rPr>
            </w:pPr>
            <w:r>
              <w:rPr>
                <w:rFonts w:cs="Times New Roman"/>
                <w:szCs w:val="24"/>
              </w:rPr>
              <w:t>pH</w:t>
            </w:r>
          </w:p>
        </w:tc>
        <w:tc>
          <w:tcPr>
            <w:tcW w:w="1565" w:type="dxa"/>
            <w:tcBorders>
              <w:top w:val="nil"/>
              <w:left w:val="nil"/>
              <w:bottom w:val="single" w:color="auto" w:sz="4" w:space="0"/>
              <w:right w:val="single" w:color="auto" w:sz="4" w:space="0"/>
            </w:tcBorders>
            <w:shd w:val="clear" w:color="auto" w:fill="auto"/>
            <w:vAlign w:val="center"/>
          </w:tcPr>
          <w:p w14:paraId="4C2D7B0F">
            <w:pPr>
              <w:pStyle w:val="196"/>
              <w:rPr>
                <w:rFonts w:cs="Times New Roman"/>
                <w:szCs w:val="24"/>
              </w:rPr>
            </w:pPr>
            <w:r>
              <w:rPr>
                <w:rFonts w:cs="Times New Roman"/>
                <w:szCs w:val="24"/>
              </w:rPr>
              <w:t>8.52</w:t>
            </w:r>
          </w:p>
        </w:tc>
        <w:tc>
          <w:tcPr>
            <w:tcW w:w="939" w:type="dxa"/>
            <w:tcBorders>
              <w:top w:val="nil"/>
              <w:left w:val="nil"/>
              <w:bottom w:val="single" w:color="auto" w:sz="4" w:space="0"/>
              <w:right w:val="single" w:color="auto" w:sz="4" w:space="0"/>
            </w:tcBorders>
            <w:shd w:val="clear" w:color="auto" w:fill="auto"/>
            <w:vAlign w:val="center"/>
          </w:tcPr>
          <w:p w14:paraId="07D6C60B">
            <w:pPr>
              <w:pStyle w:val="196"/>
              <w:rPr>
                <w:rFonts w:hint="eastAsia" w:ascii="宋体" w:hAnsi="宋体"/>
                <w:szCs w:val="24"/>
              </w:rPr>
            </w:pPr>
            <w:r>
              <w:rPr>
                <w:rFonts w:hint="eastAsia" w:ascii="宋体" w:hAnsi="宋体"/>
                <w:szCs w:val="24"/>
              </w:rPr>
              <w:t>无量纲</w:t>
            </w:r>
          </w:p>
        </w:tc>
        <w:tc>
          <w:tcPr>
            <w:tcW w:w="2295" w:type="dxa"/>
            <w:tcBorders>
              <w:top w:val="nil"/>
              <w:left w:val="nil"/>
              <w:bottom w:val="single" w:color="auto" w:sz="4" w:space="0"/>
              <w:right w:val="single" w:color="auto" w:sz="4" w:space="0"/>
            </w:tcBorders>
            <w:shd w:val="clear" w:color="auto" w:fill="auto"/>
            <w:vAlign w:val="center"/>
          </w:tcPr>
          <w:p w14:paraId="5578546F">
            <w:pPr>
              <w:pStyle w:val="196"/>
              <w:rPr>
                <w:rFonts w:hint="eastAsia" w:ascii="宋体" w:hAnsi="宋体"/>
                <w:szCs w:val="24"/>
              </w:rPr>
            </w:pPr>
            <w:r>
              <w:rPr>
                <w:rFonts w:hint="eastAsia" w:ascii="宋体" w:hAnsi="宋体"/>
                <w:szCs w:val="24"/>
              </w:rPr>
              <w:t>三氯乙烯</w:t>
            </w:r>
          </w:p>
        </w:tc>
        <w:tc>
          <w:tcPr>
            <w:tcW w:w="942" w:type="dxa"/>
            <w:tcBorders>
              <w:top w:val="nil"/>
              <w:left w:val="nil"/>
              <w:bottom w:val="single" w:color="auto" w:sz="4" w:space="0"/>
              <w:right w:val="single" w:color="auto" w:sz="4" w:space="0"/>
            </w:tcBorders>
            <w:shd w:val="clear" w:color="auto" w:fill="auto"/>
            <w:vAlign w:val="center"/>
          </w:tcPr>
          <w:p w14:paraId="044C0842">
            <w:pPr>
              <w:pStyle w:val="196"/>
              <w:rPr>
                <w:rFonts w:cs="Times New Roman"/>
                <w:szCs w:val="24"/>
              </w:rPr>
            </w:pPr>
            <w:r>
              <w:rPr>
                <w:rFonts w:cs="Times New Roman"/>
                <w:szCs w:val="24"/>
              </w:rPr>
              <w:t>ND</w:t>
            </w:r>
          </w:p>
        </w:tc>
        <w:tc>
          <w:tcPr>
            <w:tcW w:w="939" w:type="dxa"/>
            <w:vMerge w:val="restart"/>
            <w:tcBorders>
              <w:top w:val="nil"/>
              <w:left w:val="single" w:color="auto" w:sz="4" w:space="0"/>
              <w:bottom w:val="single" w:color="auto" w:sz="4" w:space="0"/>
              <w:right w:val="single" w:color="auto" w:sz="4" w:space="0"/>
            </w:tcBorders>
            <w:shd w:val="clear" w:color="auto" w:fill="auto"/>
            <w:vAlign w:val="center"/>
          </w:tcPr>
          <w:p w14:paraId="73E58EF6">
            <w:pPr>
              <w:pStyle w:val="196"/>
              <w:rPr>
                <w:rFonts w:cs="Times New Roman"/>
                <w:szCs w:val="24"/>
              </w:rPr>
            </w:pPr>
            <w:r>
              <w:rPr>
                <w:rFonts w:cs="Times New Roman"/>
                <w:szCs w:val="24"/>
              </w:rPr>
              <w:t>mg/kg</w:t>
            </w:r>
          </w:p>
        </w:tc>
      </w:tr>
      <w:tr w14:paraId="37A073BA">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4A99E265">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0C8F12B6">
            <w:pPr>
              <w:pStyle w:val="196"/>
              <w:rPr>
                <w:rFonts w:hint="eastAsia" w:ascii="宋体" w:hAnsi="宋体"/>
                <w:szCs w:val="24"/>
              </w:rPr>
            </w:pPr>
            <w:r>
              <w:rPr>
                <w:rFonts w:hint="eastAsia" w:ascii="宋体" w:hAnsi="宋体"/>
                <w:szCs w:val="24"/>
              </w:rPr>
              <w:t>砷</w:t>
            </w:r>
          </w:p>
        </w:tc>
        <w:tc>
          <w:tcPr>
            <w:tcW w:w="1565" w:type="dxa"/>
            <w:tcBorders>
              <w:top w:val="nil"/>
              <w:left w:val="nil"/>
              <w:bottom w:val="single" w:color="auto" w:sz="4" w:space="0"/>
              <w:right w:val="single" w:color="auto" w:sz="4" w:space="0"/>
            </w:tcBorders>
            <w:shd w:val="clear" w:color="auto" w:fill="auto"/>
            <w:vAlign w:val="center"/>
          </w:tcPr>
          <w:p w14:paraId="67CD97AC">
            <w:pPr>
              <w:pStyle w:val="196"/>
              <w:rPr>
                <w:rFonts w:cs="Times New Roman"/>
                <w:szCs w:val="24"/>
              </w:rPr>
            </w:pPr>
            <w:r>
              <w:rPr>
                <w:rFonts w:cs="Times New Roman"/>
                <w:szCs w:val="24"/>
              </w:rPr>
              <w:t>6.49</w:t>
            </w:r>
          </w:p>
        </w:tc>
        <w:tc>
          <w:tcPr>
            <w:tcW w:w="939" w:type="dxa"/>
            <w:vMerge w:val="restart"/>
            <w:tcBorders>
              <w:top w:val="nil"/>
              <w:left w:val="single" w:color="auto" w:sz="4" w:space="0"/>
              <w:bottom w:val="single" w:color="auto" w:sz="4" w:space="0"/>
              <w:right w:val="single" w:color="auto" w:sz="4" w:space="0"/>
            </w:tcBorders>
            <w:shd w:val="clear" w:color="auto" w:fill="auto"/>
            <w:vAlign w:val="center"/>
          </w:tcPr>
          <w:p w14:paraId="55408D3B">
            <w:pPr>
              <w:pStyle w:val="196"/>
              <w:rPr>
                <w:rFonts w:cs="Times New Roman"/>
                <w:szCs w:val="24"/>
              </w:rPr>
            </w:pPr>
            <w:r>
              <w:rPr>
                <w:rFonts w:cs="Times New Roman"/>
                <w:szCs w:val="24"/>
              </w:rPr>
              <w:t>mg/kg</w:t>
            </w:r>
          </w:p>
        </w:tc>
        <w:tc>
          <w:tcPr>
            <w:tcW w:w="2295" w:type="dxa"/>
            <w:tcBorders>
              <w:top w:val="nil"/>
              <w:left w:val="nil"/>
              <w:bottom w:val="single" w:color="auto" w:sz="4" w:space="0"/>
              <w:right w:val="single" w:color="auto" w:sz="4" w:space="0"/>
            </w:tcBorders>
            <w:shd w:val="clear" w:color="auto" w:fill="auto"/>
            <w:vAlign w:val="center"/>
          </w:tcPr>
          <w:p w14:paraId="2876F1EB">
            <w:pPr>
              <w:pStyle w:val="196"/>
              <w:rPr>
                <w:rFonts w:cs="Times New Roman"/>
                <w:szCs w:val="24"/>
              </w:rPr>
            </w:pPr>
            <w:r>
              <w:rPr>
                <w:rFonts w:cs="Times New Roman"/>
                <w:szCs w:val="24"/>
              </w:rPr>
              <w:t>1,2-</w:t>
            </w:r>
            <w:r>
              <w:rPr>
                <w:rFonts w:hint="eastAsia" w:ascii="宋体" w:hAnsi="宋体" w:cs="Times New Roman"/>
                <w:szCs w:val="24"/>
              </w:rPr>
              <w:t>二氯丙烷</w:t>
            </w:r>
          </w:p>
        </w:tc>
        <w:tc>
          <w:tcPr>
            <w:tcW w:w="942" w:type="dxa"/>
            <w:tcBorders>
              <w:top w:val="nil"/>
              <w:left w:val="nil"/>
              <w:bottom w:val="single" w:color="auto" w:sz="4" w:space="0"/>
              <w:right w:val="single" w:color="auto" w:sz="4" w:space="0"/>
            </w:tcBorders>
            <w:shd w:val="clear" w:color="auto" w:fill="auto"/>
            <w:vAlign w:val="center"/>
          </w:tcPr>
          <w:p w14:paraId="762B83E8">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E705CAE">
            <w:pPr>
              <w:pStyle w:val="196"/>
              <w:rPr>
                <w:rFonts w:cs="Times New Roman"/>
                <w:szCs w:val="24"/>
              </w:rPr>
            </w:pPr>
          </w:p>
        </w:tc>
      </w:tr>
      <w:tr w14:paraId="706AD1EB">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21846B6E">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701A3206">
            <w:pPr>
              <w:pStyle w:val="196"/>
              <w:rPr>
                <w:rFonts w:hint="eastAsia" w:ascii="宋体" w:hAnsi="宋体"/>
                <w:szCs w:val="24"/>
              </w:rPr>
            </w:pPr>
            <w:r>
              <w:rPr>
                <w:rFonts w:hint="eastAsia" w:ascii="宋体" w:hAnsi="宋体"/>
                <w:szCs w:val="24"/>
              </w:rPr>
              <w:t>汞</w:t>
            </w:r>
          </w:p>
        </w:tc>
        <w:tc>
          <w:tcPr>
            <w:tcW w:w="1565" w:type="dxa"/>
            <w:tcBorders>
              <w:top w:val="nil"/>
              <w:left w:val="nil"/>
              <w:bottom w:val="single" w:color="auto" w:sz="4" w:space="0"/>
              <w:right w:val="single" w:color="auto" w:sz="4" w:space="0"/>
            </w:tcBorders>
            <w:shd w:val="clear" w:color="auto" w:fill="auto"/>
            <w:vAlign w:val="center"/>
          </w:tcPr>
          <w:p w14:paraId="37FE12EE">
            <w:pPr>
              <w:pStyle w:val="196"/>
              <w:rPr>
                <w:rFonts w:cs="Times New Roman"/>
                <w:szCs w:val="24"/>
              </w:rPr>
            </w:pPr>
            <w:r>
              <w:rPr>
                <w:rFonts w:cs="Times New Roman"/>
                <w:szCs w:val="24"/>
              </w:rPr>
              <w:t>0.054</w:t>
            </w:r>
          </w:p>
        </w:tc>
        <w:tc>
          <w:tcPr>
            <w:tcW w:w="939" w:type="dxa"/>
            <w:vMerge w:val="continue"/>
            <w:tcBorders>
              <w:top w:val="nil"/>
              <w:left w:val="single" w:color="auto" w:sz="4" w:space="0"/>
              <w:bottom w:val="single" w:color="auto" w:sz="4" w:space="0"/>
              <w:right w:val="single" w:color="auto" w:sz="4" w:space="0"/>
            </w:tcBorders>
            <w:vAlign w:val="center"/>
          </w:tcPr>
          <w:p w14:paraId="29290CF4">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26E2B3F9">
            <w:pPr>
              <w:pStyle w:val="196"/>
              <w:rPr>
                <w:rFonts w:hint="eastAsia" w:ascii="宋体" w:hAnsi="宋体"/>
                <w:szCs w:val="24"/>
              </w:rPr>
            </w:pPr>
            <w:r>
              <w:rPr>
                <w:rFonts w:hint="eastAsia" w:ascii="宋体" w:hAnsi="宋体"/>
                <w:szCs w:val="24"/>
              </w:rPr>
              <w:t>甲苯</w:t>
            </w:r>
          </w:p>
        </w:tc>
        <w:tc>
          <w:tcPr>
            <w:tcW w:w="942" w:type="dxa"/>
            <w:tcBorders>
              <w:top w:val="nil"/>
              <w:left w:val="nil"/>
              <w:bottom w:val="single" w:color="auto" w:sz="4" w:space="0"/>
              <w:right w:val="single" w:color="auto" w:sz="4" w:space="0"/>
            </w:tcBorders>
            <w:shd w:val="clear" w:color="auto" w:fill="auto"/>
            <w:vAlign w:val="center"/>
          </w:tcPr>
          <w:p w14:paraId="621F2E4C">
            <w:pPr>
              <w:pStyle w:val="196"/>
              <w:rPr>
                <w:rFonts w:cs="Times New Roman"/>
                <w:szCs w:val="24"/>
              </w:rPr>
            </w:pPr>
            <w:r>
              <w:rPr>
                <w:rFonts w:cs="Times New Roman"/>
                <w:szCs w:val="24"/>
              </w:rPr>
              <w:t>0.002</w:t>
            </w:r>
          </w:p>
        </w:tc>
        <w:tc>
          <w:tcPr>
            <w:tcW w:w="939" w:type="dxa"/>
            <w:vMerge w:val="continue"/>
            <w:tcBorders>
              <w:top w:val="nil"/>
              <w:left w:val="single" w:color="auto" w:sz="4" w:space="0"/>
              <w:bottom w:val="single" w:color="auto" w:sz="4" w:space="0"/>
              <w:right w:val="single" w:color="auto" w:sz="4" w:space="0"/>
            </w:tcBorders>
            <w:vAlign w:val="center"/>
          </w:tcPr>
          <w:p w14:paraId="61400774">
            <w:pPr>
              <w:pStyle w:val="196"/>
              <w:rPr>
                <w:rFonts w:cs="Times New Roman"/>
                <w:szCs w:val="24"/>
              </w:rPr>
            </w:pPr>
          </w:p>
        </w:tc>
      </w:tr>
      <w:tr w14:paraId="3053BEEA">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4D0409F9">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2EFF7AFC">
            <w:pPr>
              <w:pStyle w:val="196"/>
              <w:rPr>
                <w:rFonts w:hint="eastAsia" w:ascii="宋体" w:hAnsi="宋体"/>
                <w:szCs w:val="24"/>
              </w:rPr>
            </w:pPr>
            <w:r>
              <w:rPr>
                <w:rFonts w:hint="eastAsia" w:ascii="宋体" w:hAnsi="宋体"/>
                <w:szCs w:val="24"/>
              </w:rPr>
              <w:t>镉</w:t>
            </w:r>
          </w:p>
        </w:tc>
        <w:tc>
          <w:tcPr>
            <w:tcW w:w="1565" w:type="dxa"/>
            <w:tcBorders>
              <w:top w:val="nil"/>
              <w:left w:val="nil"/>
              <w:bottom w:val="single" w:color="auto" w:sz="4" w:space="0"/>
              <w:right w:val="single" w:color="auto" w:sz="4" w:space="0"/>
            </w:tcBorders>
            <w:shd w:val="clear" w:color="auto" w:fill="auto"/>
            <w:vAlign w:val="center"/>
          </w:tcPr>
          <w:p w14:paraId="1A1DF41C">
            <w:pPr>
              <w:pStyle w:val="196"/>
              <w:rPr>
                <w:rFonts w:cs="Times New Roman"/>
                <w:szCs w:val="24"/>
              </w:rPr>
            </w:pPr>
            <w:r>
              <w:rPr>
                <w:rFonts w:cs="Times New Roman"/>
                <w:szCs w:val="24"/>
              </w:rPr>
              <w:t>0.16</w:t>
            </w:r>
          </w:p>
        </w:tc>
        <w:tc>
          <w:tcPr>
            <w:tcW w:w="939" w:type="dxa"/>
            <w:vMerge w:val="continue"/>
            <w:tcBorders>
              <w:top w:val="nil"/>
              <w:left w:val="single" w:color="auto" w:sz="4" w:space="0"/>
              <w:bottom w:val="single" w:color="auto" w:sz="4" w:space="0"/>
              <w:right w:val="single" w:color="auto" w:sz="4" w:space="0"/>
            </w:tcBorders>
            <w:vAlign w:val="center"/>
          </w:tcPr>
          <w:p w14:paraId="0A2A927E">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E42A7B8">
            <w:pPr>
              <w:pStyle w:val="196"/>
              <w:rPr>
                <w:rFonts w:cs="Times New Roman"/>
                <w:szCs w:val="24"/>
              </w:rPr>
            </w:pPr>
            <w:r>
              <w:rPr>
                <w:rFonts w:cs="Times New Roman"/>
                <w:szCs w:val="24"/>
              </w:rPr>
              <w:t>1,1,2-</w:t>
            </w:r>
            <w:r>
              <w:rPr>
                <w:rFonts w:hint="eastAsia" w:ascii="宋体" w:hAnsi="宋体" w:cs="Times New Roman"/>
                <w:szCs w:val="24"/>
              </w:rPr>
              <w:t>三氯乙烷</w:t>
            </w:r>
          </w:p>
        </w:tc>
        <w:tc>
          <w:tcPr>
            <w:tcW w:w="942" w:type="dxa"/>
            <w:tcBorders>
              <w:top w:val="nil"/>
              <w:left w:val="nil"/>
              <w:bottom w:val="single" w:color="auto" w:sz="4" w:space="0"/>
              <w:right w:val="single" w:color="auto" w:sz="4" w:space="0"/>
            </w:tcBorders>
            <w:shd w:val="clear" w:color="auto" w:fill="auto"/>
            <w:vAlign w:val="center"/>
          </w:tcPr>
          <w:p w14:paraId="7E28FD4E">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58A93C6">
            <w:pPr>
              <w:pStyle w:val="196"/>
              <w:rPr>
                <w:rFonts w:cs="Times New Roman"/>
                <w:szCs w:val="24"/>
              </w:rPr>
            </w:pPr>
          </w:p>
        </w:tc>
      </w:tr>
      <w:tr w14:paraId="6C8D5BD4">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7CFE263">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D2CBF77">
            <w:pPr>
              <w:pStyle w:val="196"/>
              <w:rPr>
                <w:rFonts w:hint="eastAsia" w:ascii="宋体" w:hAnsi="宋体"/>
                <w:szCs w:val="24"/>
              </w:rPr>
            </w:pPr>
            <w:r>
              <w:rPr>
                <w:rFonts w:hint="eastAsia" w:ascii="宋体" w:hAnsi="宋体"/>
                <w:szCs w:val="24"/>
              </w:rPr>
              <w:t>铅</w:t>
            </w:r>
          </w:p>
        </w:tc>
        <w:tc>
          <w:tcPr>
            <w:tcW w:w="1565" w:type="dxa"/>
            <w:tcBorders>
              <w:top w:val="nil"/>
              <w:left w:val="nil"/>
              <w:bottom w:val="single" w:color="auto" w:sz="4" w:space="0"/>
              <w:right w:val="single" w:color="auto" w:sz="4" w:space="0"/>
            </w:tcBorders>
            <w:shd w:val="clear" w:color="auto" w:fill="auto"/>
            <w:vAlign w:val="center"/>
          </w:tcPr>
          <w:p w14:paraId="58BA075B">
            <w:pPr>
              <w:pStyle w:val="196"/>
              <w:rPr>
                <w:rFonts w:cs="Times New Roman"/>
                <w:szCs w:val="24"/>
              </w:rPr>
            </w:pPr>
            <w:r>
              <w:rPr>
                <w:rFonts w:cs="Times New Roman"/>
                <w:szCs w:val="24"/>
              </w:rPr>
              <w:t>29.5</w:t>
            </w:r>
          </w:p>
        </w:tc>
        <w:tc>
          <w:tcPr>
            <w:tcW w:w="939" w:type="dxa"/>
            <w:vMerge w:val="continue"/>
            <w:tcBorders>
              <w:top w:val="nil"/>
              <w:left w:val="single" w:color="auto" w:sz="4" w:space="0"/>
              <w:bottom w:val="single" w:color="auto" w:sz="4" w:space="0"/>
              <w:right w:val="single" w:color="auto" w:sz="4" w:space="0"/>
            </w:tcBorders>
            <w:vAlign w:val="center"/>
          </w:tcPr>
          <w:p w14:paraId="73B900B4">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B5CE0A5">
            <w:pPr>
              <w:pStyle w:val="196"/>
              <w:rPr>
                <w:rFonts w:hint="eastAsia" w:ascii="宋体" w:hAnsi="宋体"/>
                <w:szCs w:val="24"/>
              </w:rPr>
            </w:pPr>
            <w:r>
              <w:rPr>
                <w:rFonts w:hint="eastAsia" w:ascii="宋体" w:hAnsi="宋体"/>
                <w:szCs w:val="24"/>
              </w:rPr>
              <w:t>四氯乙烯</w:t>
            </w:r>
          </w:p>
        </w:tc>
        <w:tc>
          <w:tcPr>
            <w:tcW w:w="942" w:type="dxa"/>
            <w:tcBorders>
              <w:top w:val="nil"/>
              <w:left w:val="nil"/>
              <w:bottom w:val="single" w:color="auto" w:sz="4" w:space="0"/>
              <w:right w:val="single" w:color="auto" w:sz="4" w:space="0"/>
            </w:tcBorders>
            <w:shd w:val="clear" w:color="auto" w:fill="auto"/>
            <w:vAlign w:val="center"/>
          </w:tcPr>
          <w:p w14:paraId="5522D91B">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34EFBF5E">
            <w:pPr>
              <w:pStyle w:val="196"/>
              <w:rPr>
                <w:rFonts w:cs="Times New Roman"/>
                <w:szCs w:val="24"/>
              </w:rPr>
            </w:pPr>
          </w:p>
        </w:tc>
      </w:tr>
      <w:tr w14:paraId="28B859AF">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0608B653">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7474D9F">
            <w:pPr>
              <w:pStyle w:val="196"/>
              <w:rPr>
                <w:rFonts w:hint="eastAsia" w:ascii="宋体" w:hAnsi="宋体"/>
                <w:szCs w:val="24"/>
              </w:rPr>
            </w:pPr>
            <w:r>
              <w:rPr>
                <w:rFonts w:hint="eastAsia" w:ascii="宋体" w:hAnsi="宋体"/>
                <w:szCs w:val="24"/>
              </w:rPr>
              <w:t>镍</w:t>
            </w:r>
          </w:p>
        </w:tc>
        <w:tc>
          <w:tcPr>
            <w:tcW w:w="1565" w:type="dxa"/>
            <w:tcBorders>
              <w:top w:val="nil"/>
              <w:left w:val="nil"/>
              <w:bottom w:val="single" w:color="auto" w:sz="4" w:space="0"/>
              <w:right w:val="single" w:color="auto" w:sz="4" w:space="0"/>
            </w:tcBorders>
            <w:shd w:val="clear" w:color="auto" w:fill="auto"/>
            <w:vAlign w:val="center"/>
          </w:tcPr>
          <w:p w14:paraId="25797A78">
            <w:pPr>
              <w:pStyle w:val="196"/>
              <w:rPr>
                <w:rFonts w:cs="Times New Roman"/>
                <w:szCs w:val="24"/>
              </w:rPr>
            </w:pPr>
            <w:r>
              <w:rPr>
                <w:rFonts w:cs="Times New Roman"/>
                <w:szCs w:val="24"/>
              </w:rPr>
              <w:t>44</w:t>
            </w:r>
          </w:p>
        </w:tc>
        <w:tc>
          <w:tcPr>
            <w:tcW w:w="939" w:type="dxa"/>
            <w:vMerge w:val="continue"/>
            <w:tcBorders>
              <w:top w:val="nil"/>
              <w:left w:val="single" w:color="auto" w:sz="4" w:space="0"/>
              <w:bottom w:val="single" w:color="auto" w:sz="4" w:space="0"/>
              <w:right w:val="single" w:color="auto" w:sz="4" w:space="0"/>
            </w:tcBorders>
            <w:vAlign w:val="center"/>
          </w:tcPr>
          <w:p w14:paraId="405C1FCA">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293C6C30">
            <w:pPr>
              <w:pStyle w:val="196"/>
              <w:rPr>
                <w:rFonts w:hint="eastAsia" w:ascii="宋体" w:hAnsi="宋体"/>
                <w:szCs w:val="24"/>
              </w:rPr>
            </w:pPr>
            <w:r>
              <w:rPr>
                <w:rFonts w:hint="eastAsia" w:ascii="宋体" w:hAnsi="宋体"/>
                <w:szCs w:val="24"/>
              </w:rPr>
              <w:t>氯苯</w:t>
            </w:r>
          </w:p>
        </w:tc>
        <w:tc>
          <w:tcPr>
            <w:tcW w:w="942" w:type="dxa"/>
            <w:tcBorders>
              <w:top w:val="nil"/>
              <w:left w:val="nil"/>
              <w:bottom w:val="single" w:color="auto" w:sz="4" w:space="0"/>
              <w:right w:val="single" w:color="auto" w:sz="4" w:space="0"/>
            </w:tcBorders>
            <w:shd w:val="clear" w:color="auto" w:fill="auto"/>
            <w:vAlign w:val="center"/>
          </w:tcPr>
          <w:p w14:paraId="0E0F452F">
            <w:pPr>
              <w:pStyle w:val="196"/>
              <w:rPr>
                <w:rFonts w:cs="Times New Roman"/>
                <w:szCs w:val="24"/>
              </w:rPr>
            </w:pPr>
            <w:r>
              <w:rPr>
                <w:rFonts w:cs="Times New Roman"/>
                <w:szCs w:val="24"/>
              </w:rPr>
              <w:t>0.0054</w:t>
            </w:r>
          </w:p>
        </w:tc>
        <w:tc>
          <w:tcPr>
            <w:tcW w:w="939" w:type="dxa"/>
            <w:vMerge w:val="continue"/>
            <w:tcBorders>
              <w:top w:val="nil"/>
              <w:left w:val="single" w:color="auto" w:sz="4" w:space="0"/>
              <w:bottom w:val="single" w:color="auto" w:sz="4" w:space="0"/>
              <w:right w:val="single" w:color="auto" w:sz="4" w:space="0"/>
            </w:tcBorders>
            <w:vAlign w:val="center"/>
          </w:tcPr>
          <w:p w14:paraId="7ADDC415">
            <w:pPr>
              <w:pStyle w:val="196"/>
              <w:rPr>
                <w:rFonts w:cs="Times New Roman"/>
                <w:szCs w:val="24"/>
              </w:rPr>
            </w:pPr>
          </w:p>
        </w:tc>
      </w:tr>
      <w:tr w14:paraId="3629DCB6">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43555262">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3B466234">
            <w:pPr>
              <w:pStyle w:val="196"/>
              <w:rPr>
                <w:rFonts w:hint="eastAsia" w:ascii="宋体" w:hAnsi="宋体"/>
                <w:szCs w:val="24"/>
              </w:rPr>
            </w:pPr>
            <w:r>
              <w:rPr>
                <w:rFonts w:hint="eastAsia" w:ascii="宋体" w:hAnsi="宋体"/>
                <w:szCs w:val="24"/>
              </w:rPr>
              <w:t>铜</w:t>
            </w:r>
          </w:p>
        </w:tc>
        <w:tc>
          <w:tcPr>
            <w:tcW w:w="1565" w:type="dxa"/>
            <w:tcBorders>
              <w:top w:val="nil"/>
              <w:left w:val="nil"/>
              <w:bottom w:val="single" w:color="auto" w:sz="4" w:space="0"/>
              <w:right w:val="single" w:color="auto" w:sz="4" w:space="0"/>
            </w:tcBorders>
            <w:shd w:val="clear" w:color="auto" w:fill="auto"/>
            <w:vAlign w:val="center"/>
          </w:tcPr>
          <w:p w14:paraId="16322E40">
            <w:pPr>
              <w:pStyle w:val="196"/>
              <w:rPr>
                <w:rFonts w:cs="Times New Roman"/>
                <w:szCs w:val="24"/>
              </w:rPr>
            </w:pPr>
            <w:r>
              <w:rPr>
                <w:rFonts w:cs="Times New Roman"/>
                <w:szCs w:val="24"/>
              </w:rPr>
              <w:t>29</w:t>
            </w:r>
          </w:p>
        </w:tc>
        <w:tc>
          <w:tcPr>
            <w:tcW w:w="939" w:type="dxa"/>
            <w:vMerge w:val="continue"/>
            <w:tcBorders>
              <w:top w:val="nil"/>
              <w:left w:val="single" w:color="auto" w:sz="4" w:space="0"/>
              <w:bottom w:val="single" w:color="auto" w:sz="4" w:space="0"/>
              <w:right w:val="single" w:color="auto" w:sz="4" w:space="0"/>
            </w:tcBorders>
            <w:vAlign w:val="center"/>
          </w:tcPr>
          <w:p w14:paraId="1E24FA0F">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0B99DCC1">
            <w:pPr>
              <w:pStyle w:val="196"/>
              <w:rPr>
                <w:rFonts w:cs="Times New Roman"/>
                <w:szCs w:val="24"/>
              </w:rPr>
            </w:pPr>
            <w:r>
              <w:rPr>
                <w:rFonts w:cs="Times New Roman"/>
                <w:szCs w:val="24"/>
              </w:rPr>
              <w:t>1,1,1,2-</w:t>
            </w:r>
            <w:r>
              <w:rPr>
                <w:rFonts w:hint="eastAsia" w:ascii="宋体" w:hAnsi="宋体" w:cs="Times New Roman"/>
                <w:szCs w:val="24"/>
              </w:rPr>
              <w:t>四氯乙烷</w:t>
            </w:r>
          </w:p>
        </w:tc>
        <w:tc>
          <w:tcPr>
            <w:tcW w:w="942" w:type="dxa"/>
            <w:tcBorders>
              <w:top w:val="nil"/>
              <w:left w:val="nil"/>
              <w:bottom w:val="single" w:color="auto" w:sz="4" w:space="0"/>
              <w:right w:val="single" w:color="auto" w:sz="4" w:space="0"/>
            </w:tcBorders>
            <w:shd w:val="clear" w:color="auto" w:fill="auto"/>
            <w:vAlign w:val="center"/>
          </w:tcPr>
          <w:p w14:paraId="28B6A0A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13DAD31">
            <w:pPr>
              <w:pStyle w:val="196"/>
              <w:rPr>
                <w:rFonts w:cs="Times New Roman"/>
                <w:szCs w:val="24"/>
              </w:rPr>
            </w:pPr>
          </w:p>
        </w:tc>
      </w:tr>
      <w:tr w14:paraId="0E758568">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7F04F686">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7C727820">
            <w:pPr>
              <w:pStyle w:val="196"/>
              <w:rPr>
                <w:rFonts w:hint="eastAsia" w:ascii="宋体" w:hAnsi="宋体"/>
                <w:szCs w:val="24"/>
              </w:rPr>
            </w:pPr>
            <w:r>
              <w:rPr>
                <w:rFonts w:hint="eastAsia" w:ascii="宋体" w:hAnsi="宋体"/>
                <w:szCs w:val="24"/>
              </w:rPr>
              <w:t>铬</w:t>
            </w:r>
          </w:p>
        </w:tc>
        <w:tc>
          <w:tcPr>
            <w:tcW w:w="1565" w:type="dxa"/>
            <w:tcBorders>
              <w:top w:val="nil"/>
              <w:left w:val="nil"/>
              <w:bottom w:val="single" w:color="auto" w:sz="4" w:space="0"/>
              <w:right w:val="single" w:color="auto" w:sz="4" w:space="0"/>
            </w:tcBorders>
            <w:shd w:val="clear" w:color="auto" w:fill="auto"/>
            <w:vAlign w:val="center"/>
          </w:tcPr>
          <w:p w14:paraId="4E7750CC">
            <w:pPr>
              <w:pStyle w:val="196"/>
              <w:rPr>
                <w:rFonts w:cs="Times New Roman"/>
                <w:szCs w:val="24"/>
              </w:rPr>
            </w:pPr>
            <w:r>
              <w:rPr>
                <w:rFonts w:cs="Times New Roman"/>
                <w:szCs w:val="24"/>
              </w:rPr>
              <w:t>98</w:t>
            </w:r>
          </w:p>
        </w:tc>
        <w:tc>
          <w:tcPr>
            <w:tcW w:w="939" w:type="dxa"/>
            <w:vMerge w:val="continue"/>
            <w:tcBorders>
              <w:top w:val="nil"/>
              <w:left w:val="single" w:color="auto" w:sz="4" w:space="0"/>
              <w:bottom w:val="single" w:color="auto" w:sz="4" w:space="0"/>
              <w:right w:val="single" w:color="auto" w:sz="4" w:space="0"/>
            </w:tcBorders>
            <w:vAlign w:val="center"/>
          </w:tcPr>
          <w:p w14:paraId="52636E9C">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4B9741F8">
            <w:pPr>
              <w:pStyle w:val="196"/>
              <w:rPr>
                <w:rFonts w:hint="eastAsia" w:ascii="宋体" w:hAnsi="宋体"/>
                <w:szCs w:val="24"/>
              </w:rPr>
            </w:pPr>
            <w:r>
              <w:rPr>
                <w:rFonts w:hint="eastAsia" w:ascii="宋体" w:hAnsi="宋体"/>
                <w:szCs w:val="24"/>
              </w:rPr>
              <w:t>乙苯</w:t>
            </w:r>
          </w:p>
        </w:tc>
        <w:tc>
          <w:tcPr>
            <w:tcW w:w="942" w:type="dxa"/>
            <w:tcBorders>
              <w:top w:val="nil"/>
              <w:left w:val="nil"/>
              <w:bottom w:val="single" w:color="auto" w:sz="4" w:space="0"/>
              <w:right w:val="single" w:color="auto" w:sz="4" w:space="0"/>
            </w:tcBorders>
            <w:shd w:val="clear" w:color="auto" w:fill="auto"/>
            <w:vAlign w:val="center"/>
          </w:tcPr>
          <w:p w14:paraId="04CAA522">
            <w:pPr>
              <w:pStyle w:val="196"/>
              <w:rPr>
                <w:rFonts w:cs="Times New Roman"/>
                <w:szCs w:val="24"/>
              </w:rPr>
            </w:pPr>
            <w:r>
              <w:rPr>
                <w:rFonts w:cs="Times New Roman"/>
                <w:szCs w:val="24"/>
              </w:rPr>
              <w:t>0.002</w:t>
            </w:r>
          </w:p>
        </w:tc>
        <w:tc>
          <w:tcPr>
            <w:tcW w:w="939" w:type="dxa"/>
            <w:vMerge w:val="continue"/>
            <w:tcBorders>
              <w:top w:val="nil"/>
              <w:left w:val="single" w:color="auto" w:sz="4" w:space="0"/>
              <w:bottom w:val="single" w:color="auto" w:sz="4" w:space="0"/>
              <w:right w:val="single" w:color="auto" w:sz="4" w:space="0"/>
            </w:tcBorders>
            <w:vAlign w:val="center"/>
          </w:tcPr>
          <w:p w14:paraId="6D2DBB40">
            <w:pPr>
              <w:pStyle w:val="196"/>
              <w:rPr>
                <w:rFonts w:cs="Times New Roman"/>
                <w:szCs w:val="24"/>
              </w:rPr>
            </w:pPr>
          </w:p>
        </w:tc>
      </w:tr>
      <w:tr w14:paraId="6BA34E2C">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4D8BA3B3">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0113D75C">
            <w:pPr>
              <w:pStyle w:val="196"/>
              <w:rPr>
                <w:rFonts w:hint="eastAsia" w:ascii="宋体" w:hAnsi="宋体"/>
                <w:szCs w:val="24"/>
              </w:rPr>
            </w:pPr>
            <w:r>
              <w:rPr>
                <w:rFonts w:hint="eastAsia" w:ascii="宋体" w:hAnsi="宋体"/>
                <w:szCs w:val="24"/>
              </w:rPr>
              <w:t>锌</w:t>
            </w:r>
          </w:p>
        </w:tc>
        <w:tc>
          <w:tcPr>
            <w:tcW w:w="1565" w:type="dxa"/>
            <w:tcBorders>
              <w:top w:val="nil"/>
              <w:left w:val="nil"/>
              <w:bottom w:val="single" w:color="auto" w:sz="4" w:space="0"/>
              <w:right w:val="single" w:color="auto" w:sz="4" w:space="0"/>
            </w:tcBorders>
            <w:shd w:val="clear" w:color="auto" w:fill="auto"/>
            <w:vAlign w:val="center"/>
          </w:tcPr>
          <w:p w14:paraId="713982EA">
            <w:pPr>
              <w:pStyle w:val="196"/>
              <w:rPr>
                <w:rFonts w:cs="Times New Roman"/>
                <w:szCs w:val="24"/>
              </w:rPr>
            </w:pPr>
            <w:r>
              <w:rPr>
                <w:rFonts w:cs="Times New Roman"/>
                <w:szCs w:val="24"/>
              </w:rPr>
              <w:t>56</w:t>
            </w:r>
          </w:p>
        </w:tc>
        <w:tc>
          <w:tcPr>
            <w:tcW w:w="939" w:type="dxa"/>
            <w:vMerge w:val="continue"/>
            <w:tcBorders>
              <w:top w:val="nil"/>
              <w:left w:val="single" w:color="auto" w:sz="4" w:space="0"/>
              <w:bottom w:val="single" w:color="auto" w:sz="4" w:space="0"/>
              <w:right w:val="single" w:color="auto" w:sz="4" w:space="0"/>
            </w:tcBorders>
            <w:vAlign w:val="center"/>
          </w:tcPr>
          <w:p w14:paraId="46604870">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76C7D89C">
            <w:pPr>
              <w:pStyle w:val="196"/>
              <w:rPr>
                <w:rFonts w:hint="eastAsia" w:ascii="宋体" w:hAnsi="宋体"/>
                <w:szCs w:val="24"/>
              </w:rPr>
            </w:pPr>
            <w:r>
              <w:rPr>
                <w:rFonts w:hint="eastAsia" w:ascii="宋体" w:hAnsi="宋体"/>
                <w:szCs w:val="24"/>
              </w:rPr>
              <w:t>间</w:t>
            </w:r>
            <w:r>
              <w:rPr>
                <w:rFonts w:hint="eastAsia" w:ascii="宋体" w:hAnsi="宋体"/>
                <w:szCs w:val="24"/>
                <w:lang w:eastAsia="zh-CN"/>
              </w:rPr>
              <w:t>，</w:t>
            </w:r>
            <w:r>
              <w:rPr>
                <w:rFonts w:hint="eastAsia" w:ascii="宋体" w:hAnsi="宋体"/>
                <w:szCs w:val="24"/>
              </w:rPr>
              <w:t>对</w:t>
            </w:r>
            <w:r>
              <w:rPr>
                <w:rFonts w:cs="Times New Roman"/>
                <w:szCs w:val="24"/>
              </w:rPr>
              <w:t>-</w:t>
            </w:r>
            <w:r>
              <w:rPr>
                <w:rFonts w:hint="eastAsia" w:ascii="宋体" w:hAnsi="宋体"/>
                <w:szCs w:val="24"/>
              </w:rPr>
              <w:t>二甲苯</w:t>
            </w:r>
          </w:p>
        </w:tc>
        <w:tc>
          <w:tcPr>
            <w:tcW w:w="942" w:type="dxa"/>
            <w:tcBorders>
              <w:top w:val="nil"/>
              <w:left w:val="nil"/>
              <w:bottom w:val="single" w:color="auto" w:sz="4" w:space="0"/>
              <w:right w:val="single" w:color="auto" w:sz="4" w:space="0"/>
            </w:tcBorders>
            <w:shd w:val="clear" w:color="auto" w:fill="auto"/>
            <w:vAlign w:val="center"/>
          </w:tcPr>
          <w:p w14:paraId="6BCDD666">
            <w:pPr>
              <w:pStyle w:val="196"/>
              <w:rPr>
                <w:rFonts w:cs="Times New Roman"/>
                <w:szCs w:val="24"/>
              </w:rPr>
            </w:pPr>
            <w:r>
              <w:rPr>
                <w:rFonts w:cs="Times New Roman"/>
                <w:szCs w:val="24"/>
              </w:rPr>
              <w:t>0.0096</w:t>
            </w:r>
          </w:p>
        </w:tc>
        <w:tc>
          <w:tcPr>
            <w:tcW w:w="939" w:type="dxa"/>
            <w:vMerge w:val="continue"/>
            <w:tcBorders>
              <w:top w:val="nil"/>
              <w:left w:val="single" w:color="auto" w:sz="4" w:space="0"/>
              <w:bottom w:val="single" w:color="auto" w:sz="4" w:space="0"/>
              <w:right w:val="single" w:color="auto" w:sz="4" w:space="0"/>
            </w:tcBorders>
            <w:vAlign w:val="center"/>
          </w:tcPr>
          <w:p w14:paraId="52A6FF77">
            <w:pPr>
              <w:pStyle w:val="196"/>
              <w:rPr>
                <w:rFonts w:cs="Times New Roman"/>
                <w:szCs w:val="24"/>
              </w:rPr>
            </w:pPr>
          </w:p>
        </w:tc>
      </w:tr>
      <w:tr w14:paraId="6EF3A78C">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72FAD4EF">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BC7C4D8">
            <w:pPr>
              <w:pStyle w:val="196"/>
              <w:rPr>
                <w:rFonts w:hint="eastAsia" w:ascii="宋体" w:hAnsi="宋体"/>
                <w:szCs w:val="24"/>
              </w:rPr>
            </w:pPr>
            <w:r>
              <w:rPr>
                <w:rFonts w:hint="eastAsia" w:ascii="宋体" w:hAnsi="宋体"/>
                <w:szCs w:val="24"/>
              </w:rPr>
              <w:t>六价铬</w:t>
            </w:r>
          </w:p>
        </w:tc>
        <w:tc>
          <w:tcPr>
            <w:tcW w:w="1565" w:type="dxa"/>
            <w:tcBorders>
              <w:top w:val="nil"/>
              <w:left w:val="nil"/>
              <w:bottom w:val="single" w:color="auto" w:sz="4" w:space="0"/>
              <w:right w:val="single" w:color="auto" w:sz="4" w:space="0"/>
            </w:tcBorders>
            <w:shd w:val="clear" w:color="auto" w:fill="auto"/>
            <w:vAlign w:val="center"/>
          </w:tcPr>
          <w:p w14:paraId="59D75B39">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35D381DC">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0E299AD5">
            <w:pPr>
              <w:pStyle w:val="196"/>
              <w:rPr>
                <w:rFonts w:hint="eastAsia" w:ascii="宋体" w:hAnsi="宋体"/>
                <w:szCs w:val="24"/>
              </w:rPr>
            </w:pPr>
            <w:r>
              <w:rPr>
                <w:rFonts w:hint="eastAsia" w:ascii="宋体" w:hAnsi="宋体"/>
                <w:szCs w:val="24"/>
              </w:rPr>
              <w:t>邻</w:t>
            </w:r>
            <w:r>
              <w:rPr>
                <w:rFonts w:cs="Times New Roman"/>
                <w:szCs w:val="24"/>
              </w:rPr>
              <w:t>-</w:t>
            </w:r>
            <w:r>
              <w:rPr>
                <w:rFonts w:hint="eastAsia" w:ascii="宋体" w:hAnsi="宋体"/>
                <w:szCs w:val="24"/>
              </w:rPr>
              <w:t>二甲苯</w:t>
            </w:r>
          </w:p>
        </w:tc>
        <w:tc>
          <w:tcPr>
            <w:tcW w:w="942" w:type="dxa"/>
            <w:tcBorders>
              <w:top w:val="nil"/>
              <w:left w:val="nil"/>
              <w:bottom w:val="single" w:color="auto" w:sz="4" w:space="0"/>
              <w:right w:val="single" w:color="auto" w:sz="4" w:space="0"/>
            </w:tcBorders>
            <w:shd w:val="clear" w:color="auto" w:fill="auto"/>
            <w:vAlign w:val="center"/>
          </w:tcPr>
          <w:p w14:paraId="6D25A2E9">
            <w:pPr>
              <w:pStyle w:val="196"/>
              <w:rPr>
                <w:rFonts w:cs="Times New Roman"/>
                <w:szCs w:val="24"/>
              </w:rPr>
            </w:pPr>
            <w:r>
              <w:rPr>
                <w:rFonts w:cs="Times New Roman"/>
                <w:szCs w:val="24"/>
              </w:rPr>
              <w:t>0.0066</w:t>
            </w:r>
          </w:p>
        </w:tc>
        <w:tc>
          <w:tcPr>
            <w:tcW w:w="939" w:type="dxa"/>
            <w:vMerge w:val="continue"/>
            <w:tcBorders>
              <w:top w:val="nil"/>
              <w:left w:val="single" w:color="auto" w:sz="4" w:space="0"/>
              <w:bottom w:val="single" w:color="auto" w:sz="4" w:space="0"/>
              <w:right w:val="single" w:color="auto" w:sz="4" w:space="0"/>
            </w:tcBorders>
            <w:vAlign w:val="center"/>
          </w:tcPr>
          <w:p w14:paraId="57E7B410">
            <w:pPr>
              <w:pStyle w:val="196"/>
              <w:rPr>
                <w:rFonts w:cs="Times New Roman"/>
                <w:szCs w:val="24"/>
              </w:rPr>
            </w:pPr>
          </w:p>
        </w:tc>
      </w:tr>
      <w:tr w14:paraId="4E70C63F">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46F889E">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5D8D876">
            <w:pPr>
              <w:pStyle w:val="196"/>
              <w:rPr>
                <w:rFonts w:hint="eastAsia" w:ascii="宋体" w:hAnsi="宋体"/>
                <w:szCs w:val="24"/>
              </w:rPr>
            </w:pPr>
            <w:r>
              <w:rPr>
                <w:rFonts w:hint="eastAsia" w:ascii="宋体" w:hAnsi="宋体"/>
                <w:szCs w:val="24"/>
              </w:rPr>
              <w:t>石油类</w:t>
            </w:r>
          </w:p>
        </w:tc>
        <w:tc>
          <w:tcPr>
            <w:tcW w:w="1565" w:type="dxa"/>
            <w:tcBorders>
              <w:top w:val="nil"/>
              <w:left w:val="nil"/>
              <w:bottom w:val="single" w:color="auto" w:sz="4" w:space="0"/>
              <w:right w:val="single" w:color="auto" w:sz="4" w:space="0"/>
            </w:tcBorders>
            <w:shd w:val="clear" w:color="auto" w:fill="auto"/>
            <w:vAlign w:val="center"/>
          </w:tcPr>
          <w:p w14:paraId="3AF4F026">
            <w:pPr>
              <w:pStyle w:val="196"/>
              <w:rPr>
                <w:rFonts w:cs="Times New Roman"/>
                <w:szCs w:val="24"/>
              </w:rPr>
            </w:pPr>
            <w:r>
              <w:rPr>
                <w:rFonts w:cs="Times New Roman"/>
                <w:szCs w:val="24"/>
              </w:rPr>
              <w:t>0.14</w:t>
            </w:r>
          </w:p>
        </w:tc>
        <w:tc>
          <w:tcPr>
            <w:tcW w:w="939" w:type="dxa"/>
            <w:vMerge w:val="continue"/>
            <w:tcBorders>
              <w:top w:val="nil"/>
              <w:left w:val="single" w:color="auto" w:sz="4" w:space="0"/>
              <w:bottom w:val="single" w:color="auto" w:sz="4" w:space="0"/>
              <w:right w:val="single" w:color="auto" w:sz="4" w:space="0"/>
            </w:tcBorders>
            <w:vAlign w:val="center"/>
          </w:tcPr>
          <w:p w14:paraId="61ADAE01">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5EF95226">
            <w:pPr>
              <w:pStyle w:val="196"/>
              <w:rPr>
                <w:rFonts w:hint="eastAsia" w:ascii="宋体" w:hAnsi="宋体"/>
                <w:szCs w:val="24"/>
              </w:rPr>
            </w:pPr>
            <w:r>
              <w:rPr>
                <w:rFonts w:hint="eastAsia" w:ascii="宋体" w:hAnsi="宋体"/>
                <w:szCs w:val="24"/>
              </w:rPr>
              <w:t>苯乙烯</w:t>
            </w:r>
          </w:p>
        </w:tc>
        <w:tc>
          <w:tcPr>
            <w:tcW w:w="942" w:type="dxa"/>
            <w:tcBorders>
              <w:top w:val="nil"/>
              <w:left w:val="nil"/>
              <w:bottom w:val="single" w:color="auto" w:sz="4" w:space="0"/>
              <w:right w:val="single" w:color="auto" w:sz="4" w:space="0"/>
            </w:tcBorders>
            <w:shd w:val="clear" w:color="auto" w:fill="auto"/>
            <w:vAlign w:val="center"/>
          </w:tcPr>
          <w:p w14:paraId="1DD16A54">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5E8C8EC">
            <w:pPr>
              <w:pStyle w:val="196"/>
              <w:rPr>
                <w:rFonts w:cs="Times New Roman"/>
                <w:szCs w:val="24"/>
              </w:rPr>
            </w:pPr>
          </w:p>
        </w:tc>
      </w:tr>
      <w:tr w14:paraId="5C1F0035">
        <w:tblPrEx>
          <w:tblCellMar>
            <w:top w:w="0" w:type="dxa"/>
            <w:left w:w="108" w:type="dxa"/>
            <w:bottom w:w="0" w:type="dxa"/>
            <w:right w:w="108" w:type="dxa"/>
          </w:tblCellMar>
        </w:tblPrEx>
        <w:trPr>
          <w:trHeight w:val="37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577247C9">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5638CF3F">
            <w:pPr>
              <w:pStyle w:val="196"/>
              <w:rPr>
                <w:rFonts w:hint="eastAsia" w:ascii="宋体" w:hAnsi="宋体"/>
                <w:szCs w:val="24"/>
              </w:rPr>
            </w:pPr>
            <w:r>
              <w:rPr>
                <w:rFonts w:hint="eastAsia" w:ascii="宋体" w:hAnsi="宋体"/>
                <w:szCs w:val="24"/>
              </w:rPr>
              <w:t>有机质</w:t>
            </w:r>
          </w:p>
        </w:tc>
        <w:tc>
          <w:tcPr>
            <w:tcW w:w="1565" w:type="dxa"/>
            <w:tcBorders>
              <w:top w:val="nil"/>
              <w:left w:val="nil"/>
              <w:bottom w:val="single" w:color="auto" w:sz="4" w:space="0"/>
              <w:right w:val="single" w:color="auto" w:sz="4" w:space="0"/>
            </w:tcBorders>
            <w:shd w:val="clear" w:color="auto" w:fill="auto"/>
            <w:vAlign w:val="center"/>
          </w:tcPr>
          <w:p w14:paraId="5C738CEF">
            <w:pPr>
              <w:pStyle w:val="196"/>
              <w:rPr>
                <w:rFonts w:cs="Times New Roman"/>
                <w:szCs w:val="24"/>
              </w:rPr>
            </w:pPr>
            <w:r>
              <w:rPr>
                <w:rFonts w:cs="Times New Roman"/>
                <w:szCs w:val="24"/>
              </w:rPr>
              <w:t>4.2</w:t>
            </w:r>
            <w:r>
              <w:rPr>
                <w:rFonts w:ascii="Arial" w:hAnsi="Arial" w:cs="Arial"/>
                <w:szCs w:val="24"/>
              </w:rPr>
              <w:t>×</w:t>
            </w:r>
            <w:r>
              <w:rPr>
                <w:rFonts w:cs="Times New Roman"/>
                <w:szCs w:val="24"/>
              </w:rPr>
              <w:t>10</w:t>
            </w:r>
            <w:r>
              <w:rPr>
                <w:rFonts w:cs="Times New Roman"/>
                <w:szCs w:val="24"/>
                <w:vertAlign w:val="superscript"/>
              </w:rPr>
              <w:t>3</w:t>
            </w:r>
          </w:p>
        </w:tc>
        <w:tc>
          <w:tcPr>
            <w:tcW w:w="939" w:type="dxa"/>
            <w:vMerge w:val="continue"/>
            <w:tcBorders>
              <w:top w:val="nil"/>
              <w:left w:val="single" w:color="auto" w:sz="4" w:space="0"/>
              <w:bottom w:val="single" w:color="auto" w:sz="4" w:space="0"/>
              <w:right w:val="single" w:color="auto" w:sz="4" w:space="0"/>
            </w:tcBorders>
            <w:vAlign w:val="center"/>
          </w:tcPr>
          <w:p w14:paraId="57F29FFD">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1F08DB8">
            <w:pPr>
              <w:pStyle w:val="196"/>
              <w:rPr>
                <w:rFonts w:cs="Times New Roman"/>
                <w:szCs w:val="24"/>
              </w:rPr>
            </w:pPr>
            <w:r>
              <w:rPr>
                <w:rFonts w:cs="Times New Roman"/>
                <w:szCs w:val="24"/>
              </w:rPr>
              <w:t>1,1,2,2-</w:t>
            </w:r>
            <w:r>
              <w:rPr>
                <w:rFonts w:hint="eastAsia" w:ascii="宋体" w:hAnsi="宋体" w:cs="Times New Roman"/>
                <w:szCs w:val="24"/>
              </w:rPr>
              <w:t>四氯乙烷</w:t>
            </w:r>
          </w:p>
        </w:tc>
        <w:tc>
          <w:tcPr>
            <w:tcW w:w="942" w:type="dxa"/>
            <w:tcBorders>
              <w:top w:val="nil"/>
              <w:left w:val="nil"/>
              <w:bottom w:val="single" w:color="auto" w:sz="4" w:space="0"/>
              <w:right w:val="single" w:color="auto" w:sz="4" w:space="0"/>
            </w:tcBorders>
            <w:shd w:val="clear" w:color="auto" w:fill="auto"/>
            <w:vAlign w:val="center"/>
          </w:tcPr>
          <w:p w14:paraId="5479996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7FE9174">
            <w:pPr>
              <w:pStyle w:val="196"/>
              <w:rPr>
                <w:rFonts w:cs="Times New Roman"/>
                <w:szCs w:val="24"/>
              </w:rPr>
            </w:pPr>
          </w:p>
        </w:tc>
      </w:tr>
      <w:tr w14:paraId="56D0579B">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2C57CEC4">
            <w:pPr>
              <w:pStyle w:val="196"/>
              <w:rPr>
                <w:rFonts w:cs="Times New Roman"/>
                <w:szCs w:val="24"/>
              </w:rPr>
            </w:pPr>
          </w:p>
        </w:tc>
        <w:tc>
          <w:tcPr>
            <w:tcW w:w="1476" w:type="dxa"/>
            <w:vMerge w:val="restart"/>
            <w:tcBorders>
              <w:top w:val="nil"/>
              <w:left w:val="single" w:color="auto" w:sz="4" w:space="0"/>
              <w:bottom w:val="single" w:color="auto" w:sz="4" w:space="0"/>
              <w:right w:val="single" w:color="auto" w:sz="4" w:space="0"/>
            </w:tcBorders>
            <w:shd w:val="clear" w:color="auto" w:fill="auto"/>
            <w:vAlign w:val="center"/>
          </w:tcPr>
          <w:p w14:paraId="3FA4030E">
            <w:pPr>
              <w:pStyle w:val="196"/>
              <w:rPr>
                <w:rFonts w:hint="eastAsia" w:ascii="宋体" w:hAnsi="宋体"/>
                <w:szCs w:val="24"/>
              </w:rPr>
            </w:pPr>
            <w:r>
              <w:rPr>
                <w:rFonts w:hint="eastAsia" w:ascii="宋体" w:hAnsi="宋体"/>
                <w:szCs w:val="24"/>
              </w:rPr>
              <w:t>氯甲烷</w:t>
            </w:r>
          </w:p>
        </w:tc>
        <w:tc>
          <w:tcPr>
            <w:tcW w:w="1565" w:type="dxa"/>
            <w:vMerge w:val="restart"/>
            <w:tcBorders>
              <w:top w:val="nil"/>
              <w:left w:val="single" w:color="auto" w:sz="4" w:space="0"/>
              <w:bottom w:val="single" w:color="auto" w:sz="4" w:space="0"/>
              <w:right w:val="single" w:color="auto" w:sz="4" w:space="0"/>
            </w:tcBorders>
            <w:shd w:val="clear" w:color="auto" w:fill="auto"/>
            <w:vAlign w:val="center"/>
          </w:tcPr>
          <w:p w14:paraId="1215FF5D">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0F24D00">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A80FE60">
            <w:pPr>
              <w:pStyle w:val="196"/>
              <w:rPr>
                <w:rFonts w:cs="Times New Roman"/>
                <w:szCs w:val="24"/>
              </w:rPr>
            </w:pPr>
            <w:r>
              <w:rPr>
                <w:rFonts w:cs="Times New Roman"/>
                <w:szCs w:val="24"/>
              </w:rPr>
              <w:t>1,2,3-</w:t>
            </w:r>
            <w:r>
              <w:rPr>
                <w:rFonts w:hint="eastAsia" w:ascii="宋体" w:hAnsi="宋体" w:cs="Times New Roman"/>
                <w:szCs w:val="24"/>
              </w:rPr>
              <w:t>三氯丙烷</w:t>
            </w:r>
          </w:p>
        </w:tc>
        <w:tc>
          <w:tcPr>
            <w:tcW w:w="942" w:type="dxa"/>
            <w:tcBorders>
              <w:top w:val="nil"/>
              <w:left w:val="nil"/>
              <w:bottom w:val="single" w:color="auto" w:sz="4" w:space="0"/>
              <w:right w:val="single" w:color="auto" w:sz="4" w:space="0"/>
            </w:tcBorders>
            <w:shd w:val="clear" w:color="auto" w:fill="auto"/>
            <w:vAlign w:val="center"/>
          </w:tcPr>
          <w:p w14:paraId="61AB68A3">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7DA2529">
            <w:pPr>
              <w:pStyle w:val="196"/>
              <w:rPr>
                <w:rFonts w:cs="Times New Roman"/>
                <w:szCs w:val="24"/>
              </w:rPr>
            </w:pPr>
          </w:p>
        </w:tc>
      </w:tr>
      <w:tr w14:paraId="5CED7EA1">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1BDBA9D">
            <w:pPr>
              <w:pStyle w:val="196"/>
              <w:rPr>
                <w:rFonts w:cs="Times New Roman"/>
                <w:szCs w:val="24"/>
              </w:rPr>
            </w:pPr>
          </w:p>
        </w:tc>
        <w:tc>
          <w:tcPr>
            <w:tcW w:w="1476" w:type="dxa"/>
            <w:vMerge w:val="continue"/>
            <w:tcBorders>
              <w:top w:val="nil"/>
              <w:left w:val="single" w:color="auto" w:sz="4" w:space="0"/>
              <w:bottom w:val="single" w:color="auto" w:sz="4" w:space="0"/>
              <w:right w:val="single" w:color="auto" w:sz="4" w:space="0"/>
            </w:tcBorders>
            <w:vAlign w:val="center"/>
          </w:tcPr>
          <w:p w14:paraId="36ACE2B1">
            <w:pPr>
              <w:pStyle w:val="196"/>
              <w:rPr>
                <w:rFonts w:hint="eastAsia" w:ascii="宋体" w:hAnsi="宋体"/>
                <w:szCs w:val="24"/>
              </w:rPr>
            </w:pPr>
          </w:p>
        </w:tc>
        <w:tc>
          <w:tcPr>
            <w:tcW w:w="1565" w:type="dxa"/>
            <w:vMerge w:val="continue"/>
            <w:tcBorders>
              <w:top w:val="nil"/>
              <w:left w:val="single" w:color="auto" w:sz="4" w:space="0"/>
              <w:bottom w:val="single" w:color="auto" w:sz="4" w:space="0"/>
              <w:right w:val="single" w:color="auto" w:sz="4" w:space="0"/>
            </w:tcBorders>
            <w:vAlign w:val="center"/>
          </w:tcPr>
          <w:p w14:paraId="218168FC">
            <w:pPr>
              <w:pStyle w:val="196"/>
              <w:rPr>
                <w:rFonts w:cs="Times New Roman"/>
                <w:szCs w:val="24"/>
              </w:rPr>
            </w:pPr>
          </w:p>
        </w:tc>
        <w:tc>
          <w:tcPr>
            <w:tcW w:w="939" w:type="dxa"/>
            <w:vMerge w:val="continue"/>
            <w:tcBorders>
              <w:top w:val="nil"/>
              <w:left w:val="single" w:color="auto" w:sz="4" w:space="0"/>
              <w:bottom w:val="single" w:color="auto" w:sz="4" w:space="0"/>
              <w:right w:val="single" w:color="auto" w:sz="4" w:space="0"/>
            </w:tcBorders>
            <w:vAlign w:val="center"/>
          </w:tcPr>
          <w:p w14:paraId="7CA5465D">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6B894E2D">
            <w:pPr>
              <w:pStyle w:val="196"/>
              <w:rPr>
                <w:rFonts w:cs="Times New Roman"/>
                <w:szCs w:val="24"/>
              </w:rPr>
            </w:pPr>
            <w:r>
              <w:rPr>
                <w:rFonts w:cs="Times New Roman"/>
                <w:szCs w:val="24"/>
              </w:rPr>
              <w:t>1,4-</w:t>
            </w:r>
            <w:r>
              <w:rPr>
                <w:rFonts w:hint="eastAsia" w:ascii="宋体" w:hAnsi="宋体" w:cs="Times New Roman"/>
                <w:szCs w:val="24"/>
              </w:rPr>
              <w:t>二氯苯</w:t>
            </w:r>
          </w:p>
        </w:tc>
        <w:tc>
          <w:tcPr>
            <w:tcW w:w="942" w:type="dxa"/>
            <w:tcBorders>
              <w:top w:val="nil"/>
              <w:left w:val="nil"/>
              <w:bottom w:val="single" w:color="auto" w:sz="4" w:space="0"/>
              <w:right w:val="single" w:color="auto" w:sz="4" w:space="0"/>
            </w:tcBorders>
            <w:shd w:val="clear" w:color="auto" w:fill="auto"/>
            <w:vAlign w:val="center"/>
          </w:tcPr>
          <w:p w14:paraId="0D88FFE0">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BCCDAA9">
            <w:pPr>
              <w:pStyle w:val="196"/>
              <w:rPr>
                <w:rFonts w:cs="Times New Roman"/>
                <w:szCs w:val="24"/>
              </w:rPr>
            </w:pPr>
          </w:p>
        </w:tc>
      </w:tr>
      <w:tr w14:paraId="55DCD057">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E1FBC49">
            <w:pPr>
              <w:pStyle w:val="196"/>
              <w:rPr>
                <w:rFonts w:cs="Times New Roman"/>
                <w:szCs w:val="24"/>
              </w:rPr>
            </w:pPr>
          </w:p>
        </w:tc>
        <w:tc>
          <w:tcPr>
            <w:tcW w:w="1476" w:type="dxa"/>
            <w:vMerge w:val="continue"/>
            <w:tcBorders>
              <w:top w:val="nil"/>
              <w:left w:val="single" w:color="auto" w:sz="4" w:space="0"/>
              <w:bottom w:val="single" w:color="auto" w:sz="4" w:space="0"/>
              <w:right w:val="single" w:color="auto" w:sz="4" w:space="0"/>
            </w:tcBorders>
            <w:vAlign w:val="center"/>
          </w:tcPr>
          <w:p w14:paraId="4286EF2C">
            <w:pPr>
              <w:pStyle w:val="196"/>
              <w:rPr>
                <w:rFonts w:hint="eastAsia" w:ascii="宋体" w:hAnsi="宋体"/>
                <w:szCs w:val="24"/>
              </w:rPr>
            </w:pPr>
          </w:p>
        </w:tc>
        <w:tc>
          <w:tcPr>
            <w:tcW w:w="1565" w:type="dxa"/>
            <w:vMerge w:val="continue"/>
            <w:tcBorders>
              <w:top w:val="nil"/>
              <w:left w:val="single" w:color="auto" w:sz="4" w:space="0"/>
              <w:bottom w:val="single" w:color="auto" w:sz="4" w:space="0"/>
              <w:right w:val="single" w:color="auto" w:sz="4" w:space="0"/>
            </w:tcBorders>
            <w:vAlign w:val="center"/>
          </w:tcPr>
          <w:p w14:paraId="4D923CBB">
            <w:pPr>
              <w:pStyle w:val="196"/>
              <w:rPr>
                <w:rFonts w:cs="Times New Roman"/>
                <w:szCs w:val="24"/>
              </w:rPr>
            </w:pPr>
          </w:p>
        </w:tc>
        <w:tc>
          <w:tcPr>
            <w:tcW w:w="939" w:type="dxa"/>
            <w:vMerge w:val="continue"/>
            <w:tcBorders>
              <w:top w:val="nil"/>
              <w:left w:val="single" w:color="auto" w:sz="4" w:space="0"/>
              <w:bottom w:val="single" w:color="auto" w:sz="4" w:space="0"/>
              <w:right w:val="single" w:color="auto" w:sz="4" w:space="0"/>
            </w:tcBorders>
            <w:vAlign w:val="center"/>
          </w:tcPr>
          <w:p w14:paraId="7E30B24A">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2D34B15A">
            <w:pPr>
              <w:pStyle w:val="196"/>
              <w:rPr>
                <w:rFonts w:cs="Times New Roman"/>
                <w:szCs w:val="24"/>
              </w:rPr>
            </w:pPr>
            <w:r>
              <w:rPr>
                <w:rFonts w:cs="Times New Roman"/>
                <w:szCs w:val="24"/>
              </w:rPr>
              <w:t>1,2-</w:t>
            </w:r>
            <w:r>
              <w:rPr>
                <w:rFonts w:hint="eastAsia" w:ascii="宋体" w:hAnsi="宋体" w:cs="Times New Roman"/>
                <w:szCs w:val="24"/>
              </w:rPr>
              <w:t>二氯苯</w:t>
            </w:r>
          </w:p>
        </w:tc>
        <w:tc>
          <w:tcPr>
            <w:tcW w:w="942" w:type="dxa"/>
            <w:tcBorders>
              <w:top w:val="nil"/>
              <w:left w:val="nil"/>
              <w:bottom w:val="single" w:color="auto" w:sz="4" w:space="0"/>
              <w:right w:val="single" w:color="auto" w:sz="4" w:space="0"/>
            </w:tcBorders>
            <w:shd w:val="clear" w:color="auto" w:fill="auto"/>
            <w:vAlign w:val="center"/>
          </w:tcPr>
          <w:p w14:paraId="598495E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4E7767FA">
            <w:pPr>
              <w:pStyle w:val="196"/>
              <w:rPr>
                <w:rFonts w:cs="Times New Roman"/>
                <w:szCs w:val="24"/>
              </w:rPr>
            </w:pPr>
          </w:p>
        </w:tc>
      </w:tr>
      <w:tr w14:paraId="251F01C8">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3317060">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6AB0D363">
            <w:pPr>
              <w:pStyle w:val="196"/>
              <w:rPr>
                <w:rFonts w:hint="eastAsia" w:ascii="宋体" w:hAnsi="宋体"/>
                <w:szCs w:val="24"/>
              </w:rPr>
            </w:pPr>
            <w:r>
              <w:rPr>
                <w:rFonts w:hint="eastAsia" w:ascii="宋体" w:hAnsi="宋体"/>
                <w:szCs w:val="24"/>
              </w:rPr>
              <w:t>氯乙烯</w:t>
            </w:r>
          </w:p>
        </w:tc>
        <w:tc>
          <w:tcPr>
            <w:tcW w:w="1565" w:type="dxa"/>
            <w:tcBorders>
              <w:top w:val="nil"/>
              <w:left w:val="nil"/>
              <w:bottom w:val="single" w:color="auto" w:sz="4" w:space="0"/>
              <w:right w:val="single" w:color="auto" w:sz="4" w:space="0"/>
            </w:tcBorders>
            <w:shd w:val="clear" w:color="auto" w:fill="auto"/>
            <w:vAlign w:val="center"/>
          </w:tcPr>
          <w:p w14:paraId="1CAA65DE">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012B483">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78A3EEA3">
            <w:pPr>
              <w:pStyle w:val="196"/>
              <w:rPr>
                <w:rFonts w:hint="eastAsia" w:ascii="宋体" w:hAnsi="宋体"/>
                <w:szCs w:val="24"/>
              </w:rPr>
            </w:pPr>
            <w:r>
              <w:rPr>
                <w:rFonts w:hint="eastAsia" w:ascii="宋体" w:hAnsi="宋体"/>
                <w:szCs w:val="24"/>
              </w:rPr>
              <w:t>苯胺</w:t>
            </w:r>
          </w:p>
        </w:tc>
        <w:tc>
          <w:tcPr>
            <w:tcW w:w="942" w:type="dxa"/>
            <w:tcBorders>
              <w:top w:val="nil"/>
              <w:left w:val="nil"/>
              <w:bottom w:val="single" w:color="auto" w:sz="4" w:space="0"/>
              <w:right w:val="single" w:color="auto" w:sz="4" w:space="0"/>
            </w:tcBorders>
            <w:shd w:val="clear" w:color="auto" w:fill="auto"/>
            <w:vAlign w:val="center"/>
          </w:tcPr>
          <w:p w14:paraId="4406D661">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55B281F">
            <w:pPr>
              <w:pStyle w:val="196"/>
              <w:rPr>
                <w:rFonts w:cs="Times New Roman"/>
                <w:szCs w:val="24"/>
              </w:rPr>
            </w:pPr>
          </w:p>
        </w:tc>
      </w:tr>
      <w:tr w14:paraId="3F18DA05">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31942B4D">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C4DF40E">
            <w:pPr>
              <w:pStyle w:val="196"/>
              <w:rPr>
                <w:rFonts w:cs="Times New Roman"/>
                <w:szCs w:val="24"/>
              </w:rPr>
            </w:pPr>
            <w:r>
              <w:rPr>
                <w:rFonts w:cs="Times New Roman"/>
                <w:szCs w:val="24"/>
              </w:rPr>
              <w:t>1,1-</w:t>
            </w:r>
            <w:r>
              <w:rPr>
                <w:rFonts w:hint="eastAsia" w:ascii="宋体" w:hAnsi="宋体" w:cs="Times New Roman"/>
                <w:szCs w:val="24"/>
              </w:rPr>
              <w:t>二氯乙烯</w:t>
            </w:r>
          </w:p>
        </w:tc>
        <w:tc>
          <w:tcPr>
            <w:tcW w:w="1565" w:type="dxa"/>
            <w:tcBorders>
              <w:top w:val="nil"/>
              <w:left w:val="nil"/>
              <w:bottom w:val="single" w:color="auto" w:sz="4" w:space="0"/>
              <w:right w:val="single" w:color="auto" w:sz="4" w:space="0"/>
            </w:tcBorders>
            <w:shd w:val="clear" w:color="auto" w:fill="auto"/>
            <w:vAlign w:val="center"/>
          </w:tcPr>
          <w:p w14:paraId="759870B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428D5B9">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5D9C11B7">
            <w:pPr>
              <w:pStyle w:val="196"/>
              <w:rPr>
                <w:rFonts w:cs="Times New Roman"/>
                <w:szCs w:val="24"/>
              </w:rPr>
            </w:pPr>
            <w:r>
              <w:rPr>
                <w:rFonts w:cs="Times New Roman"/>
                <w:szCs w:val="24"/>
              </w:rPr>
              <w:t>2-</w:t>
            </w:r>
            <w:r>
              <w:rPr>
                <w:rFonts w:hint="eastAsia" w:ascii="宋体" w:hAnsi="宋体" w:cs="Times New Roman"/>
                <w:szCs w:val="24"/>
              </w:rPr>
              <w:t>氯酚</w:t>
            </w:r>
          </w:p>
        </w:tc>
        <w:tc>
          <w:tcPr>
            <w:tcW w:w="942" w:type="dxa"/>
            <w:tcBorders>
              <w:top w:val="nil"/>
              <w:left w:val="nil"/>
              <w:bottom w:val="single" w:color="auto" w:sz="4" w:space="0"/>
              <w:right w:val="single" w:color="auto" w:sz="4" w:space="0"/>
            </w:tcBorders>
            <w:shd w:val="clear" w:color="auto" w:fill="auto"/>
            <w:vAlign w:val="center"/>
          </w:tcPr>
          <w:p w14:paraId="47608EE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E56B2DE">
            <w:pPr>
              <w:pStyle w:val="196"/>
              <w:rPr>
                <w:rFonts w:cs="Times New Roman"/>
                <w:szCs w:val="24"/>
              </w:rPr>
            </w:pPr>
          </w:p>
        </w:tc>
      </w:tr>
      <w:tr w14:paraId="2E6B0E78">
        <w:tblPrEx>
          <w:tblCellMar>
            <w:top w:w="0" w:type="dxa"/>
            <w:left w:w="108" w:type="dxa"/>
            <w:bottom w:w="0" w:type="dxa"/>
            <w:right w:w="108" w:type="dxa"/>
          </w:tblCellMar>
        </w:tblPrEx>
        <w:trPr>
          <w:trHeight w:val="312"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3770D6D2">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7EEE0A6E">
            <w:pPr>
              <w:pStyle w:val="196"/>
              <w:rPr>
                <w:rFonts w:hint="eastAsia" w:ascii="宋体" w:hAnsi="宋体"/>
                <w:szCs w:val="24"/>
              </w:rPr>
            </w:pPr>
            <w:r>
              <w:rPr>
                <w:rFonts w:hint="eastAsia" w:ascii="宋体" w:hAnsi="宋体"/>
                <w:szCs w:val="24"/>
              </w:rPr>
              <w:t>二氯甲烷</w:t>
            </w:r>
          </w:p>
        </w:tc>
        <w:tc>
          <w:tcPr>
            <w:tcW w:w="1565" w:type="dxa"/>
            <w:tcBorders>
              <w:top w:val="nil"/>
              <w:left w:val="nil"/>
              <w:bottom w:val="single" w:color="auto" w:sz="4" w:space="0"/>
              <w:right w:val="single" w:color="auto" w:sz="4" w:space="0"/>
            </w:tcBorders>
            <w:shd w:val="clear" w:color="auto" w:fill="auto"/>
            <w:vAlign w:val="center"/>
          </w:tcPr>
          <w:p w14:paraId="0D131D7E">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315F243F">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29FE4494">
            <w:pPr>
              <w:pStyle w:val="196"/>
              <w:rPr>
                <w:rFonts w:hint="eastAsia" w:ascii="宋体" w:hAnsi="宋体"/>
                <w:szCs w:val="24"/>
              </w:rPr>
            </w:pPr>
            <w:r>
              <w:rPr>
                <w:rFonts w:hint="eastAsia" w:ascii="宋体" w:hAnsi="宋体"/>
                <w:szCs w:val="24"/>
              </w:rPr>
              <w:t>硝基苯</w:t>
            </w:r>
          </w:p>
        </w:tc>
        <w:tc>
          <w:tcPr>
            <w:tcW w:w="942" w:type="dxa"/>
            <w:tcBorders>
              <w:top w:val="nil"/>
              <w:left w:val="nil"/>
              <w:bottom w:val="single" w:color="auto" w:sz="4" w:space="0"/>
              <w:right w:val="single" w:color="auto" w:sz="4" w:space="0"/>
            </w:tcBorders>
            <w:shd w:val="clear" w:color="auto" w:fill="auto"/>
            <w:vAlign w:val="center"/>
          </w:tcPr>
          <w:p w14:paraId="1A99A461">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1343E313">
            <w:pPr>
              <w:pStyle w:val="196"/>
              <w:rPr>
                <w:rFonts w:cs="Times New Roman"/>
                <w:szCs w:val="24"/>
              </w:rPr>
            </w:pPr>
          </w:p>
        </w:tc>
      </w:tr>
      <w:tr w14:paraId="6B9F9681">
        <w:tblPrEx>
          <w:tblCellMar>
            <w:top w:w="0" w:type="dxa"/>
            <w:left w:w="108" w:type="dxa"/>
            <w:bottom w:w="0" w:type="dxa"/>
            <w:right w:w="108" w:type="dxa"/>
          </w:tblCellMar>
        </w:tblPrEx>
        <w:trPr>
          <w:trHeight w:val="636"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5C16DEC5">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746D08D9">
            <w:pPr>
              <w:pStyle w:val="196"/>
              <w:rPr>
                <w:rFonts w:hint="eastAsia" w:ascii="宋体" w:hAnsi="宋体"/>
                <w:szCs w:val="24"/>
              </w:rPr>
            </w:pPr>
            <w:r>
              <w:rPr>
                <w:rFonts w:hint="eastAsia" w:ascii="宋体" w:hAnsi="宋体"/>
                <w:szCs w:val="24"/>
              </w:rPr>
              <w:t>反式</w:t>
            </w:r>
            <w:r>
              <w:rPr>
                <w:rFonts w:cs="Times New Roman"/>
                <w:szCs w:val="24"/>
              </w:rPr>
              <w:t>-1,2-</w:t>
            </w:r>
            <w:r>
              <w:rPr>
                <w:rFonts w:hint="eastAsia" w:ascii="宋体" w:hAnsi="宋体"/>
                <w:szCs w:val="24"/>
              </w:rPr>
              <w:t>二氯乙烯</w:t>
            </w:r>
          </w:p>
        </w:tc>
        <w:tc>
          <w:tcPr>
            <w:tcW w:w="1565" w:type="dxa"/>
            <w:tcBorders>
              <w:top w:val="nil"/>
              <w:left w:val="nil"/>
              <w:bottom w:val="single" w:color="auto" w:sz="4" w:space="0"/>
              <w:right w:val="single" w:color="auto" w:sz="4" w:space="0"/>
            </w:tcBorders>
            <w:shd w:val="clear" w:color="auto" w:fill="auto"/>
            <w:vAlign w:val="center"/>
          </w:tcPr>
          <w:p w14:paraId="15F97282">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1DAA9A81">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34F5FFF6">
            <w:pPr>
              <w:pStyle w:val="196"/>
              <w:rPr>
                <w:rFonts w:hint="eastAsia" w:ascii="宋体" w:hAnsi="宋体"/>
                <w:szCs w:val="24"/>
              </w:rPr>
            </w:pPr>
            <w:r>
              <w:rPr>
                <w:rFonts w:hint="eastAsia" w:ascii="宋体" w:hAnsi="宋体"/>
                <w:szCs w:val="24"/>
              </w:rPr>
              <w:t>萘</w:t>
            </w:r>
          </w:p>
        </w:tc>
        <w:tc>
          <w:tcPr>
            <w:tcW w:w="942" w:type="dxa"/>
            <w:tcBorders>
              <w:top w:val="nil"/>
              <w:left w:val="nil"/>
              <w:bottom w:val="single" w:color="auto" w:sz="4" w:space="0"/>
              <w:right w:val="single" w:color="auto" w:sz="4" w:space="0"/>
            </w:tcBorders>
            <w:shd w:val="clear" w:color="auto" w:fill="auto"/>
            <w:vAlign w:val="center"/>
          </w:tcPr>
          <w:p w14:paraId="5C694394">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4D525BFB">
            <w:pPr>
              <w:pStyle w:val="196"/>
              <w:rPr>
                <w:rFonts w:cs="Times New Roman"/>
                <w:szCs w:val="24"/>
              </w:rPr>
            </w:pPr>
          </w:p>
        </w:tc>
      </w:tr>
      <w:tr w14:paraId="7BC9DFC4">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645DC966">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7D0435AD">
            <w:pPr>
              <w:pStyle w:val="196"/>
              <w:rPr>
                <w:rFonts w:cs="Times New Roman"/>
                <w:szCs w:val="24"/>
              </w:rPr>
            </w:pPr>
            <w:r>
              <w:rPr>
                <w:rFonts w:cs="Times New Roman"/>
                <w:szCs w:val="24"/>
              </w:rPr>
              <w:t>1,1-</w:t>
            </w:r>
            <w:r>
              <w:rPr>
                <w:rFonts w:hint="eastAsia" w:ascii="宋体" w:hAnsi="宋体" w:cs="Times New Roman"/>
                <w:szCs w:val="24"/>
              </w:rPr>
              <w:t>二氯乙烷</w:t>
            </w:r>
          </w:p>
        </w:tc>
        <w:tc>
          <w:tcPr>
            <w:tcW w:w="1565" w:type="dxa"/>
            <w:tcBorders>
              <w:top w:val="nil"/>
              <w:left w:val="nil"/>
              <w:bottom w:val="single" w:color="auto" w:sz="4" w:space="0"/>
              <w:right w:val="single" w:color="auto" w:sz="4" w:space="0"/>
            </w:tcBorders>
            <w:shd w:val="clear" w:color="auto" w:fill="auto"/>
            <w:vAlign w:val="center"/>
          </w:tcPr>
          <w:p w14:paraId="258C3612">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F030CB6">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030B5021">
            <w:pPr>
              <w:pStyle w:val="196"/>
              <w:rPr>
                <w:rFonts w:hint="eastAsia" w:ascii="宋体" w:hAnsi="宋体"/>
                <w:szCs w:val="24"/>
              </w:rPr>
            </w:pPr>
            <w:r>
              <w:rPr>
                <w:rFonts w:hint="eastAsia" w:ascii="宋体" w:hAnsi="宋体"/>
                <w:szCs w:val="24"/>
              </w:rPr>
              <w:t>苯并（</w:t>
            </w:r>
            <w:r>
              <w:rPr>
                <w:rFonts w:cs="Times New Roman"/>
                <w:szCs w:val="24"/>
              </w:rPr>
              <w:t>a</w:t>
            </w:r>
            <w:r>
              <w:rPr>
                <w:rFonts w:hint="eastAsia" w:ascii="宋体" w:hAnsi="宋体"/>
                <w:szCs w:val="24"/>
              </w:rPr>
              <w:t>）蒽</w:t>
            </w:r>
          </w:p>
        </w:tc>
        <w:tc>
          <w:tcPr>
            <w:tcW w:w="942" w:type="dxa"/>
            <w:tcBorders>
              <w:top w:val="nil"/>
              <w:left w:val="nil"/>
              <w:bottom w:val="single" w:color="auto" w:sz="4" w:space="0"/>
              <w:right w:val="single" w:color="auto" w:sz="4" w:space="0"/>
            </w:tcBorders>
            <w:shd w:val="clear" w:color="auto" w:fill="auto"/>
            <w:vAlign w:val="center"/>
          </w:tcPr>
          <w:p w14:paraId="640DA354">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A3FC733">
            <w:pPr>
              <w:pStyle w:val="196"/>
              <w:rPr>
                <w:rFonts w:cs="Times New Roman"/>
                <w:szCs w:val="24"/>
              </w:rPr>
            </w:pPr>
          </w:p>
        </w:tc>
      </w:tr>
      <w:tr w14:paraId="76889F4C">
        <w:tblPrEx>
          <w:tblCellMar>
            <w:top w:w="0" w:type="dxa"/>
            <w:left w:w="108" w:type="dxa"/>
            <w:bottom w:w="0" w:type="dxa"/>
            <w:right w:w="108" w:type="dxa"/>
          </w:tblCellMar>
        </w:tblPrEx>
        <w:trPr>
          <w:trHeight w:val="636"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0A9A664E">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60537ACD">
            <w:pPr>
              <w:pStyle w:val="196"/>
              <w:rPr>
                <w:rFonts w:hint="eastAsia" w:ascii="宋体" w:hAnsi="宋体"/>
                <w:szCs w:val="24"/>
              </w:rPr>
            </w:pPr>
            <w:r>
              <w:rPr>
                <w:rFonts w:hint="eastAsia" w:ascii="宋体" w:hAnsi="宋体"/>
                <w:szCs w:val="24"/>
              </w:rPr>
              <w:t>顺式</w:t>
            </w:r>
            <w:r>
              <w:rPr>
                <w:rFonts w:cs="Times New Roman"/>
                <w:szCs w:val="24"/>
              </w:rPr>
              <w:t>-1,2-</w:t>
            </w:r>
            <w:r>
              <w:rPr>
                <w:rFonts w:hint="eastAsia" w:ascii="宋体" w:hAnsi="宋体"/>
                <w:szCs w:val="24"/>
              </w:rPr>
              <w:t>二氯乙烯</w:t>
            </w:r>
          </w:p>
        </w:tc>
        <w:tc>
          <w:tcPr>
            <w:tcW w:w="1565" w:type="dxa"/>
            <w:tcBorders>
              <w:top w:val="nil"/>
              <w:left w:val="nil"/>
              <w:bottom w:val="single" w:color="auto" w:sz="4" w:space="0"/>
              <w:right w:val="single" w:color="auto" w:sz="4" w:space="0"/>
            </w:tcBorders>
            <w:shd w:val="clear" w:color="auto" w:fill="auto"/>
            <w:vAlign w:val="center"/>
          </w:tcPr>
          <w:p w14:paraId="7D9AFAB6">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3D911C11">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02EE8D13">
            <w:pPr>
              <w:pStyle w:val="196"/>
              <w:rPr>
                <w:rFonts w:hint="eastAsia" w:ascii="宋体" w:hAnsi="宋体"/>
                <w:szCs w:val="24"/>
              </w:rPr>
            </w:pPr>
            <w:r>
              <w:rPr>
                <w:rFonts w:hint="eastAsia" w:ascii="宋体" w:hAnsi="宋体"/>
                <w:szCs w:val="24"/>
              </w:rPr>
              <w:t>䓛</w:t>
            </w:r>
          </w:p>
        </w:tc>
        <w:tc>
          <w:tcPr>
            <w:tcW w:w="942" w:type="dxa"/>
            <w:tcBorders>
              <w:top w:val="nil"/>
              <w:left w:val="nil"/>
              <w:bottom w:val="single" w:color="auto" w:sz="4" w:space="0"/>
              <w:right w:val="single" w:color="auto" w:sz="4" w:space="0"/>
            </w:tcBorders>
            <w:shd w:val="clear" w:color="auto" w:fill="auto"/>
            <w:vAlign w:val="center"/>
          </w:tcPr>
          <w:p w14:paraId="14A6BDAA">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BC6D93B">
            <w:pPr>
              <w:pStyle w:val="196"/>
              <w:rPr>
                <w:rFonts w:cs="Times New Roman"/>
                <w:szCs w:val="24"/>
              </w:rPr>
            </w:pPr>
          </w:p>
        </w:tc>
      </w:tr>
      <w:tr w14:paraId="5368C3B8">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725411E7">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1E3FCF52">
            <w:pPr>
              <w:pStyle w:val="196"/>
              <w:rPr>
                <w:rFonts w:hint="eastAsia" w:ascii="宋体" w:hAnsi="宋体"/>
                <w:szCs w:val="24"/>
              </w:rPr>
            </w:pPr>
            <w:r>
              <w:rPr>
                <w:rFonts w:hint="eastAsia" w:ascii="宋体" w:hAnsi="宋体"/>
                <w:szCs w:val="24"/>
              </w:rPr>
              <w:t>氯仿</w:t>
            </w:r>
          </w:p>
        </w:tc>
        <w:tc>
          <w:tcPr>
            <w:tcW w:w="1565" w:type="dxa"/>
            <w:tcBorders>
              <w:top w:val="nil"/>
              <w:left w:val="nil"/>
              <w:bottom w:val="single" w:color="auto" w:sz="4" w:space="0"/>
              <w:right w:val="single" w:color="auto" w:sz="4" w:space="0"/>
            </w:tcBorders>
            <w:shd w:val="clear" w:color="auto" w:fill="auto"/>
            <w:vAlign w:val="center"/>
          </w:tcPr>
          <w:p w14:paraId="11012EC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56BF4F5">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49A16073">
            <w:pPr>
              <w:pStyle w:val="196"/>
              <w:rPr>
                <w:rFonts w:hint="eastAsia" w:ascii="宋体" w:hAnsi="宋体"/>
                <w:szCs w:val="24"/>
              </w:rPr>
            </w:pPr>
            <w:r>
              <w:rPr>
                <w:rFonts w:hint="eastAsia" w:ascii="宋体" w:hAnsi="宋体"/>
                <w:szCs w:val="24"/>
              </w:rPr>
              <w:t>苯并（</w:t>
            </w:r>
            <w:r>
              <w:rPr>
                <w:rFonts w:cs="Times New Roman"/>
                <w:szCs w:val="24"/>
              </w:rPr>
              <w:t>b</w:t>
            </w:r>
            <w:r>
              <w:rPr>
                <w:rFonts w:hint="eastAsia" w:ascii="宋体" w:hAnsi="宋体"/>
                <w:szCs w:val="24"/>
              </w:rPr>
              <w:t>）荧蒽</w:t>
            </w:r>
          </w:p>
        </w:tc>
        <w:tc>
          <w:tcPr>
            <w:tcW w:w="942" w:type="dxa"/>
            <w:tcBorders>
              <w:top w:val="nil"/>
              <w:left w:val="nil"/>
              <w:bottom w:val="single" w:color="auto" w:sz="4" w:space="0"/>
              <w:right w:val="single" w:color="auto" w:sz="4" w:space="0"/>
            </w:tcBorders>
            <w:shd w:val="clear" w:color="auto" w:fill="auto"/>
            <w:vAlign w:val="center"/>
          </w:tcPr>
          <w:p w14:paraId="4EFE08F3">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2AA1EB5">
            <w:pPr>
              <w:pStyle w:val="196"/>
              <w:rPr>
                <w:rFonts w:cs="Times New Roman"/>
                <w:szCs w:val="24"/>
              </w:rPr>
            </w:pPr>
          </w:p>
        </w:tc>
      </w:tr>
      <w:tr w14:paraId="366425A5">
        <w:tblPrEx>
          <w:tblCellMar>
            <w:top w:w="0" w:type="dxa"/>
            <w:left w:w="108" w:type="dxa"/>
            <w:bottom w:w="0" w:type="dxa"/>
            <w:right w:w="108" w:type="dxa"/>
          </w:tblCellMar>
        </w:tblPrEx>
        <w:trPr>
          <w:trHeight w:val="636"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75294C00">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4C558AE5">
            <w:pPr>
              <w:pStyle w:val="196"/>
              <w:rPr>
                <w:rFonts w:cs="Times New Roman"/>
                <w:szCs w:val="24"/>
              </w:rPr>
            </w:pPr>
            <w:r>
              <w:rPr>
                <w:rFonts w:cs="Times New Roman"/>
                <w:szCs w:val="24"/>
              </w:rPr>
              <w:t>1,1,1-</w:t>
            </w:r>
            <w:r>
              <w:rPr>
                <w:rFonts w:hint="eastAsia" w:ascii="宋体" w:hAnsi="宋体" w:cs="Times New Roman"/>
                <w:szCs w:val="24"/>
              </w:rPr>
              <w:t>三氯乙烷</w:t>
            </w:r>
          </w:p>
        </w:tc>
        <w:tc>
          <w:tcPr>
            <w:tcW w:w="1565" w:type="dxa"/>
            <w:tcBorders>
              <w:top w:val="nil"/>
              <w:left w:val="nil"/>
              <w:bottom w:val="single" w:color="auto" w:sz="4" w:space="0"/>
              <w:right w:val="single" w:color="auto" w:sz="4" w:space="0"/>
            </w:tcBorders>
            <w:shd w:val="clear" w:color="auto" w:fill="auto"/>
            <w:vAlign w:val="center"/>
          </w:tcPr>
          <w:p w14:paraId="08BE4671">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6A108F6">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6AE189C6">
            <w:pPr>
              <w:pStyle w:val="196"/>
              <w:rPr>
                <w:rFonts w:hint="eastAsia" w:ascii="宋体" w:hAnsi="宋体"/>
                <w:szCs w:val="24"/>
              </w:rPr>
            </w:pPr>
            <w:r>
              <w:rPr>
                <w:rFonts w:hint="eastAsia" w:ascii="宋体" w:hAnsi="宋体"/>
                <w:szCs w:val="24"/>
              </w:rPr>
              <w:t>苯并（</w:t>
            </w:r>
            <w:r>
              <w:rPr>
                <w:rFonts w:cs="Times New Roman"/>
                <w:szCs w:val="24"/>
              </w:rPr>
              <w:t>k</w:t>
            </w:r>
            <w:r>
              <w:rPr>
                <w:rFonts w:hint="eastAsia" w:ascii="宋体" w:hAnsi="宋体"/>
                <w:szCs w:val="24"/>
              </w:rPr>
              <w:t>）荧蒽</w:t>
            </w:r>
          </w:p>
        </w:tc>
        <w:tc>
          <w:tcPr>
            <w:tcW w:w="942" w:type="dxa"/>
            <w:tcBorders>
              <w:top w:val="nil"/>
              <w:left w:val="nil"/>
              <w:bottom w:val="single" w:color="auto" w:sz="4" w:space="0"/>
              <w:right w:val="single" w:color="auto" w:sz="4" w:space="0"/>
            </w:tcBorders>
            <w:shd w:val="clear" w:color="auto" w:fill="auto"/>
            <w:vAlign w:val="center"/>
          </w:tcPr>
          <w:p w14:paraId="696F6AE9">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26561C1">
            <w:pPr>
              <w:pStyle w:val="196"/>
              <w:rPr>
                <w:rFonts w:cs="Times New Roman"/>
                <w:szCs w:val="24"/>
              </w:rPr>
            </w:pPr>
          </w:p>
        </w:tc>
      </w:tr>
      <w:tr w14:paraId="401EB24E">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3B050096">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49F44592">
            <w:pPr>
              <w:pStyle w:val="196"/>
              <w:rPr>
                <w:rFonts w:hint="eastAsia" w:ascii="宋体" w:hAnsi="宋体"/>
                <w:szCs w:val="24"/>
              </w:rPr>
            </w:pPr>
            <w:r>
              <w:rPr>
                <w:rFonts w:hint="eastAsia" w:ascii="宋体" w:hAnsi="宋体"/>
                <w:szCs w:val="24"/>
              </w:rPr>
              <w:t>四氯化碳</w:t>
            </w:r>
          </w:p>
        </w:tc>
        <w:tc>
          <w:tcPr>
            <w:tcW w:w="1565" w:type="dxa"/>
            <w:tcBorders>
              <w:top w:val="nil"/>
              <w:left w:val="nil"/>
              <w:bottom w:val="single" w:color="auto" w:sz="4" w:space="0"/>
              <w:right w:val="single" w:color="auto" w:sz="4" w:space="0"/>
            </w:tcBorders>
            <w:shd w:val="clear" w:color="auto" w:fill="auto"/>
            <w:vAlign w:val="center"/>
          </w:tcPr>
          <w:p w14:paraId="3B1DCC07">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01290828">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E2A9151">
            <w:pPr>
              <w:pStyle w:val="196"/>
              <w:rPr>
                <w:rFonts w:hint="eastAsia" w:ascii="宋体" w:hAnsi="宋体"/>
                <w:szCs w:val="24"/>
              </w:rPr>
            </w:pPr>
            <w:r>
              <w:rPr>
                <w:rFonts w:hint="eastAsia" w:ascii="宋体" w:hAnsi="宋体"/>
                <w:szCs w:val="24"/>
              </w:rPr>
              <w:t>苯并（</w:t>
            </w:r>
            <w:r>
              <w:rPr>
                <w:rFonts w:cs="Times New Roman"/>
                <w:szCs w:val="24"/>
              </w:rPr>
              <w:t>a</w:t>
            </w:r>
            <w:r>
              <w:rPr>
                <w:rFonts w:hint="eastAsia" w:ascii="宋体" w:hAnsi="宋体"/>
                <w:szCs w:val="24"/>
              </w:rPr>
              <w:t>）芘</w:t>
            </w:r>
          </w:p>
        </w:tc>
        <w:tc>
          <w:tcPr>
            <w:tcW w:w="942" w:type="dxa"/>
            <w:tcBorders>
              <w:top w:val="nil"/>
              <w:left w:val="nil"/>
              <w:bottom w:val="single" w:color="auto" w:sz="4" w:space="0"/>
              <w:right w:val="single" w:color="auto" w:sz="4" w:space="0"/>
            </w:tcBorders>
            <w:shd w:val="clear" w:color="auto" w:fill="auto"/>
            <w:vAlign w:val="center"/>
          </w:tcPr>
          <w:p w14:paraId="62159F66">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729102A0">
            <w:pPr>
              <w:pStyle w:val="196"/>
              <w:rPr>
                <w:rFonts w:cs="Times New Roman"/>
                <w:szCs w:val="24"/>
              </w:rPr>
            </w:pPr>
          </w:p>
        </w:tc>
      </w:tr>
      <w:tr w14:paraId="05B55687">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74AB2FAD">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6650FBC7">
            <w:pPr>
              <w:pStyle w:val="196"/>
              <w:rPr>
                <w:rFonts w:hint="eastAsia" w:ascii="宋体" w:hAnsi="宋体"/>
                <w:szCs w:val="24"/>
              </w:rPr>
            </w:pPr>
            <w:r>
              <w:rPr>
                <w:rFonts w:hint="eastAsia" w:ascii="宋体" w:hAnsi="宋体"/>
                <w:szCs w:val="24"/>
              </w:rPr>
              <w:t>苯</w:t>
            </w:r>
          </w:p>
        </w:tc>
        <w:tc>
          <w:tcPr>
            <w:tcW w:w="1565" w:type="dxa"/>
            <w:tcBorders>
              <w:top w:val="nil"/>
              <w:left w:val="nil"/>
              <w:bottom w:val="single" w:color="auto" w:sz="4" w:space="0"/>
              <w:right w:val="single" w:color="auto" w:sz="4" w:space="0"/>
            </w:tcBorders>
            <w:shd w:val="clear" w:color="auto" w:fill="auto"/>
            <w:vAlign w:val="center"/>
          </w:tcPr>
          <w:p w14:paraId="4BD7EBEA">
            <w:pPr>
              <w:pStyle w:val="196"/>
              <w:rPr>
                <w:rFonts w:cs="Times New Roman"/>
                <w:szCs w:val="24"/>
              </w:rPr>
            </w:pPr>
            <w:r>
              <w:rPr>
                <w:rFonts w:cs="Times New Roman"/>
                <w:szCs w:val="24"/>
              </w:rPr>
              <w:t>0.0056</w:t>
            </w:r>
          </w:p>
        </w:tc>
        <w:tc>
          <w:tcPr>
            <w:tcW w:w="939" w:type="dxa"/>
            <w:vMerge w:val="continue"/>
            <w:tcBorders>
              <w:top w:val="nil"/>
              <w:left w:val="single" w:color="auto" w:sz="4" w:space="0"/>
              <w:bottom w:val="single" w:color="auto" w:sz="4" w:space="0"/>
              <w:right w:val="single" w:color="auto" w:sz="4" w:space="0"/>
            </w:tcBorders>
            <w:vAlign w:val="center"/>
          </w:tcPr>
          <w:p w14:paraId="35825C0E">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65125C13">
            <w:pPr>
              <w:pStyle w:val="196"/>
              <w:rPr>
                <w:rFonts w:hint="eastAsia" w:ascii="宋体" w:hAnsi="宋体"/>
                <w:szCs w:val="24"/>
              </w:rPr>
            </w:pPr>
            <w:r>
              <w:rPr>
                <w:rFonts w:hint="eastAsia" w:ascii="宋体" w:hAnsi="宋体"/>
                <w:szCs w:val="24"/>
              </w:rPr>
              <w:t>茚并（</w:t>
            </w:r>
            <w:r>
              <w:rPr>
                <w:rFonts w:cs="Times New Roman"/>
                <w:szCs w:val="24"/>
              </w:rPr>
              <w:t>1,2,3-cd</w:t>
            </w:r>
            <w:r>
              <w:rPr>
                <w:rFonts w:hint="eastAsia" w:ascii="宋体" w:hAnsi="宋体"/>
                <w:szCs w:val="24"/>
              </w:rPr>
              <w:t>）芘</w:t>
            </w:r>
          </w:p>
        </w:tc>
        <w:tc>
          <w:tcPr>
            <w:tcW w:w="942" w:type="dxa"/>
            <w:tcBorders>
              <w:top w:val="nil"/>
              <w:left w:val="nil"/>
              <w:bottom w:val="single" w:color="auto" w:sz="4" w:space="0"/>
              <w:right w:val="single" w:color="auto" w:sz="4" w:space="0"/>
            </w:tcBorders>
            <w:shd w:val="clear" w:color="auto" w:fill="auto"/>
            <w:vAlign w:val="center"/>
          </w:tcPr>
          <w:p w14:paraId="0C6340B0">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56B5561C">
            <w:pPr>
              <w:pStyle w:val="196"/>
              <w:rPr>
                <w:rFonts w:cs="Times New Roman"/>
                <w:szCs w:val="24"/>
              </w:rPr>
            </w:pPr>
          </w:p>
        </w:tc>
      </w:tr>
      <w:tr w14:paraId="7825C08C">
        <w:tblPrEx>
          <w:tblCellMar>
            <w:top w:w="0" w:type="dxa"/>
            <w:left w:w="108" w:type="dxa"/>
            <w:bottom w:w="0" w:type="dxa"/>
            <w:right w:w="108" w:type="dxa"/>
          </w:tblCellMar>
        </w:tblPrEx>
        <w:trPr>
          <w:trHeight w:val="324" w:hRule="atLeast"/>
          <w:jc w:val="center"/>
        </w:trPr>
        <w:tc>
          <w:tcPr>
            <w:tcW w:w="1244" w:type="dxa"/>
            <w:vMerge w:val="continue"/>
            <w:tcBorders>
              <w:top w:val="nil"/>
              <w:left w:val="single" w:color="auto" w:sz="4" w:space="0"/>
              <w:bottom w:val="single" w:color="auto" w:sz="4" w:space="0"/>
              <w:right w:val="single" w:color="auto" w:sz="4" w:space="0"/>
            </w:tcBorders>
            <w:vAlign w:val="center"/>
          </w:tcPr>
          <w:p w14:paraId="18C5312B">
            <w:pPr>
              <w:pStyle w:val="196"/>
              <w:rPr>
                <w:rFonts w:cs="Times New Roman"/>
                <w:szCs w:val="24"/>
              </w:rPr>
            </w:pPr>
          </w:p>
        </w:tc>
        <w:tc>
          <w:tcPr>
            <w:tcW w:w="1476" w:type="dxa"/>
            <w:tcBorders>
              <w:top w:val="nil"/>
              <w:left w:val="nil"/>
              <w:bottom w:val="single" w:color="auto" w:sz="4" w:space="0"/>
              <w:right w:val="single" w:color="auto" w:sz="4" w:space="0"/>
            </w:tcBorders>
            <w:shd w:val="clear" w:color="auto" w:fill="auto"/>
            <w:vAlign w:val="center"/>
          </w:tcPr>
          <w:p w14:paraId="5FFBF3F8">
            <w:pPr>
              <w:pStyle w:val="196"/>
              <w:rPr>
                <w:rFonts w:cs="Times New Roman"/>
                <w:szCs w:val="24"/>
              </w:rPr>
            </w:pPr>
            <w:r>
              <w:rPr>
                <w:rFonts w:cs="Times New Roman"/>
                <w:szCs w:val="24"/>
              </w:rPr>
              <w:t>1,2-</w:t>
            </w:r>
            <w:r>
              <w:rPr>
                <w:rFonts w:hint="eastAsia" w:ascii="宋体" w:hAnsi="宋体" w:cs="Times New Roman"/>
                <w:szCs w:val="24"/>
              </w:rPr>
              <w:t>二氯乙烷</w:t>
            </w:r>
          </w:p>
        </w:tc>
        <w:tc>
          <w:tcPr>
            <w:tcW w:w="1565" w:type="dxa"/>
            <w:tcBorders>
              <w:top w:val="nil"/>
              <w:left w:val="nil"/>
              <w:bottom w:val="single" w:color="auto" w:sz="4" w:space="0"/>
              <w:right w:val="single" w:color="auto" w:sz="4" w:space="0"/>
            </w:tcBorders>
            <w:shd w:val="clear" w:color="auto" w:fill="auto"/>
            <w:vAlign w:val="center"/>
          </w:tcPr>
          <w:p w14:paraId="5FCB5785">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16E96EC6">
            <w:pPr>
              <w:pStyle w:val="196"/>
              <w:rPr>
                <w:rFonts w:cs="Times New Roman"/>
                <w:szCs w:val="24"/>
              </w:rPr>
            </w:pPr>
          </w:p>
        </w:tc>
        <w:tc>
          <w:tcPr>
            <w:tcW w:w="2295" w:type="dxa"/>
            <w:tcBorders>
              <w:top w:val="nil"/>
              <w:left w:val="nil"/>
              <w:bottom w:val="single" w:color="auto" w:sz="4" w:space="0"/>
              <w:right w:val="single" w:color="auto" w:sz="4" w:space="0"/>
            </w:tcBorders>
            <w:shd w:val="clear" w:color="auto" w:fill="auto"/>
            <w:vAlign w:val="center"/>
          </w:tcPr>
          <w:p w14:paraId="144B5329">
            <w:pPr>
              <w:pStyle w:val="196"/>
              <w:rPr>
                <w:rFonts w:hint="eastAsia" w:ascii="宋体" w:hAnsi="宋体"/>
                <w:szCs w:val="24"/>
              </w:rPr>
            </w:pPr>
            <w:r>
              <w:rPr>
                <w:rFonts w:hint="eastAsia" w:ascii="宋体" w:hAnsi="宋体"/>
                <w:szCs w:val="24"/>
              </w:rPr>
              <w:t>二苯并（</w:t>
            </w:r>
            <w:r>
              <w:rPr>
                <w:rFonts w:cs="Times New Roman"/>
                <w:szCs w:val="24"/>
              </w:rPr>
              <w:t>a,h</w:t>
            </w:r>
            <w:r>
              <w:rPr>
                <w:rFonts w:hint="eastAsia" w:ascii="宋体" w:hAnsi="宋体"/>
                <w:szCs w:val="24"/>
              </w:rPr>
              <w:t>）蒽</w:t>
            </w:r>
          </w:p>
        </w:tc>
        <w:tc>
          <w:tcPr>
            <w:tcW w:w="942" w:type="dxa"/>
            <w:tcBorders>
              <w:top w:val="nil"/>
              <w:left w:val="nil"/>
              <w:bottom w:val="single" w:color="auto" w:sz="4" w:space="0"/>
              <w:right w:val="single" w:color="auto" w:sz="4" w:space="0"/>
            </w:tcBorders>
            <w:shd w:val="clear" w:color="auto" w:fill="auto"/>
            <w:vAlign w:val="center"/>
          </w:tcPr>
          <w:p w14:paraId="28C20C56">
            <w:pPr>
              <w:pStyle w:val="196"/>
              <w:rPr>
                <w:rFonts w:cs="Times New Roman"/>
                <w:szCs w:val="24"/>
              </w:rPr>
            </w:pPr>
            <w:r>
              <w:rPr>
                <w:rFonts w:cs="Times New Roman"/>
                <w:szCs w:val="24"/>
              </w:rPr>
              <w:t>ND</w:t>
            </w:r>
          </w:p>
        </w:tc>
        <w:tc>
          <w:tcPr>
            <w:tcW w:w="939" w:type="dxa"/>
            <w:vMerge w:val="continue"/>
            <w:tcBorders>
              <w:top w:val="nil"/>
              <w:left w:val="single" w:color="auto" w:sz="4" w:space="0"/>
              <w:bottom w:val="single" w:color="auto" w:sz="4" w:space="0"/>
              <w:right w:val="single" w:color="auto" w:sz="4" w:space="0"/>
            </w:tcBorders>
            <w:vAlign w:val="center"/>
          </w:tcPr>
          <w:p w14:paraId="375FFAD0">
            <w:pPr>
              <w:pStyle w:val="196"/>
              <w:rPr>
                <w:rFonts w:cs="Times New Roman"/>
                <w:szCs w:val="24"/>
              </w:rPr>
            </w:pPr>
          </w:p>
        </w:tc>
      </w:tr>
    </w:tbl>
    <w:p w14:paraId="5B58A388">
      <w:pPr>
        <w:pStyle w:val="93"/>
      </w:pPr>
      <w:r>
        <w:rPr>
          <w:rFonts w:hint="eastAsia"/>
        </w:rPr>
        <w:t>监测结果表明，拟开挖港池处河道底泥的重金属指标能够满足《土壤环境质量 农用地土壤污染风险管控标准（试行）》（GB15618-2018）中其他类标准，其余指标均能够满足《土壤环境质量 建设用地土壤污染风险管控标准（试行）》（GB36600-2018）中表1中第二类用地筛选值。</w:t>
      </w:r>
    </w:p>
    <w:p w14:paraId="72868F2A">
      <w:pPr>
        <w:pStyle w:val="82"/>
      </w:pPr>
      <w:bookmarkStart w:id="257" w:name="_Toc27408"/>
      <w:bookmarkEnd w:id="257"/>
      <w:r>
        <w:rPr>
          <w:rFonts w:hint="eastAsia"/>
        </w:rPr>
        <w:t>生态环境质量现状调查和评价</w:t>
      </w:r>
    </w:p>
    <w:p w14:paraId="2F2F3AA4">
      <w:pPr>
        <w:pStyle w:val="84"/>
      </w:pPr>
      <w:r>
        <w:rPr>
          <w:rFonts w:hint="eastAsia"/>
        </w:rPr>
        <w:t>生态功能</w:t>
      </w:r>
      <w:r>
        <w:rPr>
          <w:rFonts w:hint="eastAsia"/>
          <w:lang w:eastAsia="zh-CN"/>
        </w:rPr>
        <w:t>区规</w:t>
      </w:r>
      <w:r>
        <w:rPr>
          <w:rFonts w:hint="eastAsia"/>
        </w:rPr>
        <w:t>划评价</w:t>
      </w:r>
    </w:p>
    <w:p w14:paraId="41E96D23">
      <w:pPr>
        <w:pStyle w:val="93"/>
      </w:pPr>
      <w:r>
        <w:rPr>
          <w:rFonts w:hint="eastAsia"/>
        </w:rPr>
        <w:t xml:space="preserve">（1）江苏省生态功能区划概况 </w:t>
      </w:r>
    </w:p>
    <w:p w14:paraId="330C9D19">
      <w:pPr>
        <w:ind w:firstLine="480"/>
      </w:pPr>
      <w:r>
        <w:rPr>
          <w:rFonts w:hint="eastAsia"/>
        </w:rPr>
        <w:t>根据《省政府关于印发江苏省生态建设规划纲要的通知》（苏政发〔2004〕106号）全省划分为黄淮海平原、长江三角洲平原和沿海滩涂与海洋等3个生态区（一级区）以及7个生态亚区（二级区）。</w:t>
      </w:r>
    </w:p>
    <w:p w14:paraId="05F3A991">
      <w:pPr>
        <w:ind w:firstLine="480"/>
      </w:pPr>
      <w:r>
        <w:rPr>
          <w:rFonts w:hint="eastAsia"/>
        </w:rPr>
        <w:t>（2）本工程沿线区域生态功能区划</w:t>
      </w:r>
    </w:p>
    <w:p w14:paraId="6FBCDF36">
      <w:pPr>
        <w:pStyle w:val="93"/>
      </w:pPr>
      <w:r>
        <w:rPr>
          <w:rFonts w:hint="eastAsia"/>
        </w:rPr>
        <w:t>根据江苏省生态功能</w:t>
      </w:r>
      <w:r>
        <w:rPr>
          <w:rFonts w:hint="eastAsia"/>
          <w:lang w:eastAsia="zh-CN"/>
        </w:rPr>
        <w:t>区规</w:t>
      </w:r>
      <w:r>
        <w:rPr>
          <w:rFonts w:hint="eastAsia"/>
        </w:rPr>
        <w:t>划，本工程所在区域位于三级生态功能区“I2-3 总渠灌区农业生态功能区”。</w:t>
      </w:r>
    </w:p>
    <w:p w14:paraId="3BCC1C05">
      <w:pPr>
        <w:pStyle w:val="84"/>
      </w:pPr>
      <w:r>
        <w:rPr>
          <w:rFonts w:hint="eastAsia"/>
        </w:rPr>
        <w:t xml:space="preserve">土地利用现状 </w:t>
      </w:r>
    </w:p>
    <w:p w14:paraId="721617A4">
      <w:pPr>
        <w:pStyle w:val="93"/>
      </w:pPr>
      <w:r>
        <w:rPr>
          <w:rFonts w:hint="eastAsia"/>
        </w:rPr>
        <w:t>1、区域土地利用现状</w:t>
      </w:r>
    </w:p>
    <w:p w14:paraId="6E163359">
      <w:pPr>
        <w:pStyle w:val="93"/>
      </w:pPr>
      <w:r>
        <w:rPr>
          <w:rFonts w:hint="eastAsia"/>
        </w:rPr>
        <w:t>根据淮安市第二次土壤普查报告，涟水县共有土壤面积167.65万亩，全部为潮土类，分为黄潮土、盐碱类潮土2个亚类。全县一级土壤301亩，仅占土壤面积的0.15%，二级土壤17.8万亩，占土壤面积的10.6%，三级土壤为55.3万亩，占土壤面积的33%，四级土壤74.8万亩，占土壤面积的44.6%，五级土壤19.6万亩，占土壤面积的11.7%。全县一、二级质量较好的土壤面积少，质量较差的四五级土壤面积占一半以上。</w:t>
      </w:r>
    </w:p>
    <w:p w14:paraId="7ABA3905">
      <w:pPr>
        <w:pStyle w:val="93"/>
      </w:pPr>
      <w:r>
        <w:rPr>
          <w:rFonts w:hint="eastAsia"/>
        </w:rPr>
        <w:t>2、项目评价范围土地利用现状</w:t>
      </w:r>
    </w:p>
    <w:p w14:paraId="5625B743">
      <w:pPr>
        <w:pStyle w:val="93"/>
      </w:pPr>
      <w:r>
        <w:rPr>
          <w:rFonts w:hint="eastAsia"/>
        </w:rPr>
        <w:t>评价范围内土地利用以水浇地、工业用地为主，分别占评价范围总面积的64.72%、20.34%，此外还包括河流水面、农村道路等。</w:t>
      </w:r>
    </w:p>
    <w:p w14:paraId="251E8E23">
      <w:pPr>
        <w:pStyle w:val="93"/>
      </w:pPr>
      <w:r>
        <w:rPr>
          <w:rFonts w:hint="eastAsia"/>
        </w:rPr>
        <w:t>根据《土地利用现状分类》（GB/T 21010-2017）中类别划分，本项目厂界周边1公里范围土地利用现状请见报表4.3-12和图4.3-2。</w:t>
      </w:r>
    </w:p>
    <w:p w14:paraId="203F989A">
      <w:pPr>
        <w:pStyle w:val="86"/>
      </w:pPr>
      <w:r>
        <w:rPr>
          <w:rFonts w:hint="eastAsia"/>
        </w:rPr>
        <w:t>项目（含排泥场和堆土场）周边1公里土地利用现状</w:t>
      </w:r>
    </w:p>
    <w:tbl>
      <w:tblPr>
        <w:tblStyle w:val="38"/>
        <w:tblW w:w="5000" w:type="pct"/>
        <w:tblInd w:w="0" w:type="dxa"/>
        <w:tblLayout w:type="autofit"/>
        <w:tblCellMar>
          <w:top w:w="0" w:type="dxa"/>
          <w:left w:w="108" w:type="dxa"/>
          <w:bottom w:w="0" w:type="dxa"/>
          <w:right w:w="108" w:type="dxa"/>
        </w:tblCellMar>
      </w:tblPr>
      <w:tblGrid>
        <w:gridCol w:w="3028"/>
        <w:gridCol w:w="2899"/>
        <w:gridCol w:w="2594"/>
      </w:tblGrid>
      <w:tr w14:paraId="66367396">
        <w:tblPrEx>
          <w:tblCellMar>
            <w:top w:w="0" w:type="dxa"/>
            <w:left w:w="108" w:type="dxa"/>
            <w:bottom w:w="0" w:type="dxa"/>
            <w:right w:w="108" w:type="dxa"/>
          </w:tblCellMar>
        </w:tblPrEx>
        <w:trPr>
          <w:trHeight w:val="336" w:hRule="atLeast"/>
          <w:tblHeader/>
        </w:trPr>
        <w:tc>
          <w:tcPr>
            <w:tcW w:w="1777" w:type="pct"/>
            <w:tcBorders>
              <w:top w:val="single" w:color="auto" w:sz="4" w:space="0"/>
              <w:left w:val="single" w:color="auto" w:sz="4" w:space="0"/>
              <w:bottom w:val="single" w:color="auto" w:sz="4" w:space="0"/>
              <w:right w:val="single" w:color="auto" w:sz="4" w:space="0"/>
            </w:tcBorders>
            <w:shd w:val="clear" w:color="auto" w:fill="auto"/>
            <w:vAlign w:val="center"/>
          </w:tcPr>
          <w:p w14:paraId="42CE1527">
            <w:pPr>
              <w:pStyle w:val="196"/>
              <w:rPr>
                <w:b/>
                <w:bCs/>
              </w:rPr>
            </w:pPr>
            <w:r>
              <w:rPr>
                <w:rFonts w:hint="eastAsia"/>
                <w:b/>
                <w:bCs/>
              </w:rPr>
              <w:t>土地类型</w:t>
            </w:r>
          </w:p>
        </w:tc>
        <w:tc>
          <w:tcPr>
            <w:tcW w:w="1701" w:type="pct"/>
            <w:tcBorders>
              <w:top w:val="single" w:color="auto" w:sz="4" w:space="0"/>
              <w:left w:val="nil"/>
              <w:bottom w:val="single" w:color="auto" w:sz="4" w:space="0"/>
              <w:right w:val="single" w:color="auto" w:sz="4" w:space="0"/>
            </w:tcBorders>
            <w:shd w:val="clear" w:color="auto" w:fill="auto"/>
            <w:vAlign w:val="center"/>
          </w:tcPr>
          <w:p w14:paraId="770E3E66">
            <w:pPr>
              <w:pStyle w:val="196"/>
              <w:rPr>
                <w:b/>
                <w:bCs/>
              </w:rPr>
            </w:pPr>
            <w:r>
              <w:rPr>
                <w:rFonts w:hint="eastAsia"/>
                <w:b/>
                <w:bCs/>
              </w:rPr>
              <w:t>面积（</w:t>
            </w:r>
            <w:r>
              <w:rPr>
                <w:rFonts w:cs="Times New Roman"/>
                <w:b/>
                <w:bCs/>
              </w:rPr>
              <w:t>hm</w:t>
            </w:r>
            <w:r>
              <w:rPr>
                <w:rFonts w:cs="Times New Roman"/>
                <w:b/>
                <w:bCs/>
                <w:vertAlign w:val="superscript"/>
              </w:rPr>
              <w:t>2</w:t>
            </w:r>
            <w:r>
              <w:rPr>
                <w:rFonts w:hint="eastAsia"/>
                <w:b/>
                <w:bCs/>
              </w:rPr>
              <w:t>）</w:t>
            </w:r>
          </w:p>
        </w:tc>
        <w:tc>
          <w:tcPr>
            <w:tcW w:w="1523" w:type="pct"/>
            <w:tcBorders>
              <w:top w:val="single" w:color="auto" w:sz="4" w:space="0"/>
              <w:left w:val="nil"/>
              <w:bottom w:val="single" w:color="auto" w:sz="4" w:space="0"/>
              <w:right w:val="single" w:color="auto" w:sz="4" w:space="0"/>
            </w:tcBorders>
            <w:shd w:val="clear" w:color="auto" w:fill="auto"/>
            <w:vAlign w:val="center"/>
          </w:tcPr>
          <w:p w14:paraId="787CC8F6">
            <w:pPr>
              <w:pStyle w:val="196"/>
              <w:rPr>
                <w:b/>
                <w:bCs/>
              </w:rPr>
            </w:pPr>
            <w:r>
              <w:rPr>
                <w:rFonts w:hint="eastAsia"/>
                <w:b/>
                <w:bCs/>
              </w:rPr>
              <w:t>占比</w:t>
            </w:r>
          </w:p>
        </w:tc>
      </w:tr>
      <w:tr w14:paraId="7A57809C">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51FD22D3">
            <w:pPr>
              <w:pStyle w:val="196"/>
            </w:pPr>
            <w:r>
              <w:t>河流水面</w:t>
            </w:r>
          </w:p>
        </w:tc>
        <w:tc>
          <w:tcPr>
            <w:tcW w:w="1701" w:type="pct"/>
            <w:tcBorders>
              <w:top w:val="nil"/>
              <w:left w:val="nil"/>
              <w:bottom w:val="single" w:color="auto" w:sz="4" w:space="0"/>
              <w:right w:val="single" w:color="auto" w:sz="4" w:space="0"/>
            </w:tcBorders>
            <w:shd w:val="clear" w:color="auto" w:fill="auto"/>
            <w:vAlign w:val="center"/>
          </w:tcPr>
          <w:p w14:paraId="772DD09D">
            <w:pPr>
              <w:pStyle w:val="196"/>
              <w:rPr>
                <w:rFonts w:eastAsia="等线" w:cs="Times New Roman"/>
              </w:rPr>
            </w:pPr>
            <w:r>
              <w:rPr>
                <w:rFonts w:eastAsia="等线" w:cs="Times New Roman"/>
              </w:rPr>
              <w:t>17.08</w:t>
            </w:r>
          </w:p>
        </w:tc>
        <w:tc>
          <w:tcPr>
            <w:tcW w:w="1523" w:type="pct"/>
            <w:tcBorders>
              <w:top w:val="nil"/>
              <w:left w:val="nil"/>
              <w:bottom w:val="single" w:color="auto" w:sz="4" w:space="0"/>
              <w:right w:val="single" w:color="auto" w:sz="4" w:space="0"/>
            </w:tcBorders>
            <w:shd w:val="clear" w:color="auto" w:fill="auto"/>
            <w:vAlign w:val="center"/>
          </w:tcPr>
          <w:p w14:paraId="33A920AE">
            <w:pPr>
              <w:pStyle w:val="196"/>
              <w:rPr>
                <w:rFonts w:eastAsia="等线" w:cs="Times New Roman"/>
              </w:rPr>
            </w:pPr>
            <w:r>
              <w:rPr>
                <w:rFonts w:eastAsia="等线" w:cs="Times New Roman"/>
              </w:rPr>
              <w:t>4.11%</w:t>
            </w:r>
          </w:p>
        </w:tc>
      </w:tr>
      <w:tr w14:paraId="4F630A0F">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09EDD2DE">
            <w:pPr>
              <w:pStyle w:val="196"/>
            </w:pPr>
            <w:r>
              <w:t>农村宅基地</w:t>
            </w:r>
          </w:p>
        </w:tc>
        <w:tc>
          <w:tcPr>
            <w:tcW w:w="1701" w:type="pct"/>
            <w:tcBorders>
              <w:top w:val="nil"/>
              <w:left w:val="nil"/>
              <w:bottom w:val="single" w:color="auto" w:sz="4" w:space="0"/>
              <w:right w:val="single" w:color="auto" w:sz="4" w:space="0"/>
            </w:tcBorders>
            <w:shd w:val="clear" w:color="auto" w:fill="auto"/>
            <w:vAlign w:val="center"/>
          </w:tcPr>
          <w:p w14:paraId="03BF3B3C">
            <w:pPr>
              <w:pStyle w:val="196"/>
              <w:rPr>
                <w:rFonts w:eastAsia="等线" w:cs="Times New Roman"/>
              </w:rPr>
            </w:pPr>
            <w:r>
              <w:rPr>
                <w:rFonts w:eastAsia="等线" w:cs="Times New Roman"/>
              </w:rPr>
              <w:t>5.06</w:t>
            </w:r>
          </w:p>
        </w:tc>
        <w:tc>
          <w:tcPr>
            <w:tcW w:w="1523" w:type="pct"/>
            <w:tcBorders>
              <w:top w:val="nil"/>
              <w:left w:val="nil"/>
              <w:bottom w:val="single" w:color="auto" w:sz="4" w:space="0"/>
              <w:right w:val="single" w:color="auto" w:sz="4" w:space="0"/>
            </w:tcBorders>
            <w:shd w:val="clear" w:color="auto" w:fill="auto"/>
            <w:vAlign w:val="center"/>
          </w:tcPr>
          <w:p w14:paraId="5A502332">
            <w:pPr>
              <w:pStyle w:val="196"/>
              <w:rPr>
                <w:rFonts w:eastAsia="等线" w:cs="Times New Roman"/>
              </w:rPr>
            </w:pPr>
            <w:r>
              <w:rPr>
                <w:rFonts w:eastAsia="等线" w:cs="Times New Roman"/>
              </w:rPr>
              <w:t>1.22%</w:t>
            </w:r>
          </w:p>
        </w:tc>
      </w:tr>
      <w:tr w14:paraId="0E656F2A">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2585B393">
            <w:pPr>
              <w:pStyle w:val="196"/>
            </w:pPr>
            <w:r>
              <w:t>坑塘水面</w:t>
            </w:r>
          </w:p>
        </w:tc>
        <w:tc>
          <w:tcPr>
            <w:tcW w:w="1701" w:type="pct"/>
            <w:tcBorders>
              <w:top w:val="nil"/>
              <w:left w:val="nil"/>
              <w:bottom w:val="single" w:color="auto" w:sz="4" w:space="0"/>
              <w:right w:val="single" w:color="auto" w:sz="4" w:space="0"/>
            </w:tcBorders>
            <w:shd w:val="clear" w:color="auto" w:fill="auto"/>
            <w:vAlign w:val="center"/>
          </w:tcPr>
          <w:p w14:paraId="1546C4E1">
            <w:pPr>
              <w:pStyle w:val="196"/>
              <w:rPr>
                <w:rFonts w:eastAsia="等线" w:cs="Times New Roman"/>
              </w:rPr>
            </w:pPr>
            <w:r>
              <w:rPr>
                <w:rFonts w:eastAsia="等线" w:cs="Times New Roman"/>
              </w:rPr>
              <w:t>3.82</w:t>
            </w:r>
          </w:p>
        </w:tc>
        <w:tc>
          <w:tcPr>
            <w:tcW w:w="1523" w:type="pct"/>
            <w:tcBorders>
              <w:top w:val="nil"/>
              <w:left w:val="nil"/>
              <w:bottom w:val="single" w:color="auto" w:sz="4" w:space="0"/>
              <w:right w:val="single" w:color="auto" w:sz="4" w:space="0"/>
            </w:tcBorders>
            <w:shd w:val="clear" w:color="auto" w:fill="auto"/>
            <w:vAlign w:val="center"/>
          </w:tcPr>
          <w:p w14:paraId="56FBA13C">
            <w:pPr>
              <w:pStyle w:val="196"/>
              <w:rPr>
                <w:rFonts w:eastAsia="等线" w:cs="Times New Roman"/>
              </w:rPr>
            </w:pPr>
            <w:r>
              <w:rPr>
                <w:rFonts w:eastAsia="等线" w:cs="Times New Roman"/>
              </w:rPr>
              <w:t>0.92%</w:t>
            </w:r>
          </w:p>
        </w:tc>
      </w:tr>
      <w:tr w14:paraId="7E65CD65">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6466551A">
            <w:pPr>
              <w:pStyle w:val="196"/>
            </w:pPr>
            <w:r>
              <w:t>内陆滩涂</w:t>
            </w:r>
          </w:p>
        </w:tc>
        <w:tc>
          <w:tcPr>
            <w:tcW w:w="1701" w:type="pct"/>
            <w:tcBorders>
              <w:top w:val="nil"/>
              <w:left w:val="nil"/>
              <w:bottom w:val="single" w:color="auto" w:sz="4" w:space="0"/>
              <w:right w:val="single" w:color="auto" w:sz="4" w:space="0"/>
            </w:tcBorders>
            <w:shd w:val="clear" w:color="auto" w:fill="auto"/>
            <w:vAlign w:val="center"/>
          </w:tcPr>
          <w:p w14:paraId="44DBC526">
            <w:pPr>
              <w:pStyle w:val="196"/>
              <w:rPr>
                <w:rFonts w:eastAsia="等线" w:cs="Times New Roman"/>
              </w:rPr>
            </w:pPr>
            <w:r>
              <w:rPr>
                <w:rFonts w:eastAsia="等线" w:cs="Times New Roman"/>
              </w:rPr>
              <w:t>12.68</w:t>
            </w:r>
          </w:p>
        </w:tc>
        <w:tc>
          <w:tcPr>
            <w:tcW w:w="1523" w:type="pct"/>
            <w:tcBorders>
              <w:top w:val="nil"/>
              <w:left w:val="nil"/>
              <w:bottom w:val="single" w:color="auto" w:sz="4" w:space="0"/>
              <w:right w:val="single" w:color="auto" w:sz="4" w:space="0"/>
            </w:tcBorders>
            <w:shd w:val="clear" w:color="auto" w:fill="auto"/>
            <w:vAlign w:val="center"/>
          </w:tcPr>
          <w:p w14:paraId="3E272290">
            <w:pPr>
              <w:pStyle w:val="196"/>
              <w:rPr>
                <w:rFonts w:eastAsia="等线" w:cs="Times New Roman"/>
              </w:rPr>
            </w:pPr>
            <w:r>
              <w:rPr>
                <w:rFonts w:eastAsia="等线" w:cs="Times New Roman"/>
              </w:rPr>
              <w:t>3.05%</w:t>
            </w:r>
          </w:p>
        </w:tc>
      </w:tr>
      <w:tr w14:paraId="554F4B84">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228588CA">
            <w:pPr>
              <w:pStyle w:val="196"/>
            </w:pPr>
            <w:r>
              <w:t>其他草地</w:t>
            </w:r>
          </w:p>
        </w:tc>
        <w:tc>
          <w:tcPr>
            <w:tcW w:w="1701" w:type="pct"/>
            <w:tcBorders>
              <w:top w:val="nil"/>
              <w:left w:val="nil"/>
              <w:bottom w:val="single" w:color="auto" w:sz="4" w:space="0"/>
              <w:right w:val="single" w:color="auto" w:sz="4" w:space="0"/>
            </w:tcBorders>
            <w:shd w:val="clear" w:color="auto" w:fill="auto"/>
            <w:vAlign w:val="center"/>
          </w:tcPr>
          <w:p w14:paraId="77DD72D7">
            <w:pPr>
              <w:pStyle w:val="196"/>
              <w:rPr>
                <w:rFonts w:eastAsia="等线" w:cs="Times New Roman"/>
              </w:rPr>
            </w:pPr>
            <w:r>
              <w:rPr>
                <w:rFonts w:eastAsia="等线" w:cs="Times New Roman"/>
              </w:rPr>
              <w:t>0.45</w:t>
            </w:r>
          </w:p>
        </w:tc>
        <w:tc>
          <w:tcPr>
            <w:tcW w:w="1523" w:type="pct"/>
            <w:tcBorders>
              <w:top w:val="nil"/>
              <w:left w:val="nil"/>
              <w:bottom w:val="single" w:color="auto" w:sz="4" w:space="0"/>
              <w:right w:val="single" w:color="auto" w:sz="4" w:space="0"/>
            </w:tcBorders>
            <w:shd w:val="clear" w:color="auto" w:fill="auto"/>
            <w:vAlign w:val="center"/>
          </w:tcPr>
          <w:p w14:paraId="058B8A8F">
            <w:pPr>
              <w:pStyle w:val="196"/>
              <w:rPr>
                <w:rFonts w:eastAsia="等线" w:cs="Times New Roman"/>
              </w:rPr>
            </w:pPr>
            <w:r>
              <w:rPr>
                <w:rFonts w:eastAsia="等线" w:cs="Times New Roman"/>
              </w:rPr>
              <w:t>0.11%</w:t>
            </w:r>
          </w:p>
        </w:tc>
      </w:tr>
      <w:tr w14:paraId="52261189">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5E10F04D">
            <w:pPr>
              <w:pStyle w:val="196"/>
            </w:pPr>
            <w:r>
              <w:t>灌木林地</w:t>
            </w:r>
          </w:p>
        </w:tc>
        <w:tc>
          <w:tcPr>
            <w:tcW w:w="1701" w:type="pct"/>
            <w:tcBorders>
              <w:top w:val="nil"/>
              <w:left w:val="nil"/>
              <w:bottom w:val="single" w:color="auto" w:sz="4" w:space="0"/>
              <w:right w:val="single" w:color="auto" w:sz="4" w:space="0"/>
            </w:tcBorders>
            <w:shd w:val="clear" w:color="auto" w:fill="auto"/>
            <w:vAlign w:val="center"/>
          </w:tcPr>
          <w:p w14:paraId="4ADFA2A6">
            <w:pPr>
              <w:pStyle w:val="196"/>
              <w:rPr>
                <w:rFonts w:eastAsia="等线" w:cs="Times New Roman"/>
              </w:rPr>
            </w:pPr>
            <w:r>
              <w:rPr>
                <w:rFonts w:eastAsia="等线" w:cs="Times New Roman"/>
              </w:rPr>
              <w:t>9.31</w:t>
            </w:r>
          </w:p>
        </w:tc>
        <w:tc>
          <w:tcPr>
            <w:tcW w:w="1523" w:type="pct"/>
            <w:tcBorders>
              <w:top w:val="nil"/>
              <w:left w:val="nil"/>
              <w:bottom w:val="single" w:color="auto" w:sz="4" w:space="0"/>
              <w:right w:val="single" w:color="auto" w:sz="4" w:space="0"/>
            </w:tcBorders>
            <w:shd w:val="clear" w:color="auto" w:fill="auto"/>
            <w:vAlign w:val="center"/>
          </w:tcPr>
          <w:p w14:paraId="006F8AA2">
            <w:pPr>
              <w:pStyle w:val="196"/>
              <w:rPr>
                <w:rFonts w:eastAsia="等线" w:cs="Times New Roman"/>
              </w:rPr>
            </w:pPr>
            <w:r>
              <w:rPr>
                <w:rFonts w:eastAsia="等线" w:cs="Times New Roman"/>
              </w:rPr>
              <w:t>2.24%</w:t>
            </w:r>
          </w:p>
        </w:tc>
      </w:tr>
      <w:tr w14:paraId="48F35F69">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vAlign w:val="center"/>
          </w:tcPr>
          <w:p w14:paraId="197BA6D0">
            <w:pPr>
              <w:pStyle w:val="196"/>
            </w:pPr>
            <w:r>
              <w:t>道路用地</w:t>
            </w:r>
          </w:p>
        </w:tc>
        <w:tc>
          <w:tcPr>
            <w:tcW w:w="1701" w:type="pct"/>
            <w:tcBorders>
              <w:top w:val="nil"/>
              <w:left w:val="nil"/>
              <w:bottom w:val="single" w:color="auto" w:sz="4" w:space="0"/>
              <w:right w:val="single" w:color="auto" w:sz="4" w:space="0"/>
            </w:tcBorders>
            <w:shd w:val="clear" w:color="auto" w:fill="auto"/>
            <w:vAlign w:val="center"/>
          </w:tcPr>
          <w:p w14:paraId="37BB4A09">
            <w:pPr>
              <w:pStyle w:val="196"/>
              <w:rPr>
                <w:rFonts w:eastAsia="等线" w:cs="Times New Roman"/>
              </w:rPr>
            </w:pPr>
            <w:r>
              <w:rPr>
                <w:rFonts w:eastAsia="等线" w:cs="Times New Roman"/>
              </w:rPr>
              <w:t>13.75</w:t>
            </w:r>
          </w:p>
        </w:tc>
        <w:tc>
          <w:tcPr>
            <w:tcW w:w="1523" w:type="pct"/>
            <w:tcBorders>
              <w:top w:val="nil"/>
              <w:left w:val="nil"/>
              <w:bottom w:val="single" w:color="auto" w:sz="4" w:space="0"/>
              <w:right w:val="single" w:color="auto" w:sz="4" w:space="0"/>
            </w:tcBorders>
            <w:shd w:val="clear" w:color="auto" w:fill="auto"/>
            <w:vAlign w:val="center"/>
          </w:tcPr>
          <w:p w14:paraId="27141842">
            <w:pPr>
              <w:pStyle w:val="196"/>
              <w:rPr>
                <w:rFonts w:eastAsia="等线" w:cs="Times New Roman"/>
              </w:rPr>
            </w:pPr>
            <w:r>
              <w:rPr>
                <w:rFonts w:eastAsia="等线" w:cs="Times New Roman"/>
              </w:rPr>
              <w:t>3.31%</w:t>
            </w:r>
          </w:p>
        </w:tc>
      </w:tr>
      <w:tr w14:paraId="20430A00">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noWrap/>
            <w:vAlign w:val="bottom"/>
          </w:tcPr>
          <w:p w14:paraId="3BA02B44">
            <w:pPr>
              <w:pStyle w:val="196"/>
              <w:rPr>
                <w:sz w:val="22"/>
              </w:rPr>
            </w:pPr>
            <w:r>
              <w:rPr>
                <w:sz w:val="22"/>
              </w:rPr>
              <w:t>工业用地</w:t>
            </w:r>
          </w:p>
        </w:tc>
        <w:tc>
          <w:tcPr>
            <w:tcW w:w="1701" w:type="pct"/>
            <w:tcBorders>
              <w:top w:val="nil"/>
              <w:left w:val="nil"/>
              <w:bottom w:val="single" w:color="auto" w:sz="4" w:space="0"/>
              <w:right w:val="single" w:color="auto" w:sz="4" w:space="0"/>
            </w:tcBorders>
            <w:shd w:val="clear" w:color="auto" w:fill="auto"/>
            <w:noWrap/>
            <w:vAlign w:val="bottom"/>
          </w:tcPr>
          <w:p w14:paraId="0AA8ADAB">
            <w:pPr>
              <w:pStyle w:val="196"/>
              <w:rPr>
                <w:rFonts w:eastAsia="等线" w:cs="Times New Roman"/>
                <w:sz w:val="22"/>
              </w:rPr>
            </w:pPr>
            <w:r>
              <w:rPr>
                <w:rFonts w:eastAsia="等线" w:cs="Times New Roman"/>
                <w:sz w:val="22"/>
              </w:rPr>
              <w:t>84.58</w:t>
            </w:r>
          </w:p>
        </w:tc>
        <w:tc>
          <w:tcPr>
            <w:tcW w:w="1523" w:type="pct"/>
            <w:tcBorders>
              <w:top w:val="nil"/>
              <w:left w:val="nil"/>
              <w:bottom w:val="single" w:color="auto" w:sz="4" w:space="0"/>
              <w:right w:val="single" w:color="auto" w:sz="4" w:space="0"/>
            </w:tcBorders>
            <w:shd w:val="clear" w:color="auto" w:fill="auto"/>
            <w:vAlign w:val="center"/>
          </w:tcPr>
          <w:p w14:paraId="041B240F">
            <w:pPr>
              <w:pStyle w:val="196"/>
              <w:rPr>
                <w:rFonts w:eastAsia="等线" w:cs="Times New Roman"/>
              </w:rPr>
            </w:pPr>
            <w:r>
              <w:rPr>
                <w:rFonts w:eastAsia="等线" w:cs="Times New Roman"/>
              </w:rPr>
              <w:t>20.34%</w:t>
            </w:r>
          </w:p>
        </w:tc>
      </w:tr>
      <w:tr w14:paraId="0AB8CF52">
        <w:tblPrEx>
          <w:tblCellMar>
            <w:top w:w="0" w:type="dxa"/>
            <w:left w:w="108" w:type="dxa"/>
            <w:bottom w:w="0" w:type="dxa"/>
            <w:right w:w="108" w:type="dxa"/>
          </w:tblCellMar>
        </w:tblPrEx>
        <w:trPr>
          <w:trHeight w:val="276" w:hRule="atLeast"/>
        </w:trPr>
        <w:tc>
          <w:tcPr>
            <w:tcW w:w="1777" w:type="pct"/>
            <w:tcBorders>
              <w:top w:val="nil"/>
              <w:left w:val="single" w:color="auto" w:sz="4" w:space="0"/>
              <w:bottom w:val="single" w:color="auto" w:sz="4" w:space="0"/>
              <w:right w:val="single" w:color="auto" w:sz="4" w:space="0"/>
            </w:tcBorders>
            <w:shd w:val="clear" w:color="auto" w:fill="auto"/>
            <w:noWrap/>
            <w:vAlign w:val="bottom"/>
          </w:tcPr>
          <w:p w14:paraId="46E35E78">
            <w:pPr>
              <w:pStyle w:val="196"/>
              <w:rPr>
                <w:sz w:val="22"/>
              </w:rPr>
            </w:pPr>
            <w:r>
              <w:rPr>
                <w:sz w:val="22"/>
              </w:rPr>
              <w:t>水浇地</w:t>
            </w:r>
          </w:p>
        </w:tc>
        <w:tc>
          <w:tcPr>
            <w:tcW w:w="1701" w:type="pct"/>
            <w:tcBorders>
              <w:top w:val="nil"/>
              <w:left w:val="nil"/>
              <w:bottom w:val="single" w:color="auto" w:sz="4" w:space="0"/>
              <w:right w:val="single" w:color="auto" w:sz="4" w:space="0"/>
            </w:tcBorders>
            <w:shd w:val="clear" w:color="auto" w:fill="auto"/>
            <w:noWrap/>
            <w:vAlign w:val="bottom"/>
          </w:tcPr>
          <w:p w14:paraId="1BABEB7A">
            <w:pPr>
              <w:pStyle w:val="196"/>
              <w:rPr>
                <w:rFonts w:eastAsia="等线" w:cs="Times New Roman"/>
                <w:sz w:val="22"/>
              </w:rPr>
            </w:pPr>
            <w:r>
              <w:rPr>
                <w:rFonts w:eastAsia="等线" w:cs="Times New Roman"/>
                <w:sz w:val="22"/>
              </w:rPr>
              <w:t>269.14</w:t>
            </w:r>
          </w:p>
        </w:tc>
        <w:tc>
          <w:tcPr>
            <w:tcW w:w="1523" w:type="pct"/>
            <w:tcBorders>
              <w:top w:val="nil"/>
              <w:left w:val="nil"/>
              <w:bottom w:val="single" w:color="auto" w:sz="4" w:space="0"/>
              <w:right w:val="single" w:color="auto" w:sz="4" w:space="0"/>
            </w:tcBorders>
            <w:shd w:val="clear" w:color="auto" w:fill="auto"/>
            <w:vAlign w:val="center"/>
          </w:tcPr>
          <w:p w14:paraId="2D755E8B">
            <w:pPr>
              <w:pStyle w:val="196"/>
              <w:rPr>
                <w:rFonts w:eastAsia="等线" w:cs="Times New Roman"/>
              </w:rPr>
            </w:pPr>
            <w:r>
              <w:rPr>
                <w:rFonts w:eastAsia="等线" w:cs="Times New Roman"/>
              </w:rPr>
              <w:t>64.72%</w:t>
            </w:r>
          </w:p>
        </w:tc>
      </w:tr>
      <w:tr w14:paraId="1F9593D9">
        <w:tblPrEx>
          <w:tblCellMar>
            <w:top w:w="0" w:type="dxa"/>
            <w:left w:w="108" w:type="dxa"/>
            <w:bottom w:w="0" w:type="dxa"/>
            <w:right w:w="108" w:type="dxa"/>
          </w:tblCellMar>
        </w:tblPrEx>
        <w:trPr>
          <w:trHeight w:val="288" w:hRule="atLeast"/>
        </w:trPr>
        <w:tc>
          <w:tcPr>
            <w:tcW w:w="1777" w:type="pct"/>
            <w:tcBorders>
              <w:top w:val="nil"/>
              <w:left w:val="single" w:color="auto" w:sz="4" w:space="0"/>
              <w:bottom w:val="single" w:color="auto" w:sz="4" w:space="0"/>
              <w:right w:val="single" w:color="auto" w:sz="4" w:space="0"/>
            </w:tcBorders>
            <w:shd w:val="clear" w:color="auto" w:fill="auto"/>
            <w:noWrap/>
            <w:vAlign w:val="bottom"/>
          </w:tcPr>
          <w:p w14:paraId="6EF62194">
            <w:pPr>
              <w:pStyle w:val="196"/>
              <w:rPr>
                <w:rFonts w:eastAsia="等线" w:cs="Times New Roman"/>
                <w:sz w:val="22"/>
              </w:rPr>
            </w:pPr>
            <w:r>
              <w:rPr>
                <w:rFonts w:hint="eastAsia" w:cs="Times New Roman"/>
                <w:sz w:val="22"/>
              </w:rPr>
              <w:t>总计</w:t>
            </w:r>
          </w:p>
        </w:tc>
        <w:tc>
          <w:tcPr>
            <w:tcW w:w="3223" w:type="pct"/>
            <w:gridSpan w:val="2"/>
            <w:tcBorders>
              <w:top w:val="single" w:color="auto" w:sz="4" w:space="0"/>
              <w:left w:val="nil"/>
              <w:bottom w:val="single" w:color="auto" w:sz="4" w:space="0"/>
              <w:right w:val="single" w:color="000000" w:sz="4" w:space="0"/>
            </w:tcBorders>
            <w:shd w:val="clear" w:color="auto" w:fill="auto"/>
            <w:noWrap/>
            <w:vAlign w:val="bottom"/>
          </w:tcPr>
          <w:p w14:paraId="73730BB8">
            <w:pPr>
              <w:pStyle w:val="196"/>
              <w:rPr>
                <w:rFonts w:eastAsia="等线" w:cs="Times New Roman"/>
                <w:sz w:val="22"/>
              </w:rPr>
            </w:pPr>
            <w:r>
              <w:rPr>
                <w:rFonts w:eastAsia="等线" w:cs="Times New Roman"/>
                <w:sz w:val="22"/>
              </w:rPr>
              <w:t>415.87</w:t>
            </w:r>
          </w:p>
        </w:tc>
      </w:tr>
    </w:tbl>
    <w:p w14:paraId="5A05943B">
      <w:pPr>
        <w:pStyle w:val="84"/>
      </w:pPr>
      <w:r>
        <w:rPr>
          <w:rFonts w:hint="eastAsia"/>
        </w:rPr>
        <w:t xml:space="preserve">植物资源现状 </w:t>
      </w:r>
    </w:p>
    <w:p w14:paraId="231473A0">
      <w:pPr>
        <w:pStyle w:val="139"/>
        <w:ind w:firstLine="480"/>
        <w:rPr>
          <w:color w:val="auto"/>
        </w:rPr>
      </w:pPr>
      <w:r>
        <w:rPr>
          <w:rFonts w:hint="eastAsia"/>
          <w:color w:val="auto"/>
        </w:rPr>
        <w:t>根据现场踏勘情况，本项目研究范围内主要为耕地、工业园区和附近村庄，因此受人为干扰严重，植被类型以人工植被为主。</w:t>
      </w:r>
      <w:r>
        <w:rPr>
          <w:rFonts w:hint="eastAsia"/>
          <w:color w:val="auto"/>
          <w:lang w:eastAsia="zh-CN"/>
        </w:rPr>
        <w:t>沿河</w:t>
      </w:r>
      <w:r>
        <w:rPr>
          <w:rFonts w:hint="eastAsia"/>
          <w:color w:val="auto"/>
        </w:rPr>
        <w:t>两侧陆域种植有人工防护林带，防护林主要由速生树种意杨组成，河岸两侧水域主要为芦苇、蒲草等水生植被；大堤外分布有农田，常见农作物主要有水稻、小麦、油菜和其他蔬菜。</w:t>
      </w:r>
    </w:p>
    <w:p w14:paraId="62A492F2">
      <w:pPr>
        <w:pStyle w:val="93"/>
      </w:pPr>
      <w:r>
        <w:rPr>
          <w:rFonts w:hint="eastAsia"/>
        </w:rPr>
        <w:t>本项目评价范围内有盐河东岸的淮安</w:t>
      </w:r>
      <w:r>
        <w:rPr>
          <w:rFonts w:hint="eastAsia"/>
          <w:lang w:eastAsia="zh-CN"/>
        </w:rPr>
        <w:t>（</w:t>
      </w:r>
      <w:r>
        <w:rPr>
          <w:rFonts w:hint="eastAsia"/>
        </w:rPr>
        <w:t>薛行</w:t>
      </w:r>
      <w:r>
        <w:rPr>
          <w:rFonts w:hint="eastAsia"/>
          <w:lang w:eastAsia="zh-CN"/>
        </w:rPr>
        <w:t>）</w:t>
      </w:r>
      <w:r>
        <w:rPr>
          <w:rFonts w:hint="eastAsia"/>
        </w:rPr>
        <w:t>循环经济产业园，街道景观植物类型相对较少，行道树简单以柳树、雪松、香樟为主，少量灌木丛包括大叶黄杨、红花檵木等，以及附近农家单植有广玉兰、银杏、枇杷、桃树等。</w:t>
      </w:r>
    </w:p>
    <w:p w14:paraId="5EA6353D">
      <w:pPr>
        <w:pStyle w:val="139"/>
        <w:ind w:firstLine="480"/>
        <w:rPr>
          <w:color w:val="auto"/>
        </w:rPr>
      </w:pPr>
      <w:r>
        <w:rPr>
          <w:rFonts w:hint="eastAsia"/>
          <w:color w:val="auto"/>
        </w:rPr>
        <w:t>同时本项目评价范围内野生杂草较多，主要为当地常见的野生杂草，以禾本科、莎草科、藜科、菊科植物为主，包括猪殃殃、阿拉伯婆婆纳、狗尾草、鹅肠菜、泽漆、碎米荠等。</w:t>
      </w:r>
    </w:p>
    <w:p w14:paraId="29555182">
      <w:pPr>
        <w:pStyle w:val="139"/>
        <w:ind w:firstLine="480"/>
        <w:rPr>
          <w:color w:val="auto"/>
        </w:rPr>
      </w:pPr>
      <w:r>
        <w:rPr>
          <w:rFonts w:hint="eastAsia"/>
          <w:color w:val="auto"/>
        </w:rPr>
        <w:t>本项目永久占地范围内主要分布芦苇、蒲草等水生植被，陆域分布</w:t>
      </w:r>
      <w:r>
        <w:rPr>
          <w:color w:val="auto"/>
        </w:rPr>
        <w:t>水稻、玉米等植被及野生杂草等。根据调查，本项目评价范围未发现古树名木分布。</w:t>
      </w:r>
    </w:p>
    <w:p w14:paraId="4924B4BA">
      <w:pPr>
        <w:pStyle w:val="139"/>
        <w:ind w:firstLine="480"/>
        <w:rPr>
          <w:color w:val="auto"/>
        </w:rPr>
      </w:pPr>
      <w:r>
        <w:rPr>
          <w:rFonts w:hint="eastAsia"/>
          <w:color w:val="auto"/>
        </w:rPr>
        <w:t>本项目厂界1km评价范围植被类型情况见图4.3-3。</w:t>
      </w:r>
    </w:p>
    <w:p w14:paraId="5F0F1FF2">
      <w:pPr>
        <w:pStyle w:val="84"/>
      </w:pPr>
      <w:r>
        <w:rPr>
          <w:rFonts w:hint="eastAsia"/>
        </w:rPr>
        <w:t>陆生生物</w:t>
      </w:r>
    </w:p>
    <w:p w14:paraId="62496F10">
      <w:pPr>
        <w:pStyle w:val="93"/>
      </w:pPr>
      <w:r>
        <w:rPr>
          <w:rFonts w:hint="eastAsia"/>
        </w:rPr>
        <w:t>根据资料查询及现场调查，项目所在地属北亚热带和暖湿带交界处，属暖湿带半湿润季风气候，四季分明，有利于野生动物的生存，随着地理环境的人为改变种类和数量大为减少。区域内无大型野生保护动物，主要哺乳类野生动物有草狐、野兔、松鼠、黄鼬、蝙蝠、刺猬等；主要鸟类有布谷鸟、雁、云雀、喜鹊、麻雀、鹌鹑等近百种。未发现国家和江苏省保护动物分布。</w:t>
      </w:r>
    </w:p>
    <w:p w14:paraId="3636A516">
      <w:pPr>
        <w:pStyle w:val="84"/>
      </w:pPr>
      <w:bookmarkStart w:id="258" w:name="_Hlk181749845"/>
      <w:bookmarkStart w:id="259" w:name="_Hlk181749831"/>
      <w:r>
        <w:rPr>
          <w:rFonts w:hint="eastAsia"/>
        </w:rPr>
        <w:t>水生生态</w:t>
      </w:r>
    </w:p>
    <w:bookmarkEnd w:id="258"/>
    <w:p w14:paraId="69680286">
      <w:pPr>
        <w:pStyle w:val="139"/>
        <w:ind w:firstLine="480"/>
        <w:rPr>
          <w:color w:val="auto"/>
        </w:rPr>
      </w:pPr>
      <w:r>
        <w:rPr>
          <w:rFonts w:hint="eastAsia"/>
          <w:color w:val="auto"/>
        </w:rPr>
        <w:t>本次评价引用</w:t>
      </w:r>
      <w:bookmarkStart w:id="260" w:name="_Hlk181749768"/>
      <w:r>
        <w:rPr>
          <w:rFonts w:hint="eastAsia"/>
          <w:color w:val="auto"/>
        </w:rPr>
        <w:t>《宿连航道（京杭运河至盐河段）整治工程二期工程连云港段环境影响报告书》在2022年5月7日</w:t>
      </w:r>
      <w:r>
        <w:rPr>
          <w:rFonts w:hint="eastAsia"/>
          <w:color w:val="auto"/>
          <w:lang w:eastAsia="zh-CN"/>
        </w:rPr>
        <w:t>—</w:t>
      </w:r>
      <w:r>
        <w:rPr>
          <w:rFonts w:hint="eastAsia"/>
          <w:color w:val="auto"/>
        </w:rPr>
        <w:t>5月8日委托无锡万物生态科技有限公司专业技术人员对古泊善后河与盐河交汇处附近进行的水生生态采样调查资料。</w:t>
      </w:r>
      <w:bookmarkEnd w:id="260"/>
      <w:r>
        <w:rPr>
          <w:rFonts w:hint="eastAsia"/>
          <w:color w:val="auto"/>
        </w:rPr>
        <w:t>该处距离本项目评价区域约70km，位于盐河下游水域，该段盐河水域与本项目评价范围水域连通良好，基本能够代表本项目评价范围水生生态状况。水生生物资源方面主要如下：</w:t>
      </w:r>
    </w:p>
    <w:p w14:paraId="5635BE19">
      <w:pPr>
        <w:pStyle w:val="139"/>
        <w:ind w:firstLine="480"/>
        <w:rPr>
          <w:color w:val="auto"/>
        </w:rPr>
      </w:pPr>
      <w:r>
        <w:rPr>
          <w:rFonts w:hint="eastAsia"/>
          <w:color w:val="auto"/>
        </w:rPr>
        <w:t>（1）浮游植物</w:t>
      </w:r>
    </w:p>
    <w:p w14:paraId="66CAA2BE">
      <w:pPr>
        <w:pStyle w:val="139"/>
        <w:ind w:firstLine="480"/>
        <w:rPr>
          <w:color w:val="auto"/>
        </w:rPr>
      </w:pPr>
      <w:r>
        <w:rPr>
          <w:rFonts w:hint="eastAsia"/>
          <w:color w:val="auto"/>
        </w:rPr>
        <w:t>①浮游植物群落结构：通过对样品镜检，共鉴定出浮游植物7</w:t>
      </w:r>
      <w:r>
        <w:rPr>
          <w:rFonts w:hint="eastAsia"/>
          <w:color w:val="auto"/>
          <w:lang w:eastAsia="zh-CN"/>
        </w:rPr>
        <w:t>科</w:t>
      </w:r>
      <w:r>
        <w:rPr>
          <w:rFonts w:hint="eastAsia"/>
          <w:color w:val="auto"/>
        </w:rPr>
        <w:t>44种（属），隶属于硅藻门</w:t>
      </w:r>
      <w:r>
        <w:rPr>
          <w:rFonts w:hint="eastAsia"/>
          <w:color w:val="auto"/>
          <w:lang w:eastAsia="zh-CN"/>
        </w:rPr>
        <w:t>（</w:t>
      </w:r>
      <w:r>
        <w:rPr>
          <w:rFonts w:hint="eastAsia"/>
          <w:color w:val="auto"/>
        </w:rPr>
        <w:t>Bacillariophyta</w:t>
      </w:r>
      <w:r>
        <w:rPr>
          <w:rFonts w:hint="eastAsia"/>
          <w:color w:val="auto"/>
          <w:lang w:eastAsia="zh-CN"/>
        </w:rPr>
        <w:t>）</w:t>
      </w:r>
      <w:r>
        <w:rPr>
          <w:rFonts w:hint="eastAsia"/>
          <w:color w:val="auto"/>
        </w:rPr>
        <w:t>、蓝藻门</w:t>
      </w:r>
      <w:r>
        <w:rPr>
          <w:rFonts w:hint="eastAsia"/>
          <w:color w:val="auto"/>
          <w:lang w:eastAsia="zh-CN"/>
        </w:rPr>
        <w:t>（</w:t>
      </w:r>
      <w:r>
        <w:rPr>
          <w:rFonts w:hint="eastAsia"/>
          <w:color w:val="auto"/>
        </w:rPr>
        <w:t>Cyanophyta</w:t>
      </w:r>
      <w:r>
        <w:rPr>
          <w:rFonts w:hint="eastAsia"/>
          <w:color w:val="auto"/>
          <w:lang w:eastAsia="zh-CN"/>
        </w:rPr>
        <w:t>）</w:t>
      </w:r>
      <w:r>
        <w:rPr>
          <w:rFonts w:hint="eastAsia"/>
          <w:color w:val="auto"/>
        </w:rPr>
        <w:t>、绿藻门</w:t>
      </w:r>
      <w:r>
        <w:rPr>
          <w:rFonts w:hint="eastAsia"/>
          <w:color w:val="auto"/>
          <w:lang w:eastAsia="zh-CN"/>
        </w:rPr>
        <w:t>（</w:t>
      </w:r>
      <w:r>
        <w:rPr>
          <w:rFonts w:hint="eastAsia"/>
          <w:color w:val="auto"/>
        </w:rPr>
        <w:t>Chlorophyta</w:t>
      </w:r>
      <w:r>
        <w:rPr>
          <w:rFonts w:hint="eastAsia"/>
          <w:color w:val="auto"/>
          <w:lang w:eastAsia="zh-CN"/>
        </w:rPr>
        <w:t>）</w:t>
      </w:r>
      <w:r>
        <w:rPr>
          <w:rFonts w:hint="eastAsia"/>
          <w:color w:val="auto"/>
        </w:rPr>
        <w:t>、隐藻门</w:t>
      </w:r>
      <w:r>
        <w:rPr>
          <w:rFonts w:hint="eastAsia"/>
          <w:color w:val="auto"/>
          <w:lang w:eastAsia="zh-CN"/>
        </w:rPr>
        <w:t>（</w:t>
      </w:r>
      <w:r>
        <w:rPr>
          <w:rFonts w:hint="eastAsia"/>
          <w:color w:val="auto"/>
        </w:rPr>
        <w:t>Cryptophyta</w:t>
      </w:r>
      <w:r>
        <w:rPr>
          <w:rFonts w:hint="eastAsia"/>
          <w:color w:val="auto"/>
          <w:lang w:eastAsia="zh-CN"/>
        </w:rPr>
        <w:t>）</w:t>
      </w:r>
      <w:r>
        <w:rPr>
          <w:rFonts w:hint="eastAsia"/>
          <w:color w:val="auto"/>
        </w:rPr>
        <w:t>、甲藻门</w:t>
      </w:r>
      <w:r>
        <w:rPr>
          <w:rFonts w:hint="eastAsia"/>
          <w:color w:val="auto"/>
          <w:lang w:eastAsia="zh-CN"/>
        </w:rPr>
        <w:t>（</w:t>
      </w:r>
      <w:r>
        <w:rPr>
          <w:rFonts w:hint="eastAsia"/>
          <w:color w:val="auto"/>
        </w:rPr>
        <w:t>Pyrrophyta</w:t>
      </w:r>
      <w:r>
        <w:rPr>
          <w:rFonts w:hint="eastAsia"/>
          <w:color w:val="auto"/>
          <w:lang w:eastAsia="zh-CN"/>
        </w:rPr>
        <w:t>）</w:t>
      </w:r>
      <w:r>
        <w:rPr>
          <w:rFonts w:hint="eastAsia"/>
          <w:color w:val="auto"/>
        </w:rPr>
        <w:t>、金藻门</w:t>
      </w:r>
      <w:r>
        <w:rPr>
          <w:rFonts w:hint="eastAsia"/>
          <w:color w:val="auto"/>
          <w:lang w:eastAsia="zh-CN"/>
        </w:rPr>
        <w:t>（</w:t>
      </w:r>
      <w:r>
        <w:rPr>
          <w:rFonts w:hint="eastAsia"/>
          <w:color w:val="auto"/>
        </w:rPr>
        <w:t>Chrysophytaq</w:t>
      </w:r>
      <w:r>
        <w:rPr>
          <w:rFonts w:hint="eastAsia"/>
          <w:color w:val="auto"/>
          <w:lang w:eastAsia="zh-CN"/>
        </w:rPr>
        <w:t>）</w:t>
      </w:r>
      <w:r>
        <w:rPr>
          <w:rFonts w:hint="eastAsia"/>
          <w:color w:val="auto"/>
        </w:rPr>
        <w:t>和裸藻门</w:t>
      </w:r>
      <w:r>
        <w:rPr>
          <w:rFonts w:hint="eastAsia"/>
          <w:color w:val="auto"/>
          <w:lang w:eastAsia="zh-CN"/>
        </w:rPr>
        <w:t>（</w:t>
      </w:r>
      <w:r>
        <w:rPr>
          <w:rFonts w:hint="eastAsia"/>
          <w:color w:val="auto"/>
        </w:rPr>
        <w:t>Euglennophyta</w:t>
      </w:r>
      <w:r>
        <w:rPr>
          <w:rFonts w:hint="eastAsia"/>
          <w:color w:val="auto"/>
          <w:lang w:eastAsia="zh-CN"/>
        </w:rPr>
        <w:t>）</w:t>
      </w:r>
      <w:r>
        <w:rPr>
          <w:rFonts w:hint="eastAsia"/>
          <w:color w:val="auto"/>
        </w:rPr>
        <w:t>。绿藻门物种数最多，有20种（属），占浮游植物物种总数的比例为45.45%；其次为硅藻门，有9种（属），占20.45%；裸藻门有5种（属），占11.36%；蓝藻门有4种（属），占9.09%；隐藻门有3种（属），占6.82%，甲藻门有2种（属），占4.55%；金藻门有1种（属），占2.27%。</w:t>
      </w:r>
    </w:p>
    <w:p w14:paraId="240A33CB">
      <w:pPr>
        <w:pStyle w:val="139"/>
        <w:ind w:firstLine="480"/>
        <w:rPr>
          <w:color w:val="auto"/>
        </w:rPr>
      </w:pPr>
      <w:r>
        <w:rPr>
          <w:rFonts w:hint="eastAsia"/>
          <w:color w:val="auto"/>
        </w:rPr>
        <w:t>②浮游植物密度和生物量：采样调查结果显示，从浮游植物密度组成来看，水体中蓝藻门、硅藻门和绿藻门所占比重较大，而隐藻门、裸藻门、甲藻门和金藻门所占比重很小。从浮游植物生物量来看，硅藻门所占比重较大，而隐藻门、蓝藻门、绿藻门、裸藻门、甲藻门和金藻门所占比重较小。水体中浮游植物密度为1.33×10</w:t>
      </w:r>
      <w:r>
        <w:rPr>
          <w:rFonts w:hint="eastAsia"/>
          <w:color w:val="auto"/>
          <w:vertAlign w:val="superscript"/>
        </w:rPr>
        <w:t>7</w:t>
      </w:r>
      <w:r>
        <w:rPr>
          <w:rFonts w:hint="eastAsia"/>
          <w:color w:val="auto"/>
        </w:rPr>
        <w:t>cells/L，浮游植物生物量为7.9154mg/L。</w:t>
      </w:r>
    </w:p>
    <w:p w14:paraId="07B5D566">
      <w:pPr>
        <w:pStyle w:val="139"/>
        <w:ind w:firstLine="480"/>
        <w:rPr>
          <w:color w:val="auto"/>
        </w:rPr>
      </w:pPr>
      <w:r>
        <w:rPr>
          <w:rFonts w:hint="eastAsia"/>
          <w:color w:val="auto"/>
        </w:rPr>
        <w:t>优势种藻类组成主要为绿藻门和硅藻门。</w:t>
      </w:r>
    </w:p>
    <w:p w14:paraId="29E3B652">
      <w:pPr>
        <w:pStyle w:val="139"/>
        <w:ind w:firstLine="480"/>
        <w:rPr>
          <w:color w:val="auto"/>
        </w:rPr>
      </w:pPr>
      <w:r>
        <w:rPr>
          <w:rFonts w:hint="eastAsia"/>
          <w:color w:val="auto"/>
        </w:rPr>
        <w:t>（2）浮游动物</w:t>
      </w:r>
    </w:p>
    <w:p w14:paraId="1FD630C6">
      <w:pPr>
        <w:pStyle w:val="139"/>
        <w:ind w:firstLine="480"/>
        <w:rPr>
          <w:color w:val="auto"/>
        </w:rPr>
      </w:pPr>
      <w:r>
        <w:rPr>
          <w:rFonts w:hint="eastAsia"/>
          <w:color w:val="auto"/>
        </w:rPr>
        <w:t>①浮游动物群落结构：通过调查采样，共鉴定出原生动物（Protozoa）、轮虫类（Rotifera）、枝角类（Cladocera）、</w:t>
      </w:r>
      <w:r>
        <w:rPr>
          <w:rFonts w:hint="eastAsia"/>
          <w:color w:val="auto"/>
          <w:lang w:eastAsia="zh-CN"/>
        </w:rPr>
        <w:t>桡足类</w:t>
      </w:r>
      <w:r>
        <w:rPr>
          <w:rFonts w:hint="eastAsia"/>
          <w:color w:val="auto"/>
        </w:rPr>
        <w:t>（Copepoda）共四门38种（属），其中轮虫类种类组成最多，13种（属），占总物种数的34.21%；其次，原生动物10种（属），占总物种数的26.32%；枝角类8种（属），占总物种数的21.05%；桡足类5种（属），占总物种数的13.16%。</w:t>
      </w:r>
    </w:p>
    <w:p w14:paraId="20980AA7">
      <w:pPr>
        <w:pStyle w:val="139"/>
        <w:ind w:firstLine="480"/>
        <w:rPr>
          <w:color w:val="auto"/>
        </w:rPr>
      </w:pPr>
      <w:r>
        <w:rPr>
          <w:rFonts w:hint="eastAsia"/>
          <w:color w:val="auto"/>
        </w:rPr>
        <w:t>②密度和生物量：采样调查结果显示，从浮游动物密度组成来看，水体中轮虫和原生动物所占比重较大，而桡足类和枝角类所占比重很小。从浮游动物生物量来看，水体中轮虫、枝角类和桡足类所占比重较大，而原生动物所占比重较小。水体中浮游动物密度为5765.667ind</w:t>
      </w:r>
      <w:r>
        <w:rPr>
          <w:rFonts w:hint="eastAsia"/>
          <w:color w:val="auto"/>
          <w:lang w:eastAsia="zh-CN"/>
        </w:rPr>
        <w:t>.</w:t>
      </w:r>
      <w:r>
        <w:rPr>
          <w:rFonts w:hint="eastAsia"/>
          <w:color w:val="auto"/>
        </w:rPr>
        <w:t>L，浮游动物生物量为8.708mg/L。</w:t>
      </w:r>
      <w:r>
        <w:rPr>
          <w:rFonts w:hint="eastAsia"/>
          <w:color w:val="auto"/>
          <w:lang w:eastAsia="zh-CN"/>
        </w:rPr>
        <w:t>短</w:t>
      </w:r>
      <w:r>
        <w:rPr>
          <w:rFonts w:hint="eastAsia"/>
          <w:color w:val="auto"/>
        </w:rPr>
        <w:t>水体浮游动物的优势类群共计有4类14种，其中原生动物门和枝角类优势种群较多。</w:t>
      </w:r>
    </w:p>
    <w:p w14:paraId="306DB9B8">
      <w:pPr>
        <w:pStyle w:val="139"/>
        <w:ind w:firstLine="480"/>
        <w:rPr>
          <w:color w:val="auto"/>
        </w:rPr>
      </w:pPr>
      <w:r>
        <w:rPr>
          <w:rFonts w:hint="eastAsia"/>
          <w:color w:val="auto"/>
        </w:rPr>
        <w:t>（3）底栖动物</w:t>
      </w:r>
    </w:p>
    <w:p w14:paraId="78B4833E">
      <w:pPr>
        <w:pStyle w:val="139"/>
        <w:ind w:firstLine="480"/>
        <w:rPr>
          <w:color w:val="auto"/>
        </w:rPr>
      </w:pPr>
      <w:r>
        <w:rPr>
          <w:rFonts w:hint="eastAsia"/>
          <w:color w:val="auto"/>
        </w:rPr>
        <w:t>通过调查采样，共鉴定出底栖动物3门16种（属），包括环节动物门（Annelida）、节肢动物门（Arthropoda）和软体动物门（Mollusca）。其中软体动物门最多，为8种（属），占种类数的50.00%；其次，</w:t>
      </w:r>
      <w:r>
        <w:rPr>
          <w:rFonts w:hint="eastAsia"/>
          <w:color w:val="auto"/>
          <w:lang w:eastAsia="zh-CN"/>
        </w:rPr>
        <w:t>节肢动物</w:t>
      </w:r>
      <w:r>
        <w:rPr>
          <w:rFonts w:hint="eastAsia"/>
          <w:color w:val="auto"/>
        </w:rPr>
        <w:t>门5种（属），占种类数的31.25%；环节动物门3种（属），占种类数的18.75%。</w:t>
      </w:r>
    </w:p>
    <w:p w14:paraId="10785A52">
      <w:pPr>
        <w:pStyle w:val="139"/>
        <w:ind w:firstLine="480"/>
        <w:rPr>
          <w:color w:val="auto"/>
        </w:rPr>
      </w:pPr>
      <w:r>
        <w:rPr>
          <w:rFonts w:hint="eastAsia"/>
          <w:color w:val="auto"/>
        </w:rPr>
        <w:t>采样调查结果显示，从底栖动物密度组成来看，盐河水体中软体动物门所占比重较大，而环节动物门和节肢动物门所占比重很小。从生物量来看，水体软体动物门所占比重最大。水体中底栖动物密度为1340.00ind</w:t>
      </w:r>
      <w:r>
        <w:rPr>
          <w:rFonts w:hint="eastAsia"/>
          <w:color w:val="auto"/>
          <w:lang w:eastAsia="zh-CN"/>
        </w:rPr>
        <w:t>.</w:t>
      </w:r>
      <w:r>
        <w:rPr>
          <w:rFonts w:hint="eastAsia"/>
          <w:color w:val="auto"/>
        </w:rPr>
        <w:t>L，底栖动物生物量为124.155g/m</w:t>
      </w:r>
      <w:r>
        <w:rPr>
          <w:rFonts w:hint="eastAsia"/>
          <w:color w:val="auto"/>
          <w:vertAlign w:val="superscript"/>
        </w:rPr>
        <w:t>2</w:t>
      </w:r>
      <w:r>
        <w:rPr>
          <w:rFonts w:hint="eastAsia"/>
          <w:color w:val="auto"/>
        </w:rPr>
        <w:t>。水体底栖动物的优势类群共计有3门8种，软体动物门和环节动物门优势种群较多。</w:t>
      </w:r>
    </w:p>
    <w:p w14:paraId="680E1548">
      <w:pPr>
        <w:pStyle w:val="139"/>
        <w:ind w:firstLine="480"/>
        <w:rPr>
          <w:color w:val="auto"/>
        </w:rPr>
      </w:pPr>
      <w:r>
        <w:rPr>
          <w:rFonts w:hint="eastAsia"/>
          <w:color w:val="auto"/>
        </w:rPr>
        <w:t>（4）水生维管束植物调查</w:t>
      </w:r>
    </w:p>
    <w:p w14:paraId="1A5586BB">
      <w:pPr>
        <w:pStyle w:val="139"/>
        <w:ind w:firstLine="480"/>
        <w:rPr>
          <w:color w:val="auto"/>
          <w:lang w:val="en-US"/>
        </w:rPr>
      </w:pPr>
      <w:r>
        <w:rPr>
          <w:rFonts w:hint="eastAsia"/>
          <w:color w:val="auto"/>
        </w:rPr>
        <w:t>通过调查采样，共鉴定出水生植物 7 科 7 种（属）。对水生维管束植物的生活型进行分析，古泊</w:t>
      </w:r>
      <w:r>
        <w:rPr>
          <w:rFonts w:hint="eastAsia"/>
          <w:color w:val="auto"/>
          <w:lang w:eastAsia="zh-CN"/>
        </w:rPr>
        <w:t>山后河</w:t>
      </w:r>
      <w:r>
        <w:rPr>
          <w:rFonts w:hint="eastAsia"/>
          <w:color w:val="auto"/>
        </w:rPr>
        <w:t>连云港段水体水生态型可分为挺水植物、浮叶植物和沉水植物。其中沉水植物1种，浮叶植物3种，挺水植物3种。</w:t>
      </w:r>
    </w:p>
    <w:p w14:paraId="05B97DD9">
      <w:pPr>
        <w:pStyle w:val="139"/>
        <w:ind w:firstLine="480"/>
        <w:rPr>
          <w:color w:val="auto"/>
        </w:rPr>
      </w:pPr>
      <w:r>
        <w:rPr>
          <w:rFonts w:hint="eastAsia"/>
          <w:color w:val="auto"/>
        </w:rPr>
        <w:t>本项目所在盐河河段不涉及洄游性鱼类，“三场”等。</w:t>
      </w:r>
    </w:p>
    <w:bookmarkEnd w:id="259"/>
    <w:p w14:paraId="381D9E9C">
      <w:pPr>
        <w:pStyle w:val="84"/>
      </w:pPr>
      <w:r>
        <w:rPr>
          <w:rFonts w:hint="eastAsia"/>
        </w:rPr>
        <w:t>涟漪湖自然保护区</w:t>
      </w:r>
    </w:p>
    <w:p w14:paraId="635AAA06">
      <w:pPr>
        <w:pStyle w:val="93"/>
      </w:pPr>
      <w:r>
        <w:rPr>
          <w:rFonts w:hint="eastAsia"/>
        </w:rPr>
        <w:t>1993年12月，位于涟水县县城中的涟漪湖被列为省级自然保护区，涟漪</w:t>
      </w:r>
      <w:r>
        <w:rPr>
          <w:rFonts w:hint="eastAsia"/>
          <w:lang w:eastAsia="zh-CN"/>
        </w:rPr>
        <w:t>湖中</w:t>
      </w:r>
      <w:r>
        <w:rPr>
          <w:rFonts w:hint="eastAsia"/>
        </w:rPr>
        <w:t>有岛，每到春季，数万只国家二级保护动物黄嘴白鹭成群结队飞至涟水觅食栖息。</w:t>
      </w:r>
    </w:p>
    <w:p w14:paraId="2839A2D7">
      <w:pPr>
        <w:pStyle w:val="93"/>
      </w:pPr>
      <w:r>
        <w:rPr>
          <w:rFonts w:hint="eastAsia"/>
        </w:rPr>
        <w:t>涟漪湖自然保护区总面积约34.33公顷，主要保护对象为黄嘴白鹭，规划范围北至常青路、西至淮浦路及引河、南至中山路及涟漪东路、东至涟漪东湖以东50m，其环境空气功能规划为一类区。该保护区位于本项目西南侧约7.4公里，受本项目影响较小。</w:t>
      </w:r>
    </w:p>
    <w:p w14:paraId="4628D2D8">
      <w:pPr>
        <w:pStyle w:val="93"/>
      </w:pPr>
      <w:r>
        <w:rPr>
          <w:rFonts w:hint="eastAsia"/>
        </w:rPr>
        <w:t>经资料查询及现场调查，项目用地周边未发现珍稀植物资源和古树名木分布，未发现国家和江苏省保护动物分布；无水产种</w:t>
      </w:r>
      <w:r>
        <w:rPr>
          <w:rFonts w:hint="eastAsia"/>
          <w:lang w:val="en-US"/>
        </w:rPr>
        <w:t>质</w:t>
      </w:r>
      <w:r>
        <w:rPr>
          <w:rFonts w:hint="eastAsia"/>
        </w:rPr>
        <w:t>资源保护区等。本项目所在地区及评价范围内没有风景名胜及古迹等重要保护目标。</w:t>
      </w:r>
    </w:p>
    <w:p w14:paraId="272D7FE9">
      <w:pPr>
        <w:pStyle w:val="84"/>
      </w:pPr>
      <w:r>
        <w:rPr>
          <w:rFonts w:hint="eastAsia"/>
        </w:rPr>
        <w:t>生态空间管控区概况</w:t>
      </w:r>
    </w:p>
    <w:p w14:paraId="1790E683">
      <w:pPr>
        <w:pStyle w:val="93"/>
      </w:pPr>
      <w:r>
        <w:rPr>
          <w:rFonts w:hint="eastAsia"/>
        </w:rPr>
        <w:t>本工程厂址位于涟水县朱码街道高台村，根据《省政府关于印发江苏省国家级生态保护红线规划的通知》（苏政发〔2018〕74号）、《省政府关于印发江苏省生态空间管控区域规划的通知》（苏政发〔2020〕1号）以及《淮安市人民政府关于印发淮安市“三线一单”生态环境分区管控方案的通知》（淮政发〔2020〕16号），本项目评价范围内无国家级生态保护红线分布，本项目不占用江苏省生态空间管控区，项目选址不在淮安市优先保护单元（生态保护红线、生态空间管控区域）范围。</w:t>
      </w:r>
    </w:p>
    <w:p w14:paraId="2CE7F367">
      <w:pPr>
        <w:ind w:firstLine="480"/>
      </w:pPr>
      <w:r>
        <w:rPr>
          <w:rFonts w:hint="eastAsia"/>
        </w:rPr>
        <w:t xml:space="preserve"> </w:t>
      </w:r>
    </w:p>
    <w:p w14:paraId="597178A7">
      <w:pPr>
        <w:ind w:firstLine="482"/>
        <w:rPr>
          <w:b/>
          <w:bCs/>
        </w:rPr>
      </w:pPr>
      <w:r>
        <w:rPr>
          <w:rFonts w:hint="eastAsia"/>
          <w:b/>
          <w:bCs/>
        </w:rPr>
        <w:t xml:space="preserve"> </w:t>
      </w:r>
    </w:p>
    <w:p w14:paraId="013FFD96">
      <w:pPr>
        <w:ind w:firstLine="482"/>
        <w:rPr>
          <w:b/>
          <w:bCs/>
        </w:rPr>
        <w:sectPr>
          <w:pgSz w:w="11905" w:h="16838"/>
          <w:pgMar w:top="1440" w:right="1800" w:bottom="1440" w:left="1800" w:header="851" w:footer="992" w:gutter="0"/>
          <w:cols w:space="720" w:num="1"/>
          <w:docGrid w:type="lines" w:linePitch="332" w:charSpace="0"/>
        </w:sectPr>
      </w:pPr>
    </w:p>
    <w:p w14:paraId="22193F23">
      <w:pPr>
        <w:pStyle w:val="84"/>
      </w:pPr>
      <w:r>
        <w:rPr>
          <w:rFonts w:hint="eastAsia"/>
        </w:rPr>
        <w:t>生态现状调查结论</w:t>
      </w:r>
    </w:p>
    <w:p w14:paraId="3D97ED2B">
      <w:pPr>
        <w:pStyle w:val="93"/>
      </w:pPr>
      <w:r>
        <w:rPr>
          <w:rFonts w:hint="eastAsia"/>
        </w:rPr>
        <w:t>由于近年来人类活动的加剧，周边的天然植物大多数被人工种植植被代替。项目范围内未见挂牌古木名树及珍稀保护动植物。拟建项目范围内主要是耕地。评价范围内主要利用现状以耕地、住宅用地、工业用地、河流等为主。</w:t>
      </w:r>
    </w:p>
    <w:p w14:paraId="08726118">
      <w:pPr>
        <w:pStyle w:val="93"/>
      </w:pPr>
      <w:r>
        <w:rPr>
          <w:rFonts w:hint="eastAsia"/>
        </w:rPr>
        <w:t>本工程厂址位于涟水县朱码街道高台村，根据《省政府关于印发江苏省国家级生态保护红线规划的通知》（苏政发〔2018〕74号）、《省政府关于印发江苏省生态空间管控区域规划的通知》（苏政发〔2020〕1号）以及《淮安市人民政府关于印发淮安市“三线一单”生态环境分区管控方案的通知》（淮政发〔2020〕16号），本项目评价范围内无国家级生态保护红线分布，本项目不占用江苏省生态空间管控区，项目选址不在淮安市优先保护单元（生态保护红线、生态空间管控区域）范围。</w:t>
      </w:r>
    </w:p>
    <w:p w14:paraId="27037A5C">
      <w:pPr>
        <w:spacing w:line="240" w:lineRule="auto"/>
        <w:ind w:firstLine="0" w:firstLineChars="0"/>
        <w:rPr>
          <w:lang w:val="zh-CN"/>
        </w:rPr>
      </w:pPr>
      <w:r>
        <w:rPr>
          <w:rFonts w:hint="eastAsia"/>
        </w:rPr>
        <w:br w:type="page"/>
      </w:r>
    </w:p>
    <w:p w14:paraId="4B79EE71">
      <w:pPr>
        <w:pStyle w:val="76"/>
      </w:pPr>
      <w:bookmarkStart w:id="261" w:name="_Toc27791"/>
      <w:bookmarkEnd w:id="261"/>
      <w:bookmarkStart w:id="262" w:name="_Toc816"/>
      <w:bookmarkStart w:id="263" w:name="_Toc182171821"/>
      <w:r>
        <w:rPr>
          <w:rFonts w:hint="eastAsia"/>
        </w:rPr>
        <w:t>环境影响预测与评价</w:t>
      </w:r>
      <w:bookmarkEnd w:id="262"/>
      <w:bookmarkEnd w:id="263"/>
      <w:bookmarkStart w:id="264" w:name="_Toc1616"/>
      <w:bookmarkEnd w:id="264"/>
      <w:bookmarkStart w:id="265" w:name="_Toc7651"/>
      <w:bookmarkEnd w:id="265"/>
      <w:bookmarkStart w:id="266" w:name="_Toc7454"/>
      <w:bookmarkEnd w:id="266"/>
    </w:p>
    <w:p w14:paraId="1FBD48C8">
      <w:pPr>
        <w:pStyle w:val="80"/>
      </w:pPr>
      <w:bookmarkStart w:id="267" w:name="_Toc7125"/>
      <w:bookmarkEnd w:id="267"/>
      <w:bookmarkStart w:id="268" w:name="_Toc182171822"/>
      <w:bookmarkStart w:id="269" w:name="_Toc24739"/>
      <w:r>
        <w:rPr>
          <w:rFonts w:hint="eastAsia"/>
        </w:rPr>
        <w:t>施工期影响分析</w:t>
      </w:r>
      <w:bookmarkEnd w:id="268"/>
      <w:bookmarkEnd w:id="269"/>
    </w:p>
    <w:p w14:paraId="3B9DF16E">
      <w:pPr>
        <w:pStyle w:val="82"/>
      </w:pPr>
      <w:r>
        <w:rPr>
          <w:rFonts w:hint="eastAsia"/>
        </w:rPr>
        <w:t>废气影响预测与评价</w:t>
      </w:r>
    </w:p>
    <w:p w14:paraId="3543DB75">
      <w:pPr>
        <w:pStyle w:val="84"/>
      </w:pPr>
      <w:r>
        <w:rPr>
          <w:rFonts w:hint="eastAsia"/>
        </w:rPr>
        <w:t>施工粉尘</w:t>
      </w:r>
    </w:p>
    <w:p w14:paraId="0746F0D2">
      <w:pPr>
        <w:pStyle w:val="93"/>
      </w:pPr>
      <w:r>
        <w:rPr>
          <w:rFonts w:hint="eastAsia"/>
        </w:rPr>
        <w:t>（1）来源</w:t>
      </w:r>
    </w:p>
    <w:p w14:paraId="47916F8C">
      <w:pPr>
        <w:pStyle w:val="93"/>
      </w:pPr>
      <w:r>
        <w:rPr>
          <w:rFonts w:hint="eastAsia"/>
        </w:rPr>
        <w:t>施工期环境空气影响主要是施工扬尘。施工扬尘来源主要是土方的挖掘、场地平整、建筑材料装卸和堆放、混凝土搅拌、车辆往来等。本项目涉及大量的土方挖掘，以及车辆往来运输，扬尘会对当地的环境空气造成影响。污染因子主要为TSP。</w:t>
      </w:r>
    </w:p>
    <w:p w14:paraId="31711DBC">
      <w:pPr>
        <w:pStyle w:val="93"/>
      </w:pPr>
      <w:r>
        <w:rPr>
          <w:rFonts w:hint="eastAsia"/>
        </w:rPr>
        <w:t>施工扬尘的起尘量与许多因素有关，挖土机等在工作时的起尘量与挖坑深度、挖土机抓斗与地面的相对高度、风速、土壤的颗粒度、土壤含水量等因素有关。对于渣土堆场而言，起尘量还与堆放方式、起动风速及堆场有无防护措施等有关。国内外的研究结果和类比调查表明，影响起尘量的主要因素分别为：防护措施、风速、土壤湿度、挖土方式或土堆的堆放方式等。此外，道路的扬尘量与车辆的行驶速度有关，速度越快，其扬尘量也越大。</w:t>
      </w:r>
    </w:p>
    <w:p w14:paraId="5B8E80E6">
      <w:pPr>
        <w:pStyle w:val="93"/>
      </w:pPr>
      <w:r>
        <w:rPr>
          <w:rFonts w:hint="eastAsia"/>
        </w:rPr>
        <w:t>（2）影响分析</w:t>
      </w:r>
    </w:p>
    <w:p w14:paraId="04F3DBF6">
      <w:pPr>
        <w:pStyle w:val="93"/>
      </w:pPr>
      <w:r>
        <w:rPr>
          <w:rFonts w:hint="eastAsia"/>
        </w:rPr>
        <w:t>施工过程中，扬尘影响最大的环节为挖土、露天堆放和车辆运输。</w:t>
      </w:r>
    </w:p>
    <w:p w14:paraId="1A4A2F22">
      <w:pPr>
        <w:pStyle w:val="93"/>
      </w:pPr>
      <w:r>
        <w:rPr>
          <w:rFonts w:hint="eastAsia" w:ascii="宋体" w:hAnsi="宋体" w:eastAsia="宋体" w:cs="宋体"/>
        </w:rPr>
        <w:t>①</w:t>
      </w:r>
      <w:r>
        <w:rPr>
          <w:rFonts w:hint="eastAsia"/>
        </w:rPr>
        <w:t>土方挖掘</w:t>
      </w:r>
    </w:p>
    <w:p w14:paraId="2AFED8C2">
      <w:pPr>
        <w:pStyle w:val="93"/>
      </w:pPr>
      <w:r>
        <w:rPr>
          <w:rFonts w:hint="eastAsia"/>
        </w:rPr>
        <w:t>据有关资料统计，当工程挖土方量为400t/d时，其扬尘（TSP）对环境空气的影响较大，一般其影响范围在500m左右，近距离TSP浓度超过二级标准几倍至十几倍，但在600m左右均可达到二级标准。</w:t>
      </w:r>
    </w:p>
    <w:p w14:paraId="0DCE672B">
      <w:pPr>
        <w:pStyle w:val="93"/>
      </w:pPr>
      <w:r>
        <w:rPr>
          <w:rFonts w:hint="eastAsia" w:ascii="宋体" w:hAnsi="宋体" w:eastAsia="宋体" w:cs="宋体"/>
        </w:rPr>
        <w:t>②</w:t>
      </w:r>
      <w:r>
        <w:rPr>
          <w:rFonts w:hint="eastAsia"/>
        </w:rPr>
        <w:t>露天堆放</w:t>
      </w:r>
    </w:p>
    <w:p w14:paraId="4258842F">
      <w:pPr>
        <w:pStyle w:val="93"/>
      </w:pPr>
      <w:r>
        <w:rPr>
          <w:rFonts w:hint="eastAsia"/>
        </w:rPr>
        <w:t>露天堆放扬尘受作业时风速的影响。</w:t>
      </w:r>
      <w:r>
        <w:rPr>
          <w:rFonts w:hint="eastAsia"/>
          <w:lang w:eastAsia="zh-CN"/>
        </w:rPr>
        <w:t>对比</w:t>
      </w:r>
      <w:r>
        <w:rPr>
          <w:rFonts w:hint="eastAsia"/>
        </w:rPr>
        <w:t>相关实测资料，在风速3.6m/s时，施工现场下风向不同距离的扬尘浓度见表5.1-1。在自由风场中，施工扬尘可在150m范围内超过GB3095-1996《环境空气质量标准》中二级标准，对空气质量环境可造成不利影响；150m范围外，一般不会有大的影响。</w:t>
      </w:r>
    </w:p>
    <w:p w14:paraId="58D3D551">
      <w:pPr>
        <w:pStyle w:val="86"/>
      </w:pPr>
      <w:r>
        <w:rPr>
          <w:rFonts w:hint="eastAsia"/>
        </w:rPr>
        <w:t>施工现场下风向不同距离处的扬尘浓度 （单位：mg/m</w:t>
      </w:r>
      <w:r>
        <w:rPr>
          <w:rFonts w:hint="eastAsia"/>
          <w:vertAlign w:val="superscript"/>
        </w:rPr>
        <w:t>3</w:t>
      </w:r>
      <w:r>
        <w:rPr>
          <w:rFonts w:hint="eastAsia"/>
        </w:rPr>
        <w:t>）</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1401"/>
        <w:gridCol w:w="1401"/>
        <w:gridCol w:w="1401"/>
        <w:gridCol w:w="1401"/>
        <w:gridCol w:w="1415"/>
      </w:tblGrid>
      <w:tr w14:paraId="5F50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1" w:type="pct"/>
            <w:vAlign w:val="center"/>
          </w:tcPr>
          <w:p w14:paraId="51AB60E3">
            <w:pPr>
              <w:pStyle w:val="196"/>
            </w:pPr>
            <w:r>
              <w:rPr>
                <w:rFonts w:hint="eastAsia"/>
              </w:rPr>
              <w:t>距离</w:t>
            </w:r>
          </w:p>
        </w:tc>
        <w:tc>
          <w:tcPr>
            <w:tcW w:w="822" w:type="pct"/>
            <w:vAlign w:val="center"/>
          </w:tcPr>
          <w:p w14:paraId="36B0C3D9">
            <w:pPr>
              <w:pStyle w:val="196"/>
            </w:pPr>
            <w:r>
              <w:rPr>
                <w:rFonts w:hint="eastAsia"/>
              </w:rPr>
              <w:t>1m</w:t>
            </w:r>
          </w:p>
        </w:tc>
        <w:tc>
          <w:tcPr>
            <w:tcW w:w="822" w:type="pct"/>
            <w:vAlign w:val="center"/>
          </w:tcPr>
          <w:p w14:paraId="36563E70">
            <w:pPr>
              <w:pStyle w:val="196"/>
            </w:pPr>
            <w:r>
              <w:rPr>
                <w:rFonts w:hint="eastAsia"/>
              </w:rPr>
              <w:t>25m</w:t>
            </w:r>
          </w:p>
        </w:tc>
        <w:tc>
          <w:tcPr>
            <w:tcW w:w="822" w:type="pct"/>
            <w:vAlign w:val="center"/>
          </w:tcPr>
          <w:p w14:paraId="25A62A07">
            <w:pPr>
              <w:pStyle w:val="196"/>
            </w:pPr>
            <w:r>
              <w:rPr>
                <w:rFonts w:hint="eastAsia"/>
              </w:rPr>
              <w:t>50m</w:t>
            </w:r>
          </w:p>
        </w:tc>
        <w:tc>
          <w:tcPr>
            <w:tcW w:w="822" w:type="pct"/>
            <w:vAlign w:val="center"/>
          </w:tcPr>
          <w:p w14:paraId="72A71220">
            <w:pPr>
              <w:pStyle w:val="196"/>
            </w:pPr>
            <w:r>
              <w:rPr>
                <w:rFonts w:hint="eastAsia"/>
              </w:rPr>
              <w:t>80m</w:t>
            </w:r>
          </w:p>
        </w:tc>
        <w:tc>
          <w:tcPr>
            <w:tcW w:w="830" w:type="pct"/>
            <w:vAlign w:val="center"/>
          </w:tcPr>
          <w:p w14:paraId="0E6F4FB0">
            <w:pPr>
              <w:pStyle w:val="196"/>
            </w:pPr>
            <w:r>
              <w:rPr>
                <w:rFonts w:hint="eastAsia"/>
              </w:rPr>
              <w:t>150m</w:t>
            </w:r>
          </w:p>
        </w:tc>
      </w:tr>
      <w:tr w14:paraId="727C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1" w:type="pct"/>
            <w:vAlign w:val="center"/>
          </w:tcPr>
          <w:p w14:paraId="383D692A">
            <w:pPr>
              <w:pStyle w:val="196"/>
            </w:pPr>
            <w:r>
              <w:rPr>
                <w:rFonts w:hint="eastAsia"/>
              </w:rPr>
              <w:t>TSP</w:t>
            </w:r>
          </w:p>
        </w:tc>
        <w:tc>
          <w:tcPr>
            <w:tcW w:w="822" w:type="pct"/>
            <w:vAlign w:val="center"/>
          </w:tcPr>
          <w:p w14:paraId="26F84202">
            <w:pPr>
              <w:pStyle w:val="196"/>
            </w:pPr>
            <w:r>
              <w:rPr>
                <w:rFonts w:hint="eastAsia"/>
              </w:rPr>
              <w:t>3.744</w:t>
            </w:r>
          </w:p>
        </w:tc>
        <w:tc>
          <w:tcPr>
            <w:tcW w:w="822" w:type="pct"/>
            <w:vAlign w:val="center"/>
          </w:tcPr>
          <w:p w14:paraId="1D0900B9">
            <w:pPr>
              <w:pStyle w:val="196"/>
            </w:pPr>
            <w:r>
              <w:rPr>
                <w:rFonts w:hint="eastAsia"/>
              </w:rPr>
              <w:t>1.630</w:t>
            </w:r>
          </w:p>
        </w:tc>
        <w:tc>
          <w:tcPr>
            <w:tcW w:w="822" w:type="pct"/>
            <w:vAlign w:val="center"/>
          </w:tcPr>
          <w:p w14:paraId="7D6D834F">
            <w:pPr>
              <w:pStyle w:val="196"/>
            </w:pPr>
            <w:r>
              <w:rPr>
                <w:rFonts w:hint="eastAsia"/>
              </w:rPr>
              <w:t>0.785</w:t>
            </w:r>
          </w:p>
        </w:tc>
        <w:tc>
          <w:tcPr>
            <w:tcW w:w="822" w:type="pct"/>
            <w:vAlign w:val="center"/>
          </w:tcPr>
          <w:p w14:paraId="6D536030">
            <w:pPr>
              <w:pStyle w:val="196"/>
            </w:pPr>
            <w:r>
              <w:rPr>
                <w:rFonts w:hint="eastAsia"/>
              </w:rPr>
              <w:t>0.496</w:t>
            </w:r>
          </w:p>
        </w:tc>
        <w:tc>
          <w:tcPr>
            <w:tcW w:w="830" w:type="pct"/>
            <w:vAlign w:val="center"/>
          </w:tcPr>
          <w:p w14:paraId="329E0042">
            <w:pPr>
              <w:pStyle w:val="196"/>
            </w:pPr>
            <w:r>
              <w:rPr>
                <w:rFonts w:hint="eastAsia"/>
              </w:rPr>
              <w:t>0.246</w:t>
            </w:r>
          </w:p>
        </w:tc>
      </w:tr>
    </w:tbl>
    <w:p w14:paraId="348563E1">
      <w:pPr>
        <w:pStyle w:val="93"/>
      </w:pPr>
      <w:r>
        <w:rPr>
          <w:rFonts w:hint="eastAsia" w:ascii="宋体" w:hAnsi="宋体" w:eastAsia="宋体" w:cs="宋体"/>
        </w:rPr>
        <w:t>③</w:t>
      </w:r>
      <w:r>
        <w:rPr>
          <w:rFonts w:hint="eastAsia"/>
        </w:rPr>
        <w:t>车辆运输</w:t>
      </w:r>
    </w:p>
    <w:p w14:paraId="7C556ECC">
      <w:pPr>
        <w:pStyle w:val="93"/>
      </w:pPr>
      <w:r>
        <w:rPr>
          <w:rFonts w:hint="eastAsia"/>
        </w:rPr>
        <w:t>施工期车辆运输过程产生的扬尘约占扬尘总量的60％，一般情况下，施工场地、施工道路在自然风作用下产生的扬尘所影响的范围在100m以内。如果在施工期间对车辆行驶的路面实施洒水抑尘，每天洒水4</w:t>
      </w:r>
      <w:r>
        <w:rPr>
          <w:rFonts w:hint="eastAsia"/>
          <w:lang w:eastAsia="zh-CN"/>
        </w:rPr>
        <w:t>～</w:t>
      </w:r>
      <w:r>
        <w:rPr>
          <w:rFonts w:hint="eastAsia"/>
        </w:rPr>
        <w:t>5次，可使扬尘减少70％左右，将有效控制施工扬尘对周围环境空气的影响。表5.1-2为施工场地洒水抑尘的试验结果。</w:t>
      </w:r>
    </w:p>
    <w:p w14:paraId="748893EC">
      <w:pPr>
        <w:pStyle w:val="86"/>
      </w:pPr>
      <w:r>
        <w:rPr>
          <w:rFonts w:hint="eastAsia"/>
        </w:rPr>
        <w:t>施工期场地洒水抑尘试验结果</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062"/>
        <w:gridCol w:w="1081"/>
        <w:gridCol w:w="1043"/>
        <w:gridCol w:w="1043"/>
        <w:gridCol w:w="1043"/>
        <w:gridCol w:w="1043"/>
      </w:tblGrid>
      <w:tr w14:paraId="2A77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91" w:type="pct"/>
            <w:gridSpan w:val="2"/>
            <w:vAlign w:val="center"/>
          </w:tcPr>
          <w:p w14:paraId="369FC2D7">
            <w:pPr>
              <w:pStyle w:val="196"/>
            </w:pPr>
            <w:r>
              <w:rPr>
                <w:rFonts w:hint="eastAsia"/>
              </w:rPr>
              <w:t>距离</w:t>
            </w:r>
            <w:r>
              <w:rPr>
                <w:rFonts w:hint="eastAsia"/>
                <w:lang w:eastAsia="zh-CN"/>
              </w:rPr>
              <w:t>（</w:t>
            </w:r>
            <w:r>
              <w:rPr>
                <w:rFonts w:hint="eastAsia"/>
              </w:rPr>
              <w:t>m</w:t>
            </w:r>
            <w:r>
              <w:rPr>
                <w:rFonts w:hint="eastAsia"/>
                <w:lang w:eastAsia="zh-CN"/>
              </w:rPr>
              <w:t>）</w:t>
            </w:r>
          </w:p>
        </w:tc>
        <w:tc>
          <w:tcPr>
            <w:tcW w:w="627" w:type="pct"/>
            <w:vAlign w:val="center"/>
          </w:tcPr>
          <w:p w14:paraId="2A02808F">
            <w:pPr>
              <w:pStyle w:val="196"/>
            </w:pPr>
            <w:r>
              <w:rPr>
                <w:rFonts w:hint="eastAsia"/>
              </w:rPr>
              <w:t>5</w:t>
            </w:r>
          </w:p>
        </w:tc>
        <w:tc>
          <w:tcPr>
            <w:tcW w:w="627" w:type="pct"/>
            <w:vAlign w:val="center"/>
          </w:tcPr>
          <w:p w14:paraId="3D0AA83E">
            <w:pPr>
              <w:pStyle w:val="196"/>
            </w:pPr>
            <w:r>
              <w:rPr>
                <w:rFonts w:hint="eastAsia"/>
              </w:rPr>
              <w:t>20</w:t>
            </w:r>
          </w:p>
        </w:tc>
        <w:tc>
          <w:tcPr>
            <w:tcW w:w="627" w:type="pct"/>
            <w:vAlign w:val="center"/>
          </w:tcPr>
          <w:p w14:paraId="5CE53880">
            <w:pPr>
              <w:pStyle w:val="196"/>
            </w:pPr>
            <w:r>
              <w:rPr>
                <w:rFonts w:hint="eastAsia"/>
              </w:rPr>
              <w:t>50</w:t>
            </w:r>
          </w:p>
        </w:tc>
        <w:tc>
          <w:tcPr>
            <w:tcW w:w="627" w:type="pct"/>
            <w:vAlign w:val="center"/>
          </w:tcPr>
          <w:p w14:paraId="60B56881">
            <w:pPr>
              <w:pStyle w:val="196"/>
            </w:pPr>
            <w:r>
              <w:rPr>
                <w:rFonts w:hint="eastAsia"/>
              </w:rPr>
              <w:t>100</w:t>
            </w:r>
          </w:p>
        </w:tc>
      </w:tr>
      <w:tr w14:paraId="3038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841" w:type="pct"/>
            <w:vMerge w:val="restart"/>
            <w:vAlign w:val="center"/>
          </w:tcPr>
          <w:p w14:paraId="34418244">
            <w:pPr>
              <w:pStyle w:val="196"/>
            </w:pPr>
            <w:r>
              <w:rPr>
                <w:rFonts w:hint="eastAsia"/>
              </w:rPr>
              <w:t>TSP小时平均浓度</w:t>
            </w:r>
            <w:r>
              <w:rPr>
                <w:rFonts w:hint="eastAsia"/>
                <w:lang w:eastAsia="zh-CN"/>
              </w:rPr>
              <w:t>（</w:t>
            </w:r>
            <w:r>
              <w:rPr>
                <w:rFonts w:hint="eastAsia"/>
              </w:rPr>
              <w:t>mg/m</w:t>
            </w:r>
            <w:r>
              <w:rPr>
                <w:rFonts w:hint="eastAsia"/>
                <w:vertAlign w:val="superscript"/>
              </w:rPr>
              <w:t>3</w:t>
            </w:r>
            <w:r>
              <w:rPr>
                <w:rFonts w:hint="eastAsia"/>
                <w:vertAlign w:val="superscript"/>
                <w:lang w:eastAsia="zh-CN"/>
              </w:rPr>
              <w:t>）</w:t>
            </w:r>
          </w:p>
        </w:tc>
        <w:tc>
          <w:tcPr>
            <w:tcW w:w="650" w:type="pct"/>
            <w:vAlign w:val="center"/>
          </w:tcPr>
          <w:p w14:paraId="502F3B66">
            <w:pPr>
              <w:pStyle w:val="196"/>
            </w:pPr>
            <w:r>
              <w:rPr>
                <w:rFonts w:hint="eastAsia"/>
              </w:rPr>
              <w:t>不洒水</w:t>
            </w:r>
          </w:p>
        </w:tc>
        <w:tc>
          <w:tcPr>
            <w:tcW w:w="627" w:type="pct"/>
            <w:vAlign w:val="center"/>
          </w:tcPr>
          <w:p w14:paraId="3F06A9F2">
            <w:pPr>
              <w:pStyle w:val="196"/>
            </w:pPr>
            <w:r>
              <w:rPr>
                <w:rFonts w:hint="eastAsia"/>
              </w:rPr>
              <w:t>10.14</w:t>
            </w:r>
          </w:p>
        </w:tc>
        <w:tc>
          <w:tcPr>
            <w:tcW w:w="627" w:type="pct"/>
            <w:vAlign w:val="center"/>
          </w:tcPr>
          <w:p w14:paraId="7DB28659">
            <w:pPr>
              <w:pStyle w:val="196"/>
            </w:pPr>
            <w:r>
              <w:rPr>
                <w:rFonts w:hint="eastAsia"/>
              </w:rPr>
              <w:t>2.89</w:t>
            </w:r>
          </w:p>
        </w:tc>
        <w:tc>
          <w:tcPr>
            <w:tcW w:w="627" w:type="pct"/>
            <w:vAlign w:val="center"/>
          </w:tcPr>
          <w:p w14:paraId="44D8F194">
            <w:pPr>
              <w:pStyle w:val="196"/>
            </w:pPr>
            <w:r>
              <w:rPr>
                <w:rFonts w:hint="eastAsia"/>
              </w:rPr>
              <w:t>1.15</w:t>
            </w:r>
          </w:p>
        </w:tc>
        <w:tc>
          <w:tcPr>
            <w:tcW w:w="627" w:type="pct"/>
            <w:vAlign w:val="center"/>
          </w:tcPr>
          <w:p w14:paraId="51B88E4F">
            <w:pPr>
              <w:pStyle w:val="196"/>
            </w:pPr>
            <w:r>
              <w:rPr>
                <w:rFonts w:hint="eastAsia"/>
              </w:rPr>
              <w:t>0.86</w:t>
            </w:r>
          </w:p>
        </w:tc>
      </w:tr>
      <w:tr w14:paraId="00EA9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0" w:type="auto"/>
            <w:vMerge w:val="continue"/>
            <w:vAlign w:val="center"/>
          </w:tcPr>
          <w:p w14:paraId="7D01EAC1">
            <w:pPr>
              <w:pStyle w:val="196"/>
            </w:pPr>
          </w:p>
        </w:tc>
        <w:tc>
          <w:tcPr>
            <w:tcW w:w="650" w:type="pct"/>
            <w:vAlign w:val="center"/>
          </w:tcPr>
          <w:p w14:paraId="4D97E998">
            <w:pPr>
              <w:pStyle w:val="196"/>
            </w:pPr>
            <w:r>
              <w:rPr>
                <w:rFonts w:hint="eastAsia"/>
              </w:rPr>
              <w:t>洒水</w:t>
            </w:r>
          </w:p>
        </w:tc>
        <w:tc>
          <w:tcPr>
            <w:tcW w:w="627" w:type="pct"/>
            <w:vAlign w:val="center"/>
          </w:tcPr>
          <w:p w14:paraId="57E9533E">
            <w:pPr>
              <w:pStyle w:val="196"/>
            </w:pPr>
            <w:r>
              <w:rPr>
                <w:rFonts w:hint="eastAsia"/>
              </w:rPr>
              <w:t>2.0l</w:t>
            </w:r>
          </w:p>
        </w:tc>
        <w:tc>
          <w:tcPr>
            <w:tcW w:w="627" w:type="pct"/>
            <w:vAlign w:val="center"/>
          </w:tcPr>
          <w:p w14:paraId="2D2B685C">
            <w:pPr>
              <w:pStyle w:val="196"/>
            </w:pPr>
            <w:r>
              <w:rPr>
                <w:rFonts w:hint="eastAsia"/>
              </w:rPr>
              <w:t>1.40</w:t>
            </w:r>
          </w:p>
        </w:tc>
        <w:tc>
          <w:tcPr>
            <w:tcW w:w="627" w:type="pct"/>
            <w:vAlign w:val="center"/>
          </w:tcPr>
          <w:p w14:paraId="754F6E68">
            <w:pPr>
              <w:pStyle w:val="196"/>
            </w:pPr>
            <w:r>
              <w:rPr>
                <w:rFonts w:hint="eastAsia"/>
              </w:rPr>
              <w:t>0.67</w:t>
            </w:r>
          </w:p>
        </w:tc>
        <w:tc>
          <w:tcPr>
            <w:tcW w:w="627" w:type="pct"/>
            <w:vAlign w:val="center"/>
          </w:tcPr>
          <w:p w14:paraId="034B7596">
            <w:pPr>
              <w:pStyle w:val="196"/>
            </w:pPr>
            <w:r>
              <w:rPr>
                <w:rFonts w:hint="eastAsia"/>
              </w:rPr>
              <w:t>0.60</w:t>
            </w:r>
          </w:p>
        </w:tc>
      </w:tr>
    </w:tbl>
    <w:p w14:paraId="4344D46D">
      <w:pPr>
        <w:pStyle w:val="93"/>
      </w:pPr>
      <w:r>
        <w:rPr>
          <w:rFonts w:hint="eastAsia"/>
        </w:rPr>
        <w:t>由上表可知，每天洒水4</w:t>
      </w:r>
      <w:r>
        <w:rPr>
          <w:rFonts w:hint="eastAsia"/>
          <w:lang w:eastAsia="zh-CN"/>
        </w:rPr>
        <w:t>～</w:t>
      </w:r>
      <w:r>
        <w:rPr>
          <w:rFonts w:hint="eastAsia"/>
        </w:rPr>
        <w:t>5次进行抑尘，可有效地控制施工扬尘，可将TSP污染距离缩小到20</w:t>
      </w:r>
      <w:r>
        <w:rPr>
          <w:rFonts w:hint="eastAsia"/>
          <w:lang w:eastAsia="zh-CN"/>
        </w:rPr>
        <w:t>～</w:t>
      </w:r>
      <w:r>
        <w:rPr>
          <w:rFonts w:hint="eastAsia"/>
        </w:rPr>
        <w:t>50m范围内。</w:t>
      </w:r>
    </w:p>
    <w:p w14:paraId="429641E4">
      <w:pPr>
        <w:pStyle w:val="93"/>
      </w:pPr>
      <w:r>
        <w:rPr>
          <w:rFonts w:hint="eastAsia"/>
        </w:rPr>
        <w:t>（3）对敏感点的影响</w:t>
      </w:r>
    </w:p>
    <w:p w14:paraId="196AAEEF">
      <w:pPr>
        <w:ind w:firstLine="480"/>
      </w:pPr>
      <w:r>
        <w:rPr>
          <w:rFonts w:hint="eastAsia"/>
        </w:rPr>
        <w:t>根据类比资料，受施工扬尘影响的区域大约在150m范围内。</w:t>
      </w:r>
    </w:p>
    <w:p w14:paraId="2CC5B7E7">
      <w:pPr>
        <w:pStyle w:val="93"/>
      </w:pPr>
      <w:r>
        <w:rPr>
          <w:rFonts w:hint="eastAsia"/>
        </w:rPr>
        <w:t>施工期要求施工单位在施工场所及临时堆场静静围挡、道路硬化、堆料覆盖、洒水抑尘等措施，具体详见6.1.1章节施工期大气污染防治措施。施工期的影响是局部的、短期的，随着工程完工并投入运行消失。</w:t>
      </w:r>
    </w:p>
    <w:p w14:paraId="382CF1C9">
      <w:pPr>
        <w:pStyle w:val="84"/>
      </w:pPr>
      <w:bookmarkStart w:id="270" w:name="_Toc280957559"/>
      <w:bookmarkEnd w:id="270"/>
      <w:r>
        <w:rPr>
          <w:rFonts w:hint="eastAsia"/>
        </w:rPr>
        <w:t>运输车辆尾气</w:t>
      </w:r>
    </w:p>
    <w:p w14:paraId="2F446FD5">
      <w:pPr>
        <w:pStyle w:val="93"/>
      </w:pPr>
      <w:r>
        <w:rPr>
          <w:rFonts w:hint="eastAsia"/>
        </w:rPr>
        <w:t>施工期间将会有大量的车辆进出场址区，会有一定量的尾气排放。汽车尾气中的污染物主要有一氧化碳（CO）、碳氢化合物（HC）及氮氧化物（NOx），会对下风向和运输沿线区域产生不利影响，但影响很小。</w:t>
      </w:r>
    </w:p>
    <w:p w14:paraId="6F83009D">
      <w:pPr>
        <w:pStyle w:val="84"/>
      </w:pPr>
      <w:r>
        <w:rPr>
          <w:rFonts w:hint="eastAsia"/>
        </w:rPr>
        <w:t>运输砂石料粉尘、临时堆场粉尘</w:t>
      </w:r>
    </w:p>
    <w:p w14:paraId="0FBB76C2">
      <w:pPr>
        <w:pStyle w:val="93"/>
      </w:pPr>
      <w:r>
        <w:rPr>
          <w:rFonts w:hint="eastAsia"/>
        </w:rPr>
        <w:t>本项目施工期间公路砂石料运输、物料堆场等可能产生较大的扬尘，将对附近的大气环境带来不利的影响。评价要求施工单位在施工过程中采取设置围挡、施工现场洒水、加强路面喷洒和车辆清洗，出入口设置冲洗平台、沉淀池及冲洗设备，可以有效降低施工期施工扬尘、对沿线大气环境的影响，同时工程施工是暂时的，随着施工期的结束，这种影响也将随之结束。</w:t>
      </w:r>
    </w:p>
    <w:p w14:paraId="25C79D5C">
      <w:pPr>
        <w:pStyle w:val="84"/>
      </w:pPr>
      <w:r>
        <w:rPr>
          <w:rFonts w:hint="eastAsia"/>
        </w:rPr>
        <w:t>排泥场臭气</w:t>
      </w:r>
    </w:p>
    <w:p w14:paraId="75ECA4B1">
      <w:pPr>
        <w:pStyle w:val="93"/>
      </w:pPr>
      <w:r>
        <w:rPr>
          <w:rFonts w:hint="eastAsia"/>
        </w:rPr>
        <w:t>本项目在后方电厂厂区用地范围内低洼处布设1座排泥场，盐河河道疏浚底泥堆放于排泥场过程中将产生臭味，其主要成分为氨气、硫化氢、臭气。</w:t>
      </w:r>
    </w:p>
    <w:p w14:paraId="12770514">
      <w:pPr>
        <w:pStyle w:val="93"/>
      </w:pPr>
      <w:r>
        <w:rPr>
          <w:rFonts w:hint="eastAsia"/>
        </w:rPr>
        <w:t>本评价采用类比的方法说明堆存过程中的影响。采用类比实测资料的方法，对臭气影响范围和程度进行预测分析。类比对象选取在南京市秦淮河综合整治一期工程。在南京市秦淮河综合整治一期工程施工中，曾对秦淮河清淤段、天生桥河清淤段以及南河底泥堆放场附近的H</w:t>
      </w:r>
      <w:r>
        <w:rPr>
          <w:rFonts w:hint="eastAsia"/>
          <w:vertAlign w:val="subscript"/>
        </w:rPr>
        <w:t>2</w:t>
      </w:r>
      <w:r>
        <w:rPr>
          <w:rFonts w:hint="eastAsia"/>
        </w:rPr>
        <w:t>S、NH</w:t>
      </w:r>
      <w:r>
        <w:rPr>
          <w:rFonts w:hint="eastAsia"/>
          <w:vertAlign w:val="subscript"/>
        </w:rPr>
        <w:t>3</w:t>
      </w:r>
      <w:r>
        <w:rPr>
          <w:rFonts w:hint="eastAsia"/>
        </w:rPr>
        <w:t>、臭气浓度进行现场监测，监测结果见表5.1-3。</w:t>
      </w:r>
    </w:p>
    <w:p w14:paraId="7B0A7D98">
      <w:pPr>
        <w:pStyle w:val="86"/>
        <w:rPr>
          <w:bCs/>
        </w:rPr>
      </w:pPr>
      <w:r>
        <w:rPr>
          <w:rFonts w:hint="eastAsia"/>
        </w:rPr>
        <w:t>清淤段、堆放场 H</w:t>
      </w:r>
      <w:r>
        <w:rPr>
          <w:rFonts w:hint="eastAsia"/>
          <w:vertAlign w:val="subscript"/>
        </w:rPr>
        <w:t>2</w:t>
      </w:r>
      <w:r>
        <w:rPr>
          <w:rFonts w:hint="eastAsia"/>
        </w:rPr>
        <w:t>S、NH</w:t>
      </w:r>
      <w:r>
        <w:rPr>
          <w:rFonts w:hint="eastAsia"/>
          <w:vertAlign w:val="subscript"/>
        </w:rPr>
        <w:t>3</w:t>
      </w:r>
      <w:r>
        <w:rPr>
          <w:rFonts w:hint="eastAsia"/>
        </w:rPr>
        <w:t>、臭气浓度监测结果</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387"/>
        <w:gridCol w:w="1387"/>
        <w:gridCol w:w="1545"/>
        <w:gridCol w:w="1407"/>
        <w:gridCol w:w="1409"/>
      </w:tblGrid>
      <w:tr w14:paraId="27F4B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3" w:type="dxa"/>
            <w:gridSpan w:val="2"/>
            <w:tcBorders>
              <w:top w:val="single" w:color="auto" w:sz="4" w:space="0"/>
              <w:left w:val="single" w:color="auto" w:sz="4" w:space="0"/>
              <w:bottom w:val="single" w:color="auto" w:sz="4" w:space="0"/>
              <w:right w:val="single" w:color="auto" w:sz="4" w:space="0"/>
            </w:tcBorders>
            <w:vAlign w:val="center"/>
          </w:tcPr>
          <w:p w14:paraId="5C812C4C">
            <w:pPr>
              <w:pStyle w:val="196"/>
              <w:rPr>
                <w:b/>
                <w:bCs/>
              </w:rPr>
            </w:pPr>
            <w:r>
              <w:rPr>
                <w:rFonts w:hint="eastAsia"/>
                <w:b/>
                <w:bCs/>
              </w:rPr>
              <w:t>位置</w:t>
            </w:r>
          </w:p>
        </w:tc>
        <w:tc>
          <w:tcPr>
            <w:tcW w:w="1387" w:type="dxa"/>
            <w:tcBorders>
              <w:top w:val="single" w:color="auto" w:sz="4" w:space="0"/>
              <w:left w:val="single" w:color="auto" w:sz="4" w:space="0"/>
              <w:bottom w:val="single" w:color="auto" w:sz="4" w:space="0"/>
              <w:right w:val="single" w:color="auto" w:sz="4" w:space="0"/>
            </w:tcBorders>
            <w:vAlign w:val="center"/>
          </w:tcPr>
          <w:p w14:paraId="628D5804">
            <w:pPr>
              <w:pStyle w:val="196"/>
              <w:rPr>
                <w:b/>
                <w:bCs/>
              </w:rPr>
            </w:pPr>
            <w:r>
              <w:rPr>
                <w:rFonts w:hint="eastAsia"/>
                <w:b/>
                <w:bCs/>
              </w:rPr>
              <w:t>测点距清淤河段距离</w:t>
            </w:r>
          </w:p>
        </w:tc>
        <w:tc>
          <w:tcPr>
            <w:tcW w:w="1545" w:type="dxa"/>
            <w:tcBorders>
              <w:top w:val="single" w:color="auto" w:sz="4" w:space="0"/>
              <w:left w:val="single" w:color="auto" w:sz="4" w:space="0"/>
              <w:bottom w:val="single" w:color="auto" w:sz="4" w:space="0"/>
              <w:right w:val="single" w:color="auto" w:sz="4" w:space="0"/>
            </w:tcBorders>
            <w:vAlign w:val="center"/>
          </w:tcPr>
          <w:p w14:paraId="63768DAF">
            <w:pPr>
              <w:pStyle w:val="196"/>
              <w:rPr>
                <w:b/>
                <w:bCs/>
              </w:rPr>
            </w:pPr>
            <w:r>
              <w:rPr>
                <w:rFonts w:hint="eastAsia"/>
                <w:b/>
                <w:bCs/>
              </w:rPr>
              <w:t>NH</w:t>
            </w:r>
            <w:r>
              <w:rPr>
                <w:rFonts w:hint="eastAsia"/>
                <w:b/>
                <w:bCs/>
                <w:vertAlign w:val="subscript"/>
              </w:rPr>
              <w:t>3</w:t>
            </w:r>
            <w:r>
              <w:rPr>
                <w:rFonts w:hint="eastAsia"/>
                <w:b/>
                <w:bCs/>
                <w:vertAlign w:val="subscript"/>
                <w:lang w:eastAsia="zh-CN"/>
              </w:rPr>
              <w:t>(</w:t>
            </w:r>
            <w:r>
              <w:rPr>
                <w:rFonts w:hint="eastAsia"/>
                <w:b/>
                <w:bCs/>
              </w:rPr>
              <w:t>mg/m</w:t>
            </w:r>
            <w:r>
              <w:rPr>
                <w:rFonts w:hint="eastAsia"/>
                <w:b/>
                <w:bCs/>
                <w:vertAlign w:val="superscript"/>
              </w:rPr>
              <w:t>3</w:t>
            </w:r>
            <w:r>
              <w:rPr>
                <w:rFonts w:hint="eastAsia"/>
                <w:b/>
                <w:bCs/>
                <w:vertAlign w:val="superscript"/>
                <w:lang w:eastAsia="zh-CN"/>
              </w:rPr>
              <w:t>)</w:t>
            </w:r>
          </w:p>
        </w:tc>
        <w:tc>
          <w:tcPr>
            <w:tcW w:w="1407" w:type="dxa"/>
            <w:tcBorders>
              <w:top w:val="single" w:color="auto" w:sz="4" w:space="0"/>
              <w:left w:val="single" w:color="auto" w:sz="4" w:space="0"/>
              <w:bottom w:val="single" w:color="auto" w:sz="4" w:space="0"/>
              <w:right w:val="single" w:color="auto" w:sz="4" w:space="0"/>
            </w:tcBorders>
            <w:vAlign w:val="center"/>
          </w:tcPr>
          <w:p w14:paraId="5626528E">
            <w:pPr>
              <w:pStyle w:val="196"/>
              <w:rPr>
                <w:b/>
                <w:bCs/>
              </w:rPr>
            </w:pPr>
            <w:r>
              <w:rPr>
                <w:rFonts w:hint="eastAsia"/>
                <w:b/>
                <w:bCs/>
              </w:rPr>
              <w:t>H</w:t>
            </w:r>
            <w:r>
              <w:rPr>
                <w:rFonts w:hint="eastAsia"/>
                <w:b/>
                <w:bCs/>
                <w:vertAlign w:val="subscript"/>
              </w:rPr>
              <w:t>2</w:t>
            </w:r>
            <w:r>
              <w:rPr>
                <w:rFonts w:hint="eastAsia"/>
                <w:b/>
                <w:bCs/>
              </w:rPr>
              <w:t>S</w:t>
            </w:r>
            <w:r>
              <w:rPr>
                <w:rFonts w:hint="eastAsia"/>
                <w:b/>
                <w:bCs/>
                <w:lang w:eastAsia="zh-CN"/>
              </w:rPr>
              <w:t>(</w:t>
            </w:r>
            <w:r>
              <w:rPr>
                <w:rFonts w:hint="eastAsia"/>
                <w:b/>
                <w:bCs/>
              </w:rPr>
              <w:t>mg/m</w:t>
            </w:r>
            <w:r>
              <w:rPr>
                <w:rFonts w:hint="eastAsia"/>
                <w:b/>
                <w:bCs/>
                <w:vertAlign w:val="superscript"/>
              </w:rPr>
              <w:t>3</w:t>
            </w:r>
            <w:r>
              <w:rPr>
                <w:rFonts w:hint="eastAsia"/>
                <w:b/>
                <w:bCs/>
                <w:vertAlign w:val="superscript"/>
                <w:lang w:eastAsia="zh-CN"/>
              </w:rPr>
              <w:t>)</w:t>
            </w:r>
          </w:p>
        </w:tc>
        <w:tc>
          <w:tcPr>
            <w:tcW w:w="1409" w:type="dxa"/>
            <w:tcBorders>
              <w:top w:val="single" w:color="auto" w:sz="4" w:space="0"/>
              <w:left w:val="single" w:color="auto" w:sz="4" w:space="0"/>
              <w:bottom w:val="single" w:color="auto" w:sz="4" w:space="0"/>
              <w:right w:val="single" w:color="auto" w:sz="4" w:space="0"/>
            </w:tcBorders>
            <w:vAlign w:val="center"/>
          </w:tcPr>
          <w:p w14:paraId="173A0594">
            <w:pPr>
              <w:pStyle w:val="196"/>
              <w:rPr>
                <w:b/>
                <w:bCs/>
              </w:rPr>
            </w:pPr>
            <w:r>
              <w:rPr>
                <w:rFonts w:hint="eastAsia"/>
                <w:b/>
                <w:bCs/>
                <w:lang w:eastAsia="zh-CN"/>
              </w:rPr>
              <w:t>臭氧浓度</w:t>
            </w:r>
            <w:r>
              <w:rPr>
                <w:rFonts w:hint="eastAsia"/>
                <w:b/>
                <w:bCs/>
              </w:rPr>
              <w:t>（无量纲）</w:t>
            </w:r>
          </w:p>
        </w:tc>
      </w:tr>
      <w:tr w14:paraId="3146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Borders>
              <w:top w:val="single" w:color="auto" w:sz="4" w:space="0"/>
              <w:left w:val="single" w:color="auto" w:sz="4" w:space="0"/>
              <w:bottom w:val="single" w:color="auto" w:sz="4" w:space="0"/>
              <w:right w:val="single" w:color="auto" w:sz="4" w:space="0"/>
            </w:tcBorders>
            <w:vAlign w:val="center"/>
          </w:tcPr>
          <w:p w14:paraId="726F3A4B">
            <w:pPr>
              <w:pStyle w:val="196"/>
            </w:pPr>
            <w:r>
              <w:rPr>
                <w:rFonts w:hint="eastAsia"/>
              </w:rPr>
              <w:t>秦淮河清淤段</w:t>
            </w:r>
          </w:p>
        </w:tc>
        <w:tc>
          <w:tcPr>
            <w:tcW w:w="1387" w:type="dxa"/>
            <w:tcBorders>
              <w:top w:val="single" w:color="auto" w:sz="4" w:space="0"/>
              <w:left w:val="single" w:color="auto" w:sz="4" w:space="0"/>
              <w:bottom w:val="single" w:color="auto" w:sz="4" w:space="0"/>
              <w:right w:val="single" w:color="auto" w:sz="4" w:space="0"/>
            </w:tcBorders>
            <w:vAlign w:val="center"/>
          </w:tcPr>
          <w:p w14:paraId="301C537F">
            <w:pPr>
              <w:pStyle w:val="196"/>
            </w:pPr>
            <w:r>
              <w:rPr>
                <w:rFonts w:hint="eastAsia"/>
              </w:rPr>
              <w:t>清凉门大桥</w:t>
            </w:r>
          </w:p>
        </w:tc>
        <w:tc>
          <w:tcPr>
            <w:tcW w:w="1387" w:type="dxa"/>
            <w:tcBorders>
              <w:top w:val="single" w:color="auto" w:sz="4" w:space="0"/>
              <w:left w:val="single" w:color="auto" w:sz="4" w:space="0"/>
              <w:bottom w:val="single" w:color="auto" w:sz="4" w:space="0"/>
              <w:right w:val="single" w:color="auto" w:sz="4" w:space="0"/>
            </w:tcBorders>
            <w:vAlign w:val="center"/>
          </w:tcPr>
          <w:p w14:paraId="49BBF98A">
            <w:pPr>
              <w:pStyle w:val="196"/>
            </w:pPr>
            <w:r>
              <w:rPr>
                <w:rFonts w:hint="eastAsia"/>
              </w:rPr>
              <w:t>15</w:t>
            </w:r>
          </w:p>
        </w:tc>
        <w:tc>
          <w:tcPr>
            <w:tcW w:w="1545" w:type="dxa"/>
            <w:tcBorders>
              <w:top w:val="single" w:color="auto" w:sz="4" w:space="0"/>
              <w:left w:val="single" w:color="auto" w:sz="4" w:space="0"/>
              <w:bottom w:val="single" w:color="auto" w:sz="4" w:space="0"/>
              <w:right w:val="single" w:color="auto" w:sz="4" w:space="0"/>
            </w:tcBorders>
            <w:vAlign w:val="center"/>
          </w:tcPr>
          <w:p w14:paraId="4B610B22">
            <w:pPr>
              <w:pStyle w:val="196"/>
            </w:pPr>
            <w:r>
              <w:rPr>
                <w:rFonts w:hint="eastAsia"/>
              </w:rPr>
              <w:t>0.05~0.13</w:t>
            </w:r>
          </w:p>
        </w:tc>
        <w:tc>
          <w:tcPr>
            <w:tcW w:w="1407" w:type="dxa"/>
            <w:tcBorders>
              <w:top w:val="single" w:color="auto" w:sz="4" w:space="0"/>
              <w:left w:val="single" w:color="auto" w:sz="4" w:space="0"/>
              <w:bottom w:val="single" w:color="auto" w:sz="4" w:space="0"/>
              <w:right w:val="single" w:color="auto" w:sz="4" w:space="0"/>
            </w:tcBorders>
            <w:vAlign w:val="center"/>
          </w:tcPr>
          <w:p w14:paraId="64F4F5AF">
            <w:pPr>
              <w:pStyle w:val="196"/>
            </w:pPr>
            <w:r>
              <w:rPr>
                <w:rFonts w:hint="eastAsia"/>
              </w:rPr>
              <w:t>0.007</w:t>
            </w:r>
          </w:p>
        </w:tc>
        <w:tc>
          <w:tcPr>
            <w:tcW w:w="1409" w:type="dxa"/>
            <w:tcBorders>
              <w:top w:val="single" w:color="auto" w:sz="4" w:space="0"/>
              <w:left w:val="single" w:color="auto" w:sz="4" w:space="0"/>
              <w:bottom w:val="single" w:color="auto" w:sz="4" w:space="0"/>
              <w:right w:val="single" w:color="auto" w:sz="4" w:space="0"/>
            </w:tcBorders>
            <w:vAlign w:val="center"/>
          </w:tcPr>
          <w:p w14:paraId="24822EB7">
            <w:pPr>
              <w:pStyle w:val="196"/>
            </w:pPr>
            <w:r>
              <w:rPr>
                <w:rFonts w:hint="eastAsia"/>
              </w:rPr>
              <w:t>10~14</w:t>
            </w:r>
          </w:p>
        </w:tc>
      </w:tr>
      <w:tr w14:paraId="3F6E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Borders>
              <w:top w:val="single" w:color="auto" w:sz="4" w:space="0"/>
              <w:left w:val="single" w:color="auto" w:sz="4" w:space="0"/>
              <w:bottom w:val="single" w:color="auto" w:sz="4" w:space="0"/>
              <w:right w:val="single" w:color="auto" w:sz="4" w:space="0"/>
            </w:tcBorders>
            <w:vAlign w:val="center"/>
          </w:tcPr>
          <w:p w14:paraId="08AA05BA">
            <w:pPr>
              <w:pStyle w:val="196"/>
            </w:pPr>
            <w:r>
              <w:rPr>
                <w:rFonts w:hint="eastAsia"/>
              </w:rPr>
              <w:t>天生桥河清淤段</w:t>
            </w:r>
          </w:p>
        </w:tc>
        <w:tc>
          <w:tcPr>
            <w:tcW w:w="1387" w:type="dxa"/>
            <w:tcBorders>
              <w:top w:val="single" w:color="auto" w:sz="4" w:space="0"/>
              <w:left w:val="single" w:color="auto" w:sz="4" w:space="0"/>
              <w:bottom w:val="single" w:color="auto" w:sz="4" w:space="0"/>
              <w:right w:val="single" w:color="auto" w:sz="4" w:space="0"/>
            </w:tcBorders>
            <w:vAlign w:val="center"/>
          </w:tcPr>
          <w:p w14:paraId="7DAA68D7">
            <w:pPr>
              <w:pStyle w:val="196"/>
            </w:pPr>
            <w:r>
              <w:rPr>
                <w:rFonts w:hint="eastAsia"/>
              </w:rPr>
              <w:t>沙洲</w:t>
            </w:r>
          </w:p>
          <w:p w14:paraId="0D84E9C2">
            <w:pPr>
              <w:pStyle w:val="196"/>
            </w:pPr>
          </w:p>
        </w:tc>
        <w:tc>
          <w:tcPr>
            <w:tcW w:w="1387" w:type="dxa"/>
            <w:tcBorders>
              <w:top w:val="single" w:color="auto" w:sz="4" w:space="0"/>
              <w:left w:val="single" w:color="auto" w:sz="4" w:space="0"/>
              <w:bottom w:val="single" w:color="auto" w:sz="4" w:space="0"/>
              <w:right w:val="single" w:color="auto" w:sz="4" w:space="0"/>
            </w:tcBorders>
            <w:vAlign w:val="center"/>
          </w:tcPr>
          <w:p w14:paraId="3F086F73">
            <w:pPr>
              <w:pStyle w:val="196"/>
            </w:pPr>
            <w:r>
              <w:rPr>
                <w:rFonts w:hint="eastAsia"/>
              </w:rPr>
              <w:t>50</w:t>
            </w:r>
          </w:p>
        </w:tc>
        <w:tc>
          <w:tcPr>
            <w:tcW w:w="1545" w:type="dxa"/>
            <w:tcBorders>
              <w:top w:val="single" w:color="auto" w:sz="4" w:space="0"/>
              <w:left w:val="single" w:color="auto" w:sz="4" w:space="0"/>
              <w:bottom w:val="single" w:color="auto" w:sz="4" w:space="0"/>
              <w:right w:val="single" w:color="auto" w:sz="4" w:space="0"/>
            </w:tcBorders>
            <w:vAlign w:val="center"/>
          </w:tcPr>
          <w:p w14:paraId="41A85C8E">
            <w:pPr>
              <w:pStyle w:val="196"/>
            </w:pPr>
            <w:r>
              <w:rPr>
                <w:rFonts w:hint="eastAsia"/>
              </w:rPr>
              <w:t>0.03~0.15</w:t>
            </w:r>
          </w:p>
        </w:tc>
        <w:tc>
          <w:tcPr>
            <w:tcW w:w="1407" w:type="dxa"/>
            <w:tcBorders>
              <w:top w:val="single" w:color="auto" w:sz="4" w:space="0"/>
              <w:left w:val="single" w:color="auto" w:sz="4" w:space="0"/>
              <w:bottom w:val="single" w:color="auto" w:sz="4" w:space="0"/>
              <w:right w:val="single" w:color="auto" w:sz="4" w:space="0"/>
            </w:tcBorders>
            <w:vAlign w:val="center"/>
          </w:tcPr>
          <w:p w14:paraId="72F37BE4">
            <w:pPr>
              <w:pStyle w:val="196"/>
            </w:pPr>
            <w:r>
              <w:rPr>
                <w:rFonts w:hint="eastAsia"/>
              </w:rPr>
              <w:t>0.007</w:t>
            </w:r>
          </w:p>
        </w:tc>
        <w:tc>
          <w:tcPr>
            <w:tcW w:w="1409" w:type="dxa"/>
            <w:tcBorders>
              <w:top w:val="single" w:color="auto" w:sz="4" w:space="0"/>
              <w:left w:val="single" w:color="auto" w:sz="4" w:space="0"/>
              <w:bottom w:val="single" w:color="auto" w:sz="4" w:space="0"/>
              <w:right w:val="single" w:color="auto" w:sz="4" w:space="0"/>
            </w:tcBorders>
            <w:vAlign w:val="center"/>
          </w:tcPr>
          <w:p w14:paraId="01E4BE89">
            <w:pPr>
              <w:pStyle w:val="196"/>
            </w:pPr>
            <w:r>
              <w:rPr>
                <w:rFonts w:hint="eastAsia"/>
              </w:rPr>
              <w:t>10~20</w:t>
            </w:r>
          </w:p>
        </w:tc>
      </w:tr>
      <w:tr w14:paraId="612B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Borders>
              <w:top w:val="single" w:color="auto" w:sz="4" w:space="0"/>
              <w:left w:val="single" w:color="auto" w:sz="4" w:space="0"/>
              <w:bottom w:val="single" w:color="auto" w:sz="4" w:space="0"/>
              <w:right w:val="single" w:color="auto" w:sz="4" w:space="0"/>
            </w:tcBorders>
            <w:vAlign w:val="center"/>
          </w:tcPr>
          <w:p w14:paraId="0481D74A">
            <w:pPr>
              <w:pStyle w:val="196"/>
            </w:pPr>
            <w:r>
              <w:rPr>
                <w:rFonts w:hint="eastAsia"/>
              </w:rPr>
              <w:t>南河底泥堆放场</w:t>
            </w:r>
          </w:p>
        </w:tc>
        <w:tc>
          <w:tcPr>
            <w:tcW w:w="1387" w:type="dxa"/>
            <w:tcBorders>
              <w:top w:val="single" w:color="auto" w:sz="4" w:space="0"/>
              <w:left w:val="single" w:color="auto" w:sz="4" w:space="0"/>
              <w:bottom w:val="single" w:color="auto" w:sz="4" w:space="0"/>
              <w:right w:val="single" w:color="auto" w:sz="4" w:space="0"/>
            </w:tcBorders>
            <w:vAlign w:val="center"/>
          </w:tcPr>
          <w:p w14:paraId="042CDA59">
            <w:pPr>
              <w:pStyle w:val="196"/>
            </w:pPr>
            <w:r>
              <w:rPr>
                <w:rFonts w:hint="eastAsia"/>
              </w:rPr>
              <w:t>洪蓝桥</w:t>
            </w:r>
          </w:p>
        </w:tc>
        <w:tc>
          <w:tcPr>
            <w:tcW w:w="1387" w:type="dxa"/>
            <w:tcBorders>
              <w:top w:val="single" w:color="auto" w:sz="4" w:space="0"/>
              <w:left w:val="single" w:color="auto" w:sz="4" w:space="0"/>
              <w:bottom w:val="single" w:color="auto" w:sz="4" w:space="0"/>
              <w:right w:val="single" w:color="auto" w:sz="4" w:space="0"/>
            </w:tcBorders>
            <w:vAlign w:val="center"/>
          </w:tcPr>
          <w:p w14:paraId="47C13F1B">
            <w:pPr>
              <w:pStyle w:val="196"/>
            </w:pPr>
            <w:r>
              <w:rPr>
                <w:rFonts w:hint="eastAsia"/>
              </w:rPr>
              <w:t>15</w:t>
            </w:r>
          </w:p>
        </w:tc>
        <w:tc>
          <w:tcPr>
            <w:tcW w:w="1545" w:type="dxa"/>
            <w:tcBorders>
              <w:top w:val="single" w:color="auto" w:sz="4" w:space="0"/>
              <w:left w:val="single" w:color="auto" w:sz="4" w:space="0"/>
              <w:bottom w:val="single" w:color="auto" w:sz="4" w:space="0"/>
              <w:right w:val="single" w:color="auto" w:sz="4" w:space="0"/>
            </w:tcBorders>
            <w:vAlign w:val="center"/>
          </w:tcPr>
          <w:p w14:paraId="5B9EC02E">
            <w:pPr>
              <w:pStyle w:val="196"/>
            </w:pPr>
            <w:r>
              <w:rPr>
                <w:rFonts w:hint="eastAsia"/>
              </w:rPr>
              <w:t>0.04~0.10</w:t>
            </w:r>
          </w:p>
        </w:tc>
        <w:tc>
          <w:tcPr>
            <w:tcW w:w="1407" w:type="dxa"/>
            <w:tcBorders>
              <w:top w:val="single" w:color="auto" w:sz="4" w:space="0"/>
              <w:left w:val="single" w:color="auto" w:sz="4" w:space="0"/>
              <w:bottom w:val="single" w:color="auto" w:sz="4" w:space="0"/>
              <w:right w:val="single" w:color="auto" w:sz="4" w:space="0"/>
            </w:tcBorders>
            <w:vAlign w:val="center"/>
          </w:tcPr>
          <w:p w14:paraId="743F8896">
            <w:pPr>
              <w:pStyle w:val="196"/>
            </w:pPr>
            <w:r>
              <w:rPr>
                <w:rFonts w:hint="eastAsia"/>
              </w:rPr>
              <w:t>0.007</w:t>
            </w:r>
          </w:p>
        </w:tc>
        <w:tc>
          <w:tcPr>
            <w:tcW w:w="1409" w:type="dxa"/>
            <w:tcBorders>
              <w:top w:val="single" w:color="auto" w:sz="4" w:space="0"/>
              <w:left w:val="single" w:color="auto" w:sz="4" w:space="0"/>
              <w:bottom w:val="single" w:color="auto" w:sz="4" w:space="0"/>
              <w:right w:val="single" w:color="auto" w:sz="4" w:space="0"/>
            </w:tcBorders>
            <w:vAlign w:val="center"/>
          </w:tcPr>
          <w:p w14:paraId="4467E791">
            <w:pPr>
              <w:pStyle w:val="196"/>
            </w:pPr>
            <w:r>
              <w:rPr>
                <w:rFonts w:hint="eastAsia"/>
              </w:rPr>
              <w:t>10~20</w:t>
            </w:r>
          </w:p>
        </w:tc>
      </w:tr>
      <w:tr w14:paraId="281E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6" w:type="dxa"/>
            <w:tcBorders>
              <w:top w:val="single" w:color="auto" w:sz="4" w:space="0"/>
              <w:left w:val="single" w:color="auto" w:sz="4" w:space="0"/>
              <w:bottom w:val="single" w:color="auto" w:sz="4" w:space="0"/>
              <w:right w:val="single" w:color="auto" w:sz="4" w:space="0"/>
            </w:tcBorders>
            <w:vAlign w:val="center"/>
          </w:tcPr>
          <w:p w14:paraId="5A71D786">
            <w:pPr>
              <w:pStyle w:val="196"/>
            </w:pPr>
            <w:r>
              <w:rPr>
                <w:rFonts w:hint="eastAsia"/>
              </w:rPr>
              <w:t>二类区厂界标准值</w:t>
            </w:r>
          </w:p>
        </w:tc>
        <w:tc>
          <w:tcPr>
            <w:tcW w:w="1387" w:type="dxa"/>
            <w:tcBorders>
              <w:top w:val="single" w:color="auto" w:sz="4" w:space="0"/>
              <w:left w:val="single" w:color="auto" w:sz="4" w:space="0"/>
              <w:bottom w:val="single" w:color="auto" w:sz="4" w:space="0"/>
              <w:right w:val="single" w:color="auto" w:sz="4" w:space="0"/>
            </w:tcBorders>
            <w:vAlign w:val="center"/>
          </w:tcPr>
          <w:p w14:paraId="5C661641">
            <w:pPr>
              <w:pStyle w:val="196"/>
            </w:pPr>
            <w:r>
              <w:rPr>
                <w:rFonts w:hint="eastAsia"/>
              </w:rPr>
              <w:t>/</w:t>
            </w:r>
          </w:p>
        </w:tc>
        <w:tc>
          <w:tcPr>
            <w:tcW w:w="1387" w:type="dxa"/>
            <w:tcBorders>
              <w:top w:val="single" w:color="auto" w:sz="4" w:space="0"/>
              <w:left w:val="single" w:color="auto" w:sz="4" w:space="0"/>
              <w:bottom w:val="single" w:color="auto" w:sz="4" w:space="0"/>
              <w:right w:val="single" w:color="auto" w:sz="4" w:space="0"/>
            </w:tcBorders>
            <w:vAlign w:val="center"/>
          </w:tcPr>
          <w:p w14:paraId="5370AF01">
            <w:pPr>
              <w:pStyle w:val="196"/>
            </w:pPr>
            <w:r>
              <w:rPr>
                <w:rFonts w:hint="eastAsia"/>
              </w:rPr>
              <w:t>/</w:t>
            </w:r>
          </w:p>
        </w:tc>
        <w:tc>
          <w:tcPr>
            <w:tcW w:w="1545" w:type="dxa"/>
            <w:tcBorders>
              <w:top w:val="single" w:color="auto" w:sz="4" w:space="0"/>
              <w:left w:val="single" w:color="auto" w:sz="4" w:space="0"/>
              <w:bottom w:val="single" w:color="auto" w:sz="4" w:space="0"/>
              <w:right w:val="single" w:color="auto" w:sz="4" w:space="0"/>
            </w:tcBorders>
            <w:vAlign w:val="center"/>
          </w:tcPr>
          <w:p w14:paraId="24F688B7">
            <w:pPr>
              <w:pStyle w:val="196"/>
            </w:pPr>
            <w:r>
              <w:rPr>
                <w:rFonts w:hint="eastAsia"/>
              </w:rPr>
              <w:t>1.5</w:t>
            </w:r>
          </w:p>
        </w:tc>
        <w:tc>
          <w:tcPr>
            <w:tcW w:w="1407" w:type="dxa"/>
            <w:tcBorders>
              <w:top w:val="single" w:color="auto" w:sz="4" w:space="0"/>
              <w:left w:val="single" w:color="auto" w:sz="4" w:space="0"/>
              <w:bottom w:val="single" w:color="auto" w:sz="4" w:space="0"/>
              <w:right w:val="single" w:color="auto" w:sz="4" w:space="0"/>
            </w:tcBorders>
            <w:vAlign w:val="center"/>
          </w:tcPr>
          <w:p w14:paraId="20E795AC">
            <w:pPr>
              <w:pStyle w:val="196"/>
            </w:pPr>
            <w:r>
              <w:rPr>
                <w:rFonts w:hint="eastAsia"/>
              </w:rPr>
              <w:t>0.06</w:t>
            </w:r>
          </w:p>
        </w:tc>
        <w:tc>
          <w:tcPr>
            <w:tcW w:w="1409" w:type="dxa"/>
            <w:tcBorders>
              <w:top w:val="single" w:color="auto" w:sz="4" w:space="0"/>
              <w:left w:val="single" w:color="auto" w:sz="4" w:space="0"/>
              <w:bottom w:val="single" w:color="auto" w:sz="4" w:space="0"/>
              <w:right w:val="single" w:color="auto" w:sz="4" w:space="0"/>
            </w:tcBorders>
            <w:vAlign w:val="center"/>
          </w:tcPr>
          <w:p w14:paraId="6F659C02">
            <w:pPr>
              <w:pStyle w:val="196"/>
            </w:pPr>
            <w:r>
              <w:rPr>
                <w:rFonts w:hint="eastAsia"/>
              </w:rPr>
              <w:t>20</w:t>
            </w:r>
          </w:p>
        </w:tc>
      </w:tr>
    </w:tbl>
    <w:p w14:paraId="4366A07E">
      <w:pPr>
        <w:pStyle w:val="93"/>
      </w:pPr>
      <w:r>
        <w:rPr>
          <w:rFonts w:hint="eastAsia"/>
        </w:rPr>
        <w:t>从上表中可知，距水下土方堆放场15m处的H</w:t>
      </w:r>
      <w:r>
        <w:rPr>
          <w:rFonts w:hint="eastAsia"/>
          <w:vertAlign w:val="subscript"/>
        </w:rPr>
        <w:t>2</w:t>
      </w:r>
      <w:r>
        <w:rPr>
          <w:rFonts w:hint="eastAsia"/>
        </w:rPr>
        <w:t>S、NH</w:t>
      </w:r>
      <w:r>
        <w:rPr>
          <w:rFonts w:hint="eastAsia"/>
          <w:vertAlign w:val="subscript"/>
        </w:rPr>
        <w:t>3</w:t>
      </w:r>
      <w:r>
        <w:rPr>
          <w:rFonts w:hint="eastAsia"/>
        </w:rPr>
        <w:t xml:space="preserve">、臭气浓度均未超过《恶臭污染物排放标准》（GB14554-93）厂界标准值。以3个测点中最不利的数据预测水下土方臭气对周围环境的影响，即：距离整治河道或底泥堆放场50m时臭气浓度达到20，可认为达到恶臭污染物厂界标准值。 </w:t>
      </w:r>
    </w:p>
    <w:p w14:paraId="5327D53E">
      <w:pPr>
        <w:pStyle w:val="93"/>
      </w:pPr>
      <w:r>
        <w:rPr>
          <w:rFonts w:hint="eastAsia"/>
        </w:rPr>
        <w:t xml:space="preserve">另外，根据《河湖清淤工程环境影响评价要点分析—以太湖输水主通道清淤工程为例》（《水利科技与经济》第18卷第12期），水下土方干化场下风向30m处臭气强度可达到2级强度，有轻微臭味，大致相当于《恶臭污染物排放标准》（GB14554-93）规定的二级标准限值，80m外基本无气味。类比太湖输水主通道清淤工程，本次清淤臭气强度与类比工程大致相当，恶臭对周边居民影响不明显。 </w:t>
      </w:r>
    </w:p>
    <w:p w14:paraId="3A2C92B3">
      <w:pPr>
        <w:pStyle w:val="93"/>
      </w:pPr>
      <w:r>
        <w:rPr>
          <w:rFonts w:hint="eastAsia"/>
        </w:rPr>
        <w:t>综上所述，施工期排泥场边界需控制距离周边居民80m以上，本项目排泥场周边80m范围内无敏感目标，最近的敏感目标王庄约5</w:t>
      </w:r>
      <w:r>
        <w:t>1</w:t>
      </w:r>
      <w:r>
        <w:rPr>
          <w:rFonts w:hint="eastAsia"/>
        </w:rPr>
        <w:t>0m，本项目施工期加强监管，及时加土覆盖，工程结束后及时复垦或绿化，恶臭程度总体较小，基本不会对周边居民产生影响。并且，随着施工结束和植被的恢复，恶臭气味将逐渐消失。</w:t>
      </w:r>
    </w:p>
    <w:p w14:paraId="5B04BB70">
      <w:pPr>
        <w:pStyle w:val="82"/>
      </w:pPr>
      <w:r>
        <w:rPr>
          <w:rFonts w:hint="eastAsia"/>
        </w:rPr>
        <w:t>水环境影响分析</w:t>
      </w:r>
    </w:p>
    <w:p w14:paraId="6FDB03B3">
      <w:pPr>
        <w:pStyle w:val="84"/>
      </w:pPr>
      <w:bookmarkStart w:id="271" w:name="_Hlk181750696"/>
      <w:bookmarkStart w:id="272" w:name="_Hlk181750686"/>
      <w:r>
        <w:rPr>
          <w:rFonts w:hint="eastAsia"/>
        </w:rPr>
        <w:t>施工期水文要素影响分析</w:t>
      </w:r>
    </w:p>
    <w:bookmarkEnd w:id="271"/>
    <w:p w14:paraId="6D578035">
      <w:pPr>
        <w:pStyle w:val="139"/>
        <w:ind w:firstLine="480"/>
        <w:rPr>
          <w:color w:val="auto"/>
        </w:rPr>
      </w:pPr>
      <w:r>
        <w:rPr>
          <w:rFonts w:hint="eastAsia"/>
          <w:color w:val="auto"/>
        </w:rPr>
        <w:t>本项目码头为采用挖入式港池的布置形式，码头结构为钢筋砼扶壁式，与高桩梁板结构型式不同，不会向水面外扩，垂直方向不占用水域，港池面积约为0.02km</w:t>
      </w:r>
      <w:r>
        <w:rPr>
          <w:rFonts w:hint="eastAsia"/>
          <w:color w:val="auto"/>
          <w:vertAlign w:val="superscript"/>
        </w:rPr>
        <w:t>2</w:t>
      </w:r>
      <w:r>
        <w:rPr>
          <w:rFonts w:hint="eastAsia"/>
          <w:color w:val="auto"/>
        </w:rPr>
        <w:t>，项目工程扰动水底面积仅为本项目挖入式港池的面积，项目不占用盐河过水断面及水域面积。本项目施工期设置施工围堰，占用少量水域，形成一定的阻水效应，对所在水域的水文动力环境产生一定程度的影响，致使水流减缓，进而引起泥沙</w:t>
      </w:r>
      <w:r>
        <w:rPr>
          <w:rFonts w:hint="eastAsia"/>
          <w:color w:val="auto"/>
          <w:lang w:eastAsia="zh-CN"/>
        </w:rPr>
        <w:t>地冲</w:t>
      </w:r>
      <w:r>
        <w:rPr>
          <w:rFonts w:hint="eastAsia"/>
          <w:color w:val="auto"/>
        </w:rPr>
        <w:t>淤变化，但由于本项目码头平面布置采用挖入式港池，随着施工结束，港池</w:t>
      </w:r>
      <w:r>
        <w:rPr>
          <w:rFonts w:hint="eastAsia"/>
          <w:color w:val="auto"/>
          <w:lang w:eastAsia="zh-CN"/>
        </w:rPr>
        <w:t>开放完成</w:t>
      </w:r>
      <w:r>
        <w:rPr>
          <w:rFonts w:hint="eastAsia"/>
          <w:color w:val="auto"/>
        </w:rPr>
        <w:t>，围堰拆除，不再占用水面。</w:t>
      </w:r>
    </w:p>
    <w:bookmarkEnd w:id="272"/>
    <w:p w14:paraId="5F978C6E">
      <w:pPr>
        <w:pStyle w:val="84"/>
      </w:pPr>
      <w:r>
        <w:rPr>
          <w:rFonts w:hint="eastAsia"/>
        </w:rPr>
        <w:t>疏浚及码头施工的水环境影响</w:t>
      </w:r>
    </w:p>
    <w:p w14:paraId="53F34282">
      <w:pPr>
        <w:pStyle w:val="139"/>
        <w:ind w:firstLine="480"/>
        <w:rPr>
          <w:color w:val="auto"/>
        </w:rPr>
      </w:pPr>
      <w:r>
        <w:rPr>
          <w:rFonts w:hint="eastAsia"/>
          <w:color w:val="auto"/>
        </w:rPr>
        <w:t>（1）疏浚泥沙影响分析</w:t>
      </w:r>
    </w:p>
    <w:p w14:paraId="364B5A4E">
      <w:pPr>
        <w:pStyle w:val="139"/>
        <w:ind w:firstLine="480"/>
        <w:rPr>
          <w:color w:val="auto"/>
        </w:rPr>
      </w:pPr>
      <w:r>
        <w:rPr>
          <w:rFonts w:hint="eastAsia"/>
          <w:color w:val="auto"/>
        </w:rPr>
        <w:t>根据“3.7.3”本项目航道挖泥船疏浚悬浮物源强为3.38m</w:t>
      </w:r>
      <w:r>
        <w:rPr>
          <w:rFonts w:hint="eastAsia"/>
          <w:color w:val="auto"/>
          <w:vertAlign w:val="superscript"/>
        </w:rPr>
        <w:t>3</w:t>
      </w:r>
      <w:r>
        <w:rPr>
          <w:rFonts w:hint="eastAsia"/>
          <w:color w:val="auto"/>
        </w:rPr>
        <w:t>/h，即0.94kg/s。</w:t>
      </w:r>
    </w:p>
    <w:p w14:paraId="03D43D74">
      <w:pPr>
        <w:pStyle w:val="139"/>
        <w:ind w:firstLine="480"/>
        <w:rPr>
          <w:color w:val="auto"/>
        </w:rPr>
      </w:pPr>
      <w:r>
        <w:rPr>
          <w:rFonts w:hint="eastAsia"/>
          <w:color w:val="auto"/>
        </w:rPr>
        <w:t>挖泥船挖泥过程中导致水体悬浮物浓度增加，由于疏浚工程在</w:t>
      </w:r>
      <w:r>
        <w:rPr>
          <w:rFonts w:hint="eastAsia"/>
          <w:color w:val="auto"/>
          <w:lang w:eastAsia="zh-CN"/>
        </w:rPr>
        <w:t>平水</w:t>
      </w:r>
      <w:r>
        <w:rPr>
          <w:rFonts w:hint="eastAsia"/>
          <w:color w:val="auto"/>
        </w:rPr>
        <w:t>、枯水期进行疏浚施工，航道内河水流速较小，故影响范围一般可控制在作业点周围200m以内。本项目采用对底泥扰动较小的绞吸式挖泥船进行挖泥，类比苏南航道网整治工程实测资料，挖泥船绞刀SS浓度底部为300～350mg/L，表层为230～260mg/L，表层离绞刀50m距离处水中SS浓度增加值不超过50mg/L，表层距绞刀200m距离处水中SS浓度增加值不超过10mg/L。航道疏浚挖泥将造成航道内局部水域悬浮物浓度增加，对局部水环境、生态环境有一定的污染影响。随着水下施工的结束，这种影响将不复存在。</w:t>
      </w:r>
    </w:p>
    <w:p w14:paraId="004639D3">
      <w:pPr>
        <w:pStyle w:val="139"/>
        <w:ind w:firstLine="480"/>
        <w:rPr>
          <w:color w:val="auto"/>
        </w:rPr>
      </w:pPr>
      <w:r>
        <w:rPr>
          <w:color w:val="auto"/>
        </w:rPr>
        <w:t>（2）疏浚扰动底泥重金属的影响分析</w:t>
      </w:r>
    </w:p>
    <w:p w14:paraId="21250D59">
      <w:pPr>
        <w:pStyle w:val="139"/>
        <w:ind w:firstLine="480"/>
        <w:rPr>
          <w:color w:val="auto"/>
        </w:rPr>
      </w:pPr>
      <w:r>
        <w:rPr>
          <w:color w:val="auto"/>
        </w:rPr>
        <w:t>根据湖南大学2008年的研究中对底泥重金属形态及迁移转化成果，水体金属污染物以残渣态、酸可溶和铁锰氧化为主，三者之和在75%以上，其他形态的重金属含量很少，一般条件下底泥中的重金属难以析出。</w:t>
      </w:r>
    </w:p>
    <w:p w14:paraId="257DE3EE">
      <w:pPr>
        <w:pStyle w:val="139"/>
        <w:ind w:firstLine="480"/>
        <w:rPr>
          <w:color w:val="auto"/>
        </w:rPr>
      </w:pPr>
      <w:r>
        <w:rPr>
          <w:color w:val="auto"/>
        </w:rPr>
        <w:t>根据本报告“4.</w:t>
      </w:r>
      <w:r>
        <w:rPr>
          <w:rFonts w:hint="eastAsia"/>
          <w:color w:val="auto"/>
        </w:rPr>
        <w:t>3</w:t>
      </w:r>
      <w:r>
        <w:rPr>
          <w:color w:val="auto"/>
        </w:rPr>
        <w:t>.4章节”各疏浚工程区域的底泥现状监测结果表明，本工程所有疏浚整治工程区域的各监测因子均可达到相应的标准值，并且本工程航道疏浚整治等作业无酸性废水产生，同时水体中pH值正常，再悬浮于水体中的重金属形态不会发生新的改变，因此，航道疏浚整治除增加作业区下游局部水域水体中悬浮物浓度外，不会造成重金属污染。</w:t>
      </w:r>
    </w:p>
    <w:p w14:paraId="699DE618">
      <w:pPr>
        <w:pStyle w:val="84"/>
      </w:pPr>
      <w:r>
        <w:rPr>
          <w:rFonts w:hint="eastAsia"/>
        </w:rPr>
        <w:t>水下土方</w:t>
      </w:r>
      <w:bookmarkStart w:id="273" w:name="_Hlk182170333"/>
      <w:r>
        <w:rPr>
          <w:rFonts w:hint="eastAsia"/>
        </w:rPr>
        <w:t>干化场</w:t>
      </w:r>
      <w:bookmarkEnd w:id="273"/>
      <w:r>
        <w:rPr>
          <w:rFonts w:hint="eastAsia"/>
        </w:rPr>
        <w:t>退水的环境影响分析</w:t>
      </w:r>
    </w:p>
    <w:p w14:paraId="69910F3E">
      <w:pPr>
        <w:pStyle w:val="93"/>
      </w:pPr>
      <w:r>
        <w:rPr>
          <w:rFonts w:hint="eastAsia"/>
        </w:rPr>
        <w:t>本项目运至水下土方干化场土方量共约2.4万m</w:t>
      </w:r>
      <w:r>
        <w:rPr>
          <w:rFonts w:hint="eastAsia"/>
          <w:vertAlign w:val="superscript"/>
        </w:rPr>
        <w:t>3</w:t>
      </w:r>
      <w:r>
        <w:rPr>
          <w:rFonts w:hint="eastAsia"/>
        </w:rPr>
        <w:t>，根据工程分析可知，经围堰内初期沉淀后，其主要污染物为SS，若直接排入盐河，对盐河水质影响较大。本项目采取围堰、泄水口及后续沉淀池等措施（详见6.1.2章节）对疏浚的水下土方进行预处理，处理后满足《污水综合排放标准》（GB8978-1996）表4一级标准就近排入盐河。</w:t>
      </w:r>
      <w:r>
        <w:rPr>
          <w:rStyle w:val="140"/>
          <w:rFonts w:hint="eastAsia"/>
          <w:color w:val="auto"/>
        </w:rPr>
        <w:t>工程产生的水下方干化后弃方全部用于临时用地复耕恢复，水上方产生的弃方供建设项目填土和护岸、道路地基回填等</w:t>
      </w:r>
      <w:r>
        <w:rPr>
          <w:rFonts w:hint="eastAsia"/>
        </w:rPr>
        <w:t>。</w:t>
      </w:r>
    </w:p>
    <w:p w14:paraId="30445B1C">
      <w:pPr>
        <w:pStyle w:val="139"/>
        <w:ind w:firstLine="480"/>
        <w:rPr>
          <w:color w:val="auto"/>
        </w:rPr>
      </w:pPr>
      <w:r>
        <w:rPr>
          <w:rFonts w:hint="eastAsia"/>
          <w:color w:val="auto"/>
        </w:rPr>
        <w:t>根据工程分析，本项目水下土方干化场排水约1.2万m</w:t>
      </w:r>
      <w:r>
        <w:rPr>
          <w:rFonts w:hint="eastAsia"/>
          <w:color w:val="auto"/>
          <w:vertAlign w:val="superscript"/>
        </w:rPr>
        <w:t>3</w:t>
      </w:r>
      <w:r>
        <w:rPr>
          <w:rFonts w:hint="eastAsia"/>
          <w:color w:val="auto"/>
        </w:rPr>
        <w:t>，疏浚施工时间考虑为30d。</w:t>
      </w:r>
    </w:p>
    <w:p w14:paraId="461B2EC0">
      <w:pPr>
        <w:pStyle w:val="139"/>
        <w:ind w:firstLine="480"/>
        <w:rPr>
          <w:color w:val="auto"/>
        </w:rPr>
      </w:pPr>
      <w:r>
        <w:rPr>
          <w:rFonts w:hint="eastAsia"/>
          <w:color w:val="auto"/>
        </w:rPr>
        <w:t>采用零维完全混合模式预测水下土方干化场排水对受纳水体悬浮物浓度的影响，因水下土方干化场排水已经沉淀池沉淀，故不再考虑悬浮物在河道中的沉降作用，预测模式如下：</w:t>
      </w:r>
    </w:p>
    <w:p w14:paraId="6429CAEC">
      <w:pPr>
        <w:pStyle w:val="139"/>
        <w:ind w:firstLine="480"/>
        <w:rPr>
          <w:color w:val="auto"/>
        </w:rPr>
      </w:pPr>
      <w:r>
        <w:rPr>
          <w:color w:val="auto"/>
        </w:rPr>
        <w:drawing>
          <wp:inline distT="0" distB="0" distL="0" distR="0">
            <wp:extent cx="1642110" cy="608965"/>
            <wp:effectExtent l="0" t="0" r="0" b="635"/>
            <wp:docPr id="1106192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92054" name="图片 1"/>
                    <pic:cNvPicPr>
                      <a:picLocks noChangeAspect="1"/>
                    </pic:cNvPicPr>
                  </pic:nvPicPr>
                  <pic:blipFill>
                    <a:blip r:embed="rId60"/>
                    <a:stretch>
                      <a:fillRect/>
                    </a:stretch>
                  </pic:blipFill>
                  <pic:spPr>
                    <a:xfrm>
                      <a:off x="0" y="0"/>
                      <a:ext cx="1642521" cy="609595"/>
                    </a:xfrm>
                    <a:prstGeom prst="rect">
                      <a:avLst/>
                    </a:prstGeom>
                  </pic:spPr>
                </pic:pic>
              </a:graphicData>
            </a:graphic>
          </wp:inline>
        </w:drawing>
      </w:r>
    </w:p>
    <w:p w14:paraId="67A8D0DB">
      <w:pPr>
        <w:pStyle w:val="139"/>
        <w:ind w:firstLine="480"/>
        <w:rPr>
          <w:color w:val="auto"/>
        </w:rPr>
      </w:pPr>
      <w:r>
        <w:rPr>
          <w:rFonts w:hint="eastAsia"/>
          <w:color w:val="auto"/>
        </w:rPr>
        <w:t>式中：C——下游河水水质浓度增加值，mg/L</w:t>
      </w:r>
    </w:p>
    <w:p w14:paraId="7B805810">
      <w:pPr>
        <w:pStyle w:val="139"/>
        <w:ind w:firstLine="480"/>
        <w:rPr>
          <w:color w:val="auto"/>
        </w:rPr>
      </w:pPr>
      <w:r>
        <w:rPr>
          <w:rFonts w:hint="eastAsia"/>
          <w:color w:val="auto"/>
        </w:rPr>
        <w:t>Q</w:t>
      </w:r>
      <w:r>
        <w:rPr>
          <w:rFonts w:hint="eastAsia"/>
          <w:color w:val="auto"/>
          <w:vertAlign w:val="subscript"/>
        </w:rPr>
        <w:t>P</w:t>
      </w:r>
      <w:r>
        <w:rPr>
          <w:rFonts w:hint="eastAsia"/>
          <w:color w:val="auto"/>
        </w:rPr>
        <w:t>——排水流量，m</w:t>
      </w:r>
      <w:r>
        <w:rPr>
          <w:rFonts w:hint="eastAsia"/>
          <w:color w:val="auto"/>
          <w:vertAlign w:val="superscript"/>
        </w:rPr>
        <w:t>3</w:t>
      </w:r>
      <w:r>
        <w:rPr>
          <w:rFonts w:hint="eastAsia"/>
          <w:color w:val="auto"/>
        </w:rPr>
        <w:t>/s，根据本项目排水量及排水时间计算，考虑平均排水流量的10倍峰值计算，排水流量取</w:t>
      </w:r>
      <w:r>
        <w:rPr>
          <w:color w:val="auto"/>
        </w:rPr>
        <w:t>0.046</w:t>
      </w:r>
      <w:r>
        <w:rPr>
          <w:rFonts w:hint="eastAsia"/>
          <w:color w:val="auto"/>
        </w:rPr>
        <w:t>m</w:t>
      </w:r>
      <w:r>
        <w:rPr>
          <w:rFonts w:hint="eastAsia"/>
          <w:color w:val="auto"/>
          <w:vertAlign w:val="superscript"/>
        </w:rPr>
        <w:t>3</w:t>
      </w:r>
      <w:r>
        <w:rPr>
          <w:rFonts w:hint="eastAsia"/>
          <w:color w:val="auto"/>
        </w:rPr>
        <w:t>/s</w:t>
      </w:r>
    </w:p>
    <w:p w14:paraId="18056288">
      <w:pPr>
        <w:pStyle w:val="139"/>
        <w:ind w:firstLine="480"/>
        <w:rPr>
          <w:color w:val="auto"/>
        </w:rPr>
      </w:pPr>
      <w:r>
        <w:rPr>
          <w:rFonts w:hint="eastAsia"/>
          <w:color w:val="auto"/>
        </w:rPr>
        <w:t>C</w:t>
      </w:r>
      <w:r>
        <w:rPr>
          <w:rFonts w:hint="eastAsia"/>
          <w:color w:val="auto"/>
          <w:vertAlign w:val="subscript"/>
        </w:rPr>
        <w:t>P</w:t>
      </w:r>
      <w:r>
        <w:rPr>
          <w:rFonts w:hint="eastAsia"/>
          <w:color w:val="auto"/>
        </w:rPr>
        <w:t>——排水中污染物浓度，mg/L，参照“围滩吹填工程对水环境的影响分析”的研究结果，经沉淀处理后SS</w:t>
      </w:r>
      <w:r>
        <w:rPr>
          <w:rFonts w:hint="eastAsia"/>
          <w:color w:val="auto"/>
          <w:lang w:eastAsia="zh-CN"/>
        </w:rPr>
        <w:t>浓度</w:t>
      </w:r>
      <w:r>
        <w:rPr>
          <w:rFonts w:hint="eastAsia"/>
          <w:color w:val="auto"/>
        </w:rPr>
        <w:t>为50mg/L</w:t>
      </w:r>
    </w:p>
    <w:p w14:paraId="21A1C48A">
      <w:pPr>
        <w:pStyle w:val="139"/>
        <w:ind w:firstLine="480"/>
        <w:rPr>
          <w:color w:val="auto"/>
          <w:lang w:val="en-US"/>
        </w:rPr>
      </w:pPr>
      <w:r>
        <w:rPr>
          <w:rFonts w:hint="eastAsia"/>
          <w:color w:val="auto"/>
          <w:lang w:val="en-US"/>
        </w:rPr>
        <w:t>Q</w:t>
      </w:r>
      <w:r>
        <w:rPr>
          <w:rFonts w:hint="eastAsia"/>
          <w:color w:val="auto"/>
          <w:vertAlign w:val="subscript"/>
          <w:lang w:val="en-US"/>
        </w:rPr>
        <w:t xml:space="preserve"> E </w:t>
      </w:r>
      <w:r>
        <w:rPr>
          <w:rFonts w:hint="eastAsia"/>
          <w:color w:val="auto"/>
          <w:lang w:val="en-US"/>
        </w:rPr>
        <w:t>——</w:t>
      </w:r>
      <w:r>
        <w:rPr>
          <w:rFonts w:hint="eastAsia"/>
          <w:color w:val="auto"/>
        </w:rPr>
        <w:t>河流流量</w:t>
      </w:r>
      <w:r>
        <w:rPr>
          <w:rFonts w:hint="eastAsia"/>
          <w:color w:val="auto"/>
          <w:lang w:val="en-US"/>
        </w:rPr>
        <w:t>，m</w:t>
      </w:r>
      <w:r>
        <w:rPr>
          <w:rFonts w:hint="eastAsia"/>
          <w:color w:val="auto"/>
          <w:vertAlign w:val="superscript"/>
          <w:lang w:val="en-US"/>
        </w:rPr>
        <w:t>3</w:t>
      </w:r>
      <w:r>
        <w:rPr>
          <w:rFonts w:hint="eastAsia"/>
          <w:color w:val="auto"/>
          <w:lang w:val="en-US"/>
        </w:rPr>
        <w:t>/s，</w:t>
      </w:r>
      <w:r>
        <w:rPr>
          <w:rFonts w:hint="eastAsia"/>
          <w:color w:val="auto"/>
        </w:rPr>
        <w:t>流量</w:t>
      </w:r>
      <w:r>
        <w:rPr>
          <w:rFonts w:hint="eastAsia"/>
          <w:color w:val="auto"/>
          <w:lang w:val="en-US"/>
        </w:rPr>
        <w:t>21m</w:t>
      </w:r>
      <w:r>
        <w:rPr>
          <w:rFonts w:hint="eastAsia"/>
          <w:color w:val="auto"/>
          <w:vertAlign w:val="superscript"/>
          <w:lang w:val="en-US"/>
        </w:rPr>
        <w:t>3</w:t>
      </w:r>
      <w:r>
        <w:rPr>
          <w:rFonts w:hint="eastAsia"/>
          <w:color w:val="auto"/>
          <w:lang w:val="en-US"/>
        </w:rPr>
        <w:t>/s（按照年均流量的一半计）</w:t>
      </w:r>
    </w:p>
    <w:p w14:paraId="7DFF40B8">
      <w:pPr>
        <w:pStyle w:val="139"/>
        <w:ind w:firstLine="480"/>
        <w:rPr>
          <w:color w:val="auto"/>
        </w:rPr>
      </w:pPr>
      <w:r>
        <w:rPr>
          <w:rFonts w:hint="eastAsia"/>
          <w:color w:val="auto"/>
        </w:rPr>
        <w:t>C</w:t>
      </w:r>
      <w:r>
        <w:rPr>
          <w:rFonts w:hint="eastAsia"/>
          <w:color w:val="auto"/>
          <w:vertAlign w:val="subscript"/>
        </w:rPr>
        <w:t>E</w:t>
      </w:r>
      <w:r>
        <w:rPr>
          <w:rFonts w:hint="eastAsia"/>
          <w:color w:val="auto"/>
        </w:rPr>
        <w:t>——河流中污染物背景浓度，mg/L，根据本次评价对盐河三个断面的监测数据的平均值为14.83mg/L。</w:t>
      </w:r>
    </w:p>
    <w:p w14:paraId="4CBADE40">
      <w:pPr>
        <w:pStyle w:val="139"/>
        <w:ind w:firstLine="480"/>
        <w:rPr>
          <w:color w:val="auto"/>
        </w:rPr>
      </w:pPr>
      <w:r>
        <w:rPr>
          <w:rFonts w:hint="eastAsia"/>
          <w:color w:val="auto"/>
        </w:rPr>
        <w:t>计算得水下土方干化场排水口下游水域悬浮物浓度为14.91mg/L，受纳水体悬浮物浓度增加量为0.08mg/L，水下土方干化场排水不会改变受纳水体的水质类别，对地表水环境的影响较小。</w:t>
      </w:r>
    </w:p>
    <w:p w14:paraId="7D02A645">
      <w:pPr>
        <w:pStyle w:val="84"/>
      </w:pPr>
      <w:r>
        <w:rPr>
          <w:rFonts w:hint="eastAsia"/>
        </w:rPr>
        <w:t>施工船舶生活污水及船舶污水的水环境影响</w:t>
      </w:r>
    </w:p>
    <w:p w14:paraId="69B1A2B8">
      <w:pPr>
        <w:pStyle w:val="93"/>
      </w:pPr>
      <w:r>
        <w:rPr>
          <w:rFonts w:hint="eastAsia"/>
        </w:rPr>
        <w:t>根据工程分析，施工期船舶生活污水量为150t，污水中主要污染因子为COD和BOD</w:t>
      </w:r>
      <w:r>
        <w:rPr>
          <w:rFonts w:hint="eastAsia"/>
          <w:vertAlign w:val="subscript"/>
        </w:rPr>
        <w:t>5</w:t>
      </w:r>
      <w:r>
        <w:rPr>
          <w:rFonts w:hint="eastAsia"/>
        </w:rPr>
        <w:t>等；施工船舶污水主要污染因子为石油类等。根据有关规定，船舶应设置与船舶污水、生活污水发生量相当的储存容器，本项目船舶生活污水和含油废水经船主收集送港口部门指定单位收集并负责处理</w:t>
      </w:r>
    </w:p>
    <w:p w14:paraId="5EBC5E35">
      <w:pPr>
        <w:pStyle w:val="84"/>
      </w:pPr>
      <w:r>
        <w:rPr>
          <w:rFonts w:hint="eastAsia"/>
        </w:rPr>
        <w:t>陆域施工生活污水</w:t>
      </w:r>
    </w:p>
    <w:p w14:paraId="7B7710A2">
      <w:pPr>
        <w:pStyle w:val="93"/>
      </w:pPr>
      <w:r>
        <w:rPr>
          <w:rFonts w:hint="eastAsia"/>
        </w:rPr>
        <w:t>施工生活设施设置在陆域，本项目陆域施工生活污水依托国能涟水一期热电联产项目施工生活区临时生活污水处理站进行处理后回用，不排放。不会对周边水域产生不利影响，评价要求施工期严禁生活污水排入航道。</w:t>
      </w:r>
    </w:p>
    <w:p w14:paraId="21C620F2">
      <w:pPr>
        <w:pStyle w:val="84"/>
      </w:pPr>
      <w:r>
        <w:rPr>
          <w:rFonts w:hint="eastAsia"/>
        </w:rPr>
        <w:t>施工车辆及机械冲洗废水</w:t>
      </w:r>
    </w:p>
    <w:p w14:paraId="48EAB4C3">
      <w:pPr>
        <w:pStyle w:val="93"/>
      </w:pPr>
      <w:r>
        <w:rPr>
          <w:rFonts w:hint="eastAsia"/>
        </w:rPr>
        <w:t>本项目施工车辆及机械冲洗废水经临时沉淀池预处理后接管至国能涟水一期热电联产项目厂区污水处理设施处理。不会对周边水域产生不利影响，评价要求施工期严禁生活污水排入航道。</w:t>
      </w:r>
    </w:p>
    <w:p w14:paraId="6F25764D">
      <w:pPr>
        <w:pStyle w:val="82"/>
      </w:pPr>
      <w:r>
        <w:rPr>
          <w:rFonts w:hint="eastAsia"/>
        </w:rPr>
        <w:t>噪声影响分析</w:t>
      </w:r>
    </w:p>
    <w:p w14:paraId="0B386388">
      <w:pPr>
        <w:pStyle w:val="84"/>
      </w:pPr>
      <w:r>
        <w:rPr>
          <w:rFonts w:hint="eastAsia"/>
        </w:rPr>
        <w:t>施工期噪声源</w:t>
      </w:r>
    </w:p>
    <w:p w14:paraId="0D4F201E">
      <w:pPr>
        <w:pStyle w:val="93"/>
      </w:pPr>
      <w:r>
        <w:rPr>
          <w:rFonts w:hint="eastAsia"/>
        </w:rPr>
        <w:t>施工期噪声源结果详见表3.</w:t>
      </w:r>
      <w:r>
        <w:t>7-7</w:t>
      </w:r>
      <w:r>
        <w:rPr>
          <w:rFonts w:hint="eastAsia"/>
        </w:rPr>
        <w:t>。</w:t>
      </w:r>
    </w:p>
    <w:p w14:paraId="2F8FCBDB">
      <w:pPr>
        <w:pStyle w:val="84"/>
      </w:pPr>
      <w:r>
        <w:rPr>
          <w:rFonts w:hint="eastAsia"/>
        </w:rPr>
        <w:t>扩散衰减预测</w:t>
      </w:r>
    </w:p>
    <w:p w14:paraId="3A8C69CD">
      <w:pPr>
        <w:pStyle w:val="93"/>
      </w:pPr>
      <w:r>
        <w:rPr>
          <w:rFonts w:hint="eastAsia"/>
        </w:rPr>
        <w:t>施工过程中使用的施工机械所产生的噪声主要属于中低频噪声，因此在预测其影响时可只考虑其扩散衰减，即预测模型可选用：</w:t>
      </w:r>
    </w:p>
    <w:p w14:paraId="37C39DC3">
      <w:pPr>
        <w:ind w:firstLine="480"/>
      </w:pPr>
      <w:r>
        <w:rPr>
          <w:rFonts w:hint="eastAsia"/>
        </w:rPr>
        <w:drawing>
          <wp:inline distT="0" distB="0" distL="0" distR="0">
            <wp:extent cx="1193800" cy="465455"/>
            <wp:effectExtent l="0" t="0" r="6350" b="0"/>
            <wp:docPr id="1962465246" name="图片 18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65246" name="图片 186" descr="形状&#10;&#10;中度可信度描述已自动生成"/>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193800" cy="465455"/>
                    </a:xfrm>
                    <a:prstGeom prst="rect">
                      <a:avLst/>
                    </a:prstGeom>
                    <a:noFill/>
                    <a:ln>
                      <a:noFill/>
                    </a:ln>
                  </pic:spPr>
                </pic:pic>
              </a:graphicData>
            </a:graphic>
          </wp:inline>
        </w:drawing>
      </w:r>
    </w:p>
    <w:p w14:paraId="668815D5">
      <w:pPr>
        <w:ind w:firstLine="480"/>
      </w:pPr>
      <w:r>
        <w:rPr>
          <w:rFonts w:hint="eastAsia"/>
        </w:rPr>
        <w:t>式中：L</w:t>
      </w:r>
      <w:r>
        <w:rPr>
          <w:rFonts w:hint="eastAsia"/>
          <w:vertAlign w:val="subscript"/>
        </w:rPr>
        <w:t>1</w:t>
      </w:r>
      <w:r>
        <w:rPr>
          <w:rFonts w:hint="eastAsia"/>
        </w:rPr>
        <w:t>、L</w:t>
      </w:r>
      <w:r>
        <w:rPr>
          <w:rFonts w:hint="eastAsia"/>
          <w:vertAlign w:val="subscript"/>
        </w:rPr>
        <w:t>2</w:t>
      </w:r>
      <w:r>
        <w:rPr>
          <w:rFonts w:hint="eastAsia"/>
        </w:rPr>
        <w:t>——距声源1、2处的等效A声级，dB(A)；</w:t>
      </w:r>
    </w:p>
    <w:p w14:paraId="0DBA7DF9">
      <w:pPr>
        <w:ind w:firstLine="480"/>
      </w:pPr>
      <w:r>
        <w:rPr>
          <w:rFonts w:hint="eastAsia"/>
        </w:rPr>
        <w:t>g    r</w:t>
      </w:r>
      <w:r>
        <w:rPr>
          <w:rFonts w:hint="eastAsia"/>
          <w:vertAlign w:val="subscript"/>
        </w:rPr>
        <w:t>1</w:t>
      </w:r>
      <w:r>
        <w:rPr>
          <w:rFonts w:hint="eastAsia"/>
        </w:rPr>
        <w:t>、r</w:t>
      </w:r>
      <w:r>
        <w:rPr>
          <w:rFonts w:hint="eastAsia"/>
          <w:vertAlign w:val="subscript"/>
        </w:rPr>
        <w:t>2</w:t>
      </w:r>
      <w:r>
        <w:rPr>
          <w:rFonts w:hint="eastAsia"/>
        </w:rPr>
        <w:t>——接收点距声源的距离，m。</w:t>
      </w:r>
    </w:p>
    <w:p w14:paraId="467F7B05">
      <w:pPr>
        <w:ind w:firstLine="480"/>
      </w:pPr>
      <w:r>
        <w:rPr>
          <w:rFonts w:hint="eastAsia"/>
        </w:rPr>
        <w:t>由上式推算出噪声值随距离增加而衰减的量DL：</w:t>
      </w:r>
    </w:p>
    <w:p w14:paraId="239F462F">
      <w:pPr>
        <w:ind w:firstLine="480"/>
      </w:pPr>
      <w:r>
        <w:rPr>
          <w:rFonts w:hint="eastAsia"/>
        </w:rPr>
        <w:drawing>
          <wp:inline distT="0" distB="0" distL="0" distR="0">
            <wp:extent cx="1549400" cy="465455"/>
            <wp:effectExtent l="0" t="0" r="0" b="0"/>
            <wp:docPr id="1960725779" name="图片 18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25779" name="图片 185" descr="形状&#10;&#10;中度可信度描述已自动生成"/>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1549400" cy="465455"/>
                    </a:xfrm>
                    <a:prstGeom prst="rect">
                      <a:avLst/>
                    </a:prstGeom>
                    <a:noFill/>
                    <a:ln>
                      <a:noFill/>
                    </a:ln>
                  </pic:spPr>
                </pic:pic>
              </a:graphicData>
            </a:graphic>
          </wp:inline>
        </w:drawing>
      </w:r>
    </w:p>
    <w:p w14:paraId="30544AF9">
      <w:pPr>
        <w:pStyle w:val="93"/>
      </w:pPr>
      <w:r>
        <w:rPr>
          <w:rFonts w:hint="eastAsia"/>
        </w:rPr>
        <w:t>得出噪声值随距离衰减的结果见下表。</w:t>
      </w:r>
    </w:p>
    <w:p w14:paraId="2CCCFA64">
      <w:pPr>
        <w:pStyle w:val="86"/>
      </w:pPr>
      <w:r>
        <w:rPr>
          <w:rFonts w:hint="eastAsia"/>
        </w:rPr>
        <w:t>施工噪声值随距离的衰减关系表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6"/>
        <w:gridCol w:w="766"/>
        <w:gridCol w:w="766"/>
        <w:gridCol w:w="766"/>
        <w:gridCol w:w="765"/>
        <w:gridCol w:w="766"/>
        <w:gridCol w:w="765"/>
        <w:gridCol w:w="765"/>
        <w:gridCol w:w="765"/>
        <w:gridCol w:w="766"/>
      </w:tblGrid>
      <w:tr w14:paraId="0F818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5" w:type="dxa"/>
            <w:vAlign w:val="center"/>
          </w:tcPr>
          <w:p w14:paraId="4EAE9031">
            <w:pPr>
              <w:pStyle w:val="196"/>
            </w:pPr>
            <w:r>
              <w:rPr>
                <w:rFonts w:hint="eastAsia"/>
              </w:rPr>
              <w:t>距离，m</w:t>
            </w:r>
          </w:p>
        </w:tc>
        <w:tc>
          <w:tcPr>
            <w:tcW w:w="765" w:type="dxa"/>
            <w:vAlign w:val="center"/>
          </w:tcPr>
          <w:p w14:paraId="19DE74AE">
            <w:pPr>
              <w:pStyle w:val="196"/>
            </w:pPr>
            <w:r>
              <w:rPr>
                <w:rFonts w:hint="eastAsia"/>
              </w:rPr>
              <w:t>1</w:t>
            </w:r>
          </w:p>
        </w:tc>
        <w:tc>
          <w:tcPr>
            <w:tcW w:w="765" w:type="dxa"/>
            <w:vAlign w:val="center"/>
          </w:tcPr>
          <w:p w14:paraId="062EF8A1">
            <w:pPr>
              <w:pStyle w:val="196"/>
            </w:pPr>
            <w:r>
              <w:rPr>
                <w:rFonts w:hint="eastAsia"/>
              </w:rPr>
              <w:t>10</w:t>
            </w:r>
          </w:p>
        </w:tc>
        <w:tc>
          <w:tcPr>
            <w:tcW w:w="765" w:type="dxa"/>
            <w:vAlign w:val="center"/>
          </w:tcPr>
          <w:p w14:paraId="5304DB8E">
            <w:pPr>
              <w:pStyle w:val="196"/>
            </w:pPr>
            <w:r>
              <w:rPr>
                <w:rFonts w:hint="eastAsia"/>
              </w:rPr>
              <w:t>50</w:t>
            </w:r>
          </w:p>
        </w:tc>
        <w:tc>
          <w:tcPr>
            <w:tcW w:w="764" w:type="dxa"/>
            <w:vAlign w:val="center"/>
          </w:tcPr>
          <w:p w14:paraId="7C67B0B9">
            <w:pPr>
              <w:pStyle w:val="196"/>
            </w:pPr>
            <w:r>
              <w:rPr>
                <w:rFonts w:hint="eastAsia"/>
              </w:rPr>
              <w:t>100</w:t>
            </w:r>
          </w:p>
        </w:tc>
        <w:tc>
          <w:tcPr>
            <w:tcW w:w="765" w:type="dxa"/>
            <w:vAlign w:val="center"/>
          </w:tcPr>
          <w:p w14:paraId="30F396C1">
            <w:pPr>
              <w:pStyle w:val="196"/>
            </w:pPr>
            <w:r>
              <w:rPr>
                <w:rFonts w:hint="eastAsia"/>
              </w:rPr>
              <w:t>150</w:t>
            </w:r>
          </w:p>
        </w:tc>
        <w:tc>
          <w:tcPr>
            <w:tcW w:w="764" w:type="dxa"/>
            <w:vAlign w:val="center"/>
          </w:tcPr>
          <w:p w14:paraId="0BEB332C">
            <w:pPr>
              <w:pStyle w:val="196"/>
            </w:pPr>
            <w:r>
              <w:rPr>
                <w:rFonts w:hint="eastAsia"/>
              </w:rPr>
              <w:t>200</w:t>
            </w:r>
          </w:p>
        </w:tc>
        <w:tc>
          <w:tcPr>
            <w:tcW w:w="764" w:type="dxa"/>
            <w:vAlign w:val="center"/>
          </w:tcPr>
          <w:p w14:paraId="5916D648">
            <w:pPr>
              <w:pStyle w:val="196"/>
            </w:pPr>
            <w:r>
              <w:rPr>
                <w:rFonts w:hint="eastAsia"/>
              </w:rPr>
              <w:t>250</w:t>
            </w:r>
          </w:p>
        </w:tc>
        <w:tc>
          <w:tcPr>
            <w:tcW w:w="764" w:type="dxa"/>
            <w:vAlign w:val="center"/>
          </w:tcPr>
          <w:p w14:paraId="5C2763F1">
            <w:pPr>
              <w:pStyle w:val="196"/>
            </w:pPr>
            <w:r>
              <w:rPr>
                <w:rFonts w:hint="eastAsia"/>
              </w:rPr>
              <w:t>400</w:t>
            </w:r>
          </w:p>
        </w:tc>
        <w:tc>
          <w:tcPr>
            <w:tcW w:w="765" w:type="dxa"/>
            <w:vAlign w:val="center"/>
          </w:tcPr>
          <w:p w14:paraId="6E3201F2">
            <w:pPr>
              <w:pStyle w:val="196"/>
            </w:pPr>
            <w:r>
              <w:rPr>
                <w:rFonts w:hint="eastAsia"/>
              </w:rPr>
              <w:t>600</w:t>
            </w:r>
          </w:p>
        </w:tc>
      </w:tr>
      <w:tr w14:paraId="204D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25" w:type="dxa"/>
            <w:vAlign w:val="center"/>
          </w:tcPr>
          <w:p w14:paraId="766E82ED">
            <w:pPr>
              <w:pStyle w:val="196"/>
            </w:pPr>
            <w:r>
              <w:rPr>
                <w:rFonts w:hint="eastAsia"/>
              </w:rPr>
              <w:t>DL</w:t>
            </w:r>
            <w:r>
              <w:rPr>
                <w:rFonts w:hint="eastAsia"/>
                <w:lang w:eastAsia="zh-CN"/>
              </w:rPr>
              <w:t>,</w:t>
            </w:r>
            <w:r>
              <w:rPr>
                <w:rFonts w:hint="eastAsia"/>
              </w:rPr>
              <w:t>dB(A)</w:t>
            </w:r>
          </w:p>
        </w:tc>
        <w:tc>
          <w:tcPr>
            <w:tcW w:w="765" w:type="dxa"/>
            <w:vAlign w:val="center"/>
          </w:tcPr>
          <w:p w14:paraId="08A1A85A">
            <w:pPr>
              <w:pStyle w:val="196"/>
            </w:pPr>
            <w:r>
              <w:rPr>
                <w:rFonts w:hint="eastAsia"/>
              </w:rPr>
              <w:t>0</w:t>
            </w:r>
          </w:p>
        </w:tc>
        <w:tc>
          <w:tcPr>
            <w:tcW w:w="765" w:type="dxa"/>
            <w:vAlign w:val="center"/>
          </w:tcPr>
          <w:p w14:paraId="3CC427B0">
            <w:pPr>
              <w:pStyle w:val="196"/>
            </w:pPr>
            <w:r>
              <w:rPr>
                <w:rFonts w:hint="eastAsia"/>
              </w:rPr>
              <w:t>20</w:t>
            </w:r>
          </w:p>
        </w:tc>
        <w:tc>
          <w:tcPr>
            <w:tcW w:w="765" w:type="dxa"/>
            <w:vAlign w:val="center"/>
          </w:tcPr>
          <w:p w14:paraId="4C335E1C">
            <w:pPr>
              <w:pStyle w:val="196"/>
            </w:pPr>
            <w:r>
              <w:rPr>
                <w:rFonts w:hint="eastAsia"/>
              </w:rPr>
              <w:t>34</w:t>
            </w:r>
          </w:p>
        </w:tc>
        <w:tc>
          <w:tcPr>
            <w:tcW w:w="764" w:type="dxa"/>
            <w:vAlign w:val="center"/>
          </w:tcPr>
          <w:p w14:paraId="69AE2379">
            <w:pPr>
              <w:pStyle w:val="196"/>
            </w:pPr>
            <w:r>
              <w:rPr>
                <w:rFonts w:hint="eastAsia"/>
              </w:rPr>
              <w:t>40</w:t>
            </w:r>
          </w:p>
        </w:tc>
        <w:tc>
          <w:tcPr>
            <w:tcW w:w="765" w:type="dxa"/>
            <w:vAlign w:val="center"/>
          </w:tcPr>
          <w:p w14:paraId="5893C7DA">
            <w:pPr>
              <w:pStyle w:val="196"/>
            </w:pPr>
            <w:r>
              <w:rPr>
                <w:rFonts w:hint="eastAsia"/>
              </w:rPr>
              <w:t>43</w:t>
            </w:r>
          </w:p>
        </w:tc>
        <w:tc>
          <w:tcPr>
            <w:tcW w:w="764" w:type="dxa"/>
            <w:vAlign w:val="center"/>
          </w:tcPr>
          <w:p w14:paraId="3866C971">
            <w:pPr>
              <w:pStyle w:val="196"/>
            </w:pPr>
            <w:r>
              <w:rPr>
                <w:rFonts w:hint="eastAsia"/>
              </w:rPr>
              <w:t>46</w:t>
            </w:r>
          </w:p>
        </w:tc>
        <w:tc>
          <w:tcPr>
            <w:tcW w:w="764" w:type="dxa"/>
            <w:vAlign w:val="center"/>
          </w:tcPr>
          <w:p w14:paraId="5A4AC652">
            <w:pPr>
              <w:pStyle w:val="196"/>
            </w:pPr>
            <w:r>
              <w:rPr>
                <w:rFonts w:hint="eastAsia"/>
              </w:rPr>
              <w:t>48</w:t>
            </w:r>
          </w:p>
        </w:tc>
        <w:tc>
          <w:tcPr>
            <w:tcW w:w="764" w:type="dxa"/>
            <w:vAlign w:val="center"/>
          </w:tcPr>
          <w:p w14:paraId="01A72291">
            <w:pPr>
              <w:pStyle w:val="196"/>
            </w:pPr>
            <w:r>
              <w:rPr>
                <w:rFonts w:hint="eastAsia"/>
              </w:rPr>
              <w:t>52</w:t>
            </w:r>
          </w:p>
        </w:tc>
        <w:tc>
          <w:tcPr>
            <w:tcW w:w="765" w:type="dxa"/>
            <w:vAlign w:val="center"/>
          </w:tcPr>
          <w:p w14:paraId="03E5C1F0">
            <w:pPr>
              <w:pStyle w:val="196"/>
            </w:pPr>
            <w:r>
              <w:rPr>
                <w:rFonts w:hint="eastAsia"/>
              </w:rPr>
              <w:t>57</w:t>
            </w:r>
          </w:p>
        </w:tc>
      </w:tr>
    </w:tbl>
    <w:p w14:paraId="61483511">
      <w:pPr>
        <w:pStyle w:val="93"/>
      </w:pPr>
      <w:r>
        <w:rPr>
          <w:rFonts w:hint="eastAsia"/>
        </w:rPr>
        <w:t>为了分析施工设备的噪声影响，现将不同等级声源在不同距离的影响值分析计算出来，列于下表。</w:t>
      </w:r>
    </w:p>
    <w:p w14:paraId="2A28A9AD">
      <w:pPr>
        <w:pStyle w:val="86"/>
      </w:pPr>
      <w:r>
        <w:rPr>
          <w:rFonts w:hint="eastAsia"/>
        </w:rPr>
        <w:t>施工噪声值随距离的衰减</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6"/>
        <w:gridCol w:w="907"/>
        <w:gridCol w:w="907"/>
        <w:gridCol w:w="909"/>
        <w:gridCol w:w="909"/>
        <w:gridCol w:w="909"/>
        <w:gridCol w:w="909"/>
        <w:gridCol w:w="910"/>
        <w:gridCol w:w="917"/>
      </w:tblGrid>
      <w:tr w14:paraId="501E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blHeader/>
          <w:jc w:val="center"/>
        </w:trPr>
        <w:tc>
          <w:tcPr>
            <w:tcW w:w="1035" w:type="dxa"/>
            <w:vAlign w:val="center"/>
          </w:tcPr>
          <w:p w14:paraId="75022192">
            <w:pPr>
              <w:pStyle w:val="196"/>
              <w:rPr>
                <w:b/>
                <w:bCs/>
              </w:rPr>
            </w:pPr>
            <w:r>
              <w:rPr>
                <w:rFonts w:hint="eastAsia"/>
                <w:b/>
                <w:bCs/>
              </w:rPr>
              <w:t>声源</w:t>
            </w:r>
          </w:p>
          <w:p w14:paraId="6DCEC211">
            <w:pPr>
              <w:pStyle w:val="196"/>
              <w:rPr>
                <w:b/>
                <w:bCs/>
              </w:rPr>
            </w:pPr>
            <w:r>
              <w:rPr>
                <w:rFonts w:hint="eastAsia"/>
                <w:b/>
                <w:bCs/>
              </w:rPr>
              <w:t>距离</w:t>
            </w:r>
          </w:p>
        </w:tc>
        <w:tc>
          <w:tcPr>
            <w:tcW w:w="906" w:type="dxa"/>
            <w:vAlign w:val="center"/>
          </w:tcPr>
          <w:p w14:paraId="2FF7F2E6">
            <w:pPr>
              <w:pStyle w:val="196"/>
              <w:rPr>
                <w:b/>
                <w:bCs/>
              </w:rPr>
            </w:pPr>
            <w:r>
              <w:rPr>
                <w:rFonts w:hint="eastAsia"/>
                <w:b/>
                <w:bCs/>
              </w:rPr>
              <w:t>85</w:t>
            </w:r>
          </w:p>
        </w:tc>
        <w:tc>
          <w:tcPr>
            <w:tcW w:w="906" w:type="dxa"/>
            <w:vAlign w:val="center"/>
          </w:tcPr>
          <w:p w14:paraId="562E2A9C">
            <w:pPr>
              <w:pStyle w:val="196"/>
              <w:rPr>
                <w:b/>
                <w:bCs/>
              </w:rPr>
            </w:pPr>
            <w:r>
              <w:rPr>
                <w:rFonts w:hint="eastAsia"/>
                <w:b/>
                <w:bCs/>
              </w:rPr>
              <w:t>90</w:t>
            </w:r>
          </w:p>
        </w:tc>
        <w:tc>
          <w:tcPr>
            <w:tcW w:w="908" w:type="dxa"/>
            <w:vAlign w:val="center"/>
          </w:tcPr>
          <w:p w14:paraId="44258055">
            <w:pPr>
              <w:pStyle w:val="196"/>
              <w:rPr>
                <w:b/>
                <w:bCs/>
              </w:rPr>
            </w:pPr>
            <w:r>
              <w:rPr>
                <w:rFonts w:hint="eastAsia"/>
                <w:b/>
                <w:bCs/>
              </w:rPr>
              <w:t>95</w:t>
            </w:r>
          </w:p>
        </w:tc>
        <w:tc>
          <w:tcPr>
            <w:tcW w:w="908" w:type="dxa"/>
            <w:vAlign w:val="center"/>
          </w:tcPr>
          <w:p w14:paraId="6DB918AA">
            <w:pPr>
              <w:pStyle w:val="196"/>
              <w:rPr>
                <w:b/>
                <w:bCs/>
              </w:rPr>
            </w:pPr>
            <w:r>
              <w:rPr>
                <w:rFonts w:hint="eastAsia"/>
                <w:b/>
                <w:bCs/>
              </w:rPr>
              <w:t>100</w:t>
            </w:r>
          </w:p>
        </w:tc>
        <w:tc>
          <w:tcPr>
            <w:tcW w:w="908" w:type="dxa"/>
            <w:vAlign w:val="center"/>
          </w:tcPr>
          <w:p w14:paraId="70F41F27">
            <w:pPr>
              <w:pStyle w:val="196"/>
              <w:rPr>
                <w:b/>
                <w:bCs/>
              </w:rPr>
            </w:pPr>
            <w:r>
              <w:rPr>
                <w:rFonts w:hint="eastAsia"/>
                <w:b/>
                <w:bCs/>
              </w:rPr>
              <w:t>105</w:t>
            </w:r>
          </w:p>
        </w:tc>
        <w:tc>
          <w:tcPr>
            <w:tcW w:w="908" w:type="dxa"/>
            <w:vAlign w:val="center"/>
          </w:tcPr>
          <w:p w14:paraId="605BFC80">
            <w:pPr>
              <w:pStyle w:val="196"/>
              <w:rPr>
                <w:b/>
                <w:bCs/>
              </w:rPr>
            </w:pPr>
            <w:r>
              <w:rPr>
                <w:rFonts w:hint="eastAsia"/>
                <w:b/>
                <w:bCs/>
              </w:rPr>
              <w:t>110</w:t>
            </w:r>
          </w:p>
        </w:tc>
        <w:tc>
          <w:tcPr>
            <w:tcW w:w="909" w:type="dxa"/>
            <w:vAlign w:val="center"/>
          </w:tcPr>
          <w:p w14:paraId="43F2928A">
            <w:pPr>
              <w:pStyle w:val="196"/>
              <w:rPr>
                <w:b/>
                <w:bCs/>
              </w:rPr>
            </w:pPr>
            <w:r>
              <w:rPr>
                <w:rFonts w:hint="eastAsia"/>
                <w:b/>
                <w:bCs/>
              </w:rPr>
              <w:t>115</w:t>
            </w:r>
          </w:p>
        </w:tc>
        <w:tc>
          <w:tcPr>
            <w:tcW w:w="916" w:type="dxa"/>
            <w:vAlign w:val="center"/>
          </w:tcPr>
          <w:p w14:paraId="4BECA261">
            <w:pPr>
              <w:pStyle w:val="196"/>
              <w:rPr>
                <w:b/>
                <w:bCs/>
              </w:rPr>
            </w:pPr>
            <w:r>
              <w:rPr>
                <w:rFonts w:hint="eastAsia"/>
                <w:b/>
                <w:bCs/>
              </w:rPr>
              <w:t>120</w:t>
            </w:r>
          </w:p>
        </w:tc>
      </w:tr>
      <w:tr w14:paraId="5B38A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365B946F">
            <w:pPr>
              <w:pStyle w:val="196"/>
            </w:pPr>
            <w:r>
              <w:rPr>
                <w:rFonts w:hint="eastAsia"/>
              </w:rPr>
              <w:t>10</w:t>
            </w:r>
          </w:p>
        </w:tc>
        <w:tc>
          <w:tcPr>
            <w:tcW w:w="906" w:type="dxa"/>
            <w:vAlign w:val="center"/>
          </w:tcPr>
          <w:p w14:paraId="725A39DE">
            <w:pPr>
              <w:pStyle w:val="196"/>
            </w:pPr>
            <w:r>
              <w:rPr>
                <w:rFonts w:hint="eastAsia"/>
              </w:rPr>
              <w:t>65.0</w:t>
            </w:r>
          </w:p>
        </w:tc>
        <w:tc>
          <w:tcPr>
            <w:tcW w:w="906" w:type="dxa"/>
            <w:vAlign w:val="center"/>
          </w:tcPr>
          <w:p w14:paraId="0A6AE7CC">
            <w:pPr>
              <w:pStyle w:val="196"/>
            </w:pPr>
            <w:r>
              <w:rPr>
                <w:rFonts w:hint="eastAsia"/>
              </w:rPr>
              <w:t>70.0</w:t>
            </w:r>
          </w:p>
        </w:tc>
        <w:tc>
          <w:tcPr>
            <w:tcW w:w="908" w:type="dxa"/>
            <w:vAlign w:val="center"/>
          </w:tcPr>
          <w:p w14:paraId="424B312F">
            <w:pPr>
              <w:pStyle w:val="196"/>
            </w:pPr>
            <w:r>
              <w:rPr>
                <w:rFonts w:hint="eastAsia"/>
              </w:rPr>
              <w:t>75.0</w:t>
            </w:r>
          </w:p>
        </w:tc>
        <w:tc>
          <w:tcPr>
            <w:tcW w:w="908" w:type="dxa"/>
            <w:vAlign w:val="center"/>
          </w:tcPr>
          <w:p w14:paraId="59AABB21">
            <w:pPr>
              <w:pStyle w:val="196"/>
            </w:pPr>
            <w:r>
              <w:rPr>
                <w:rFonts w:hint="eastAsia"/>
              </w:rPr>
              <w:t>80.0</w:t>
            </w:r>
          </w:p>
        </w:tc>
        <w:tc>
          <w:tcPr>
            <w:tcW w:w="908" w:type="dxa"/>
            <w:vAlign w:val="center"/>
          </w:tcPr>
          <w:p w14:paraId="05D9BFC7">
            <w:pPr>
              <w:pStyle w:val="196"/>
            </w:pPr>
            <w:r>
              <w:rPr>
                <w:rFonts w:hint="eastAsia"/>
              </w:rPr>
              <w:t>85.0</w:t>
            </w:r>
          </w:p>
        </w:tc>
        <w:tc>
          <w:tcPr>
            <w:tcW w:w="908" w:type="dxa"/>
            <w:vAlign w:val="center"/>
          </w:tcPr>
          <w:p w14:paraId="0D9EE028">
            <w:pPr>
              <w:pStyle w:val="196"/>
            </w:pPr>
            <w:r>
              <w:rPr>
                <w:rFonts w:hint="eastAsia"/>
              </w:rPr>
              <w:t>90.0</w:t>
            </w:r>
          </w:p>
        </w:tc>
        <w:tc>
          <w:tcPr>
            <w:tcW w:w="909" w:type="dxa"/>
            <w:vAlign w:val="center"/>
          </w:tcPr>
          <w:p w14:paraId="230A0E1D">
            <w:pPr>
              <w:pStyle w:val="196"/>
            </w:pPr>
            <w:r>
              <w:rPr>
                <w:rFonts w:hint="eastAsia"/>
              </w:rPr>
              <w:t>95.0</w:t>
            </w:r>
          </w:p>
        </w:tc>
        <w:tc>
          <w:tcPr>
            <w:tcW w:w="916" w:type="dxa"/>
            <w:vAlign w:val="center"/>
          </w:tcPr>
          <w:p w14:paraId="53CC2F1F">
            <w:pPr>
              <w:pStyle w:val="196"/>
            </w:pPr>
            <w:r>
              <w:rPr>
                <w:rFonts w:hint="eastAsia"/>
              </w:rPr>
              <w:t>100.0</w:t>
            </w:r>
          </w:p>
        </w:tc>
      </w:tr>
      <w:tr w14:paraId="53EE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2796DB19">
            <w:pPr>
              <w:pStyle w:val="196"/>
            </w:pPr>
            <w:r>
              <w:rPr>
                <w:rFonts w:hint="eastAsia"/>
              </w:rPr>
              <w:t>30</w:t>
            </w:r>
          </w:p>
        </w:tc>
        <w:tc>
          <w:tcPr>
            <w:tcW w:w="906" w:type="dxa"/>
            <w:vAlign w:val="center"/>
          </w:tcPr>
          <w:p w14:paraId="61601124">
            <w:pPr>
              <w:pStyle w:val="196"/>
            </w:pPr>
            <w:r>
              <w:rPr>
                <w:rFonts w:hint="eastAsia"/>
              </w:rPr>
              <w:t>59.0</w:t>
            </w:r>
          </w:p>
        </w:tc>
        <w:tc>
          <w:tcPr>
            <w:tcW w:w="906" w:type="dxa"/>
            <w:vAlign w:val="center"/>
          </w:tcPr>
          <w:p w14:paraId="3D7E81B9">
            <w:pPr>
              <w:pStyle w:val="196"/>
            </w:pPr>
            <w:r>
              <w:rPr>
                <w:rFonts w:hint="eastAsia"/>
              </w:rPr>
              <w:t>64.0</w:t>
            </w:r>
          </w:p>
        </w:tc>
        <w:tc>
          <w:tcPr>
            <w:tcW w:w="908" w:type="dxa"/>
            <w:vAlign w:val="center"/>
          </w:tcPr>
          <w:p w14:paraId="39436269">
            <w:pPr>
              <w:pStyle w:val="196"/>
            </w:pPr>
            <w:r>
              <w:rPr>
                <w:rFonts w:hint="eastAsia"/>
              </w:rPr>
              <w:t>69.0</w:t>
            </w:r>
          </w:p>
        </w:tc>
        <w:tc>
          <w:tcPr>
            <w:tcW w:w="908" w:type="dxa"/>
            <w:vAlign w:val="center"/>
          </w:tcPr>
          <w:p w14:paraId="69232591">
            <w:pPr>
              <w:pStyle w:val="196"/>
            </w:pPr>
            <w:r>
              <w:rPr>
                <w:rFonts w:hint="eastAsia"/>
              </w:rPr>
              <w:t>74.0</w:t>
            </w:r>
          </w:p>
        </w:tc>
        <w:tc>
          <w:tcPr>
            <w:tcW w:w="908" w:type="dxa"/>
            <w:vAlign w:val="center"/>
          </w:tcPr>
          <w:p w14:paraId="04651A33">
            <w:pPr>
              <w:pStyle w:val="196"/>
            </w:pPr>
            <w:r>
              <w:rPr>
                <w:rFonts w:hint="eastAsia"/>
              </w:rPr>
              <w:t>79.0</w:t>
            </w:r>
          </w:p>
        </w:tc>
        <w:tc>
          <w:tcPr>
            <w:tcW w:w="908" w:type="dxa"/>
            <w:vAlign w:val="center"/>
          </w:tcPr>
          <w:p w14:paraId="35AAC6EF">
            <w:pPr>
              <w:pStyle w:val="196"/>
            </w:pPr>
            <w:r>
              <w:rPr>
                <w:rFonts w:hint="eastAsia"/>
              </w:rPr>
              <w:t>84.0</w:t>
            </w:r>
          </w:p>
        </w:tc>
        <w:tc>
          <w:tcPr>
            <w:tcW w:w="909" w:type="dxa"/>
            <w:vAlign w:val="center"/>
          </w:tcPr>
          <w:p w14:paraId="739E7F56">
            <w:pPr>
              <w:pStyle w:val="196"/>
            </w:pPr>
            <w:r>
              <w:rPr>
                <w:rFonts w:hint="eastAsia"/>
              </w:rPr>
              <w:t>89.0</w:t>
            </w:r>
          </w:p>
        </w:tc>
        <w:tc>
          <w:tcPr>
            <w:tcW w:w="916" w:type="dxa"/>
            <w:vAlign w:val="center"/>
          </w:tcPr>
          <w:p w14:paraId="2287EF25">
            <w:pPr>
              <w:pStyle w:val="196"/>
            </w:pPr>
            <w:r>
              <w:rPr>
                <w:rFonts w:hint="eastAsia"/>
              </w:rPr>
              <w:t>94.0</w:t>
            </w:r>
          </w:p>
        </w:tc>
      </w:tr>
      <w:tr w14:paraId="7173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1035" w:type="dxa"/>
            <w:vAlign w:val="center"/>
          </w:tcPr>
          <w:p w14:paraId="70E72262">
            <w:pPr>
              <w:pStyle w:val="196"/>
            </w:pPr>
            <w:r>
              <w:rPr>
                <w:rFonts w:hint="eastAsia"/>
              </w:rPr>
              <w:t>50</w:t>
            </w:r>
          </w:p>
        </w:tc>
        <w:tc>
          <w:tcPr>
            <w:tcW w:w="906" w:type="dxa"/>
            <w:vAlign w:val="center"/>
          </w:tcPr>
          <w:p w14:paraId="6E1EFCC4">
            <w:pPr>
              <w:pStyle w:val="196"/>
            </w:pPr>
            <w:r>
              <w:rPr>
                <w:rFonts w:hint="eastAsia"/>
              </w:rPr>
              <w:t>51.0</w:t>
            </w:r>
          </w:p>
        </w:tc>
        <w:tc>
          <w:tcPr>
            <w:tcW w:w="906" w:type="dxa"/>
            <w:vAlign w:val="center"/>
          </w:tcPr>
          <w:p w14:paraId="35D3CC16">
            <w:pPr>
              <w:pStyle w:val="196"/>
            </w:pPr>
            <w:r>
              <w:rPr>
                <w:rFonts w:hint="eastAsia"/>
              </w:rPr>
              <w:t>56.0</w:t>
            </w:r>
          </w:p>
        </w:tc>
        <w:tc>
          <w:tcPr>
            <w:tcW w:w="908" w:type="dxa"/>
            <w:vAlign w:val="center"/>
          </w:tcPr>
          <w:p w14:paraId="19493C97">
            <w:pPr>
              <w:pStyle w:val="196"/>
            </w:pPr>
            <w:r>
              <w:rPr>
                <w:rFonts w:hint="eastAsia"/>
              </w:rPr>
              <w:t>61.0</w:t>
            </w:r>
          </w:p>
        </w:tc>
        <w:tc>
          <w:tcPr>
            <w:tcW w:w="908" w:type="dxa"/>
            <w:vAlign w:val="center"/>
          </w:tcPr>
          <w:p w14:paraId="29A6231B">
            <w:pPr>
              <w:pStyle w:val="196"/>
            </w:pPr>
            <w:r>
              <w:rPr>
                <w:rFonts w:hint="eastAsia"/>
              </w:rPr>
              <w:t>66.0</w:t>
            </w:r>
          </w:p>
        </w:tc>
        <w:tc>
          <w:tcPr>
            <w:tcW w:w="908" w:type="dxa"/>
            <w:vAlign w:val="center"/>
          </w:tcPr>
          <w:p w14:paraId="659D89C4">
            <w:pPr>
              <w:pStyle w:val="196"/>
            </w:pPr>
            <w:r>
              <w:rPr>
                <w:rFonts w:hint="eastAsia"/>
              </w:rPr>
              <w:t>71.0</w:t>
            </w:r>
          </w:p>
        </w:tc>
        <w:tc>
          <w:tcPr>
            <w:tcW w:w="908" w:type="dxa"/>
            <w:vAlign w:val="center"/>
          </w:tcPr>
          <w:p w14:paraId="67BAFE91">
            <w:pPr>
              <w:pStyle w:val="196"/>
            </w:pPr>
            <w:r>
              <w:rPr>
                <w:rFonts w:hint="eastAsia"/>
              </w:rPr>
              <w:t>76.0</w:t>
            </w:r>
          </w:p>
        </w:tc>
        <w:tc>
          <w:tcPr>
            <w:tcW w:w="909" w:type="dxa"/>
            <w:vAlign w:val="center"/>
          </w:tcPr>
          <w:p w14:paraId="0BC4DCC4">
            <w:pPr>
              <w:pStyle w:val="196"/>
            </w:pPr>
            <w:r>
              <w:rPr>
                <w:rFonts w:hint="eastAsia"/>
              </w:rPr>
              <w:t>81.0</w:t>
            </w:r>
          </w:p>
        </w:tc>
        <w:tc>
          <w:tcPr>
            <w:tcW w:w="916" w:type="dxa"/>
            <w:vAlign w:val="center"/>
          </w:tcPr>
          <w:p w14:paraId="1A5607BF">
            <w:pPr>
              <w:pStyle w:val="196"/>
            </w:pPr>
            <w:r>
              <w:rPr>
                <w:rFonts w:hint="eastAsia"/>
              </w:rPr>
              <w:t>86.0</w:t>
            </w:r>
          </w:p>
        </w:tc>
      </w:tr>
      <w:tr w14:paraId="4E54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097A0644">
            <w:pPr>
              <w:pStyle w:val="196"/>
            </w:pPr>
            <w:r>
              <w:rPr>
                <w:rFonts w:hint="eastAsia"/>
              </w:rPr>
              <w:t>75</w:t>
            </w:r>
          </w:p>
        </w:tc>
        <w:tc>
          <w:tcPr>
            <w:tcW w:w="906" w:type="dxa"/>
            <w:vAlign w:val="center"/>
          </w:tcPr>
          <w:p w14:paraId="294F0DAF">
            <w:pPr>
              <w:pStyle w:val="196"/>
            </w:pPr>
            <w:r>
              <w:rPr>
                <w:rFonts w:hint="eastAsia"/>
              </w:rPr>
              <w:t>47.5</w:t>
            </w:r>
          </w:p>
        </w:tc>
        <w:tc>
          <w:tcPr>
            <w:tcW w:w="906" w:type="dxa"/>
            <w:vAlign w:val="center"/>
          </w:tcPr>
          <w:p w14:paraId="58CCC824">
            <w:pPr>
              <w:pStyle w:val="196"/>
            </w:pPr>
            <w:r>
              <w:rPr>
                <w:rFonts w:hint="eastAsia"/>
              </w:rPr>
              <w:t>52.5</w:t>
            </w:r>
          </w:p>
        </w:tc>
        <w:tc>
          <w:tcPr>
            <w:tcW w:w="908" w:type="dxa"/>
            <w:vAlign w:val="center"/>
          </w:tcPr>
          <w:p w14:paraId="4326F78D">
            <w:pPr>
              <w:pStyle w:val="196"/>
            </w:pPr>
            <w:r>
              <w:rPr>
                <w:rFonts w:hint="eastAsia"/>
              </w:rPr>
              <w:t>57.5</w:t>
            </w:r>
          </w:p>
        </w:tc>
        <w:tc>
          <w:tcPr>
            <w:tcW w:w="908" w:type="dxa"/>
            <w:vAlign w:val="center"/>
          </w:tcPr>
          <w:p w14:paraId="48F3BA55">
            <w:pPr>
              <w:pStyle w:val="196"/>
            </w:pPr>
            <w:r>
              <w:rPr>
                <w:rFonts w:hint="eastAsia"/>
              </w:rPr>
              <w:t>62.5</w:t>
            </w:r>
          </w:p>
        </w:tc>
        <w:tc>
          <w:tcPr>
            <w:tcW w:w="908" w:type="dxa"/>
            <w:vAlign w:val="center"/>
          </w:tcPr>
          <w:p w14:paraId="49402E1D">
            <w:pPr>
              <w:pStyle w:val="196"/>
            </w:pPr>
            <w:r>
              <w:rPr>
                <w:rFonts w:hint="eastAsia"/>
              </w:rPr>
              <w:t>17.5</w:t>
            </w:r>
          </w:p>
        </w:tc>
        <w:tc>
          <w:tcPr>
            <w:tcW w:w="908" w:type="dxa"/>
            <w:vAlign w:val="center"/>
          </w:tcPr>
          <w:p w14:paraId="3E35E334">
            <w:pPr>
              <w:pStyle w:val="196"/>
            </w:pPr>
            <w:r>
              <w:rPr>
                <w:rFonts w:hint="eastAsia"/>
              </w:rPr>
              <w:t>72.5</w:t>
            </w:r>
          </w:p>
        </w:tc>
        <w:tc>
          <w:tcPr>
            <w:tcW w:w="909" w:type="dxa"/>
            <w:vAlign w:val="center"/>
          </w:tcPr>
          <w:p w14:paraId="345A2579">
            <w:pPr>
              <w:pStyle w:val="196"/>
            </w:pPr>
            <w:r>
              <w:rPr>
                <w:rFonts w:hint="eastAsia"/>
              </w:rPr>
              <w:t>77.5</w:t>
            </w:r>
          </w:p>
        </w:tc>
        <w:tc>
          <w:tcPr>
            <w:tcW w:w="916" w:type="dxa"/>
            <w:vAlign w:val="center"/>
          </w:tcPr>
          <w:p w14:paraId="015C55CC">
            <w:pPr>
              <w:pStyle w:val="196"/>
            </w:pPr>
            <w:r>
              <w:rPr>
                <w:rFonts w:hint="eastAsia"/>
              </w:rPr>
              <w:t>82.5</w:t>
            </w:r>
          </w:p>
        </w:tc>
      </w:tr>
      <w:tr w14:paraId="687CC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0D7B989E">
            <w:pPr>
              <w:pStyle w:val="196"/>
            </w:pPr>
            <w:r>
              <w:rPr>
                <w:rFonts w:hint="eastAsia"/>
              </w:rPr>
              <w:t>100</w:t>
            </w:r>
          </w:p>
        </w:tc>
        <w:tc>
          <w:tcPr>
            <w:tcW w:w="906" w:type="dxa"/>
            <w:vAlign w:val="center"/>
          </w:tcPr>
          <w:p w14:paraId="599A98CC">
            <w:pPr>
              <w:pStyle w:val="196"/>
            </w:pPr>
            <w:r>
              <w:rPr>
                <w:rFonts w:hint="eastAsia"/>
              </w:rPr>
              <w:t>45.0</w:t>
            </w:r>
          </w:p>
        </w:tc>
        <w:tc>
          <w:tcPr>
            <w:tcW w:w="906" w:type="dxa"/>
            <w:vAlign w:val="center"/>
          </w:tcPr>
          <w:p w14:paraId="1AE4BB2E">
            <w:pPr>
              <w:pStyle w:val="196"/>
            </w:pPr>
            <w:r>
              <w:rPr>
                <w:rFonts w:hint="eastAsia"/>
              </w:rPr>
              <w:t>50.0</w:t>
            </w:r>
          </w:p>
        </w:tc>
        <w:tc>
          <w:tcPr>
            <w:tcW w:w="908" w:type="dxa"/>
            <w:vAlign w:val="center"/>
          </w:tcPr>
          <w:p w14:paraId="53ED8ADB">
            <w:pPr>
              <w:pStyle w:val="196"/>
            </w:pPr>
            <w:r>
              <w:rPr>
                <w:rFonts w:hint="eastAsia"/>
              </w:rPr>
              <w:t>55.0</w:t>
            </w:r>
          </w:p>
        </w:tc>
        <w:tc>
          <w:tcPr>
            <w:tcW w:w="908" w:type="dxa"/>
            <w:vAlign w:val="center"/>
          </w:tcPr>
          <w:p w14:paraId="5AF4E7C5">
            <w:pPr>
              <w:pStyle w:val="196"/>
            </w:pPr>
            <w:r>
              <w:rPr>
                <w:rFonts w:hint="eastAsia"/>
              </w:rPr>
              <w:t>60.0</w:t>
            </w:r>
          </w:p>
        </w:tc>
        <w:tc>
          <w:tcPr>
            <w:tcW w:w="908" w:type="dxa"/>
            <w:vAlign w:val="center"/>
          </w:tcPr>
          <w:p w14:paraId="006C6635">
            <w:pPr>
              <w:pStyle w:val="196"/>
            </w:pPr>
            <w:r>
              <w:rPr>
                <w:rFonts w:hint="eastAsia"/>
              </w:rPr>
              <w:t>65.0</w:t>
            </w:r>
          </w:p>
        </w:tc>
        <w:tc>
          <w:tcPr>
            <w:tcW w:w="908" w:type="dxa"/>
            <w:vAlign w:val="center"/>
          </w:tcPr>
          <w:p w14:paraId="5999B979">
            <w:pPr>
              <w:pStyle w:val="196"/>
            </w:pPr>
            <w:r>
              <w:rPr>
                <w:rFonts w:hint="eastAsia"/>
              </w:rPr>
              <w:t>70.0</w:t>
            </w:r>
          </w:p>
        </w:tc>
        <w:tc>
          <w:tcPr>
            <w:tcW w:w="909" w:type="dxa"/>
            <w:vAlign w:val="center"/>
          </w:tcPr>
          <w:p w14:paraId="796D35F7">
            <w:pPr>
              <w:pStyle w:val="196"/>
            </w:pPr>
            <w:r>
              <w:rPr>
                <w:rFonts w:hint="eastAsia"/>
              </w:rPr>
              <w:t>75.0</w:t>
            </w:r>
          </w:p>
        </w:tc>
        <w:tc>
          <w:tcPr>
            <w:tcW w:w="916" w:type="dxa"/>
            <w:vAlign w:val="center"/>
          </w:tcPr>
          <w:p w14:paraId="6DBC3652">
            <w:pPr>
              <w:pStyle w:val="196"/>
            </w:pPr>
            <w:r>
              <w:rPr>
                <w:rFonts w:hint="eastAsia"/>
              </w:rPr>
              <w:t>80.0</w:t>
            </w:r>
          </w:p>
        </w:tc>
      </w:tr>
      <w:tr w14:paraId="1FC3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173976ED">
            <w:pPr>
              <w:pStyle w:val="196"/>
            </w:pPr>
            <w:r>
              <w:rPr>
                <w:rFonts w:hint="eastAsia"/>
              </w:rPr>
              <w:t>125</w:t>
            </w:r>
          </w:p>
        </w:tc>
        <w:tc>
          <w:tcPr>
            <w:tcW w:w="906" w:type="dxa"/>
            <w:vAlign w:val="center"/>
          </w:tcPr>
          <w:p w14:paraId="1294149A">
            <w:pPr>
              <w:pStyle w:val="196"/>
            </w:pPr>
            <w:r>
              <w:rPr>
                <w:rFonts w:hint="eastAsia"/>
              </w:rPr>
              <w:t>43.1</w:t>
            </w:r>
          </w:p>
        </w:tc>
        <w:tc>
          <w:tcPr>
            <w:tcW w:w="906" w:type="dxa"/>
            <w:vAlign w:val="center"/>
          </w:tcPr>
          <w:p w14:paraId="55E71BC1">
            <w:pPr>
              <w:pStyle w:val="196"/>
            </w:pPr>
            <w:r>
              <w:rPr>
                <w:rFonts w:hint="eastAsia"/>
              </w:rPr>
              <w:t>48.1</w:t>
            </w:r>
          </w:p>
        </w:tc>
        <w:tc>
          <w:tcPr>
            <w:tcW w:w="908" w:type="dxa"/>
            <w:vAlign w:val="center"/>
          </w:tcPr>
          <w:p w14:paraId="1E20A3B7">
            <w:pPr>
              <w:pStyle w:val="196"/>
            </w:pPr>
            <w:r>
              <w:rPr>
                <w:rFonts w:hint="eastAsia"/>
              </w:rPr>
              <w:t>53.1</w:t>
            </w:r>
          </w:p>
        </w:tc>
        <w:tc>
          <w:tcPr>
            <w:tcW w:w="908" w:type="dxa"/>
            <w:vAlign w:val="center"/>
          </w:tcPr>
          <w:p w14:paraId="65356CD5">
            <w:pPr>
              <w:pStyle w:val="196"/>
            </w:pPr>
            <w:r>
              <w:rPr>
                <w:rFonts w:hint="eastAsia"/>
              </w:rPr>
              <w:t>58.1</w:t>
            </w:r>
          </w:p>
        </w:tc>
        <w:tc>
          <w:tcPr>
            <w:tcW w:w="908" w:type="dxa"/>
            <w:vAlign w:val="center"/>
          </w:tcPr>
          <w:p w14:paraId="4D9D20E9">
            <w:pPr>
              <w:pStyle w:val="196"/>
            </w:pPr>
            <w:r>
              <w:rPr>
                <w:rFonts w:hint="eastAsia"/>
              </w:rPr>
              <w:t>63.1</w:t>
            </w:r>
          </w:p>
        </w:tc>
        <w:tc>
          <w:tcPr>
            <w:tcW w:w="908" w:type="dxa"/>
            <w:vAlign w:val="center"/>
          </w:tcPr>
          <w:p w14:paraId="20047C50">
            <w:pPr>
              <w:pStyle w:val="196"/>
            </w:pPr>
            <w:r>
              <w:rPr>
                <w:rFonts w:hint="eastAsia"/>
              </w:rPr>
              <w:t>68.1</w:t>
            </w:r>
          </w:p>
        </w:tc>
        <w:tc>
          <w:tcPr>
            <w:tcW w:w="909" w:type="dxa"/>
            <w:vAlign w:val="center"/>
          </w:tcPr>
          <w:p w14:paraId="6721D197">
            <w:pPr>
              <w:pStyle w:val="196"/>
            </w:pPr>
            <w:r>
              <w:rPr>
                <w:rFonts w:hint="eastAsia"/>
              </w:rPr>
              <w:t>73.1</w:t>
            </w:r>
          </w:p>
        </w:tc>
        <w:tc>
          <w:tcPr>
            <w:tcW w:w="916" w:type="dxa"/>
            <w:vAlign w:val="center"/>
          </w:tcPr>
          <w:p w14:paraId="17728778">
            <w:pPr>
              <w:pStyle w:val="196"/>
            </w:pPr>
            <w:r>
              <w:rPr>
                <w:rFonts w:hint="eastAsia"/>
              </w:rPr>
              <w:t>78.1</w:t>
            </w:r>
          </w:p>
        </w:tc>
      </w:tr>
      <w:tr w14:paraId="0D58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31A3C346">
            <w:pPr>
              <w:pStyle w:val="196"/>
            </w:pPr>
            <w:r>
              <w:rPr>
                <w:rFonts w:hint="eastAsia"/>
              </w:rPr>
              <w:t>150</w:t>
            </w:r>
          </w:p>
        </w:tc>
        <w:tc>
          <w:tcPr>
            <w:tcW w:w="906" w:type="dxa"/>
            <w:vAlign w:val="center"/>
          </w:tcPr>
          <w:p w14:paraId="7287280C">
            <w:pPr>
              <w:pStyle w:val="196"/>
            </w:pPr>
            <w:r>
              <w:rPr>
                <w:rFonts w:hint="eastAsia"/>
              </w:rPr>
              <w:t>41.5</w:t>
            </w:r>
          </w:p>
        </w:tc>
        <w:tc>
          <w:tcPr>
            <w:tcW w:w="906" w:type="dxa"/>
            <w:vAlign w:val="center"/>
          </w:tcPr>
          <w:p w14:paraId="46184979">
            <w:pPr>
              <w:pStyle w:val="196"/>
            </w:pPr>
            <w:r>
              <w:rPr>
                <w:rFonts w:hint="eastAsia"/>
              </w:rPr>
              <w:t>46.5</w:t>
            </w:r>
          </w:p>
        </w:tc>
        <w:tc>
          <w:tcPr>
            <w:tcW w:w="908" w:type="dxa"/>
            <w:vAlign w:val="center"/>
          </w:tcPr>
          <w:p w14:paraId="2CC77D33">
            <w:pPr>
              <w:pStyle w:val="196"/>
            </w:pPr>
            <w:r>
              <w:rPr>
                <w:rFonts w:hint="eastAsia"/>
              </w:rPr>
              <w:t>51.5</w:t>
            </w:r>
          </w:p>
        </w:tc>
        <w:tc>
          <w:tcPr>
            <w:tcW w:w="908" w:type="dxa"/>
            <w:vAlign w:val="center"/>
          </w:tcPr>
          <w:p w14:paraId="7C1AE9FC">
            <w:pPr>
              <w:pStyle w:val="196"/>
            </w:pPr>
            <w:r>
              <w:rPr>
                <w:rFonts w:hint="eastAsia"/>
              </w:rPr>
              <w:t>56.5</w:t>
            </w:r>
          </w:p>
        </w:tc>
        <w:tc>
          <w:tcPr>
            <w:tcW w:w="908" w:type="dxa"/>
            <w:vAlign w:val="center"/>
          </w:tcPr>
          <w:p w14:paraId="2F8F6E4C">
            <w:pPr>
              <w:pStyle w:val="196"/>
            </w:pPr>
            <w:r>
              <w:rPr>
                <w:rFonts w:hint="eastAsia"/>
              </w:rPr>
              <w:t>61.5</w:t>
            </w:r>
          </w:p>
        </w:tc>
        <w:tc>
          <w:tcPr>
            <w:tcW w:w="908" w:type="dxa"/>
            <w:vAlign w:val="center"/>
          </w:tcPr>
          <w:p w14:paraId="2C8715EE">
            <w:pPr>
              <w:pStyle w:val="196"/>
            </w:pPr>
            <w:r>
              <w:rPr>
                <w:rFonts w:hint="eastAsia"/>
              </w:rPr>
              <w:t>66.5</w:t>
            </w:r>
          </w:p>
        </w:tc>
        <w:tc>
          <w:tcPr>
            <w:tcW w:w="909" w:type="dxa"/>
            <w:vAlign w:val="center"/>
          </w:tcPr>
          <w:p w14:paraId="55610767">
            <w:pPr>
              <w:pStyle w:val="196"/>
            </w:pPr>
            <w:r>
              <w:rPr>
                <w:rFonts w:hint="eastAsia"/>
              </w:rPr>
              <w:t>71.5</w:t>
            </w:r>
          </w:p>
        </w:tc>
        <w:tc>
          <w:tcPr>
            <w:tcW w:w="916" w:type="dxa"/>
            <w:vAlign w:val="center"/>
          </w:tcPr>
          <w:p w14:paraId="0665E040">
            <w:pPr>
              <w:pStyle w:val="196"/>
            </w:pPr>
            <w:r>
              <w:rPr>
                <w:rFonts w:hint="eastAsia"/>
              </w:rPr>
              <w:t>76.5</w:t>
            </w:r>
          </w:p>
        </w:tc>
      </w:tr>
      <w:tr w14:paraId="0A0E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1035" w:type="dxa"/>
            <w:vAlign w:val="center"/>
          </w:tcPr>
          <w:p w14:paraId="1CBD1D34">
            <w:pPr>
              <w:pStyle w:val="196"/>
            </w:pPr>
            <w:r>
              <w:rPr>
                <w:rFonts w:hint="eastAsia"/>
              </w:rPr>
              <w:t>200</w:t>
            </w:r>
          </w:p>
        </w:tc>
        <w:tc>
          <w:tcPr>
            <w:tcW w:w="906" w:type="dxa"/>
            <w:vAlign w:val="center"/>
          </w:tcPr>
          <w:p w14:paraId="1E161156">
            <w:pPr>
              <w:pStyle w:val="196"/>
            </w:pPr>
            <w:r>
              <w:rPr>
                <w:rFonts w:hint="eastAsia"/>
              </w:rPr>
              <w:t>39.0</w:t>
            </w:r>
          </w:p>
        </w:tc>
        <w:tc>
          <w:tcPr>
            <w:tcW w:w="906" w:type="dxa"/>
            <w:vAlign w:val="center"/>
          </w:tcPr>
          <w:p w14:paraId="4FA3C19F">
            <w:pPr>
              <w:pStyle w:val="196"/>
            </w:pPr>
            <w:r>
              <w:rPr>
                <w:rFonts w:hint="eastAsia"/>
              </w:rPr>
              <w:t>44.0</w:t>
            </w:r>
          </w:p>
        </w:tc>
        <w:tc>
          <w:tcPr>
            <w:tcW w:w="908" w:type="dxa"/>
            <w:vAlign w:val="center"/>
          </w:tcPr>
          <w:p w14:paraId="5847BF23">
            <w:pPr>
              <w:pStyle w:val="196"/>
            </w:pPr>
            <w:r>
              <w:rPr>
                <w:rFonts w:hint="eastAsia"/>
              </w:rPr>
              <w:t>49.0</w:t>
            </w:r>
          </w:p>
        </w:tc>
        <w:tc>
          <w:tcPr>
            <w:tcW w:w="908" w:type="dxa"/>
            <w:vAlign w:val="center"/>
          </w:tcPr>
          <w:p w14:paraId="537C7B67">
            <w:pPr>
              <w:pStyle w:val="196"/>
            </w:pPr>
            <w:r>
              <w:rPr>
                <w:rFonts w:hint="eastAsia"/>
              </w:rPr>
              <w:t>54.0</w:t>
            </w:r>
          </w:p>
        </w:tc>
        <w:tc>
          <w:tcPr>
            <w:tcW w:w="908" w:type="dxa"/>
            <w:vAlign w:val="center"/>
          </w:tcPr>
          <w:p w14:paraId="69970884">
            <w:pPr>
              <w:pStyle w:val="196"/>
            </w:pPr>
            <w:r>
              <w:rPr>
                <w:rFonts w:hint="eastAsia"/>
              </w:rPr>
              <w:t>59.0</w:t>
            </w:r>
          </w:p>
        </w:tc>
        <w:tc>
          <w:tcPr>
            <w:tcW w:w="908" w:type="dxa"/>
            <w:vAlign w:val="center"/>
          </w:tcPr>
          <w:p w14:paraId="622E9195">
            <w:pPr>
              <w:pStyle w:val="196"/>
            </w:pPr>
            <w:r>
              <w:rPr>
                <w:rFonts w:hint="eastAsia"/>
              </w:rPr>
              <w:t>64.0</w:t>
            </w:r>
          </w:p>
        </w:tc>
        <w:tc>
          <w:tcPr>
            <w:tcW w:w="909" w:type="dxa"/>
            <w:vAlign w:val="center"/>
          </w:tcPr>
          <w:p w14:paraId="2F93F4F8">
            <w:pPr>
              <w:pStyle w:val="196"/>
            </w:pPr>
            <w:r>
              <w:rPr>
                <w:rFonts w:hint="eastAsia"/>
              </w:rPr>
              <w:t>69.0</w:t>
            </w:r>
          </w:p>
        </w:tc>
        <w:tc>
          <w:tcPr>
            <w:tcW w:w="916" w:type="dxa"/>
            <w:vAlign w:val="center"/>
          </w:tcPr>
          <w:p w14:paraId="5A29A0E3">
            <w:pPr>
              <w:pStyle w:val="196"/>
            </w:pPr>
            <w:r>
              <w:rPr>
                <w:rFonts w:hint="eastAsia"/>
              </w:rPr>
              <w:t>74.0</w:t>
            </w:r>
          </w:p>
        </w:tc>
      </w:tr>
      <w:tr w14:paraId="694A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59FAF8CD">
            <w:pPr>
              <w:pStyle w:val="196"/>
            </w:pPr>
            <w:r>
              <w:rPr>
                <w:rFonts w:hint="eastAsia"/>
              </w:rPr>
              <w:t>250</w:t>
            </w:r>
          </w:p>
        </w:tc>
        <w:tc>
          <w:tcPr>
            <w:tcW w:w="906" w:type="dxa"/>
            <w:vAlign w:val="center"/>
          </w:tcPr>
          <w:p w14:paraId="0C27C836">
            <w:pPr>
              <w:pStyle w:val="196"/>
            </w:pPr>
            <w:r>
              <w:rPr>
                <w:rFonts w:hint="eastAsia"/>
              </w:rPr>
              <w:t>27.0</w:t>
            </w:r>
          </w:p>
        </w:tc>
        <w:tc>
          <w:tcPr>
            <w:tcW w:w="906" w:type="dxa"/>
            <w:vAlign w:val="center"/>
          </w:tcPr>
          <w:p w14:paraId="6D387D22">
            <w:pPr>
              <w:pStyle w:val="196"/>
            </w:pPr>
            <w:r>
              <w:rPr>
                <w:rFonts w:hint="eastAsia"/>
              </w:rPr>
              <w:t>42.0</w:t>
            </w:r>
          </w:p>
        </w:tc>
        <w:tc>
          <w:tcPr>
            <w:tcW w:w="908" w:type="dxa"/>
            <w:vAlign w:val="center"/>
          </w:tcPr>
          <w:p w14:paraId="2B256010">
            <w:pPr>
              <w:pStyle w:val="196"/>
            </w:pPr>
            <w:r>
              <w:rPr>
                <w:rFonts w:hint="eastAsia"/>
              </w:rPr>
              <w:t>47.0</w:t>
            </w:r>
          </w:p>
        </w:tc>
        <w:tc>
          <w:tcPr>
            <w:tcW w:w="908" w:type="dxa"/>
            <w:vAlign w:val="center"/>
          </w:tcPr>
          <w:p w14:paraId="53E31011">
            <w:pPr>
              <w:pStyle w:val="196"/>
            </w:pPr>
            <w:r>
              <w:rPr>
                <w:rFonts w:hint="eastAsia"/>
              </w:rPr>
              <w:t>52.0</w:t>
            </w:r>
          </w:p>
        </w:tc>
        <w:tc>
          <w:tcPr>
            <w:tcW w:w="908" w:type="dxa"/>
            <w:vAlign w:val="center"/>
          </w:tcPr>
          <w:p w14:paraId="48EC363D">
            <w:pPr>
              <w:pStyle w:val="196"/>
            </w:pPr>
            <w:r>
              <w:rPr>
                <w:rFonts w:hint="eastAsia"/>
              </w:rPr>
              <w:t>57.0</w:t>
            </w:r>
          </w:p>
        </w:tc>
        <w:tc>
          <w:tcPr>
            <w:tcW w:w="908" w:type="dxa"/>
            <w:vAlign w:val="center"/>
          </w:tcPr>
          <w:p w14:paraId="28E9A8BD">
            <w:pPr>
              <w:pStyle w:val="196"/>
            </w:pPr>
            <w:r>
              <w:rPr>
                <w:rFonts w:hint="eastAsia"/>
              </w:rPr>
              <w:t>62.0</w:t>
            </w:r>
          </w:p>
        </w:tc>
        <w:tc>
          <w:tcPr>
            <w:tcW w:w="909" w:type="dxa"/>
            <w:vAlign w:val="center"/>
          </w:tcPr>
          <w:p w14:paraId="26FB27B0">
            <w:pPr>
              <w:pStyle w:val="196"/>
            </w:pPr>
            <w:r>
              <w:rPr>
                <w:rFonts w:hint="eastAsia"/>
              </w:rPr>
              <w:t>67.0</w:t>
            </w:r>
          </w:p>
        </w:tc>
        <w:tc>
          <w:tcPr>
            <w:tcW w:w="916" w:type="dxa"/>
            <w:vAlign w:val="center"/>
          </w:tcPr>
          <w:p w14:paraId="0C2E5A4A">
            <w:pPr>
              <w:pStyle w:val="196"/>
            </w:pPr>
            <w:r>
              <w:rPr>
                <w:rFonts w:hint="eastAsia"/>
              </w:rPr>
              <w:t>72.0</w:t>
            </w:r>
          </w:p>
        </w:tc>
      </w:tr>
      <w:tr w14:paraId="6090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6B9FAF6D">
            <w:pPr>
              <w:pStyle w:val="196"/>
            </w:pPr>
            <w:r>
              <w:rPr>
                <w:rFonts w:hint="eastAsia"/>
              </w:rPr>
              <w:t>300</w:t>
            </w:r>
          </w:p>
        </w:tc>
        <w:tc>
          <w:tcPr>
            <w:tcW w:w="906" w:type="dxa"/>
            <w:vAlign w:val="center"/>
          </w:tcPr>
          <w:p w14:paraId="6819CF19">
            <w:pPr>
              <w:pStyle w:val="196"/>
            </w:pPr>
            <w:r>
              <w:rPr>
                <w:rFonts w:hint="eastAsia"/>
              </w:rPr>
              <w:t>35.5</w:t>
            </w:r>
          </w:p>
        </w:tc>
        <w:tc>
          <w:tcPr>
            <w:tcW w:w="906" w:type="dxa"/>
            <w:vAlign w:val="center"/>
          </w:tcPr>
          <w:p w14:paraId="412ADE81">
            <w:pPr>
              <w:pStyle w:val="196"/>
            </w:pPr>
            <w:r>
              <w:rPr>
                <w:rFonts w:hint="eastAsia"/>
              </w:rPr>
              <w:t>40.5</w:t>
            </w:r>
          </w:p>
        </w:tc>
        <w:tc>
          <w:tcPr>
            <w:tcW w:w="908" w:type="dxa"/>
            <w:vAlign w:val="center"/>
          </w:tcPr>
          <w:p w14:paraId="24A6CE56">
            <w:pPr>
              <w:pStyle w:val="196"/>
            </w:pPr>
            <w:r>
              <w:rPr>
                <w:rFonts w:hint="eastAsia"/>
              </w:rPr>
              <w:t>45.5</w:t>
            </w:r>
          </w:p>
        </w:tc>
        <w:tc>
          <w:tcPr>
            <w:tcW w:w="908" w:type="dxa"/>
            <w:vAlign w:val="center"/>
          </w:tcPr>
          <w:p w14:paraId="2E467A0E">
            <w:pPr>
              <w:pStyle w:val="196"/>
            </w:pPr>
            <w:r>
              <w:rPr>
                <w:rFonts w:hint="eastAsia"/>
              </w:rPr>
              <w:t>50.5</w:t>
            </w:r>
          </w:p>
        </w:tc>
        <w:tc>
          <w:tcPr>
            <w:tcW w:w="908" w:type="dxa"/>
            <w:vAlign w:val="center"/>
          </w:tcPr>
          <w:p w14:paraId="60C5497E">
            <w:pPr>
              <w:pStyle w:val="196"/>
            </w:pPr>
            <w:r>
              <w:rPr>
                <w:rFonts w:hint="eastAsia"/>
              </w:rPr>
              <w:t>55.5</w:t>
            </w:r>
          </w:p>
        </w:tc>
        <w:tc>
          <w:tcPr>
            <w:tcW w:w="908" w:type="dxa"/>
            <w:vAlign w:val="center"/>
          </w:tcPr>
          <w:p w14:paraId="0BA161E2">
            <w:pPr>
              <w:pStyle w:val="196"/>
            </w:pPr>
            <w:r>
              <w:rPr>
                <w:rFonts w:hint="eastAsia"/>
              </w:rPr>
              <w:t>60.5</w:t>
            </w:r>
          </w:p>
        </w:tc>
        <w:tc>
          <w:tcPr>
            <w:tcW w:w="909" w:type="dxa"/>
            <w:vAlign w:val="center"/>
          </w:tcPr>
          <w:p w14:paraId="4934DF49">
            <w:pPr>
              <w:pStyle w:val="196"/>
            </w:pPr>
            <w:r>
              <w:rPr>
                <w:rFonts w:hint="eastAsia"/>
              </w:rPr>
              <w:t>65.5</w:t>
            </w:r>
          </w:p>
        </w:tc>
        <w:tc>
          <w:tcPr>
            <w:tcW w:w="916" w:type="dxa"/>
            <w:vAlign w:val="center"/>
          </w:tcPr>
          <w:p w14:paraId="0C66D89A">
            <w:pPr>
              <w:pStyle w:val="196"/>
            </w:pPr>
            <w:r>
              <w:rPr>
                <w:rFonts w:hint="eastAsia"/>
              </w:rPr>
              <w:t>70.5</w:t>
            </w:r>
          </w:p>
        </w:tc>
      </w:tr>
      <w:tr w14:paraId="48D0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1035" w:type="dxa"/>
            <w:vAlign w:val="center"/>
          </w:tcPr>
          <w:p w14:paraId="190EC1B6">
            <w:pPr>
              <w:pStyle w:val="196"/>
            </w:pPr>
            <w:r>
              <w:rPr>
                <w:rFonts w:hint="eastAsia"/>
              </w:rPr>
              <w:t>400</w:t>
            </w:r>
          </w:p>
        </w:tc>
        <w:tc>
          <w:tcPr>
            <w:tcW w:w="906" w:type="dxa"/>
            <w:vAlign w:val="center"/>
          </w:tcPr>
          <w:p w14:paraId="662A1CCF">
            <w:pPr>
              <w:pStyle w:val="196"/>
            </w:pPr>
            <w:r>
              <w:rPr>
                <w:rFonts w:hint="eastAsia"/>
              </w:rPr>
              <w:t>33.0</w:t>
            </w:r>
          </w:p>
        </w:tc>
        <w:tc>
          <w:tcPr>
            <w:tcW w:w="906" w:type="dxa"/>
            <w:vAlign w:val="center"/>
          </w:tcPr>
          <w:p w14:paraId="78A02C27">
            <w:pPr>
              <w:pStyle w:val="196"/>
            </w:pPr>
            <w:r>
              <w:rPr>
                <w:rFonts w:hint="eastAsia"/>
              </w:rPr>
              <w:t>38.0</w:t>
            </w:r>
          </w:p>
        </w:tc>
        <w:tc>
          <w:tcPr>
            <w:tcW w:w="908" w:type="dxa"/>
            <w:vAlign w:val="center"/>
          </w:tcPr>
          <w:p w14:paraId="33CAD725">
            <w:pPr>
              <w:pStyle w:val="196"/>
            </w:pPr>
            <w:r>
              <w:rPr>
                <w:rFonts w:hint="eastAsia"/>
              </w:rPr>
              <w:t>43.0</w:t>
            </w:r>
          </w:p>
        </w:tc>
        <w:tc>
          <w:tcPr>
            <w:tcW w:w="908" w:type="dxa"/>
            <w:vAlign w:val="center"/>
          </w:tcPr>
          <w:p w14:paraId="07AC6D67">
            <w:pPr>
              <w:pStyle w:val="196"/>
            </w:pPr>
            <w:r>
              <w:rPr>
                <w:rFonts w:hint="eastAsia"/>
              </w:rPr>
              <w:t>48.0</w:t>
            </w:r>
          </w:p>
        </w:tc>
        <w:tc>
          <w:tcPr>
            <w:tcW w:w="908" w:type="dxa"/>
            <w:vAlign w:val="center"/>
          </w:tcPr>
          <w:p w14:paraId="7CEDBC6A">
            <w:pPr>
              <w:pStyle w:val="196"/>
            </w:pPr>
            <w:r>
              <w:rPr>
                <w:rFonts w:hint="eastAsia"/>
              </w:rPr>
              <w:t>53.0</w:t>
            </w:r>
          </w:p>
        </w:tc>
        <w:tc>
          <w:tcPr>
            <w:tcW w:w="908" w:type="dxa"/>
            <w:vAlign w:val="center"/>
          </w:tcPr>
          <w:p w14:paraId="476230F5">
            <w:pPr>
              <w:pStyle w:val="196"/>
            </w:pPr>
            <w:r>
              <w:rPr>
                <w:rFonts w:hint="eastAsia"/>
              </w:rPr>
              <w:t>58.0</w:t>
            </w:r>
          </w:p>
        </w:tc>
        <w:tc>
          <w:tcPr>
            <w:tcW w:w="909" w:type="dxa"/>
            <w:vAlign w:val="center"/>
          </w:tcPr>
          <w:p w14:paraId="1CFD09FD">
            <w:pPr>
              <w:pStyle w:val="196"/>
            </w:pPr>
            <w:r>
              <w:rPr>
                <w:rFonts w:hint="eastAsia"/>
              </w:rPr>
              <w:t>63.0</w:t>
            </w:r>
          </w:p>
        </w:tc>
        <w:tc>
          <w:tcPr>
            <w:tcW w:w="916" w:type="dxa"/>
            <w:vAlign w:val="center"/>
          </w:tcPr>
          <w:p w14:paraId="3274E05D">
            <w:pPr>
              <w:pStyle w:val="196"/>
            </w:pPr>
            <w:r>
              <w:rPr>
                <w:rFonts w:hint="eastAsia"/>
              </w:rPr>
              <w:t>68.0</w:t>
            </w:r>
          </w:p>
        </w:tc>
      </w:tr>
      <w:tr w14:paraId="038E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jc w:val="center"/>
        </w:trPr>
        <w:tc>
          <w:tcPr>
            <w:tcW w:w="1035" w:type="dxa"/>
            <w:vAlign w:val="center"/>
          </w:tcPr>
          <w:p w14:paraId="742D388E">
            <w:pPr>
              <w:pStyle w:val="196"/>
            </w:pPr>
            <w:r>
              <w:rPr>
                <w:rFonts w:hint="eastAsia"/>
              </w:rPr>
              <w:t>500</w:t>
            </w:r>
          </w:p>
        </w:tc>
        <w:tc>
          <w:tcPr>
            <w:tcW w:w="906" w:type="dxa"/>
            <w:vAlign w:val="center"/>
          </w:tcPr>
          <w:p w14:paraId="05DF8A10">
            <w:pPr>
              <w:pStyle w:val="196"/>
            </w:pPr>
            <w:r>
              <w:rPr>
                <w:rFonts w:hint="eastAsia"/>
              </w:rPr>
              <w:t>31.0</w:t>
            </w:r>
          </w:p>
        </w:tc>
        <w:tc>
          <w:tcPr>
            <w:tcW w:w="906" w:type="dxa"/>
            <w:vAlign w:val="center"/>
          </w:tcPr>
          <w:p w14:paraId="6BC03FA2">
            <w:pPr>
              <w:pStyle w:val="196"/>
            </w:pPr>
            <w:r>
              <w:rPr>
                <w:rFonts w:hint="eastAsia"/>
              </w:rPr>
              <w:t>36.0</w:t>
            </w:r>
          </w:p>
        </w:tc>
        <w:tc>
          <w:tcPr>
            <w:tcW w:w="908" w:type="dxa"/>
            <w:vAlign w:val="center"/>
          </w:tcPr>
          <w:p w14:paraId="4956100E">
            <w:pPr>
              <w:pStyle w:val="196"/>
            </w:pPr>
            <w:r>
              <w:rPr>
                <w:rFonts w:hint="eastAsia"/>
              </w:rPr>
              <w:t>41.0</w:t>
            </w:r>
          </w:p>
        </w:tc>
        <w:tc>
          <w:tcPr>
            <w:tcW w:w="908" w:type="dxa"/>
            <w:vAlign w:val="center"/>
          </w:tcPr>
          <w:p w14:paraId="05B2B9A3">
            <w:pPr>
              <w:pStyle w:val="196"/>
            </w:pPr>
            <w:r>
              <w:rPr>
                <w:rFonts w:hint="eastAsia"/>
              </w:rPr>
              <w:t>46.0</w:t>
            </w:r>
          </w:p>
        </w:tc>
        <w:tc>
          <w:tcPr>
            <w:tcW w:w="908" w:type="dxa"/>
            <w:vAlign w:val="center"/>
          </w:tcPr>
          <w:p w14:paraId="34885FCF">
            <w:pPr>
              <w:pStyle w:val="196"/>
            </w:pPr>
            <w:r>
              <w:rPr>
                <w:rFonts w:hint="eastAsia"/>
              </w:rPr>
              <w:t>51.0</w:t>
            </w:r>
          </w:p>
        </w:tc>
        <w:tc>
          <w:tcPr>
            <w:tcW w:w="908" w:type="dxa"/>
            <w:vAlign w:val="center"/>
          </w:tcPr>
          <w:p w14:paraId="6ED04783">
            <w:pPr>
              <w:pStyle w:val="196"/>
            </w:pPr>
            <w:r>
              <w:rPr>
                <w:rFonts w:hint="eastAsia"/>
              </w:rPr>
              <w:t>56.0</w:t>
            </w:r>
          </w:p>
        </w:tc>
        <w:tc>
          <w:tcPr>
            <w:tcW w:w="909" w:type="dxa"/>
            <w:vAlign w:val="center"/>
          </w:tcPr>
          <w:p w14:paraId="47545916">
            <w:pPr>
              <w:pStyle w:val="196"/>
            </w:pPr>
            <w:r>
              <w:rPr>
                <w:rFonts w:hint="eastAsia"/>
              </w:rPr>
              <w:t>61.0</w:t>
            </w:r>
          </w:p>
        </w:tc>
        <w:tc>
          <w:tcPr>
            <w:tcW w:w="916" w:type="dxa"/>
            <w:vAlign w:val="center"/>
          </w:tcPr>
          <w:p w14:paraId="09EA7B6F">
            <w:pPr>
              <w:pStyle w:val="196"/>
            </w:pPr>
            <w:r>
              <w:rPr>
                <w:rFonts w:hint="eastAsia"/>
              </w:rPr>
              <w:t>66.0</w:t>
            </w:r>
          </w:p>
        </w:tc>
      </w:tr>
    </w:tbl>
    <w:p w14:paraId="7BBC8E3C">
      <w:pPr>
        <w:pStyle w:val="93"/>
      </w:pPr>
      <w:r>
        <w:rPr>
          <w:rFonts w:hint="eastAsia"/>
        </w:rPr>
        <w:t>由上表可见，按照多种施工机械同时施工白天最大噪声值120dB计算，多种施工机械同时作业产生的噪声将分别对距施工场界昼间最大约300m范围内影响超过《建筑施工场界环境噪声排放标准》（GB12523-2011）中的要求</w:t>
      </w:r>
      <w:r>
        <w:rPr>
          <w:rFonts w:hint="eastAsia"/>
          <w:bCs/>
        </w:rPr>
        <w:t>（昼间限值为70dB）</w:t>
      </w:r>
      <w:r>
        <w:rPr>
          <w:rFonts w:hint="eastAsia"/>
        </w:rPr>
        <w:t>，</w:t>
      </w:r>
      <w:r>
        <w:rPr>
          <w:rFonts w:hint="eastAsia"/>
          <w:bCs/>
        </w:rPr>
        <w:t>夜间最大噪声值按照105dB计算，则夜间最大300m范围内影响超过《建筑施工场界环境噪声排放标准》（GB12523-2011）中的要求（夜间限值为55dB）。</w:t>
      </w:r>
    </w:p>
    <w:p w14:paraId="0BA98B63">
      <w:pPr>
        <w:pStyle w:val="93"/>
      </w:pPr>
      <w:r>
        <w:rPr>
          <w:rFonts w:hint="eastAsia"/>
        </w:rPr>
        <w:t>因此，本工程施工过程中应尽量避免夜间施工，如因特殊情况必须夜间施工，施工单位应按规定及时办理相关手续，并做好相应的防护措施。在施工期夜间打桩机、搅拌机、振捣机等高噪声应禁止。其他机械的施工应合理安排，限制夜间施工的时间。尽管施工噪声将对环境产生一定的不利影响，但是通过加强管理，严禁部分机械夜间施工等措施可将其影响降低到</w:t>
      </w:r>
      <w:r>
        <w:rPr>
          <w:rFonts w:hint="eastAsia"/>
          <w:lang w:eastAsia="zh-CN"/>
        </w:rPr>
        <w:t>最低程度</w:t>
      </w:r>
      <w:r>
        <w:rPr>
          <w:rFonts w:hint="eastAsia"/>
        </w:rPr>
        <w:t>。</w:t>
      </w:r>
    </w:p>
    <w:p w14:paraId="0255048C">
      <w:pPr>
        <w:pStyle w:val="93"/>
      </w:pPr>
      <w:r>
        <w:rPr>
          <w:rFonts w:hint="eastAsia"/>
        </w:rPr>
        <w:t>本工程300m范围内不存在声环境敏感目标分布。</w:t>
      </w:r>
    </w:p>
    <w:p w14:paraId="129C2F73">
      <w:pPr>
        <w:pStyle w:val="82"/>
      </w:pPr>
      <w:r>
        <w:rPr>
          <w:rFonts w:hint="eastAsia"/>
        </w:rPr>
        <w:t>固废影响分析</w:t>
      </w:r>
    </w:p>
    <w:p w14:paraId="0CD5184A">
      <w:pPr>
        <w:pStyle w:val="93"/>
      </w:pPr>
      <w:r>
        <w:rPr>
          <w:rFonts w:hint="eastAsia"/>
        </w:rPr>
        <w:t>施工期间产生的建筑垃圾如不及时处理，不仅影响景观，而且在遇大风天气时，将产生扬尘。本项目施工期固废主要包括两部分，一部分是主体工程港池疏浚、陆域填挖时产生的废弃土石方；另一部分是施工营地产生的生活垃圾和建筑垃圾和废油泥。</w:t>
      </w:r>
    </w:p>
    <w:p w14:paraId="66117A44">
      <w:pPr>
        <w:pStyle w:val="93"/>
      </w:pPr>
      <w:r>
        <w:rPr>
          <w:rFonts w:hint="eastAsia"/>
        </w:rPr>
        <w:t>本项目土石方数量主要包括前沿码头区、后方陆域区及进港道路区施工等。</w:t>
      </w:r>
      <w:r>
        <w:rPr>
          <w:rStyle w:val="140"/>
          <w:rFonts w:hint="eastAsia"/>
          <w:color w:val="auto"/>
        </w:rPr>
        <w:t>工程产生的水下方干化后弃方全部用于临时用地恢复，水上方产生的弃方供建设项目填土和护岸、道路地基回填等。</w:t>
      </w:r>
      <w:r>
        <w:rPr>
          <w:rFonts w:hint="eastAsia"/>
        </w:rPr>
        <w:t>对于施工期生活垃圾，本项目依托国能涟水一期热电联产项目施工</w:t>
      </w:r>
      <w:r>
        <w:rPr>
          <w:rFonts w:hint="eastAsia"/>
          <w:lang w:eastAsia="zh-CN"/>
        </w:rPr>
        <w:t>用</w:t>
      </w:r>
      <w:r>
        <w:rPr>
          <w:rFonts w:hint="eastAsia"/>
        </w:rPr>
        <w:t>地，不再新设。生活垃圾经垃圾桶收集后由环卫部门定期拖运至垃圾</w:t>
      </w:r>
      <w:r>
        <w:rPr>
          <w:rFonts w:hint="eastAsia"/>
          <w:lang w:eastAsia="zh-CN"/>
        </w:rPr>
        <w:t>处理厂</w:t>
      </w:r>
      <w:r>
        <w:rPr>
          <w:rFonts w:hint="eastAsia"/>
        </w:rPr>
        <w:t>处理。</w:t>
      </w:r>
    </w:p>
    <w:p w14:paraId="478C6310">
      <w:pPr>
        <w:pStyle w:val="93"/>
      </w:pPr>
      <w:r>
        <w:rPr>
          <w:rFonts w:hint="eastAsia"/>
        </w:rPr>
        <w:t>施工期</w:t>
      </w:r>
      <w:r>
        <w:rPr>
          <w:rFonts w:hint="eastAsia"/>
          <w:lang w:eastAsia="zh-CN"/>
        </w:rPr>
        <w:t>间</w:t>
      </w:r>
      <w:r>
        <w:rPr>
          <w:rFonts w:hint="eastAsia"/>
        </w:rPr>
        <w:t xml:space="preserve">建筑垃圾主要有建设过程产生的废渣土、混凝土碎块、废弃钢筋等。建筑垃圾如废弃钢筋能回收利用的（如废弃钢筋）回收利用，不能回收利用的（如混凝土碎块）运至涟水县城市管理部门指定的建筑垃圾消纳场处理，对周边环境影响是可以接受的。 </w:t>
      </w:r>
    </w:p>
    <w:p w14:paraId="6FC126EA">
      <w:pPr>
        <w:ind w:firstLine="480"/>
      </w:pPr>
      <w:r>
        <w:rPr>
          <w:rFonts w:hint="eastAsia"/>
        </w:rPr>
        <w:t>施工期废油泥主要是由车辆、机械设备冲洗隔油沉淀处理产生的，属于危险固废，委托有资质单位处理。</w:t>
      </w:r>
    </w:p>
    <w:p w14:paraId="5FFED17F">
      <w:pPr>
        <w:pStyle w:val="93"/>
      </w:pPr>
      <w:r>
        <w:rPr>
          <w:rFonts w:hint="eastAsia"/>
        </w:rPr>
        <w:t>在做好以上收集处理措施后，本项目施工期固体废物对周边环境影响是可以接受的。</w:t>
      </w:r>
    </w:p>
    <w:p w14:paraId="4DB7E3F5">
      <w:pPr>
        <w:pStyle w:val="82"/>
      </w:pPr>
      <w:r>
        <w:rPr>
          <w:rFonts w:hint="eastAsia"/>
        </w:rPr>
        <w:t>生态环境影响分析</w:t>
      </w:r>
    </w:p>
    <w:p w14:paraId="22B0FA48">
      <w:pPr>
        <w:pStyle w:val="84"/>
      </w:pPr>
      <w:r>
        <w:rPr>
          <w:rFonts w:hint="eastAsia"/>
        </w:rPr>
        <w:t>对陆域生态的影响分析</w:t>
      </w:r>
    </w:p>
    <w:p w14:paraId="7A7E728C">
      <w:pPr>
        <w:ind w:firstLine="482"/>
        <w:rPr>
          <w:b/>
          <w:bCs/>
        </w:rPr>
      </w:pPr>
      <w:r>
        <w:rPr>
          <w:rFonts w:hint="eastAsia"/>
          <w:b/>
          <w:bCs/>
        </w:rPr>
        <w:t>（1）对陆域植被的影响</w:t>
      </w:r>
    </w:p>
    <w:p w14:paraId="5FFD4F42">
      <w:pPr>
        <w:pStyle w:val="93"/>
      </w:pPr>
      <w:r>
        <w:rPr>
          <w:rFonts w:hint="eastAsia"/>
        </w:rPr>
        <w:t>本项目工程不包括吹填造陆，项目用地为国能涟水一期热电项目预留建设用地。因此，项目建设破坏的植被不会对沿线生态系统物种的丰度和生态功能产生显著影响。</w:t>
      </w:r>
    </w:p>
    <w:p w14:paraId="13D66E1F">
      <w:pPr>
        <w:pStyle w:val="93"/>
        <w:ind w:firstLine="482"/>
        <w:rPr>
          <w:b/>
          <w:bCs/>
        </w:rPr>
      </w:pPr>
      <w:r>
        <w:rPr>
          <w:rFonts w:hint="eastAsia"/>
          <w:b/>
          <w:bCs/>
        </w:rPr>
        <w:t>（2）对陆生动物的影响</w:t>
      </w:r>
    </w:p>
    <w:p w14:paraId="244B5841">
      <w:pPr>
        <w:pStyle w:val="93"/>
      </w:pPr>
      <w:r>
        <w:rPr>
          <w:rFonts w:hint="eastAsia"/>
        </w:rPr>
        <w:t>根据现场调查，评价区内未发现国家级重点陆生保护动物和《中国濒危野生动物红皮书》记载中，所在地野生动物资源基本是常见鸟类和一些小型兽类。由于这些鸟类、兽类活动能力很强，活动范围较大，工程施工如果对其栖息地产生影响，它们很容易转移到别处，不会因此造成数量和种类的减少。</w:t>
      </w:r>
    </w:p>
    <w:p w14:paraId="798589E8">
      <w:pPr>
        <w:ind w:firstLine="482"/>
        <w:rPr>
          <w:b/>
          <w:bCs/>
        </w:rPr>
      </w:pPr>
      <w:r>
        <w:rPr>
          <w:rFonts w:hint="eastAsia"/>
          <w:b/>
          <w:bCs/>
        </w:rPr>
        <w:t>（3）对陆域生态环境的影响</w:t>
      </w:r>
    </w:p>
    <w:p w14:paraId="13087063">
      <w:pPr>
        <w:pStyle w:val="93"/>
      </w:pPr>
      <w:r>
        <w:rPr>
          <w:rFonts w:hint="eastAsia"/>
        </w:rPr>
        <w:t>本工程在施工期间存在水下土方干化场恶臭废气、施工粉尘、施工车辆和设备排放的尾气以及施工期生活垃圾污染等，如管理不当，会对周边生态环境造成一定的影响。虽然这些因素带来的影响是局部的、短期的，但仍需通过提高施工组织管理水平、加强施工期的环境监管等措施，促进和监督施工单位在保证工程质量与进度的同时，确保施工行为对周边生态环境的影响减至最低。建设方要与施工单位签订环保责任书，并会同有关部门加强施工环保监理。</w:t>
      </w:r>
    </w:p>
    <w:p w14:paraId="45CC370B">
      <w:pPr>
        <w:pStyle w:val="84"/>
      </w:pPr>
      <w:r>
        <w:rPr>
          <w:rFonts w:hint="eastAsia"/>
        </w:rPr>
        <w:t>施工对水域生态的影响分析</w:t>
      </w:r>
    </w:p>
    <w:p w14:paraId="466879DC">
      <w:pPr>
        <w:pStyle w:val="93"/>
      </w:pPr>
      <w:r>
        <w:rPr>
          <w:rFonts w:hint="eastAsia"/>
        </w:rPr>
        <w:t>（1）对水域水质的影响</w:t>
      </w:r>
    </w:p>
    <w:p w14:paraId="3117D719">
      <w:pPr>
        <w:pStyle w:val="93"/>
      </w:pPr>
      <w:r>
        <w:rPr>
          <w:rFonts w:hint="eastAsia"/>
        </w:rPr>
        <w:t>码头建设过程中，可能对水质造成影响的施工类型主要来源于码头桩基施工、疏浚挖泥对水体的扰动对水环境造成影响，同时泥浆释放的部分污染物质也可能对水环境造成一定的影响，其主要污染物质为悬浮物。</w:t>
      </w:r>
    </w:p>
    <w:p w14:paraId="7AA39C51">
      <w:pPr>
        <w:ind w:firstLine="480"/>
      </w:pPr>
      <w:r>
        <w:rPr>
          <w:rFonts w:hint="eastAsia"/>
        </w:rPr>
        <w:t>水下施工过程会引起施工水域内的水质浑浊，将使水中的阳光透射率下降，从而使得该水域内的游泳生物迁移到别处，同时不同程度受到损伤，尤其是滤食性浮游生物和进行光合作用的浮游植物受到的影响较大。这主要是由于施工作业引起水中的悬浮物增多，悬浮颗粒会黏附在动物体表，干扰其正常的生理功能，水体透明度下降，对浮游植物的光合作用不利，进而影响其生长，降低其数量，导致水域内的初级生产力水平下降。</w:t>
      </w:r>
    </w:p>
    <w:p w14:paraId="71B0BF24">
      <w:pPr>
        <w:pStyle w:val="93"/>
      </w:pPr>
      <w:r>
        <w:rPr>
          <w:rFonts w:hint="eastAsia"/>
        </w:rPr>
        <w:t>本项目水域施工采用围堰法，将施工区域与水体隔离，最大限度地减少悬浮物的产生。类比同类工程，疏浚产生的泥沙在河道内很快沉降，超标范围仅限在施工点下游几百米范围内，随着施工的结束，影响也立即消除。对河流水质的影响较小。</w:t>
      </w:r>
    </w:p>
    <w:p w14:paraId="24A1C1B0">
      <w:pPr>
        <w:pStyle w:val="93"/>
      </w:pPr>
      <w:r>
        <w:rPr>
          <w:rFonts w:hint="eastAsia"/>
        </w:rPr>
        <w:t>因此，本项目的建设不会对河流水质产生显著不利影响。</w:t>
      </w:r>
    </w:p>
    <w:p w14:paraId="6C904F48">
      <w:pPr>
        <w:pStyle w:val="93"/>
      </w:pPr>
      <w:r>
        <w:rPr>
          <w:rFonts w:hint="eastAsia"/>
        </w:rPr>
        <w:t xml:space="preserve">（2）对底栖生物的影响分析 </w:t>
      </w:r>
    </w:p>
    <w:p w14:paraId="773E6EE5">
      <w:pPr>
        <w:pStyle w:val="93"/>
      </w:pPr>
      <w:r>
        <w:rPr>
          <w:rFonts w:hint="eastAsia"/>
        </w:rPr>
        <w:t>项目疏浚会将大量的底泥从水域转运至陆地填埋，造成其中包含的一定量的底栖生物因脱离水体而死亡。绝大多数底栖生物生活在河床表层30cm沉积物中，疏浚的面积与深度直接影响损害的底栖动物的数量。有关研究指出，如果疏浚深度在7</w:t>
      </w:r>
      <w:r>
        <w:rPr>
          <w:rFonts w:hint="eastAsia"/>
          <w:lang w:eastAsia="zh-CN"/>
        </w:rPr>
        <w:t>～</w:t>
      </w:r>
      <w:r>
        <w:rPr>
          <w:rFonts w:hint="eastAsia"/>
        </w:rPr>
        <w:t>13cm时，底栖生物可能在15d后得到恢复，但是如果疏浚深度为20cm时，疏浚后60d恢复才会开始。</w:t>
      </w:r>
    </w:p>
    <w:p w14:paraId="31313D34">
      <w:pPr>
        <w:ind w:firstLine="480"/>
      </w:pPr>
      <w:r>
        <w:rPr>
          <w:rFonts w:hint="eastAsia"/>
        </w:rPr>
        <w:t>随着疏浚作业的结束，恢复稳定的新河床成为底栖生物新的生境，随水流迁移的底栖生物在施工区域内逐步生存繁殖，原有的底栖生物群落得以逐步恢复。</w:t>
      </w:r>
    </w:p>
    <w:p w14:paraId="4905D107">
      <w:pPr>
        <w:ind w:firstLine="480"/>
      </w:pPr>
      <w:r>
        <w:rPr>
          <w:rFonts w:hint="eastAsia"/>
        </w:rPr>
        <w:t xml:space="preserve">（3）对浮游生物的影响分析 </w:t>
      </w:r>
    </w:p>
    <w:p w14:paraId="7F30CAE9">
      <w:pPr>
        <w:pStyle w:val="93"/>
      </w:pPr>
      <w:r>
        <w:rPr>
          <w:rFonts w:hint="eastAsia"/>
        </w:rPr>
        <w:t xml:space="preserve">疏浚和打桩过程扰动局部水体，造成水中悬浮物浓度升高，降低了水的透光性。光强减少，将阻碍浮游植物的光合作用，从而降低水体初级生产力，使浮游植物生物量下降，进而通过水生食物链影响浮游动物和鱼类的生物量。 </w:t>
      </w:r>
    </w:p>
    <w:p w14:paraId="0DE556E4">
      <w:pPr>
        <w:pStyle w:val="93"/>
      </w:pPr>
      <w:r>
        <w:rPr>
          <w:rFonts w:hint="eastAsia"/>
        </w:rPr>
        <w:t>根据有关实验结论，水中过量的悬浮物会堵塞桡足类等浮游动物的食物过滤系统和消化器官，尤以悬浮物浓度达到300mg/L以上、悬浮物为黏性淤泥时为甚，如只能分辨颗粒大小的滤食性浮游动物可能会摄入大量的泥沙，造成其内部系统紊乱而亡；水中悬浮物浓度的增加会对桡足类等浮游动物的繁殖和存活存在显著的抑制，如具有依据光线强弱变化而进行昼夜垂直迁移习性的球状</w:t>
      </w:r>
      <w:r>
        <w:rPr>
          <w:rFonts w:hint="eastAsia"/>
          <w:lang w:eastAsia="zh-CN"/>
        </w:rPr>
        <w:t>腹水</w:t>
      </w:r>
      <w:r>
        <w:rPr>
          <w:rFonts w:hint="eastAsia"/>
        </w:rPr>
        <w:t xml:space="preserve">蚤等部分地区优势桡足类动物可能会因为水体的透明度降低，造成其生活习性的混乱，进而破坏其生理功能而亡。 </w:t>
      </w:r>
    </w:p>
    <w:p w14:paraId="32432140">
      <w:pPr>
        <w:pStyle w:val="93"/>
      </w:pPr>
      <w:r>
        <w:rPr>
          <w:rFonts w:hint="eastAsia"/>
        </w:rPr>
        <w:t>本项目影响的浮游生物均为沿线水域内的常见物种，具有</w:t>
      </w:r>
      <w:r>
        <w:rPr>
          <w:rFonts w:hint="eastAsia"/>
          <w:lang w:eastAsia="zh-CN"/>
        </w:rPr>
        <w:t>普遍</w:t>
      </w:r>
      <w:r>
        <w:rPr>
          <w:rFonts w:hint="eastAsia"/>
        </w:rPr>
        <w:t>性的特点，适应环境的能力很强。施工建设可能暂时会降低施工区域内浮游生物的生物量，但这种影响是暂时的，随着施工的结束，原有浮游生物群落会逐渐得到恢复。</w:t>
      </w:r>
    </w:p>
    <w:p w14:paraId="545F6579">
      <w:pPr>
        <w:pStyle w:val="93"/>
      </w:pPr>
      <w:r>
        <w:rPr>
          <w:rFonts w:hint="eastAsia"/>
        </w:rPr>
        <w:t xml:space="preserve">（4）对鱼类的影响分析 </w:t>
      </w:r>
    </w:p>
    <w:p w14:paraId="6AC4A8E6">
      <w:pPr>
        <w:pStyle w:val="93"/>
      </w:pPr>
      <w:r>
        <w:rPr>
          <w:rFonts w:hint="eastAsia"/>
        </w:rPr>
        <w:t>水中悬浮物质含量过高，使鱼类的腮腺积聚泥沙微粒，严重损害腮部的滤水和呼吸功能，甚至导致鱼类窒息死亡。不同的鱼类对悬浮物质含量高低的耐受范围有所区别。据有关实验数据，悬浮物质的含量水平为8×10</w:t>
      </w:r>
      <w:r>
        <w:rPr>
          <w:rFonts w:hint="eastAsia"/>
          <w:vertAlign w:val="superscript"/>
        </w:rPr>
        <w:t>4</w:t>
      </w:r>
      <w:r>
        <w:rPr>
          <w:rFonts w:hint="eastAsia"/>
        </w:rPr>
        <w:t xml:space="preserve">mg/L 时，鱼类最多只能存活一天；含量水平为6000mg/L 时，最多能存活一周；若每天做短时间搅拌，使沉淀的淤泥泛起，保持悬浮物质达到 2300mg/L，则鱼类能存活 3～4 周。通常认为，悬浮物质的含量达到200mg/L 以下及影响期较短时，不会导致鱼类直接死亡。 </w:t>
      </w:r>
    </w:p>
    <w:p w14:paraId="15906682">
      <w:pPr>
        <w:pStyle w:val="93"/>
      </w:pPr>
      <w:r>
        <w:rPr>
          <w:rFonts w:hint="eastAsia"/>
        </w:rPr>
        <w:t>本项目疏浚工程涉及的盐河河道主要功能是航运、农灌和排涝，相应的鱼类资源较少，无水产养殖功能，无鱼类产卵场、越冬场、索饵场和洄游通道。施工造成的悬浮物增加浓度远小于200mg/L，影响范围和影响时间较小，未达到造成鱼类死亡的阈值。由于游泳生物的活动能力较强，施工作业对鱼类等游泳生物的影响更多表现为驱离效应，对工程水域内鱼类的种类和数量不会产生显著不利影响。</w:t>
      </w:r>
    </w:p>
    <w:p w14:paraId="5FB952BB">
      <w:pPr>
        <w:pStyle w:val="93"/>
      </w:pPr>
      <w:r>
        <w:rPr>
          <w:rFonts w:hint="eastAsia"/>
        </w:rPr>
        <w:t>综上所述，本项目建设会造成底栖生物、浮游生物等水生生物量的损失，但对水生生物生境的影响范围、影响程度、影响时间较小，随着施工的结束，水生生境得以恢复，原有的水生生物群落也会逐步恢复，项目建设对水生生态的影响较小。</w:t>
      </w:r>
    </w:p>
    <w:p w14:paraId="63A7B10A">
      <w:pPr>
        <w:pStyle w:val="93"/>
      </w:pPr>
      <w:r>
        <w:rPr>
          <w:rFonts w:hint="eastAsia"/>
        </w:rPr>
        <w:t>由于本项目涉及的盐河河道主要功能是航运、农灌和排涝，相应的水生生物量较少，因此施工期对水生生态环境的影响较小。</w:t>
      </w:r>
    </w:p>
    <w:p w14:paraId="333FB60F">
      <w:pPr>
        <w:pStyle w:val="84"/>
      </w:pPr>
      <w:r>
        <w:rPr>
          <w:rFonts w:hint="eastAsia"/>
        </w:rPr>
        <w:t>水土流失</w:t>
      </w:r>
    </w:p>
    <w:p w14:paraId="2E3826BB">
      <w:pPr>
        <w:pStyle w:val="93"/>
      </w:pPr>
      <w:r>
        <w:rPr>
          <w:rFonts w:hint="eastAsia"/>
        </w:rPr>
        <w:t>施工期水土流失主要是由于场地平整以及土方堆存造成的。项目所在区域降雨集中，雨季暴雨较多，降雨强度较大，均为施工地土壤水力侵蚀的发生提供前提条件。在施工过程中，由于土壤松散和裸露，在雨季容易遭受雨滴溅击和地表径流冲刷而将以面蚀和沟蚀的方式产生明显的水土流失，特别是在暴雨的天气下施工，造成水土流失将更为严重。其可能造成的水土流失危害主要有以下几个方面：</w:t>
      </w:r>
    </w:p>
    <w:p w14:paraId="3B32A023">
      <w:pPr>
        <w:pStyle w:val="93"/>
      </w:pPr>
      <w:r>
        <w:rPr>
          <w:rFonts w:hint="eastAsia" w:ascii="宋体" w:hAnsi="宋体" w:eastAsia="宋体" w:cs="宋体"/>
        </w:rPr>
        <w:t>①</w:t>
      </w:r>
      <w:r>
        <w:rPr>
          <w:rFonts w:hint="eastAsia"/>
        </w:rPr>
        <w:t>增加拟建港区的泥沙淤积进而造成水体淤积。</w:t>
      </w:r>
    </w:p>
    <w:p w14:paraId="20362E24">
      <w:pPr>
        <w:pStyle w:val="93"/>
      </w:pPr>
      <w:r>
        <w:rPr>
          <w:rFonts w:hint="eastAsia" w:ascii="宋体" w:hAnsi="宋体" w:eastAsia="宋体" w:cs="宋体"/>
        </w:rPr>
        <w:t>②</w:t>
      </w:r>
      <w:r>
        <w:rPr>
          <w:rFonts w:hint="eastAsia"/>
        </w:rPr>
        <w:t>影响土地生产力：施工过程中的各项施工设施，占用一定的土地，扰动原地形地貌，损坏原有表层土壤结构和地表植被，使地表失去良好的保护层，拦截地表径流能力下降，遇到降雨，大部分降雨直接打在土壤表面，若不采取措施有效遏制水土流失现象的发生，将使土壤中的氮、磷等有机物及无机盐含量迅速下降，土壤动植物、微生物以及它们的衍生资源减少，造成土地生产力下降。</w:t>
      </w:r>
    </w:p>
    <w:p w14:paraId="5994E33C">
      <w:pPr>
        <w:pStyle w:val="93"/>
      </w:pPr>
      <w:r>
        <w:rPr>
          <w:rFonts w:hint="eastAsia" w:ascii="宋体" w:hAnsi="宋体" w:eastAsia="宋体" w:cs="宋体"/>
        </w:rPr>
        <w:t>③</w:t>
      </w:r>
      <w:r>
        <w:rPr>
          <w:rFonts w:hint="eastAsia"/>
        </w:rPr>
        <w:t>水域功能下降：伴随水土流失现象的发生，悬浮物及其他有机、无机污染物质随地表径流进入盐河，使所在地水域功能下降。但这一影响只是暂时的，将随着时间的推移逐渐得到恢复。</w:t>
      </w:r>
    </w:p>
    <w:p w14:paraId="3FDE4B90">
      <w:pPr>
        <w:pStyle w:val="93"/>
      </w:pPr>
      <w:r>
        <w:rPr>
          <w:rFonts w:hint="eastAsia"/>
        </w:rPr>
        <w:t>因此，建设单位在施工阶段，应严格按照设计要求确定开挖、填筑的坡度，确保边坡稳定；在施工场地设置截洪沟、溢洪道等；科学规划施工场地布局，合理安排施工时段，避免在暴雨期间进行开挖、填筑等扰动较大的施工活动。</w:t>
      </w:r>
    </w:p>
    <w:p w14:paraId="4E05BA30">
      <w:pPr>
        <w:pStyle w:val="93"/>
      </w:pPr>
      <w:r>
        <w:rPr>
          <w:rFonts w:hint="eastAsia"/>
        </w:rPr>
        <w:t>施工结束后，必须及时对裸露地表采取绿化措施，以恢复自然景观，减少水土流失；建设单位应在道路的路边种植沿阶草，防止道路形成的地表径流对草地的侵蚀；对由于项目建设使生态环境受到的不可避免或暂时性的影响，应通过选择合适的植物种类改善介质或利用物理化学方法改良介质等生态恢复的技术对生态环境予以恢复。到了施工后期，随着绿化景观的建设，植物盖度的提高，配套设施的设立，水土流失过程将会有所减弱。</w:t>
      </w:r>
    </w:p>
    <w:p w14:paraId="4CC4AC56">
      <w:pPr>
        <w:pStyle w:val="80"/>
      </w:pPr>
      <w:bookmarkStart w:id="274" w:name="_Toc10878"/>
      <w:bookmarkEnd w:id="274"/>
      <w:bookmarkStart w:id="275" w:name="_Toc182171823"/>
      <w:bookmarkStart w:id="276" w:name="_Toc15650"/>
      <w:r>
        <w:rPr>
          <w:rFonts w:hint="eastAsia"/>
        </w:rPr>
        <w:t>营运期环境影响预测与评价</w:t>
      </w:r>
      <w:bookmarkEnd w:id="275"/>
      <w:bookmarkEnd w:id="276"/>
    </w:p>
    <w:p w14:paraId="30144479">
      <w:pPr>
        <w:pStyle w:val="82"/>
      </w:pPr>
      <w:bookmarkStart w:id="277" w:name="_Toc21395"/>
      <w:bookmarkEnd w:id="277"/>
      <w:r>
        <w:rPr>
          <w:rFonts w:hint="eastAsia"/>
        </w:rPr>
        <w:t>废气影响预测及评价</w:t>
      </w:r>
    </w:p>
    <w:p w14:paraId="149398A5">
      <w:pPr>
        <w:pStyle w:val="84"/>
      </w:pPr>
      <w:r>
        <w:rPr>
          <w:rFonts w:hint="eastAsia"/>
        </w:rPr>
        <w:t>预测估算</w:t>
      </w:r>
    </w:p>
    <w:p w14:paraId="10C95FD6">
      <w:pPr>
        <w:pStyle w:val="93"/>
      </w:pPr>
      <w:r>
        <w:rPr>
          <w:rFonts w:hint="eastAsia"/>
        </w:rPr>
        <w:t>本项目废气主要为卸船作业产生的粉尘、转运站粉尘、船舶尾气。根据本项目工程分析，船舶尾气产生废气较少，船舶废气污染物经大气稀释扩散后对周围大气环境影响较小，本次评价不进行定量分析。项目废气源强见表5.2-1。</w:t>
      </w:r>
    </w:p>
    <w:p w14:paraId="1F4F1EBF">
      <w:pPr>
        <w:ind w:firstLine="482"/>
        <w:rPr>
          <w:b/>
        </w:rPr>
        <w:sectPr>
          <w:pgSz w:w="11905" w:h="16838"/>
          <w:pgMar w:top="1440" w:right="1800" w:bottom="1440" w:left="1800" w:header="851" w:footer="992" w:gutter="0"/>
          <w:cols w:space="720" w:num="1"/>
          <w:docGrid w:type="lines" w:linePitch="332" w:charSpace="0"/>
        </w:sectPr>
      </w:pPr>
    </w:p>
    <w:p w14:paraId="143386D7">
      <w:pPr>
        <w:pStyle w:val="86"/>
      </w:pPr>
      <w:r>
        <w:rPr>
          <w:rFonts w:hint="eastAsia"/>
        </w:rPr>
        <w:t>本项目正常工况下面源排放参数（矩形面源）</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01"/>
        <w:gridCol w:w="797"/>
        <w:gridCol w:w="941"/>
        <w:gridCol w:w="941"/>
        <w:gridCol w:w="941"/>
        <w:gridCol w:w="1145"/>
        <w:gridCol w:w="941"/>
        <w:gridCol w:w="941"/>
        <w:gridCol w:w="726"/>
        <w:gridCol w:w="791"/>
        <w:gridCol w:w="933"/>
        <w:gridCol w:w="1208"/>
        <w:gridCol w:w="1063"/>
        <w:gridCol w:w="751"/>
      </w:tblGrid>
      <w:tr w14:paraId="364A2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407" w:type="pct"/>
            <w:vMerge w:val="restart"/>
            <w:shd w:val="clear" w:color="auto" w:fill="auto"/>
            <w:vAlign w:val="center"/>
          </w:tcPr>
          <w:p w14:paraId="17C88F8B">
            <w:pPr>
              <w:pStyle w:val="196"/>
            </w:pPr>
            <w:r>
              <w:rPr>
                <w:rFonts w:hint="eastAsia"/>
              </w:rPr>
              <w:t>污染源</w:t>
            </w:r>
          </w:p>
        </w:tc>
        <w:tc>
          <w:tcPr>
            <w:tcW w:w="599" w:type="pct"/>
            <w:gridSpan w:val="2"/>
            <w:shd w:val="clear" w:color="auto" w:fill="auto"/>
            <w:vAlign w:val="center"/>
          </w:tcPr>
          <w:p w14:paraId="04378C22">
            <w:pPr>
              <w:pStyle w:val="196"/>
            </w:pPr>
            <w:r>
              <w:rPr>
                <w:rFonts w:hint="eastAsia"/>
              </w:rPr>
              <w:t>面源起点坐标</w:t>
            </w:r>
            <w:r>
              <w:rPr>
                <w:rFonts w:cs="Times New Roman"/>
              </w:rPr>
              <w:t>/m</w:t>
            </w:r>
          </w:p>
        </w:tc>
        <w:tc>
          <w:tcPr>
            <w:tcW w:w="332" w:type="pct"/>
            <w:shd w:val="clear" w:color="auto" w:fill="auto"/>
            <w:vAlign w:val="center"/>
          </w:tcPr>
          <w:p w14:paraId="6207B683">
            <w:pPr>
              <w:pStyle w:val="196"/>
            </w:pPr>
            <w:r>
              <w:rPr>
                <w:rFonts w:hint="eastAsia"/>
              </w:rPr>
              <w:t>面源海拔</w:t>
            </w:r>
          </w:p>
        </w:tc>
        <w:tc>
          <w:tcPr>
            <w:tcW w:w="332" w:type="pct"/>
            <w:vMerge w:val="restart"/>
            <w:shd w:val="clear" w:color="auto" w:fill="auto"/>
            <w:vAlign w:val="center"/>
          </w:tcPr>
          <w:p w14:paraId="5CF1A857">
            <w:pPr>
              <w:pStyle w:val="196"/>
            </w:pPr>
            <w:r>
              <w:rPr>
                <w:rFonts w:hint="eastAsia"/>
              </w:rPr>
              <w:t>面源长度</w:t>
            </w:r>
            <w:r>
              <w:rPr>
                <w:rFonts w:cs="Times New Roman"/>
              </w:rPr>
              <w:t>/m</w:t>
            </w:r>
          </w:p>
        </w:tc>
        <w:tc>
          <w:tcPr>
            <w:tcW w:w="332" w:type="pct"/>
            <w:vMerge w:val="restart"/>
            <w:shd w:val="clear" w:color="auto" w:fill="auto"/>
            <w:vAlign w:val="center"/>
          </w:tcPr>
          <w:p w14:paraId="3DD3E8E6">
            <w:pPr>
              <w:pStyle w:val="196"/>
            </w:pPr>
            <w:r>
              <w:rPr>
                <w:rFonts w:hint="eastAsia"/>
              </w:rPr>
              <w:t>面源宽度</w:t>
            </w:r>
            <w:r>
              <w:rPr>
                <w:rFonts w:cs="Times New Roman"/>
              </w:rPr>
              <w:t>/m</w:t>
            </w:r>
          </w:p>
        </w:tc>
        <w:tc>
          <w:tcPr>
            <w:tcW w:w="404" w:type="pct"/>
            <w:vMerge w:val="restart"/>
            <w:shd w:val="clear" w:color="auto" w:fill="auto"/>
            <w:vAlign w:val="center"/>
          </w:tcPr>
          <w:p w14:paraId="059A8A7D">
            <w:pPr>
              <w:pStyle w:val="196"/>
            </w:pPr>
            <w:r>
              <w:rPr>
                <w:rFonts w:hint="eastAsia"/>
              </w:rPr>
              <w:t>与正北夹角</w:t>
            </w:r>
            <w:r>
              <w:rPr>
                <w:rFonts w:cs="Times New Roman"/>
              </w:rPr>
              <w:t>/</w:t>
            </w:r>
            <w:r>
              <w:rPr>
                <w:rFonts w:hint="eastAsia"/>
              </w:rPr>
              <w:t>（°）</w:t>
            </w:r>
          </w:p>
        </w:tc>
        <w:tc>
          <w:tcPr>
            <w:tcW w:w="332" w:type="pct"/>
            <w:vMerge w:val="restart"/>
            <w:shd w:val="clear" w:color="auto" w:fill="auto"/>
            <w:vAlign w:val="center"/>
          </w:tcPr>
          <w:p w14:paraId="14BF831A">
            <w:pPr>
              <w:pStyle w:val="196"/>
            </w:pPr>
            <w:r>
              <w:rPr>
                <w:rFonts w:hint="eastAsia"/>
              </w:rPr>
              <w:t>面源有效排放高度</w:t>
            </w:r>
            <w:r>
              <w:rPr>
                <w:rFonts w:cs="Times New Roman"/>
              </w:rPr>
              <w:t>/m</w:t>
            </w:r>
          </w:p>
        </w:tc>
        <w:tc>
          <w:tcPr>
            <w:tcW w:w="332" w:type="pct"/>
            <w:vMerge w:val="restart"/>
            <w:shd w:val="clear" w:color="auto" w:fill="auto"/>
            <w:vAlign w:val="center"/>
          </w:tcPr>
          <w:p w14:paraId="12153DF0">
            <w:pPr>
              <w:pStyle w:val="196"/>
            </w:pPr>
            <w:r>
              <w:rPr>
                <w:rFonts w:hint="eastAsia"/>
              </w:rPr>
              <w:t>年排放小时数</w:t>
            </w:r>
          </w:p>
        </w:tc>
        <w:tc>
          <w:tcPr>
            <w:tcW w:w="256" w:type="pct"/>
            <w:vMerge w:val="restart"/>
            <w:shd w:val="clear" w:color="auto" w:fill="auto"/>
            <w:vAlign w:val="center"/>
          </w:tcPr>
          <w:p w14:paraId="53F5CA39">
            <w:pPr>
              <w:pStyle w:val="196"/>
            </w:pPr>
            <w:r>
              <w:rPr>
                <w:rFonts w:hint="eastAsia"/>
              </w:rPr>
              <w:t>排放工况</w:t>
            </w:r>
          </w:p>
        </w:tc>
        <w:tc>
          <w:tcPr>
            <w:tcW w:w="1674" w:type="pct"/>
            <w:gridSpan w:val="5"/>
            <w:shd w:val="clear" w:color="auto" w:fill="auto"/>
            <w:vAlign w:val="center"/>
          </w:tcPr>
          <w:p w14:paraId="175BC2BA">
            <w:pPr>
              <w:pStyle w:val="196"/>
            </w:pPr>
            <w:r>
              <w:rPr>
                <w:rFonts w:hint="eastAsia"/>
              </w:rPr>
              <w:t>污染物排放速率</w:t>
            </w:r>
            <w:r>
              <w:rPr>
                <w:rFonts w:cs="Times New Roman"/>
              </w:rPr>
              <w:t>/(kg/h)</w:t>
            </w:r>
          </w:p>
        </w:tc>
      </w:tr>
      <w:tr w14:paraId="3234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407" w:type="pct"/>
            <w:vMerge w:val="continue"/>
            <w:vAlign w:val="center"/>
          </w:tcPr>
          <w:p w14:paraId="54E5B45F">
            <w:pPr>
              <w:pStyle w:val="196"/>
            </w:pPr>
          </w:p>
        </w:tc>
        <w:tc>
          <w:tcPr>
            <w:tcW w:w="318" w:type="pct"/>
            <w:shd w:val="clear" w:color="auto" w:fill="auto"/>
            <w:vAlign w:val="center"/>
          </w:tcPr>
          <w:p w14:paraId="0B4581FF">
            <w:pPr>
              <w:pStyle w:val="196"/>
              <w:rPr>
                <w:rFonts w:eastAsia="等线" w:cs="Times New Roman"/>
              </w:rPr>
            </w:pPr>
            <w:r>
              <w:rPr>
                <w:rFonts w:eastAsia="等线" w:cs="Times New Roman"/>
              </w:rPr>
              <w:t>X</w:t>
            </w:r>
          </w:p>
        </w:tc>
        <w:tc>
          <w:tcPr>
            <w:tcW w:w="281" w:type="pct"/>
            <w:shd w:val="clear" w:color="auto" w:fill="auto"/>
            <w:vAlign w:val="center"/>
          </w:tcPr>
          <w:p w14:paraId="0498D32E">
            <w:pPr>
              <w:pStyle w:val="196"/>
              <w:rPr>
                <w:rFonts w:eastAsia="等线" w:cs="Times New Roman"/>
              </w:rPr>
            </w:pPr>
            <w:r>
              <w:rPr>
                <w:rFonts w:eastAsia="等线" w:cs="Times New Roman"/>
              </w:rPr>
              <w:t>Y</w:t>
            </w:r>
          </w:p>
        </w:tc>
        <w:tc>
          <w:tcPr>
            <w:tcW w:w="332" w:type="pct"/>
            <w:shd w:val="clear" w:color="auto" w:fill="auto"/>
            <w:vAlign w:val="center"/>
          </w:tcPr>
          <w:p w14:paraId="75EA4062">
            <w:pPr>
              <w:pStyle w:val="196"/>
            </w:pPr>
            <w:r>
              <w:rPr>
                <w:rFonts w:hint="eastAsia"/>
              </w:rPr>
              <w:t>高度</w:t>
            </w:r>
            <w:r>
              <w:rPr>
                <w:rFonts w:cs="Times New Roman"/>
              </w:rPr>
              <w:t>/m</w:t>
            </w:r>
          </w:p>
        </w:tc>
        <w:tc>
          <w:tcPr>
            <w:tcW w:w="332" w:type="pct"/>
            <w:vMerge w:val="continue"/>
            <w:vAlign w:val="center"/>
          </w:tcPr>
          <w:p w14:paraId="36B4E40B">
            <w:pPr>
              <w:pStyle w:val="196"/>
            </w:pPr>
          </w:p>
        </w:tc>
        <w:tc>
          <w:tcPr>
            <w:tcW w:w="332" w:type="pct"/>
            <w:vMerge w:val="continue"/>
            <w:vAlign w:val="center"/>
          </w:tcPr>
          <w:p w14:paraId="549D37F6">
            <w:pPr>
              <w:pStyle w:val="196"/>
            </w:pPr>
          </w:p>
        </w:tc>
        <w:tc>
          <w:tcPr>
            <w:tcW w:w="404" w:type="pct"/>
            <w:vMerge w:val="continue"/>
            <w:vAlign w:val="center"/>
          </w:tcPr>
          <w:p w14:paraId="2E78BA86">
            <w:pPr>
              <w:pStyle w:val="196"/>
            </w:pPr>
          </w:p>
        </w:tc>
        <w:tc>
          <w:tcPr>
            <w:tcW w:w="332" w:type="pct"/>
            <w:vMerge w:val="continue"/>
            <w:vAlign w:val="center"/>
          </w:tcPr>
          <w:p w14:paraId="68987E92">
            <w:pPr>
              <w:pStyle w:val="196"/>
            </w:pPr>
          </w:p>
        </w:tc>
        <w:tc>
          <w:tcPr>
            <w:tcW w:w="332" w:type="pct"/>
            <w:vMerge w:val="continue"/>
            <w:vAlign w:val="center"/>
          </w:tcPr>
          <w:p w14:paraId="3D3C835A">
            <w:pPr>
              <w:pStyle w:val="196"/>
            </w:pPr>
          </w:p>
        </w:tc>
        <w:tc>
          <w:tcPr>
            <w:tcW w:w="256" w:type="pct"/>
            <w:vMerge w:val="continue"/>
            <w:vAlign w:val="center"/>
          </w:tcPr>
          <w:p w14:paraId="5587E524">
            <w:pPr>
              <w:pStyle w:val="196"/>
            </w:pPr>
          </w:p>
        </w:tc>
        <w:tc>
          <w:tcPr>
            <w:tcW w:w="279" w:type="pct"/>
            <w:shd w:val="clear" w:color="auto" w:fill="auto"/>
            <w:vAlign w:val="center"/>
          </w:tcPr>
          <w:p w14:paraId="596E80ED">
            <w:pPr>
              <w:pStyle w:val="196"/>
              <w:rPr>
                <w:rFonts w:eastAsia="等线" w:cs="Times New Roman"/>
              </w:rPr>
            </w:pPr>
            <w:r>
              <w:rPr>
                <w:rFonts w:eastAsia="等线" w:cs="Times New Roman"/>
              </w:rPr>
              <w:t>TSP</w:t>
            </w:r>
          </w:p>
        </w:tc>
        <w:tc>
          <w:tcPr>
            <w:tcW w:w="329" w:type="pct"/>
            <w:shd w:val="clear" w:color="auto" w:fill="auto"/>
            <w:vAlign w:val="center"/>
          </w:tcPr>
          <w:p w14:paraId="7F54DEAF">
            <w:pPr>
              <w:pStyle w:val="196"/>
              <w:rPr>
                <w:rFonts w:eastAsia="等线" w:cs="Times New Roman"/>
              </w:rPr>
            </w:pPr>
            <w:r>
              <w:rPr>
                <w:rFonts w:eastAsia="等线" w:cs="Times New Roman"/>
              </w:rPr>
              <w:t>PM</w:t>
            </w:r>
            <w:r>
              <w:rPr>
                <w:rFonts w:eastAsia="等线" w:cs="Times New Roman"/>
                <w:vertAlign w:val="subscript"/>
              </w:rPr>
              <w:t>10</w:t>
            </w:r>
          </w:p>
        </w:tc>
        <w:tc>
          <w:tcPr>
            <w:tcW w:w="426" w:type="pct"/>
            <w:shd w:val="clear" w:color="auto" w:fill="auto"/>
            <w:vAlign w:val="center"/>
          </w:tcPr>
          <w:p w14:paraId="75EFD090">
            <w:pPr>
              <w:pStyle w:val="196"/>
              <w:rPr>
                <w:rFonts w:eastAsia="等线" w:cs="Times New Roman"/>
              </w:rPr>
            </w:pPr>
            <w:r>
              <w:rPr>
                <w:rFonts w:eastAsia="等线" w:cs="Times New Roman"/>
              </w:rPr>
              <w:t>PM</w:t>
            </w:r>
            <w:r>
              <w:rPr>
                <w:rFonts w:eastAsia="等线" w:cs="Times New Roman"/>
                <w:vertAlign w:val="subscript"/>
              </w:rPr>
              <w:t>2.5</w:t>
            </w:r>
          </w:p>
        </w:tc>
        <w:tc>
          <w:tcPr>
            <w:tcW w:w="375" w:type="pct"/>
            <w:vAlign w:val="center"/>
          </w:tcPr>
          <w:p w14:paraId="0C212139">
            <w:pPr>
              <w:pStyle w:val="196"/>
              <w:rPr>
                <w:rFonts w:eastAsia="等线" w:cs="Times New Roman"/>
              </w:rPr>
            </w:pPr>
            <w:r>
              <w:rPr>
                <w:rFonts w:hint="eastAsia" w:eastAsia="等线" w:cs="Times New Roman"/>
              </w:rPr>
              <w:t>SO</w:t>
            </w:r>
            <w:r>
              <w:rPr>
                <w:rFonts w:eastAsia="等线" w:cs="Times New Roman"/>
                <w:vertAlign w:val="subscript"/>
              </w:rPr>
              <w:t>2</w:t>
            </w:r>
          </w:p>
        </w:tc>
        <w:tc>
          <w:tcPr>
            <w:tcW w:w="265" w:type="pct"/>
            <w:vAlign w:val="center"/>
          </w:tcPr>
          <w:p w14:paraId="6E043363">
            <w:pPr>
              <w:pStyle w:val="196"/>
              <w:rPr>
                <w:rFonts w:eastAsia="等线" w:cs="Times New Roman"/>
              </w:rPr>
            </w:pPr>
            <w:r>
              <w:rPr>
                <w:rFonts w:hint="eastAsia" w:eastAsia="等线" w:cs="Times New Roman"/>
              </w:rPr>
              <w:t>NOx</w:t>
            </w:r>
          </w:p>
        </w:tc>
      </w:tr>
      <w:tr w14:paraId="4140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07" w:type="pct"/>
            <w:shd w:val="clear" w:color="auto" w:fill="auto"/>
            <w:vAlign w:val="center"/>
          </w:tcPr>
          <w:p w14:paraId="1D4EB34D">
            <w:pPr>
              <w:pStyle w:val="196"/>
              <w:rPr>
                <w:rFonts w:eastAsia="等线" w:cs="Times New Roman"/>
              </w:rPr>
            </w:pPr>
            <w:r>
              <w:rPr>
                <w:rFonts w:eastAsia="等线" w:cs="Times New Roman"/>
              </w:rPr>
              <w:t>1#</w:t>
            </w:r>
            <w:r>
              <w:rPr>
                <w:rFonts w:hint="eastAsia" w:cs="Times New Roman"/>
              </w:rPr>
              <w:t>泊位卸船</w:t>
            </w:r>
          </w:p>
        </w:tc>
        <w:tc>
          <w:tcPr>
            <w:tcW w:w="318" w:type="pct"/>
            <w:shd w:val="clear" w:color="auto" w:fill="auto"/>
            <w:vAlign w:val="center"/>
          </w:tcPr>
          <w:p w14:paraId="6F41462B">
            <w:pPr>
              <w:pStyle w:val="196"/>
              <w:rPr>
                <w:rFonts w:eastAsia="等线" w:cs="Times New Roman"/>
              </w:rPr>
            </w:pPr>
            <w:r>
              <w:rPr>
                <w:rFonts w:eastAsia="等线" w:cs="Times New Roman"/>
              </w:rPr>
              <w:t>-20</w:t>
            </w:r>
          </w:p>
        </w:tc>
        <w:tc>
          <w:tcPr>
            <w:tcW w:w="281" w:type="pct"/>
            <w:shd w:val="clear" w:color="auto" w:fill="auto"/>
            <w:vAlign w:val="center"/>
          </w:tcPr>
          <w:p w14:paraId="362DDE7A">
            <w:pPr>
              <w:pStyle w:val="196"/>
              <w:rPr>
                <w:rFonts w:eastAsia="等线" w:cs="Times New Roman"/>
              </w:rPr>
            </w:pPr>
            <w:r>
              <w:rPr>
                <w:rFonts w:eastAsia="等线" w:cs="Times New Roman"/>
              </w:rPr>
              <w:t>108</w:t>
            </w:r>
          </w:p>
        </w:tc>
        <w:tc>
          <w:tcPr>
            <w:tcW w:w="332" w:type="pct"/>
            <w:shd w:val="clear" w:color="auto" w:fill="auto"/>
            <w:vAlign w:val="center"/>
          </w:tcPr>
          <w:p w14:paraId="18BCB5BB">
            <w:pPr>
              <w:pStyle w:val="196"/>
              <w:rPr>
                <w:rFonts w:eastAsia="等线" w:cs="Times New Roman"/>
              </w:rPr>
            </w:pPr>
            <w:r>
              <w:rPr>
                <w:rFonts w:eastAsia="等线" w:cs="Times New Roman"/>
              </w:rPr>
              <w:t>5</w:t>
            </w:r>
          </w:p>
        </w:tc>
        <w:tc>
          <w:tcPr>
            <w:tcW w:w="332" w:type="pct"/>
            <w:shd w:val="clear" w:color="auto" w:fill="auto"/>
            <w:vAlign w:val="center"/>
          </w:tcPr>
          <w:p w14:paraId="1A947E62">
            <w:pPr>
              <w:pStyle w:val="196"/>
              <w:rPr>
                <w:rFonts w:eastAsia="等线" w:cs="Times New Roman"/>
              </w:rPr>
            </w:pPr>
            <w:r>
              <w:rPr>
                <w:rFonts w:eastAsia="等线" w:cs="Times New Roman"/>
              </w:rPr>
              <w:t>70</w:t>
            </w:r>
          </w:p>
        </w:tc>
        <w:tc>
          <w:tcPr>
            <w:tcW w:w="332" w:type="pct"/>
            <w:shd w:val="clear" w:color="auto" w:fill="auto"/>
            <w:vAlign w:val="center"/>
          </w:tcPr>
          <w:p w14:paraId="4DC138F6">
            <w:pPr>
              <w:pStyle w:val="196"/>
              <w:rPr>
                <w:rFonts w:eastAsia="等线" w:cs="Times New Roman"/>
              </w:rPr>
            </w:pPr>
            <w:r>
              <w:rPr>
                <w:rFonts w:eastAsia="等线" w:cs="Times New Roman"/>
              </w:rPr>
              <w:t>40</w:t>
            </w:r>
          </w:p>
        </w:tc>
        <w:tc>
          <w:tcPr>
            <w:tcW w:w="404" w:type="pct"/>
            <w:shd w:val="clear" w:color="auto" w:fill="auto"/>
            <w:vAlign w:val="center"/>
          </w:tcPr>
          <w:p w14:paraId="08B31A86">
            <w:pPr>
              <w:pStyle w:val="196"/>
              <w:rPr>
                <w:rFonts w:eastAsia="等线" w:cs="Times New Roman"/>
              </w:rPr>
            </w:pPr>
            <w:r>
              <w:rPr>
                <w:rFonts w:eastAsia="等线" w:cs="Times New Roman"/>
              </w:rPr>
              <w:t>35</w:t>
            </w:r>
          </w:p>
        </w:tc>
        <w:tc>
          <w:tcPr>
            <w:tcW w:w="332" w:type="pct"/>
            <w:shd w:val="clear" w:color="auto" w:fill="auto"/>
            <w:vAlign w:val="center"/>
          </w:tcPr>
          <w:p w14:paraId="5A0D4265">
            <w:pPr>
              <w:pStyle w:val="196"/>
              <w:rPr>
                <w:rFonts w:eastAsia="等线" w:cs="Times New Roman"/>
              </w:rPr>
            </w:pPr>
            <w:r>
              <w:rPr>
                <w:rFonts w:hint="eastAsia" w:eastAsia="等线" w:cs="Times New Roman"/>
              </w:rPr>
              <w:t>25</w:t>
            </w:r>
          </w:p>
        </w:tc>
        <w:tc>
          <w:tcPr>
            <w:tcW w:w="332" w:type="pct"/>
            <w:shd w:val="clear" w:color="auto" w:fill="auto"/>
            <w:vAlign w:val="center"/>
          </w:tcPr>
          <w:p w14:paraId="49B913FA">
            <w:pPr>
              <w:pStyle w:val="196"/>
              <w:rPr>
                <w:rFonts w:eastAsia="等线" w:cs="Times New Roman"/>
              </w:rPr>
            </w:pPr>
            <w:r>
              <w:rPr>
                <w:rFonts w:hint="eastAsia" w:eastAsia="等线" w:cs="Times New Roman"/>
              </w:rPr>
              <w:t>3636</w:t>
            </w:r>
          </w:p>
        </w:tc>
        <w:tc>
          <w:tcPr>
            <w:tcW w:w="256" w:type="pct"/>
            <w:shd w:val="clear" w:color="auto" w:fill="auto"/>
            <w:vAlign w:val="center"/>
          </w:tcPr>
          <w:p w14:paraId="5C403E40">
            <w:pPr>
              <w:pStyle w:val="196"/>
            </w:pPr>
            <w:r>
              <w:rPr>
                <w:rFonts w:hint="eastAsia"/>
              </w:rPr>
              <w:t>正常</w:t>
            </w:r>
          </w:p>
        </w:tc>
        <w:tc>
          <w:tcPr>
            <w:tcW w:w="279" w:type="pct"/>
            <w:shd w:val="clear" w:color="auto" w:fill="auto"/>
            <w:vAlign w:val="center"/>
          </w:tcPr>
          <w:p w14:paraId="27A114B0">
            <w:pPr>
              <w:pStyle w:val="196"/>
              <w:rPr>
                <w:rFonts w:eastAsia="等线" w:cs="Times New Roman"/>
              </w:rPr>
            </w:pPr>
            <w:r>
              <w:rPr>
                <w:rFonts w:hint="eastAsia" w:eastAsia="等线" w:cs="Times New Roman"/>
                <w:szCs w:val="21"/>
              </w:rPr>
              <w:t>0.51</w:t>
            </w:r>
          </w:p>
        </w:tc>
        <w:tc>
          <w:tcPr>
            <w:tcW w:w="329" w:type="pct"/>
            <w:shd w:val="clear" w:color="auto" w:fill="auto"/>
            <w:vAlign w:val="center"/>
          </w:tcPr>
          <w:p w14:paraId="69A36BF1">
            <w:pPr>
              <w:pStyle w:val="196"/>
              <w:rPr>
                <w:rFonts w:eastAsia="等线" w:cs="Times New Roman"/>
              </w:rPr>
            </w:pPr>
            <w:r>
              <w:rPr>
                <w:rFonts w:hint="eastAsia" w:eastAsia="等线" w:cs="Times New Roman"/>
                <w:szCs w:val="21"/>
              </w:rPr>
              <w:t>0.10</w:t>
            </w:r>
          </w:p>
        </w:tc>
        <w:tc>
          <w:tcPr>
            <w:tcW w:w="426" w:type="pct"/>
            <w:shd w:val="clear" w:color="auto" w:fill="auto"/>
            <w:vAlign w:val="center"/>
          </w:tcPr>
          <w:p w14:paraId="3D70EBBF">
            <w:pPr>
              <w:pStyle w:val="196"/>
              <w:rPr>
                <w:rFonts w:eastAsia="等线" w:cs="Times New Roman"/>
              </w:rPr>
            </w:pPr>
            <w:r>
              <w:rPr>
                <w:rFonts w:hint="eastAsia" w:eastAsia="等线" w:cs="Times New Roman"/>
                <w:szCs w:val="21"/>
              </w:rPr>
              <w:t>0.021</w:t>
            </w:r>
          </w:p>
        </w:tc>
        <w:tc>
          <w:tcPr>
            <w:tcW w:w="375" w:type="pct"/>
            <w:vAlign w:val="center"/>
          </w:tcPr>
          <w:p w14:paraId="3010C725">
            <w:pPr>
              <w:pStyle w:val="196"/>
              <w:rPr>
                <w:rFonts w:eastAsia="等线" w:cs="Times New Roman"/>
              </w:rPr>
            </w:pPr>
          </w:p>
        </w:tc>
        <w:tc>
          <w:tcPr>
            <w:tcW w:w="265" w:type="pct"/>
            <w:vAlign w:val="center"/>
          </w:tcPr>
          <w:p w14:paraId="0EB4983B">
            <w:pPr>
              <w:pStyle w:val="196"/>
              <w:rPr>
                <w:rFonts w:eastAsia="等线" w:cs="Times New Roman"/>
              </w:rPr>
            </w:pPr>
          </w:p>
        </w:tc>
      </w:tr>
      <w:tr w14:paraId="2DA9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07" w:type="pct"/>
            <w:shd w:val="clear" w:color="auto" w:fill="auto"/>
            <w:vAlign w:val="center"/>
          </w:tcPr>
          <w:p w14:paraId="6F455680">
            <w:pPr>
              <w:pStyle w:val="196"/>
              <w:rPr>
                <w:rFonts w:eastAsia="等线" w:cs="Times New Roman"/>
              </w:rPr>
            </w:pPr>
            <w:r>
              <w:rPr>
                <w:rFonts w:eastAsia="等线" w:cs="Times New Roman"/>
              </w:rPr>
              <w:t>2#</w:t>
            </w:r>
            <w:r>
              <w:rPr>
                <w:rFonts w:hint="eastAsia" w:cs="Times New Roman"/>
              </w:rPr>
              <w:t>泊位卸船</w:t>
            </w:r>
          </w:p>
        </w:tc>
        <w:tc>
          <w:tcPr>
            <w:tcW w:w="318" w:type="pct"/>
            <w:shd w:val="clear" w:color="auto" w:fill="auto"/>
            <w:vAlign w:val="center"/>
          </w:tcPr>
          <w:p w14:paraId="52145BEB">
            <w:pPr>
              <w:pStyle w:val="196"/>
              <w:rPr>
                <w:rFonts w:eastAsia="等线" w:cs="Times New Roman"/>
              </w:rPr>
            </w:pPr>
            <w:r>
              <w:rPr>
                <w:rFonts w:eastAsia="等线" w:cs="Times New Roman"/>
              </w:rPr>
              <w:t>25</w:t>
            </w:r>
          </w:p>
        </w:tc>
        <w:tc>
          <w:tcPr>
            <w:tcW w:w="281" w:type="pct"/>
            <w:shd w:val="clear" w:color="auto" w:fill="auto"/>
            <w:vAlign w:val="center"/>
          </w:tcPr>
          <w:p w14:paraId="7217241B">
            <w:pPr>
              <w:pStyle w:val="196"/>
              <w:rPr>
                <w:rFonts w:eastAsia="等线" w:cs="Times New Roman"/>
              </w:rPr>
            </w:pPr>
            <w:r>
              <w:rPr>
                <w:rFonts w:eastAsia="等线" w:cs="Times New Roman"/>
              </w:rPr>
              <w:t>155</w:t>
            </w:r>
          </w:p>
        </w:tc>
        <w:tc>
          <w:tcPr>
            <w:tcW w:w="332" w:type="pct"/>
            <w:shd w:val="clear" w:color="auto" w:fill="auto"/>
            <w:vAlign w:val="center"/>
          </w:tcPr>
          <w:p w14:paraId="7CD10290">
            <w:pPr>
              <w:pStyle w:val="196"/>
              <w:rPr>
                <w:rFonts w:eastAsia="等线" w:cs="Times New Roman"/>
              </w:rPr>
            </w:pPr>
            <w:r>
              <w:rPr>
                <w:rFonts w:eastAsia="等线" w:cs="Times New Roman"/>
              </w:rPr>
              <w:t>5</w:t>
            </w:r>
          </w:p>
        </w:tc>
        <w:tc>
          <w:tcPr>
            <w:tcW w:w="332" w:type="pct"/>
            <w:shd w:val="clear" w:color="auto" w:fill="auto"/>
            <w:vAlign w:val="center"/>
          </w:tcPr>
          <w:p w14:paraId="795C37BC">
            <w:pPr>
              <w:pStyle w:val="196"/>
              <w:rPr>
                <w:rFonts w:eastAsia="等线" w:cs="Times New Roman"/>
              </w:rPr>
            </w:pPr>
            <w:r>
              <w:rPr>
                <w:rFonts w:eastAsia="等线" w:cs="Times New Roman"/>
              </w:rPr>
              <w:t>70</w:t>
            </w:r>
          </w:p>
        </w:tc>
        <w:tc>
          <w:tcPr>
            <w:tcW w:w="332" w:type="pct"/>
            <w:shd w:val="clear" w:color="auto" w:fill="auto"/>
            <w:vAlign w:val="center"/>
          </w:tcPr>
          <w:p w14:paraId="61D31703">
            <w:pPr>
              <w:pStyle w:val="196"/>
              <w:rPr>
                <w:rFonts w:eastAsia="等线" w:cs="Times New Roman"/>
              </w:rPr>
            </w:pPr>
            <w:r>
              <w:rPr>
                <w:rFonts w:eastAsia="等线" w:cs="Times New Roman"/>
              </w:rPr>
              <w:t>40</w:t>
            </w:r>
          </w:p>
        </w:tc>
        <w:tc>
          <w:tcPr>
            <w:tcW w:w="404" w:type="pct"/>
            <w:shd w:val="clear" w:color="auto" w:fill="auto"/>
            <w:vAlign w:val="center"/>
          </w:tcPr>
          <w:p w14:paraId="7A26C7B2">
            <w:pPr>
              <w:pStyle w:val="196"/>
              <w:rPr>
                <w:rFonts w:eastAsia="等线" w:cs="Times New Roman"/>
              </w:rPr>
            </w:pPr>
            <w:r>
              <w:rPr>
                <w:rFonts w:eastAsia="等线" w:cs="Times New Roman"/>
              </w:rPr>
              <w:t>35</w:t>
            </w:r>
          </w:p>
        </w:tc>
        <w:tc>
          <w:tcPr>
            <w:tcW w:w="332" w:type="pct"/>
            <w:shd w:val="clear" w:color="auto" w:fill="auto"/>
            <w:vAlign w:val="center"/>
          </w:tcPr>
          <w:p w14:paraId="3CC7F04D">
            <w:pPr>
              <w:pStyle w:val="196"/>
              <w:rPr>
                <w:rFonts w:eastAsia="等线" w:cs="Times New Roman"/>
              </w:rPr>
            </w:pPr>
            <w:r>
              <w:rPr>
                <w:rFonts w:hint="eastAsia" w:eastAsia="等线" w:cs="Times New Roman"/>
              </w:rPr>
              <w:t>25</w:t>
            </w:r>
          </w:p>
        </w:tc>
        <w:tc>
          <w:tcPr>
            <w:tcW w:w="332" w:type="pct"/>
            <w:shd w:val="clear" w:color="auto" w:fill="auto"/>
            <w:vAlign w:val="center"/>
          </w:tcPr>
          <w:p w14:paraId="5D5A7E88">
            <w:pPr>
              <w:pStyle w:val="196"/>
              <w:rPr>
                <w:rFonts w:eastAsia="等线" w:cs="Times New Roman"/>
              </w:rPr>
            </w:pPr>
            <w:r>
              <w:rPr>
                <w:rFonts w:hint="eastAsia" w:eastAsia="等线" w:cs="Times New Roman"/>
              </w:rPr>
              <w:t>3636</w:t>
            </w:r>
          </w:p>
        </w:tc>
        <w:tc>
          <w:tcPr>
            <w:tcW w:w="256" w:type="pct"/>
            <w:shd w:val="clear" w:color="auto" w:fill="auto"/>
            <w:vAlign w:val="center"/>
          </w:tcPr>
          <w:p w14:paraId="73B508F6">
            <w:pPr>
              <w:pStyle w:val="196"/>
            </w:pPr>
            <w:r>
              <w:rPr>
                <w:rFonts w:hint="eastAsia"/>
              </w:rPr>
              <w:t>正常</w:t>
            </w:r>
          </w:p>
        </w:tc>
        <w:tc>
          <w:tcPr>
            <w:tcW w:w="279" w:type="pct"/>
            <w:shd w:val="clear" w:color="auto" w:fill="auto"/>
            <w:vAlign w:val="center"/>
          </w:tcPr>
          <w:p w14:paraId="0325B23E">
            <w:pPr>
              <w:pStyle w:val="196"/>
              <w:rPr>
                <w:rFonts w:eastAsia="等线" w:cs="Times New Roman"/>
              </w:rPr>
            </w:pPr>
            <w:r>
              <w:rPr>
                <w:rFonts w:hint="eastAsia" w:eastAsia="等线" w:cs="Times New Roman"/>
                <w:szCs w:val="21"/>
              </w:rPr>
              <w:t>0.51</w:t>
            </w:r>
          </w:p>
        </w:tc>
        <w:tc>
          <w:tcPr>
            <w:tcW w:w="329" w:type="pct"/>
            <w:shd w:val="clear" w:color="auto" w:fill="auto"/>
            <w:vAlign w:val="center"/>
          </w:tcPr>
          <w:p w14:paraId="5833A527">
            <w:pPr>
              <w:pStyle w:val="196"/>
              <w:rPr>
                <w:rFonts w:eastAsia="等线" w:cs="Times New Roman"/>
              </w:rPr>
            </w:pPr>
            <w:r>
              <w:rPr>
                <w:rFonts w:hint="eastAsia" w:eastAsia="等线" w:cs="Times New Roman"/>
                <w:szCs w:val="21"/>
              </w:rPr>
              <w:t>0.10</w:t>
            </w:r>
          </w:p>
        </w:tc>
        <w:tc>
          <w:tcPr>
            <w:tcW w:w="426" w:type="pct"/>
            <w:shd w:val="clear" w:color="auto" w:fill="auto"/>
            <w:vAlign w:val="center"/>
          </w:tcPr>
          <w:p w14:paraId="50539E97">
            <w:pPr>
              <w:pStyle w:val="196"/>
              <w:rPr>
                <w:rFonts w:eastAsia="等线" w:cs="Times New Roman"/>
              </w:rPr>
            </w:pPr>
            <w:r>
              <w:rPr>
                <w:rFonts w:hint="eastAsia" w:eastAsia="等线" w:cs="Times New Roman"/>
                <w:szCs w:val="21"/>
              </w:rPr>
              <w:t>0.021</w:t>
            </w:r>
          </w:p>
        </w:tc>
        <w:tc>
          <w:tcPr>
            <w:tcW w:w="375" w:type="pct"/>
            <w:vAlign w:val="center"/>
          </w:tcPr>
          <w:p w14:paraId="32F7D408">
            <w:pPr>
              <w:pStyle w:val="196"/>
              <w:rPr>
                <w:rFonts w:eastAsia="等线" w:cs="Times New Roman"/>
              </w:rPr>
            </w:pPr>
          </w:p>
        </w:tc>
        <w:tc>
          <w:tcPr>
            <w:tcW w:w="265" w:type="pct"/>
            <w:vAlign w:val="center"/>
          </w:tcPr>
          <w:p w14:paraId="688E1431">
            <w:pPr>
              <w:pStyle w:val="196"/>
              <w:rPr>
                <w:rFonts w:eastAsia="等线" w:cs="Times New Roman"/>
              </w:rPr>
            </w:pPr>
          </w:p>
        </w:tc>
      </w:tr>
      <w:tr w14:paraId="720D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407" w:type="pct"/>
            <w:shd w:val="clear" w:color="auto" w:fill="auto"/>
            <w:vAlign w:val="center"/>
          </w:tcPr>
          <w:p w14:paraId="59E4BCCF">
            <w:pPr>
              <w:pStyle w:val="196"/>
            </w:pPr>
            <w:r>
              <w:rPr>
                <w:rFonts w:hint="eastAsia"/>
              </w:rPr>
              <w:t>船舶尾气</w:t>
            </w:r>
          </w:p>
        </w:tc>
        <w:tc>
          <w:tcPr>
            <w:tcW w:w="318" w:type="pct"/>
            <w:shd w:val="clear" w:color="auto" w:fill="auto"/>
            <w:vAlign w:val="center"/>
          </w:tcPr>
          <w:p w14:paraId="372C30A9">
            <w:pPr>
              <w:pStyle w:val="196"/>
              <w:rPr>
                <w:rFonts w:eastAsia="等线" w:cs="Times New Roman"/>
              </w:rPr>
            </w:pPr>
            <w:r>
              <w:rPr>
                <w:rFonts w:hint="eastAsia" w:eastAsia="等线" w:cs="Times New Roman"/>
              </w:rPr>
              <w:t>0</w:t>
            </w:r>
          </w:p>
        </w:tc>
        <w:tc>
          <w:tcPr>
            <w:tcW w:w="281" w:type="pct"/>
            <w:shd w:val="clear" w:color="auto" w:fill="auto"/>
            <w:vAlign w:val="center"/>
          </w:tcPr>
          <w:p w14:paraId="3553869B">
            <w:pPr>
              <w:pStyle w:val="196"/>
              <w:rPr>
                <w:rFonts w:eastAsia="等线" w:cs="Times New Roman"/>
              </w:rPr>
            </w:pPr>
            <w:r>
              <w:rPr>
                <w:rFonts w:hint="eastAsia" w:eastAsia="等线" w:cs="Times New Roman"/>
              </w:rPr>
              <w:t>0</w:t>
            </w:r>
          </w:p>
        </w:tc>
        <w:tc>
          <w:tcPr>
            <w:tcW w:w="332" w:type="pct"/>
            <w:shd w:val="clear" w:color="auto" w:fill="auto"/>
            <w:vAlign w:val="center"/>
          </w:tcPr>
          <w:p w14:paraId="605FBF86">
            <w:pPr>
              <w:pStyle w:val="196"/>
              <w:rPr>
                <w:rFonts w:eastAsia="等线" w:cs="Times New Roman"/>
              </w:rPr>
            </w:pPr>
            <w:r>
              <w:rPr>
                <w:rFonts w:hint="eastAsia" w:eastAsia="等线" w:cs="Times New Roman"/>
              </w:rPr>
              <w:t>3</w:t>
            </w:r>
          </w:p>
        </w:tc>
        <w:tc>
          <w:tcPr>
            <w:tcW w:w="332" w:type="pct"/>
            <w:shd w:val="clear" w:color="auto" w:fill="auto"/>
            <w:vAlign w:val="center"/>
          </w:tcPr>
          <w:p w14:paraId="54436201">
            <w:pPr>
              <w:pStyle w:val="196"/>
              <w:rPr>
                <w:rFonts w:eastAsia="等线" w:cs="Times New Roman"/>
              </w:rPr>
            </w:pPr>
            <w:r>
              <w:rPr>
                <w:rFonts w:hint="eastAsia" w:eastAsia="等线" w:cs="Times New Roman"/>
              </w:rPr>
              <w:t>1</w:t>
            </w:r>
            <w:r>
              <w:rPr>
                <w:rFonts w:eastAsia="等线" w:cs="Times New Roman"/>
              </w:rPr>
              <w:t>82</w:t>
            </w:r>
          </w:p>
        </w:tc>
        <w:tc>
          <w:tcPr>
            <w:tcW w:w="332" w:type="pct"/>
            <w:shd w:val="clear" w:color="auto" w:fill="auto"/>
            <w:vAlign w:val="center"/>
          </w:tcPr>
          <w:p w14:paraId="3813908A">
            <w:pPr>
              <w:pStyle w:val="196"/>
              <w:rPr>
                <w:rFonts w:eastAsia="等线" w:cs="Times New Roman"/>
              </w:rPr>
            </w:pPr>
            <w:r>
              <w:rPr>
                <w:rFonts w:eastAsia="等线" w:cs="Times New Roman"/>
              </w:rPr>
              <w:t>90</w:t>
            </w:r>
          </w:p>
        </w:tc>
        <w:tc>
          <w:tcPr>
            <w:tcW w:w="404" w:type="pct"/>
            <w:shd w:val="clear" w:color="auto" w:fill="auto"/>
            <w:vAlign w:val="center"/>
          </w:tcPr>
          <w:p w14:paraId="619CBF3E">
            <w:pPr>
              <w:pStyle w:val="196"/>
              <w:rPr>
                <w:rFonts w:eastAsia="等线" w:cs="Times New Roman"/>
              </w:rPr>
            </w:pPr>
            <w:r>
              <w:rPr>
                <w:rFonts w:hint="eastAsia" w:eastAsia="等线" w:cs="Times New Roman"/>
              </w:rPr>
              <w:t>3</w:t>
            </w:r>
            <w:r>
              <w:rPr>
                <w:rFonts w:eastAsia="等线" w:cs="Times New Roman"/>
              </w:rPr>
              <w:t>5</w:t>
            </w:r>
          </w:p>
        </w:tc>
        <w:tc>
          <w:tcPr>
            <w:tcW w:w="332" w:type="pct"/>
            <w:shd w:val="clear" w:color="auto" w:fill="auto"/>
            <w:vAlign w:val="center"/>
          </w:tcPr>
          <w:p w14:paraId="5561A7CE">
            <w:pPr>
              <w:pStyle w:val="196"/>
              <w:rPr>
                <w:rFonts w:eastAsia="等线" w:cs="Times New Roman"/>
              </w:rPr>
            </w:pPr>
            <w:r>
              <w:rPr>
                <w:rFonts w:hint="eastAsia" w:eastAsia="等线" w:cs="Times New Roman"/>
              </w:rPr>
              <w:t>25</w:t>
            </w:r>
          </w:p>
        </w:tc>
        <w:tc>
          <w:tcPr>
            <w:tcW w:w="332" w:type="pct"/>
            <w:shd w:val="clear" w:color="auto" w:fill="auto"/>
            <w:vAlign w:val="center"/>
          </w:tcPr>
          <w:p w14:paraId="1E6F7476">
            <w:pPr>
              <w:pStyle w:val="196"/>
              <w:rPr>
                <w:rFonts w:eastAsia="等线" w:cs="Times New Roman"/>
              </w:rPr>
            </w:pPr>
            <w:r>
              <w:rPr>
                <w:rFonts w:eastAsia="等线" w:cs="Times New Roman"/>
              </w:rPr>
              <w:t>2</w:t>
            </w:r>
            <w:r>
              <w:rPr>
                <w:rFonts w:hint="eastAsia" w:eastAsia="等线" w:cs="Times New Roman"/>
              </w:rPr>
              <w:t>2</w:t>
            </w:r>
            <w:r>
              <w:rPr>
                <w:rFonts w:eastAsia="等线" w:cs="Times New Roman"/>
              </w:rPr>
              <w:t>40</w:t>
            </w:r>
          </w:p>
        </w:tc>
        <w:tc>
          <w:tcPr>
            <w:tcW w:w="256" w:type="pct"/>
            <w:shd w:val="clear" w:color="auto" w:fill="auto"/>
            <w:vAlign w:val="center"/>
          </w:tcPr>
          <w:p w14:paraId="34D3988D">
            <w:pPr>
              <w:pStyle w:val="196"/>
            </w:pPr>
            <w:r>
              <w:rPr>
                <w:rFonts w:hint="eastAsia"/>
              </w:rPr>
              <w:t>正常</w:t>
            </w:r>
          </w:p>
        </w:tc>
        <w:tc>
          <w:tcPr>
            <w:tcW w:w="279" w:type="pct"/>
            <w:shd w:val="clear" w:color="auto" w:fill="auto"/>
            <w:vAlign w:val="center"/>
          </w:tcPr>
          <w:p w14:paraId="34903037">
            <w:pPr>
              <w:pStyle w:val="196"/>
              <w:rPr>
                <w:rFonts w:eastAsia="等线" w:cs="Times New Roman"/>
              </w:rPr>
            </w:pPr>
          </w:p>
        </w:tc>
        <w:tc>
          <w:tcPr>
            <w:tcW w:w="329" w:type="pct"/>
            <w:shd w:val="clear" w:color="auto" w:fill="auto"/>
            <w:vAlign w:val="center"/>
          </w:tcPr>
          <w:p w14:paraId="1A968367">
            <w:pPr>
              <w:pStyle w:val="196"/>
              <w:rPr>
                <w:rFonts w:eastAsia="等线" w:cs="Times New Roman"/>
              </w:rPr>
            </w:pPr>
          </w:p>
        </w:tc>
        <w:tc>
          <w:tcPr>
            <w:tcW w:w="426" w:type="pct"/>
            <w:shd w:val="clear" w:color="auto" w:fill="auto"/>
            <w:vAlign w:val="center"/>
          </w:tcPr>
          <w:p w14:paraId="1B3BBC98">
            <w:pPr>
              <w:pStyle w:val="196"/>
              <w:rPr>
                <w:rFonts w:eastAsia="等线" w:cs="Times New Roman"/>
              </w:rPr>
            </w:pPr>
          </w:p>
        </w:tc>
        <w:tc>
          <w:tcPr>
            <w:tcW w:w="375" w:type="pct"/>
            <w:vAlign w:val="center"/>
          </w:tcPr>
          <w:p w14:paraId="5DBED335">
            <w:pPr>
              <w:pStyle w:val="196"/>
              <w:rPr>
                <w:rFonts w:eastAsia="等线" w:cs="Times New Roman"/>
              </w:rPr>
            </w:pPr>
            <w:r>
              <w:rPr>
                <w:rFonts w:eastAsia="等线" w:cs="Times New Roman"/>
              </w:rPr>
              <w:t>0.0010</w:t>
            </w:r>
          </w:p>
        </w:tc>
        <w:tc>
          <w:tcPr>
            <w:tcW w:w="265" w:type="pct"/>
            <w:vAlign w:val="center"/>
          </w:tcPr>
          <w:p w14:paraId="7CB976BC">
            <w:pPr>
              <w:pStyle w:val="196"/>
              <w:rPr>
                <w:rFonts w:eastAsia="等线" w:cs="Times New Roman"/>
              </w:rPr>
            </w:pPr>
            <w:r>
              <w:rPr>
                <w:rFonts w:eastAsia="等线" w:cs="Times New Roman"/>
              </w:rPr>
              <w:t>0.082</w:t>
            </w:r>
          </w:p>
        </w:tc>
      </w:tr>
    </w:tbl>
    <w:p w14:paraId="3A99251E">
      <w:pPr>
        <w:ind w:firstLine="480"/>
      </w:pPr>
      <w:r>
        <w:rPr>
          <w:rFonts w:hint="eastAsia"/>
        </w:rPr>
        <w:t>采用估算模式预测结果详见表5.2-2和表5</w:t>
      </w:r>
      <w:r>
        <w:t>.2-</w:t>
      </w:r>
      <w:r>
        <w:rPr>
          <w:rFonts w:hint="eastAsia"/>
        </w:rPr>
        <w:t>3。</w:t>
      </w:r>
    </w:p>
    <w:p w14:paraId="0AA39CB9">
      <w:pPr>
        <w:spacing w:line="240" w:lineRule="auto"/>
        <w:ind w:firstLine="0" w:firstLineChars="0"/>
      </w:pPr>
      <w:r>
        <w:br w:type="page"/>
      </w:r>
    </w:p>
    <w:p w14:paraId="2031B330">
      <w:pPr>
        <w:pStyle w:val="86"/>
      </w:pPr>
      <w:r>
        <w:rPr>
          <w:rFonts w:hint="eastAsia"/>
        </w:rPr>
        <w:t>本项目正常工况面源排放大气污染物预测结果</w:t>
      </w:r>
    </w:p>
    <w:tbl>
      <w:tblPr>
        <w:tblStyle w:val="38"/>
        <w:tblW w:w="5000" w:type="pct"/>
        <w:tblInd w:w="0" w:type="dxa"/>
        <w:tblLayout w:type="autofit"/>
        <w:tblCellMar>
          <w:top w:w="0" w:type="dxa"/>
          <w:left w:w="108" w:type="dxa"/>
          <w:bottom w:w="0" w:type="dxa"/>
          <w:right w:w="108" w:type="dxa"/>
        </w:tblCellMar>
      </w:tblPr>
      <w:tblGrid>
        <w:gridCol w:w="661"/>
        <w:gridCol w:w="980"/>
        <w:gridCol w:w="709"/>
        <w:gridCol w:w="980"/>
        <w:gridCol w:w="709"/>
        <w:gridCol w:w="980"/>
        <w:gridCol w:w="709"/>
        <w:gridCol w:w="980"/>
        <w:gridCol w:w="709"/>
        <w:gridCol w:w="980"/>
        <w:gridCol w:w="709"/>
        <w:gridCol w:w="980"/>
        <w:gridCol w:w="709"/>
        <w:gridCol w:w="980"/>
        <w:gridCol w:w="709"/>
        <w:gridCol w:w="980"/>
        <w:gridCol w:w="710"/>
      </w:tblGrid>
      <w:tr w14:paraId="40740439">
        <w:tblPrEx>
          <w:tblCellMar>
            <w:top w:w="0" w:type="dxa"/>
            <w:left w:w="108" w:type="dxa"/>
            <w:bottom w:w="0" w:type="dxa"/>
            <w:right w:w="108" w:type="dxa"/>
          </w:tblCellMar>
        </w:tblPrEx>
        <w:trPr>
          <w:trHeight w:val="300" w:hRule="atLeast"/>
        </w:trPr>
        <w:tc>
          <w:tcPr>
            <w:tcW w:w="3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83384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下风向距离</w:t>
            </w:r>
          </w:p>
        </w:tc>
        <w:tc>
          <w:tcPr>
            <w:tcW w:w="1972" w:type="pct"/>
            <w:gridSpan w:val="6"/>
            <w:tcBorders>
              <w:top w:val="single" w:color="auto" w:sz="4" w:space="0"/>
              <w:left w:val="nil"/>
              <w:bottom w:val="single" w:color="auto" w:sz="4" w:space="0"/>
              <w:right w:val="single" w:color="auto" w:sz="4" w:space="0"/>
            </w:tcBorders>
            <w:shd w:val="clear" w:color="auto" w:fill="auto"/>
            <w:vAlign w:val="center"/>
          </w:tcPr>
          <w:p w14:paraId="41121D0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1泊位卸船</w:t>
            </w:r>
          </w:p>
        </w:tc>
        <w:tc>
          <w:tcPr>
            <w:tcW w:w="1072"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EEFB82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船舶尾气面源</w:t>
            </w:r>
          </w:p>
        </w:tc>
        <w:tc>
          <w:tcPr>
            <w:tcW w:w="1602" w:type="pct"/>
            <w:gridSpan w:val="6"/>
            <w:tcBorders>
              <w:top w:val="single" w:color="auto" w:sz="4" w:space="0"/>
              <w:left w:val="nil"/>
              <w:bottom w:val="single" w:color="auto" w:sz="4" w:space="0"/>
              <w:right w:val="single" w:color="auto" w:sz="4" w:space="0"/>
            </w:tcBorders>
            <w:shd w:val="clear" w:color="auto" w:fill="auto"/>
            <w:vAlign w:val="center"/>
          </w:tcPr>
          <w:p w14:paraId="7D79B07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2泊位卸船</w:t>
            </w:r>
          </w:p>
        </w:tc>
      </w:tr>
      <w:tr w14:paraId="103B1799">
        <w:tblPrEx>
          <w:tblCellMar>
            <w:top w:w="0" w:type="dxa"/>
            <w:left w:w="108" w:type="dxa"/>
            <w:bottom w:w="0" w:type="dxa"/>
            <w:right w:w="108" w:type="dxa"/>
          </w:tblCellMar>
        </w:tblPrEx>
        <w:trPr>
          <w:trHeight w:val="900" w:hRule="atLeast"/>
        </w:trPr>
        <w:tc>
          <w:tcPr>
            <w:tcW w:w="355" w:type="pct"/>
            <w:vMerge w:val="continue"/>
            <w:tcBorders>
              <w:top w:val="single" w:color="auto" w:sz="4" w:space="0"/>
              <w:left w:val="single" w:color="auto" w:sz="4" w:space="0"/>
              <w:bottom w:val="single" w:color="auto" w:sz="4" w:space="0"/>
              <w:right w:val="single" w:color="auto" w:sz="4" w:space="0"/>
            </w:tcBorders>
            <w:vAlign w:val="center"/>
          </w:tcPr>
          <w:p w14:paraId="3DD2D8B2">
            <w:pPr>
              <w:spacing w:line="240" w:lineRule="auto"/>
              <w:ind w:firstLine="0" w:firstLineChars="0"/>
              <w:rPr>
                <w:rFonts w:cs="Times New Roman" w:eastAsiaTheme="majorEastAsia"/>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14:paraId="5CD0044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TSP浓度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347" w:type="pct"/>
            <w:tcBorders>
              <w:top w:val="nil"/>
              <w:left w:val="nil"/>
              <w:bottom w:val="single" w:color="auto" w:sz="4" w:space="0"/>
              <w:right w:val="single" w:color="auto" w:sz="4" w:space="0"/>
            </w:tcBorders>
            <w:shd w:val="clear" w:color="auto" w:fill="auto"/>
            <w:vAlign w:val="center"/>
          </w:tcPr>
          <w:p w14:paraId="3340C29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TSP占标率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355" w:type="pct"/>
            <w:tcBorders>
              <w:top w:val="nil"/>
              <w:left w:val="nil"/>
              <w:bottom w:val="single" w:color="auto" w:sz="4" w:space="0"/>
              <w:right w:val="single" w:color="auto" w:sz="4" w:space="0"/>
            </w:tcBorders>
            <w:shd w:val="clear" w:color="auto" w:fill="auto"/>
            <w:vAlign w:val="center"/>
          </w:tcPr>
          <w:p w14:paraId="567576B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10</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64" w:type="pct"/>
            <w:tcBorders>
              <w:top w:val="nil"/>
              <w:left w:val="nil"/>
              <w:bottom w:val="single" w:color="auto" w:sz="4" w:space="0"/>
              <w:right w:val="single" w:color="auto" w:sz="4" w:space="0"/>
            </w:tcBorders>
            <w:shd w:val="clear" w:color="auto" w:fill="auto"/>
            <w:vAlign w:val="center"/>
          </w:tcPr>
          <w:p w14:paraId="73591BB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10</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342" w:type="pct"/>
            <w:tcBorders>
              <w:top w:val="nil"/>
              <w:left w:val="nil"/>
              <w:bottom w:val="single" w:color="auto" w:sz="4" w:space="0"/>
              <w:right w:val="single" w:color="auto" w:sz="4" w:space="0"/>
            </w:tcBorders>
            <w:shd w:val="clear" w:color="auto" w:fill="auto"/>
            <w:vAlign w:val="center"/>
          </w:tcPr>
          <w:p w14:paraId="3C89C46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2.5</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306" w:type="pct"/>
            <w:tcBorders>
              <w:top w:val="nil"/>
              <w:left w:val="nil"/>
              <w:bottom w:val="single" w:color="auto" w:sz="4" w:space="0"/>
              <w:right w:val="nil"/>
            </w:tcBorders>
            <w:shd w:val="clear" w:color="auto" w:fill="auto"/>
            <w:vAlign w:val="center"/>
          </w:tcPr>
          <w:p w14:paraId="0C416E3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2.5</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275" w:type="pct"/>
            <w:tcBorders>
              <w:top w:val="nil"/>
              <w:left w:val="single" w:color="auto" w:sz="4" w:space="0"/>
              <w:bottom w:val="single" w:color="auto" w:sz="4" w:space="0"/>
              <w:right w:val="single" w:color="auto" w:sz="4" w:space="0"/>
            </w:tcBorders>
            <w:shd w:val="clear" w:color="auto" w:fill="auto"/>
            <w:vAlign w:val="center"/>
          </w:tcPr>
          <w:p w14:paraId="452E7EB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SO</w:t>
            </w:r>
            <w:r>
              <w:rPr>
                <w:rFonts w:cs="Times New Roman" w:eastAsiaTheme="majorEastAsia"/>
                <w:kern w:val="0"/>
                <w:sz w:val="18"/>
                <w:szCs w:val="18"/>
                <w:vertAlign w:val="subscript"/>
              </w:rPr>
              <w:t>2</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55" w:type="pct"/>
            <w:tcBorders>
              <w:top w:val="nil"/>
              <w:left w:val="nil"/>
              <w:bottom w:val="single" w:color="auto" w:sz="4" w:space="0"/>
              <w:right w:val="single" w:color="auto" w:sz="4" w:space="0"/>
            </w:tcBorders>
            <w:shd w:val="clear" w:color="auto" w:fill="auto"/>
            <w:vAlign w:val="center"/>
          </w:tcPr>
          <w:p w14:paraId="23C0E01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SO</w:t>
            </w:r>
            <w:r>
              <w:rPr>
                <w:rFonts w:cs="Times New Roman" w:eastAsiaTheme="majorEastAsia"/>
                <w:kern w:val="0"/>
                <w:sz w:val="18"/>
                <w:szCs w:val="18"/>
                <w:vertAlign w:val="subscript"/>
              </w:rPr>
              <w:t>2</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287" w:type="pct"/>
            <w:tcBorders>
              <w:top w:val="nil"/>
              <w:left w:val="nil"/>
              <w:bottom w:val="single" w:color="auto" w:sz="4" w:space="0"/>
              <w:right w:val="single" w:color="auto" w:sz="4" w:space="0"/>
            </w:tcBorders>
            <w:shd w:val="clear" w:color="auto" w:fill="auto"/>
            <w:vAlign w:val="center"/>
          </w:tcPr>
          <w:p w14:paraId="3960C9F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NO</w:t>
            </w:r>
            <w:r>
              <w:rPr>
                <w:rFonts w:cs="Times New Roman" w:eastAsiaTheme="majorEastAsia"/>
                <w:kern w:val="0"/>
                <w:sz w:val="18"/>
                <w:szCs w:val="18"/>
                <w:vertAlign w:val="subscript"/>
              </w:rPr>
              <w:t>2</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55" w:type="pct"/>
            <w:tcBorders>
              <w:top w:val="nil"/>
              <w:left w:val="nil"/>
              <w:bottom w:val="single" w:color="auto" w:sz="4" w:space="0"/>
              <w:right w:val="single" w:color="auto" w:sz="4" w:space="0"/>
            </w:tcBorders>
            <w:shd w:val="clear" w:color="auto" w:fill="auto"/>
            <w:vAlign w:val="center"/>
          </w:tcPr>
          <w:p w14:paraId="5131B24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NO</w:t>
            </w:r>
            <w:r>
              <w:rPr>
                <w:rFonts w:cs="Times New Roman" w:eastAsiaTheme="majorEastAsia"/>
                <w:kern w:val="0"/>
                <w:sz w:val="18"/>
                <w:szCs w:val="18"/>
                <w:vertAlign w:val="subscript"/>
              </w:rPr>
              <w:t>2</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275" w:type="pct"/>
            <w:tcBorders>
              <w:top w:val="nil"/>
              <w:left w:val="nil"/>
              <w:bottom w:val="single" w:color="auto" w:sz="4" w:space="0"/>
              <w:right w:val="single" w:color="auto" w:sz="4" w:space="0"/>
            </w:tcBorders>
            <w:shd w:val="clear" w:color="auto" w:fill="auto"/>
            <w:vAlign w:val="center"/>
          </w:tcPr>
          <w:p w14:paraId="7A90E63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TSP浓度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55" w:type="pct"/>
            <w:tcBorders>
              <w:top w:val="nil"/>
              <w:left w:val="nil"/>
              <w:bottom w:val="single" w:color="auto" w:sz="4" w:space="0"/>
              <w:right w:val="single" w:color="auto" w:sz="4" w:space="0"/>
            </w:tcBorders>
            <w:shd w:val="clear" w:color="auto" w:fill="auto"/>
            <w:vAlign w:val="center"/>
          </w:tcPr>
          <w:p w14:paraId="23DCD46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TSP占标率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287" w:type="pct"/>
            <w:tcBorders>
              <w:top w:val="nil"/>
              <w:left w:val="nil"/>
              <w:bottom w:val="single" w:color="auto" w:sz="4" w:space="0"/>
              <w:right w:val="single" w:color="auto" w:sz="4" w:space="0"/>
            </w:tcBorders>
            <w:shd w:val="clear" w:color="auto" w:fill="auto"/>
            <w:vAlign w:val="center"/>
          </w:tcPr>
          <w:p w14:paraId="69CE2A9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10</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55" w:type="pct"/>
            <w:tcBorders>
              <w:top w:val="nil"/>
              <w:left w:val="nil"/>
              <w:bottom w:val="single" w:color="auto" w:sz="4" w:space="0"/>
              <w:right w:val="single" w:color="auto" w:sz="4" w:space="0"/>
            </w:tcBorders>
            <w:shd w:val="clear" w:color="auto" w:fill="auto"/>
            <w:vAlign w:val="center"/>
          </w:tcPr>
          <w:p w14:paraId="2544F09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10</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c>
          <w:tcPr>
            <w:tcW w:w="275" w:type="pct"/>
            <w:tcBorders>
              <w:top w:val="nil"/>
              <w:left w:val="nil"/>
              <w:bottom w:val="single" w:color="auto" w:sz="4" w:space="0"/>
              <w:right w:val="single" w:color="auto" w:sz="4" w:space="0"/>
            </w:tcBorders>
            <w:shd w:val="clear" w:color="auto" w:fill="auto"/>
            <w:vAlign w:val="center"/>
          </w:tcPr>
          <w:p w14:paraId="60CFD0B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2.5</w:t>
            </w:r>
            <w:r>
              <w:rPr>
                <w:rFonts w:cs="Times New Roman" w:eastAsiaTheme="majorEastAsia"/>
                <w:kern w:val="0"/>
                <w:sz w:val="18"/>
                <w:szCs w:val="18"/>
              </w:rPr>
              <w:t>浓度</w:t>
            </w:r>
            <w:r>
              <w:rPr>
                <w:rFonts w:hint="eastAsia" w:cs="Times New Roman" w:eastAsiaTheme="majorEastAsia"/>
                <w:kern w:val="0"/>
                <w:sz w:val="18"/>
                <w:szCs w:val="18"/>
                <w:lang w:eastAsia="zh-CN"/>
              </w:rPr>
              <w:t>（</w:t>
            </w:r>
            <w:r>
              <w:rPr>
                <w:rFonts w:cs="Times New Roman" w:eastAsiaTheme="majorEastAsia"/>
                <w:kern w:val="0"/>
                <w:sz w:val="18"/>
                <w:szCs w:val="18"/>
              </w:rPr>
              <w:t>μg/m³</w:t>
            </w:r>
            <w:r>
              <w:rPr>
                <w:rFonts w:hint="eastAsia" w:cs="Times New Roman" w:eastAsiaTheme="majorEastAsia"/>
                <w:kern w:val="0"/>
                <w:sz w:val="18"/>
                <w:szCs w:val="18"/>
                <w:lang w:eastAsia="zh-CN"/>
              </w:rPr>
              <w:t>）</w:t>
            </w:r>
          </w:p>
        </w:tc>
        <w:tc>
          <w:tcPr>
            <w:tcW w:w="255" w:type="pct"/>
            <w:tcBorders>
              <w:top w:val="nil"/>
              <w:left w:val="nil"/>
              <w:bottom w:val="single" w:color="auto" w:sz="4" w:space="0"/>
              <w:right w:val="single" w:color="auto" w:sz="4" w:space="0"/>
            </w:tcBorders>
            <w:shd w:val="clear" w:color="auto" w:fill="auto"/>
            <w:vAlign w:val="center"/>
          </w:tcPr>
          <w:p w14:paraId="1F86C4D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PM</w:t>
            </w:r>
            <w:r>
              <w:rPr>
                <w:rFonts w:cs="Times New Roman" w:eastAsiaTheme="majorEastAsia"/>
                <w:kern w:val="0"/>
                <w:sz w:val="18"/>
                <w:szCs w:val="18"/>
                <w:vertAlign w:val="subscript"/>
              </w:rPr>
              <w:t>2.5</w:t>
            </w:r>
            <w:r>
              <w:rPr>
                <w:rFonts w:cs="Times New Roman" w:eastAsiaTheme="majorEastAsia"/>
                <w:kern w:val="0"/>
                <w:sz w:val="18"/>
                <w:szCs w:val="18"/>
              </w:rPr>
              <w:t>占标率</w:t>
            </w:r>
            <w:r>
              <w:rPr>
                <w:rFonts w:hint="eastAsia" w:cs="Times New Roman" w:eastAsiaTheme="majorEastAsia"/>
                <w:kern w:val="0"/>
                <w:sz w:val="18"/>
                <w:szCs w:val="18"/>
                <w:lang w:eastAsia="zh-CN"/>
              </w:rPr>
              <w:t>（</w:t>
            </w:r>
            <w:r>
              <w:rPr>
                <w:rFonts w:cs="Times New Roman" w:eastAsiaTheme="majorEastAsia"/>
                <w:kern w:val="0"/>
                <w:sz w:val="18"/>
                <w:szCs w:val="18"/>
              </w:rPr>
              <w:t>%</w:t>
            </w:r>
            <w:r>
              <w:rPr>
                <w:rFonts w:hint="eastAsia" w:cs="Times New Roman" w:eastAsiaTheme="majorEastAsia"/>
                <w:kern w:val="0"/>
                <w:sz w:val="18"/>
                <w:szCs w:val="18"/>
                <w:lang w:eastAsia="zh-CN"/>
              </w:rPr>
              <w:t>）</w:t>
            </w:r>
          </w:p>
        </w:tc>
      </w:tr>
      <w:tr w14:paraId="0C5F2B91">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4604FCB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50</w:t>
            </w:r>
          </w:p>
        </w:tc>
        <w:tc>
          <w:tcPr>
            <w:tcW w:w="358" w:type="pct"/>
            <w:tcBorders>
              <w:top w:val="nil"/>
              <w:left w:val="nil"/>
              <w:bottom w:val="single" w:color="auto" w:sz="4" w:space="0"/>
              <w:right w:val="single" w:color="auto" w:sz="4" w:space="0"/>
            </w:tcBorders>
            <w:shd w:val="clear" w:color="auto" w:fill="auto"/>
            <w:vAlign w:val="center"/>
          </w:tcPr>
          <w:p w14:paraId="48607BF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83.383</w:t>
            </w:r>
          </w:p>
        </w:tc>
        <w:tc>
          <w:tcPr>
            <w:tcW w:w="347" w:type="pct"/>
            <w:tcBorders>
              <w:top w:val="nil"/>
              <w:left w:val="nil"/>
              <w:bottom w:val="single" w:color="auto" w:sz="4" w:space="0"/>
              <w:right w:val="single" w:color="auto" w:sz="4" w:space="0"/>
            </w:tcBorders>
            <w:shd w:val="clear" w:color="auto" w:fill="auto"/>
            <w:vAlign w:val="center"/>
          </w:tcPr>
          <w:p w14:paraId="388040A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9.2648</w:t>
            </w:r>
          </w:p>
        </w:tc>
        <w:tc>
          <w:tcPr>
            <w:tcW w:w="355" w:type="pct"/>
            <w:tcBorders>
              <w:top w:val="nil"/>
              <w:left w:val="nil"/>
              <w:bottom w:val="single" w:color="auto" w:sz="4" w:space="0"/>
              <w:right w:val="single" w:color="auto" w:sz="4" w:space="0"/>
            </w:tcBorders>
            <w:shd w:val="clear" w:color="auto" w:fill="auto"/>
            <w:vAlign w:val="center"/>
          </w:tcPr>
          <w:p w14:paraId="2B3DB1B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16.3496</w:t>
            </w:r>
          </w:p>
        </w:tc>
        <w:tc>
          <w:tcPr>
            <w:tcW w:w="264" w:type="pct"/>
            <w:tcBorders>
              <w:top w:val="nil"/>
              <w:left w:val="nil"/>
              <w:bottom w:val="single" w:color="auto" w:sz="4" w:space="0"/>
              <w:right w:val="single" w:color="auto" w:sz="4" w:space="0"/>
            </w:tcBorders>
            <w:shd w:val="clear" w:color="auto" w:fill="auto"/>
            <w:vAlign w:val="center"/>
          </w:tcPr>
          <w:p w14:paraId="78D7B24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3.6332</w:t>
            </w:r>
          </w:p>
        </w:tc>
        <w:tc>
          <w:tcPr>
            <w:tcW w:w="342" w:type="pct"/>
            <w:tcBorders>
              <w:top w:val="nil"/>
              <w:left w:val="nil"/>
              <w:bottom w:val="single" w:color="auto" w:sz="4" w:space="0"/>
              <w:right w:val="single" w:color="auto" w:sz="4" w:space="0"/>
            </w:tcBorders>
            <w:shd w:val="clear" w:color="auto" w:fill="auto"/>
            <w:vAlign w:val="center"/>
          </w:tcPr>
          <w:p w14:paraId="05DEAD0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3.4334</w:t>
            </w:r>
          </w:p>
        </w:tc>
        <w:tc>
          <w:tcPr>
            <w:tcW w:w="306" w:type="pct"/>
            <w:tcBorders>
              <w:top w:val="nil"/>
              <w:left w:val="nil"/>
              <w:bottom w:val="single" w:color="auto" w:sz="4" w:space="0"/>
              <w:right w:val="nil"/>
            </w:tcBorders>
            <w:shd w:val="clear" w:color="auto" w:fill="auto"/>
            <w:vAlign w:val="center"/>
          </w:tcPr>
          <w:p w14:paraId="4AA1972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1.526</w:t>
            </w:r>
          </w:p>
        </w:tc>
        <w:tc>
          <w:tcPr>
            <w:tcW w:w="275" w:type="pct"/>
            <w:tcBorders>
              <w:top w:val="nil"/>
              <w:left w:val="single" w:color="auto" w:sz="4" w:space="0"/>
              <w:bottom w:val="single" w:color="auto" w:sz="4" w:space="0"/>
              <w:right w:val="single" w:color="auto" w:sz="4" w:space="0"/>
            </w:tcBorders>
            <w:shd w:val="clear" w:color="auto" w:fill="auto"/>
            <w:vAlign w:val="center"/>
          </w:tcPr>
          <w:p w14:paraId="34316FD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0.1625</w:t>
            </w:r>
          </w:p>
        </w:tc>
        <w:tc>
          <w:tcPr>
            <w:tcW w:w="255" w:type="pct"/>
            <w:tcBorders>
              <w:top w:val="nil"/>
              <w:left w:val="nil"/>
              <w:bottom w:val="single" w:color="auto" w:sz="4" w:space="0"/>
              <w:right w:val="single" w:color="auto" w:sz="4" w:space="0"/>
            </w:tcBorders>
            <w:shd w:val="clear" w:color="auto" w:fill="auto"/>
            <w:vAlign w:val="center"/>
          </w:tcPr>
          <w:p w14:paraId="679B6FE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0.0325</w:t>
            </w:r>
          </w:p>
        </w:tc>
        <w:tc>
          <w:tcPr>
            <w:tcW w:w="287" w:type="pct"/>
            <w:tcBorders>
              <w:top w:val="nil"/>
              <w:left w:val="nil"/>
              <w:bottom w:val="single" w:color="auto" w:sz="4" w:space="0"/>
              <w:right w:val="single" w:color="auto" w:sz="4" w:space="0"/>
            </w:tcBorders>
            <w:shd w:val="clear" w:color="auto" w:fill="auto"/>
            <w:vAlign w:val="center"/>
          </w:tcPr>
          <w:p w14:paraId="5121D07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13.3266</w:t>
            </w:r>
          </w:p>
        </w:tc>
        <w:tc>
          <w:tcPr>
            <w:tcW w:w="255" w:type="pct"/>
            <w:tcBorders>
              <w:top w:val="nil"/>
              <w:left w:val="nil"/>
              <w:bottom w:val="single" w:color="auto" w:sz="4" w:space="0"/>
              <w:right w:val="single" w:color="auto" w:sz="4" w:space="0"/>
            </w:tcBorders>
            <w:shd w:val="clear" w:color="auto" w:fill="auto"/>
            <w:vAlign w:val="center"/>
          </w:tcPr>
          <w:p w14:paraId="1947E26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6.6633</w:t>
            </w:r>
          </w:p>
        </w:tc>
        <w:tc>
          <w:tcPr>
            <w:tcW w:w="275" w:type="pct"/>
            <w:tcBorders>
              <w:top w:val="nil"/>
              <w:left w:val="nil"/>
              <w:bottom w:val="single" w:color="auto" w:sz="4" w:space="0"/>
              <w:right w:val="single" w:color="auto" w:sz="4" w:space="0"/>
            </w:tcBorders>
            <w:shd w:val="clear" w:color="auto" w:fill="auto"/>
            <w:vAlign w:val="center"/>
          </w:tcPr>
          <w:p w14:paraId="75C5CD4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83.383</w:t>
            </w:r>
          </w:p>
        </w:tc>
        <w:tc>
          <w:tcPr>
            <w:tcW w:w="255" w:type="pct"/>
            <w:tcBorders>
              <w:top w:val="nil"/>
              <w:left w:val="nil"/>
              <w:bottom w:val="single" w:color="auto" w:sz="4" w:space="0"/>
              <w:right w:val="single" w:color="auto" w:sz="4" w:space="0"/>
            </w:tcBorders>
            <w:shd w:val="clear" w:color="auto" w:fill="auto"/>
            <w:vAlign w:val="center"/>
          </w:tcPr>
          <w:p w14:paraId="406115A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9.2648</w:t>
            </w:r>
          </w:p>
        </w:tc>
        <w:tc>
          <w:tcPr>
            <w:tcW w:w="287" w:type="pct"/>
            <w:tcBorders>
              <w:top w:val="nil"/>
              <w:left w:val="nil"/>
              <w:bottom w:val="single" w:color="auto" w:sz="4" w:space="0"/>
              <w:right w:val="single" w:color="auto" w:sz="4" w:space="0"/>
            </w:tcBorders>
            <w:shd w:val="clear" w:color="auto" w:fill="auto"/>
            <w:vAlign w:val="center"/>
          </w:tcPr>
          <w:p w14:paraId="6788810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16.3496</w:t>
            </w:r>
          </w:p>
        </w:tc>
        <w:tc>
          <w:tcPr>
            <w:tcW w:w="255" w:type="pct"/>
            <w:tcBorders>
              <w:top w:val="nil"/>
              <w:left w:val="nil"/>
              <w:bottom w:val="single" w:color="auto" w:sz="4" w:space="0"/>
              <w:right w:val="single" w:color="auto" w:sz="4" w:space="0"/>
            </w:tcBorders>
            <w:shd w:val="clear" w:color="auto" w:fill="auto"/>
            <w:vAlign w:val="center"/>
          </w:tcPr>
          <w:p w14:paraId="7ACBEAA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3.6332</w:t>
            </w:r>
          </w:p>
        </w:tc>
        <w:tc>
          <w:tcPr>
            <w:tcW w:w="275" w:type="pct"/>
            <w:tcBorders>
              <w:top w:val="nil"/>
              <w:left w:val="nil"/>
              <w:bottom w:val="single" w:color="auto" w:sz="4" w:space="0"/>
              <w:right w:val="single" w:color="auto" w:sz="4" w:space="0"/>
            </w:tcBorders>
            <w:shd w:val="clear" w:color="auto" w:fill="auto"/>
            <w:vAlign w:val="center"/>
          </w:tcPr>
          <w:p w14:paraId="7BF6BA9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3.4334</w:t>
            </w:r>
          </w:p>
        </w:tc>
        <w:tc>
          <w:tcPr>
            <w:tcW w:w="255" w:type="pct"/>
            <w:tcBorders>
              <w:top w:val="nil"/>
              <w:left w:val="nil"/>
              <w:bottom w:val="single" w:color="auto" w:sz="4" w:space="0"/>
              <w:right w:val="single" w:color="auto" w:sz="4" w:space="0"/>
            </w:tcBorders>
            <w:shd w:val="clear" w:color="auto" w:fill="auto"/>
            <w:vAlign w:val="center"/>
          </w:tcPr>
          <w:p w14:paraId="436171F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1.526</w:t>
            </w:r>
          </w:p>
        </w:tc>
      </w:tr>
      <w:tr w14:paraId="7BAE406A">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3A170AA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100</w:t>
            </w:r>
          </w:p>
        </w:tc>
        <w:tc>
          <w:tcPr>
            <w:tcW w:w="358" w:type="pct"/>
            <w:tcBorders>
              <w:top w:val="nil"/>
              <w:left w:val="nil"/>
              <w:bottom w:val="single" w:color="auto" w:sz="4" w:space="0"/>
              <w:right w:val="single" w:color="auto" w:sz="4" w:space="0"/>
            </w:tcBorders>
            <w:shd w:val="clear" w:color="auto" w:fill="auto"/>
            <w:vAlign w:val="center"/>
          </w:tcPr>
          <w:p w14:paraId="2101871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81.496</w:t>
            </w:r>
          </w:p>
        </w:tc>
        <w:tc>
          <w:tcPr>
            <w:tcW w:w="347" w:type="pct"/>
            <w:tcBorders>
              <w:top w:val="nil"/>
              <w:left w:val="nil"/>
              <w:bottom w:val="single" w:color="auto" w:sz="4" w:space="0"/>
              <w:right w:val="single" w:color="auto" w:sz="4" w:space="0"/>
            </w:tcBorders>
            <w:shd w:val="clear" w:color="auto" w:fill="auto"/>
            <w:vAlign w:val="center"/>
          </w:tcPr>
          <w:p w14:paraId="52A9051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9.0551</w:t>
            </w:r>
          </w:p>
        </w:tc>
        <w:tc>
          <w:tcPr>
            <w:tcW w:w="355" w:type="pct"/>
            <w:tcBorders>
              <w:top w:val="nil"/>
              <w:left w:val="nil"/>
              <w:bottom w:val="single" w:color="auto" w:sz="4" w:space="0"/>
              <w:right w:val="single" w:color="auto" w:sz="4" w:space="0"/>
            </w:tcBorders>
            <w:shd w:val="clear" w:color="auto" w:fill="auto"/>
            <w:vAlign w:val="center"/>
          </w:tcPr>
          <w:p w14:paraId="39359EA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15.9796</w:t>
            </w:r>
          </w:p>
        </w:tc>
        <w:tc>
          <w:tcPr>
            <w:tcW w:w="264" w:type="pct"/>
            <w:tcBorders>
              <w:top w:val="nil"/>
              <w:left w:val="nil"/>
              <w:bottom w:val="single" w:color="auto" w:sz="4" w:space="0"/>
              <w:right w:val="single" w:color="auto" w:sz="4" w:space="0"/>
            </w:tcBorders>
            <w:shd w:val="clear" w:color="auto" w:fill="auto"/>
            <w:vAlign w:val="center"/>
          </w:tcPr>
          <w:p w14:paraId="5914F95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3.551</w:t>
            </w:r>
          </w:p>
        </w:tc>
        <w:tc>
          <w:tcPr>
            <w:tcW w:w="342" w:type="pct"/>
            <w:tcBorders>
              <w:top w:val="nil"/>
              <w:left w:val="nil"/>
              <w:bottom w:val="single" w:color="auto" w:sz="4" w:space="0"/>
              <w:right w:val="single" w:color="auto" w:sz="4" w:space="0"/>
            </w:tcBorders>
            <w:shd w:val="clear" w:color="auto" w:fill="auto"/>
            <w:vAlign w:val="center"/>
          </w:tcPr>
          <w:p w14:paraId="14AF263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3.3557</w:t>
            </w:r>
          </w:p>
        </w:tc>
        <w:tc>
          <w:tcPr>
            <w:tcW w:w="306" w:type="pct"/>
            <w:tcBorders>
              <w:top w:val="nil"/>
              <w:left w:val="nil"/>
              <w:bottom w:val="single" w:color="auto" w:sz="4" w:space="0"/>
              <w:right w:val="nil"/>
            </w:tcBorders>
            <w:shd w:val="clear" w:color="auto" w:fill="auto"/>
            <w:vAlign w:val="center"/>
          </w:tcPr>
          <w:p w14:paraId="1E593BF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1.4914</w:t>
            </w:r>
          </w:p>
        </w:tc>
        <w:tc>
          <w:tcPr>
            <w:tcW w:w="275" w:type="pct"/>
            <w:tcBorders>
              <w:top w:val="nil"/>
              <w:left w:val="single" w:color="auto" w:sz="4" w:space="0"/>
              <w:bottom w:val="single" w:color="auto" w:sz="4" w:space="0"/>
              <w:right w:val="single" w:color="auto" w:sz="4" w:space="0"/>
            </w:tcBorders>
            <w:shd w:val="clear" w:color="auto" w:fill="auto"/>
            <w:vAlign w:val="center"/>
          </w:tcPr>
          <w:p w14:paraId="605E002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0.2104</w:t>
            </w:r>
          </w:p>
        </w:tc>
        <w:tc>
          <w:tcPr>
            <w:tcW w:w="255" w:type="pct"/>
            <w:tcBorders>
              <w:top w:val="nil"/>
              <w:left w:val="nil"/>
              <w:bottom w:val="single" w:color="auto" w:sz="4" w:space="0"/>
              <w:right w:val="single" w:color="auto" w:sz="4" w:space="0"/>
            </w:tcBorders>
            <w:shd w:val="clear" w:color="auto" w:fill="auto"/>
            <w:vAlign w:val="center"/>
          </w:tcPr>
          <w:p w14:paraId="113852A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0.0421</w:t>
            </w:r>
          </w:p>
        </w:tc>
        <w:tc>
          <w:tcPr>
            <w:tcW w:w="287" w:type="pct"/>
            <w:tcBorders>
              <w:top w:val="nil"/>
              <w:left w:val="nil"/>
              <w:bottom w:val="single" w:color="auto" w:sz="4" w:space="0"/>
              <w:right w:val="single" w:color="auto" w:sz="4" w:space="0"/>
            </w:tcBorders>
            <w:shd w:val="clear" w:color="auto" w:fill="auto"/>
            <w:vAlign w:val="center"/>
          </w:tcPr>
          <w:p w14:paraId="38C68D0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17.2561</w:t>
            </w:r>
          </w:p>
        </w:tc>
        <w:tc>
          <w:tcPr>
            <w:tcW w:w="255" w:type="pct"/>
            <w:tcBorders>
              <w:top w:val="nil"/>
              <w:left w:val="nil"/>
              <w:bottom w:val="single" w:color="auto" w:sz="4" w:space="0"/>
              <w:right w:val="single" w:color="auto" w:sz="4" w:space="0"/>
            </w:tcBorders>
            <w:shd w:val="clear" w:color="auto" w:fill="auto"/>
            <w:vAlign w:val="center"/>
          </w:tcPr>
          <w:p w14:paraId="341D3BA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8.628</w:t>
            </w:r>
          </w:p>
        </w:tc>
        <w:tc>
          <w:tcPr>
            <w:tcW w:w="275" w:type="pct"/>
            <w:tcBorders>
              <w:top w:val="nil"/>
              <w:left w:val="nil"/>
              <w:bottom w:val="single" w:color="auto" w:sz="4" w:space="0"/>
              <w:right w:val="single" w:color="auto" w:sz="4" w:space="0"/>
            </w:tcBorders>
            <w:shd w:val="clear" w:color="auto" w:fill="auto"/>
            <w:vAlign w:val="center"/>
          </w:tcPr>
          <w:p w14:paraId="6085738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81.496</w:t>
            </w:r>
          </w:p>
        </w:tc>
        <w:tc>
          <w:tcPr>
            <w:tcW w:w="255" w:type="pct"/>
            <w:tcBorders>
              <w:top w:val="nil"/>
              <w:left w:val="nil"/>
              <w:bottom w:val="single" w:color="auto" w:sz="4" w:space="0"/>
              <w:right w:val="single" w:color="auto" w:sz="4" w:space="0"/>
            </w:tcBorders>
            <w:shd w:val="clear" w:color="auto" w:fill="auto"/>
            <w:vAlign w:val="center"/>
          </w:tcPr>
          <w:p w14:paraId="7AAD7B9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9.0551</w:t>
            </w:r>
          </w:p>
        </w:tc>
        <w:tc>
          <w:tcPr>
            <w:tcW w:w="287" w:type="pct"/>
            <w:tcBorders>
              <w:top w:val="nil"/>
              <w:left w:val="nil"/>
              <w:bottom w:val="single" w:color="auto" w:sz="4" w:space="0"/>
              <w:right w:val="single" w:color="auto" w:sz="4" w:space="0"/>
            </w:tcBorders>
            <w:shd w:val="clear" w:color="auto" w:fill="auto"/>
            <w:vAlign w:val="center"/>
          </w:tcPr>
          <w:p w14:paraId="6C6B84F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15.9796</w:t>
            </w:r>
          </w:p>
        </w:tc>
        <w:tc>
          <w:tcPr>
            <w:tcW w:w="255" w:type="pct"/>
            <w:tcBorders>
              <w:top w:val="nil"/>
              <w:left w:val="nil"/>
              <w:bottom w:val="single" w:color="auto" w:sz="4" w:space="0"/>
              <w:right w:val="single" w:color="auto" w:sz="4" w:space="0"/>
            </w:tcBorders>
            <w:shd w:val="clear" w:color="auto" w:fill="auto"/>
            <w:vAlign w:val="center"/>
          </w:tcPr>
          <w:p w14:paraId="73D885E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3.551</w:t>
            </w:r>
          </w:p>
        </w:tc>
        <w:tc>
          <w:tcPr>
            <w:tcW w:w="275" w:type="pct"/>
            <w:tcBorders>
              <w:top w:val="nil"/>
              <w:left w:val="nil"/>
              <w:bottom w:val="single" w:color="auto" w:sz="4" w:space="0"/>
              <w:right w:val="single" w:color="auto" w:sz="4" w:space="0"/>
            </w:tcBorders>
            <w:shd w:val="clear" w:color="auto" w:fill="auto"/>
            <w:vAlign w:val="center"/>
          </w:tcPr>
          <w:p w14:paraId="5495626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3.3557</w:t>
            </w:r>
          </w:p>
        </w:tc>
        <w:tc>
          <w:tcPr>
            <w:tcW w:w="255" w:type="pct"/>
            <w:tcBorders>
              <w:top w:val="nil"/>
              <w:left w:val="nil"/>
              <w:bottom w:val="single" w:color="auto" w:sz="4" w:space="0"/>
              <w:right w:val="single" w:color="auto" w:sz="4" w:space="0"/>
            </w:tcBorders>
            <w:shd w:val="clear" w:color="auto" w:fill="auto"/>
            <w:vAlign w:val="center"/>
          </w:tcPr>
          <w:p w14:paraId="01ECFCE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1.4914</w:t>
            </w:r>
          </w:p>
        </w:tc>
      </w:tr>
      <w:tr w14:paraId="2328FE38">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66EA2C4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200</w:t>
            </w:r>
          </w:p>
        </w:tc>
        <w:tc>
          <w:tcPr>
            <w:tcW w:w="358" w:type="pct"/>
            <w:tcBorders>
              <w:top w:val="nil"/>
              <w:left w:val="nil"/>
              <w:bottom w:val="single" w:color="auto" w:sz="4" w:space="0"/>
              <w:right w:val="single" w:color="auto" w:sz="4" w:space="0"/>
            </w:tcBorders>
            <w:shd w:val="clear" w:color="auto" w:fill="auto"/>
            <w:vAlign w:val="center"/>
          </w:tcPr>
          <w:p w14:paraId="40B2783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70.983</w:t>
            </w:r>
          </w:p>
        </w:tc>
        <w:tc>
          <w:tcPr>
            <w:tcW w:w="347" w:type="pct"/>
            <w:tcBorders>
              <w:top w:val="nil"/>
              <w:left w:val="nil"/>
              <w:bottom w:val="single" w:color="auto" w:sz="4" w:space="0"/>
              <w:right w:val="single" w:color="auto" w:sz="4" w:space="0"/>
            </w:tcBorders>
            <w:shd w:val="clear" w:color="auto" w:fill="auto"/>
            <w:vAlign w:val="center"/>
          </w:tcPr>
          <w:p w14:paraId="19BB961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7.887</w:t>
            </w:r>
          </w:p>
        </w:tc>
        <w:tc>
          <w:tcPr>
            <w:tcW w:w="355" w:type="pct"/>
            <w:tcBorders>
              <w:top w:val="nil"/>
              <w:left w:val="nil"/>
              <w:bottom w:val="single" w:color="auto" w:sz="4" w:space="0"/>
              <w:right w:val="single" w:color="auto" w:sz="4" w:space="0"/>
            </w:tcBorders>
            <w:shd w:val="clear" w:color="auto" w:fill="auto"/>
            <w:vAlign w:val="center"/>
          </w:tcPr>
          <w:p w14:paraId="4C792F8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13.9182</w:t>
            </w:r>
          </w:p>
        </w:tc>
        <w:tc>
          <w:tcPr>
            <w:tcW w:w="264" w:type="pct"/>
            <w:tcBorders>
              <w:top w:val="nil"/>
              <w:left w:val="nil"/>
              <w:bottom w:val="single" w:color="auto" w:sz="4" w:space="0"/>
              <w:right w:val="single" w:color="auto" w:sz="4" w:space="0"/>
            </w:tcBorders>
            <w:shd w:val="clear" w:color="auto" w:fill="auto"/>
            <w:vAlign w:val="center"/>
          </w:tcPr>
          <w:p w14:paraId="6021BCC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3.0929</w:t>
            </w:r>
          </w:p>
        </w:tc>
        <w:tc>
          <w:tcPr>
            <w:tcW w:w="342" w:type="pct"/>
            <w:tcBorders>
              <w:top w:val="nil"/>
              <w:left w:val="nil"/>
              <w:bottom w:val="single" w:color="auto" w:sz="4" w:space="0"/>
              <w:right w:val="single" w:color="auto" w:sz="4" w:space="0"/>
            </w:tcBorders>
            <w:shd w:val="clear" w:color="auto" w:fill="auto"/>
            <w:vAlign w:val="center"/>
          </w:tcPr>
          <w:p w14:paraId="095379C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2.9228</w:t>
            </w:r>
          </w:p>
        </w:tc>
        <w:tc>
          <w:tcPr>
            <w:tcW w:w="306" w:type="pct"/>
            <w:tcBorders>
              <w:top w:val="nil"/>
              <w:left w:val="nil"/>
              <w:bottom w:val="single" w:color="auto" w:sz="4" w:space="0"/>
              <w:right w:val="nil"/>
            </w:tcBorders>
            <w:shd w:val="clear" w:color="auto" w:fill="auto"/>
            <w:vAlign w:val="center"/>
          </w:tcPr>
          <w:p w14:paraId="62749C1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1.299</w:t>
            </w:r>
          </w:p>
        </w:tc>
        <w:tc>
          <w:tcPr>
            <w:tcW w:w="275" w:type="pct"/>
            <w:tcBorders>
              <w:top w:val="nil"/>
              <w:left w:val="single" w:color="auto" w:sz="4" w:space="0"/>
              <w:bottom w:val="single" w:color="auto" w:sz="4" w:space="0"/>
              <w:right w:val="single" w:color="auto" w:sz="4" w:space="0"/>
            </w:tcBorders>
            <w:shd w:val="clear" w:color="auto" w:fill="auto"/>
            <w:vAlign w:val="center"/>
          </w:tcPr>
          <w:p w14:paraId="2E9415E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0.1996</w:t>
            </w:r>
          </w:p>
        </w:tc>
        <w:tc>
          <w:tcPr>
            <w:tcW w:w="255" w:type="pct"/>
            <w:tcBorders>
              <w:top w:val="nil"/>
              <w:left w:val="nil"/>
              <w:bottom w:val="single" w:color="auto" w:sz="4" w:space="0"/>
              <w:right w:val="single" w:color="auto" w:sz="4" w:space="0"/>
            </w:tcBorders>
            <w:shd w:val="clear" w:color="auto" w:fill="auto"/>
            <w:vAlign w:val="center"/>
          </w:tcPr>
          <w:p w14:paraId="02196E6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0.0399</w:t>
            </w:r>
          </w:p>
        </w:tc>
        <w:tc>
          <w:tcPr>
            <w:tcW w:w="287" w:type="pct"/>
            <w:tcBorders>
              <w:top w:val="nil"/>
              <w:left w:val="nil"/>
              <w:bottom w:val="single" w:color="auto" w:sz="4" w:space="0"/>
              <w:right w:val="single" w:color="auto" w:sz="4" w:space="0"/>
            </w:tcBorders>
            <w:shd w:val="clear" w:color="auto" w:fill="auto"/>
            <w:vAlign w:val="center"/>
          </w:tcPr>
          <w:p w14:paraId="24AD285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16.3688</w:t>
            </w:r>
          </w:p>
        </w:tc>
        <w:tc>
          <w:tcPr>
            <w:tcW w:w="255" w:type="pct"/>
            <w:tcBorders>
              <w:top w:val="nil"/>
              <w:left w:val="nil"/>
              <w:bottom w:val="single" w:color="auto" w:sz="4" w:space="0"/>
              <w:right w:val="single" w:color="auto" w:sz="4" w:space="0"/>
            </w:tcBorders>
            <w:shd w:val="clear" w:color="auto" w:fill="auto"/>
            <w:vAlign w:val="center"/>
          </w:tcPr>
          <w:p w14:paraId="21F1003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8.1844</w:t>
            </w:r>
          </w:p>
        </w:tc>
        <w:tc>
          <w:tcPr>
            <w:tcW w:w="275" w:type="pct"/>
            <w:tcBorders>
              <w:top w:val="nil"/>
              <w:left w:val="nil"/>
              <w:bottom w:val="single" w:color="auto" w:sz="4" w:space="0"/>
              <w:right w:val="single" w:color="auto" w:sz="4" w:space="0"/>
            </w:tcBorders>
            <w:shd w:val="clear" w:color="auto" w:fill="auto"/>
            <w:vAlign w:val="center"/>
          </w:tcPr>
          <w:p w14:paraId="35A2762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70.983</w:t>
            </w:r>
          </w:p>
        </w:tc>
        <w:tc>
          <w:tcPr>
            <w:tcW w:w="255" w:type="pct"/>
            <w:tcBorders>
              <w:top w:val="nil"/>
              <w:left w:val="nil"/>
              <w:bottom w:val="single" w:color="auto" w:sz="4" w:space="0"/>
              <w:right w:val="single" w:color="auto" w:sz="4" w:space="0"/>
            </w:tcBorders>
            <w:shd w:val="clear" w:color="auto" w:fill="auto"/>
            <w:vAlign w:val="center"/>
          </w:tcPr>
          <w:p w14:paraId="349BA22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7.887</w:t>
            </w:r>
          </w:p>
        </w:tc>
        <w:tc>
          <w:tcPr>
            <w:tcW w:w="287" w:type="pct"/>
            <w:tcBorders>
              <w:top w:val="nil"/>
              <w:left w:val="nil"/>
              <w:bottom w:val="single" w:color="auto" w:sz="4" w:space="0"/>
              <w:right w:val="single" w:color="auto" w:sz="4" w:space="0"/>
            </w:tcBorders>
            <w:shd w:val="clear" w:color="auto" w:fill="auto"/>
            <w:vAlign w:val="center"/>
          </w:tcPr>
          <w:p w14:paraId="51A80F1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13.9182</w:t>
            </w:r>
          </w:p>
        </w:tc>
        <w:tc>
          <w:tcPr>
            <w:tcW w:w="255" w:type="pct"/>
            <w:tcBorders>
              <w:top w:val="nil"/>
              <w:left w:val="nil"/>
              <w:bottom w:val="single" w:color="auto" w:sz="4" w:space="0"/>
              <w:right w:val="single" w:color="auto" w:sz="4" w:space="0"/>
            </w:tcBorders>
            <w:shd w:val="clear" w:color="auto" w:fill="auto"/>
            <w:vAlign w:val="center"/>
          </w:tcPr>
          <w:p w14:paraId="375831F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3.0929</w:t>
            </w:r>
          </w:p>
        </w:tc>
        <w:tc>
          <w:tcPr>
            <w:tcW w:w="275" w:type="pct"/>
            <w:tcBorders>
              <w:top w:val="nil"/>
              <w:left w:val="nil"/>
              <w:bottom w:val="single" w:color="auto" w:sz="4" w:space="0"/>
              <w:right w:val="single" w:color="auto" w:sz="4" w:space="0"/>
            </w:tcBorders>
            <w:shd w:val="clear" w:color="auto" w:fill="auto"/>
            <w:vAlign w:val="center"/>
          </w:tcPr>
          <w:p w14:paraId="4D826CB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2.9228</w:t>
            </w:r>
          </w:p>
        </w:tc>
        <w:tc>
          <w:tcPr>
            <w:tcW w:w="255" w:type="pct"/>
            <w:tcBorders>
              <w:top w:val="nil"/>
              <w:left w:val="nil"/>
              <w:bottom w:val="single" w:color="auto" w:sz="4" w:space="0"/>
              <w:right w:val="single" w:color="auto" w:sz="4" w:space="0"/>
            </w:tcBorders>
            <w:shd w:val="clear" w:color="auto" w:fill="auto"/>
            <w:vAlign w:val="center"/>
          </w:tcPr>
          <w:p w14:paraId="1F9145A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1.299</w:t>
            </w:r>
          </w:p>
        </w:tc>
      </w:tr>
      <w:tr w14:paraId="2DCE4D1B">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76AD5DD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500</w:t>
            </w:r>
          </w:p>
        </w:tc>
        <w:tc>
          <w:tcPr>
            <w:tcW w:w="358" w:type="pct"/>
            <w:tcBorders>
              <w:top w:val="nil"/>
              <w:left w:val="nil"/>
              <w:bottom w:val="single" w:color="auto" w:sz="4" w:space="0"/>
              <w:right w:val="single" w:color="auto" w:sz="4" w:space="0"/>
            </w:tcBorders>
            <w:shd w:val="clear" w:color="auto" w:fill="auto"/>
            <w:vAlign w:val="center"/>
          </w:tcPr>
          <w:p w14:paraId="73F512F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37.259</w:t>
            </w:r>
          </w:p>
        </w:tc>
        <w:tc>
          <w:tcPr>
            <w:tcW w:w="347" w:type="pct"/>
            <w:tcBorders>
              <w:top w:val="nil"/>
              <w:left w:val="nil"/>
              <w:bottom w:val="single" w:color="auto" w:sz="4" w:space="0"/>
              <w:right w:val="single" w:color="auto" w:sz="4" w:space="0"/>
            </w:tcBorders>
            <w:shd w:val="clear" w:color="auto" w:fill="auto"/>
            <w:vAlign w:val="center"/>
          </w:tcPr>
          <w:p w14:paraId="1BE540E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4.1399</w:t>
            </w:r>
          </w:p>
        </w:tc>
        <w:tc>
          <w:tcPr>
            <w:tcW w:w="355" w:type="pct"/>
            <w:tcBorders>
              <w:top w:val="nil"/>
              <w:left w:val="nil"/>
              <w:bottom w:val="single" w:color="auto" w:sz="4" w:space="0"/>
              <w:right w:val="single" w:color="auto" w:sz="4" w:space="0"/>
            </w:tcBorders>
            <w:shd w:val="clear" w:color="auto" w:fill="auto"/>
            <w:vAlign w:val="center"/>
          </w:tcPr>
          <w:p w14:paraId="44F7E08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7.3057</w:t>
            </w:r>
          </w:p>
        </w:tc>
        <w:tc>
          <w:tcPr>
            <w:tcW w:w="264" w:type="pct"/>
            <w:tcBorders>
              <w:top w:val="nil"/>
              <w:left w:val="nil"/>
              <w:bottom w:val="single" w:color="auto" w:sz="4" w:space="0"/>
              <w:right w:val="single" w:color="auto" w:sz="4" w:space="0"/>
            </w:tcBorders>
            <w:shd w:val="clear" w:color="auto" w:fill="auto"/>
            <w:vAlign w:val="center"/>
          </w:tcPr>
          <w:p w14:paraId="746D18C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1.6235</w:t>
            </w:r>
          </w:p>
        </w:tc>
        <w:tc>
          <w:tcPr>
            <w:tcW w:w="342" w:type="pct"/>
            <w:tcBorders>
              <w:top w:val="nil"/>
              <w:left w:val="nil"/>
              <w:bottom w:val="single" w:color="auto" w:sz="4" w:space="0"/>
              <w:right w:val="single" w:color="auto" w:sz="4" w:space="0"/>
            </w:tcBorders>
            <w:shd w:val="clear" w:color="auto" w:fill="auto"/>
            <w:vAlign w:val="center"/>
          </w:tcPr>
          <w:p w14:paraId="185D12B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1.5342</w:t>
            </w:r>
          </w:p>
        </w:tc>
        <w:tc>
          <w:tcPr>
            <w:tcW w:w="306" w:type="pct"/>
            <w:tcBorders>
              <w:top w:val="nil"/>
              <w:left w:val="nil"/>
              <w:bottom w:val="single" w:color="auto" w:sz="4" w:space="0"/>
              <w:right w:val="nil"/>
            </w:tcBorders>
            <w:shd w:val="clear" w:color="auto" w:fill="auto"/>
            <w:vAlign w:val="center"/>
          </w:tcPr>
          <w:p w14:paraId="45A3D0C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0.6819</w:t>
            </w:r>
          </w:p>
        </w:tc>
        <w:tc>
          <w:tcPr>
            <w:tcW w:w="275" w:type="pct"/>
            <w:tcBorders>
              <w:top w:val="nil"/>
              <w:left w:val="single" w:color="auto" w:sz="4" w:space="0"/>
              <w:bottom w:val="single" w:color="auto" w:sz="4" w:space="0"/>
              <w:right w:val="single" w:color="auto" w:sz="4" w:space="0"/>
            </w:tcBorders>
            <w:shd w:val="clear" w:color="auto" w:fill="auto"/>
            <w:vAlign w:val="center"/>
          </w:tcPr>
          <w:p w14:paraId="388CEAB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0.1014</w:t>
            </w:r>
          </w:p>
        </w:tc>
        <w:tc>
          <w:tcPr>
            <w:tcW w:w="255" w:type="pct"/>
            <w:tcBorders>
              <w:top w:val="nil"/>
              <w:left w:val="nil"/>
              <w:bottom w:val="single" w:color="auto" w:sz="4" w:space="0"/>
              <w:right w:val="single" w:color="auto" w:sz="4" w:space="0"/>
            </w:tcBorders>
            <w:shd w:val="clear" w:color="auto" w:fill="auto"/>
            <w:vAlign w:val="center"/>
          </w:tcPr>
          <w:p w14:paraId="1114229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0.0203</w:t>
            </w:r>
          </w:p>
        </w:tc>
        <w:tc>
          <w:tcPr>
            <w:tcW w:w="287" w:type="pct"/>
            <w:tcBorders>
              <w:top w:val="nil"/>
              <w:left w:val="nil"/>
              <w:bottom w:val="single" w:color="auto" w:sz="4" w:space="0"/>
              <w:right w:val="single" w:color="auto" w:sz="4" w:space="0"/>
            </w:tcBorders>
            <w:shd w:val="clear" w:color="auto" w:fill="auto"/>
            <w:vAlign w:val="center"/>
          </w:tcPr>
          <w:p w14:paraId="4C803E6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8.3164</w:t>
            </w:r>
          </w:p>
        </w:tc>
        <w:tc>
          <w:tcPr>
            <w:tcW w:w="255" w:type="pct"/>
            <w:tcBorders>
              <w:top w:val="nil"/>
              <w:left w:val="nil"/>
              <w:bottom w:val="single" w:color="auto" w:sz="4" w:space="0"/>
              <w:right w:val="single" w:color="auto" w:sz="4" w:space="0"/>
            </w:tcBorders>
            <w:shd w:val="clear" w:color="auto" w:fill="auto"/>
            <w:vAlign w:val="center"/>
          </w:tcPr>
          <w:p w14:paraId="6EE76BD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4.1582</w:t>
            </w:r>
          </w:p>
        </w:tc>
        <w:tc>
          <w:tcPr>
            <w:tcW w:w="275" w:type="pct"/>
            <w:tcBorders>
              <w:top w:val="nil"/>
              <w:left w:val="nil"/>
              <w:bottom w:val="single" w:color="auto" w:sz="4" w:space="0"/>
              <w:right w:val="single" w:color="auto" w:sz="4" w:space="0"/>
            </w:tcBorders>
            <w:shd w:val="clear" w:color="auto" w:fill="auto"/>
            <w:vAlign w:val="center"/>
          </w:tcPr>
          <w:p w14:paraId="3F219A5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37.259</w:t>
            </w:r>
          </w:p>
        </w:tc>
        <w:tc>
          <w:tcPr>
            <w:tcW w:w="255" w:type="pct"/>
            <w:tcBorders>
              <w:top w:val="nil"/>
              <w:left w:val="nil"/>
              <w:bottom w:val="single" w:color="auto" w:sz="4" w:space="0"/>
              <w:right w:val="single" w:color="auto" w:sz="4" w:space="0"/>
            </w:tcBorders>
            <w:shd w:val="clear" w:color="auto" w:fill="auto"/>
            <w:vAlign w:val="center"/>
          </w:tcPr>
          <w:p w14:paraId="072B812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4.1399</w:t>
            </w:r>
          </w:p>
        </w:tc>
        <w:tc>
          <w:tcPr>
            <w:tcW w:w="287" w:type="pct"/>
            <w:tcBorders>
              <w:top w:val="nil"/>
              <w:left w:val="nil"/>
              <w:bottom w:val="single" w:color="auto" w:sz="4" w:space="0"/>
              <w:right w:val="single" w:color="auto" w:sz="4" w:space="0"/>
            </w:tcBorders>
            <w:shd w:val="clear" w:color="auto" w:fill="auto"/>
            <w:vAlign w:val="center"/>
          </w:tcPr>
          <w:p w14:paraId="2B079FA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7.3057</w:t>
            </w:r>
          </w:p>
        </w:tc>
        <w:tc>
          <w:tcPr>
            <w:tcW w:w="255" w:type="pct"/>
            <w:tcBorders>
              <w:top w:val="nil"/>
              <w:left w:val="nil"/>
              <w:bottom w:val="single" w:color="auto" w:sz="4" w:space="0"/>
              <w:right w:val="single" w:color="auto" w:sz="4" w:space="0"/>
            </w:tcBorders>
            <w:shd w:val="clear" w:color="auto" w:fill="auto"/>
            <w:vAlign w:val="center"/>
          </w:tcPr>
          <w:p w14:paraId="5E855AC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1.6235</w:t>
            </w:r>
          </w:p>
        </w:tc>
        <w:tc>
          <w:tcPr>
            <w:tcW w:w="275" w:type="pct"/>
            <w:tcBorders>
              <w:top w:val="nil"/>
              <w:left w:val="nil"/>
              <w:bottom w:val="single" w:color="auto" w:sz="4" w:space="0"/>
              <w:right w:val="single" w:color="auto" w:sz="4" w:space="0"/>
            </w:tcBorders>
            <w:shd w:val="clear" w:color="auto" w:fill="auto"/>
            <w:vAlign w:val="center"/>
          </w:tcPr>
          <w:p w14:paraId="3CF8879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1.5342</w:t>
            </w:r>
          </w:p>
        </w:tc>
        <w:tc>
          <w:tcPr>
            <w:tcW w:w="255" w:type="pct"/>
            <w:tcBorders>
              <w:top w:val="nil"/>
              <w:left w:val="nil"/>
              <w:bottom w:val="single" w:color="auto" w:sz="4" w:space="0"/>
              <w:right w:val="single" w:color="auto" w:sz="4" w:space="0"/>
            </w:tcBorders>
            <w:shd w:val="clear" w:color="auto" w:fill="auto"/>
            <w:vAlign w:val="center"/>
          </w:tcPr>
          <w:p w14:paraId="2575A88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0.6819</w:t>
            </w:r>
          </w:p>
        </w:tc>
      </w:tr>
      <w:tr w14:paraId="7D13DEED">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5E70E26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800</w:t>
            </w:r>
          </w:p>
        </w:tc>
        <w:tc>
          <w:tcPr>
            <w:tcW w:w="358" w:type="pct"/>
            <w:tcBorders>
              <w:top w:val="nil"/>
              <w:left w:val="nil"/>
              <w:bottom w:val="single" w:color="auto" w:sz="4" w:space="0"/>
              <w:right w:val="single" w:color="auto" w:sz="4" w:space="0"/>
            </w:tcBorders>
            <w:shd w:val="clear" w:color="auto" w:fill="auto"/>
            <w:vAlign w:val="center"/>
          </w:tcPr>
          <w:p w14:paraId="2BAA118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23.766</w:t>
            </w:r>
          </w:p>
        </w:tc>
        <w:tc>
          <w:tcPr>
            <w:tcW w:w="347" w:type="pct"/>
            <w:tcBorders>
              <w:top w:val="nil"/>
              <w:left w:val="nil"/>
              <w:bottom w:val="single" w:color="auto" w:sz="4" w:space="0"/>
              <w:right w:val="single" w:color="auto" w:sz="4" w:space="0"/>
            </w:tcBorders>
            <w:shd w:val="clear" w:color="auto" w:fill="auto"/>
            <w:vAlign w:val="center"/>
          </w:tcPr>
          <w:p w14:paraId="366E99B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2.6407</w:t>
            </w:r>
          </w:p>
        </w:tc>
        <w:tc>
          <w:tcPr>
            <w:tcW w:w="355" w:type="pct"/>
            <w:tcBorders>
              <w:top w:val="nil"/>
              <w:left w:val="nil"/>
              <w:bottom w:val="single" w:color="auto" w:sz="4" w:space="0"/>
              <w:right w:val="single" w:color="auto" w:sz="4" w:space="0"/>
            </w:tcBorders>
            <w:shd w:val="clear" w:color="auto" w:fill="auto"/>
            <w:vAlign w:val="center"/>
          </w:tcPr>
          <w:p w14:paraId="4C0CEEF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4.66</w:t>
            </w:r>
          </w:p>
        </w:tc>
        <w:tc>
          <w:tcPr>
            <w:tcW w:w="264" w:type="pct"/>
            <w:tcBorders>
              <w:top w:val="nil"/>
              <w:left w:val="nil"/>
              <w:bottom w:val="single" w:color="auto" w:sz="4" w:space="0"/>
              <w:right w:val="single" w:color="auto" w:sz="4" w:space="0"/>
            </w:tcBorders>
            <w:shd w:val="clear" w:color="auto" w:fill="auto"/>
            <w:vAlign w:val="center"/>
          </w:tcPr>
          <w:p w14:paraId="2738EEA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1.0356</w:t>
            </w:r>
          </w:p>
        </w:tc>
        <w:tc>
          <w:tcPr>
            <w:tcW w:w="342" w:type="pct"/>
            <w:tcBorders>
              <w:top w:val="nil"/>
              <w:left w:val="nil"/>
              <w:bottom w:val="single" w:color="auto" w:sz="4" w:space="0"/>
              <w:right w:val="single" w:color="auto" w:sz="4" w:space="0"/>
            </w:tcBorders>
            <w:shd w:val="clear" w:color="auto" w:fill="auto"/>
            <w:vAlign w:val="center"/>
          </w:tcPr>
          <w:p w14:paraId="4E290E0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0.9786</w:t>
            </w:r>
          </w:p>
        </w:tc>
        <w:tc>
          <w:tcPr>
            <w:tcW w:w="306" w:type="pct"/>
            <w:tcBorders>
              <w:top w:val="nil"/>
              <w:left w:val="nil"/>
              <w:bottom w:val="single" w:color="auto" w:sz="4" w:space="0"/>
              <w:right w:val="nil"/>
            </w:tcBorders>
            <w:shd w:val="clear" w:color="auto" w:fill="auto"/>
            <w:vAlign w:val="center"/>
          </w:tcPr>
          <w:p w14:paraId="180B2E2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0.4349</w:t>
            </w:r>
          </w:p>
        </w:tc>
        <w:tc>
          <w:tcPr>
            <w:tcW w:w="275" w:type="pct"/>
            <w:tcBorders>
              <w:top w:val="nil"/>
              <w:left w:val="single" w:color="auto" w:sz="4" w:space="0"/>
              <w:bottom w:val="single" w:color="auto" w:sz="4" w:space="0"/>
              <w:right w:val="single" w:color="auto" w:sz="4" w:space="0"/>
            </w:tcBorders>
            <w:shd w:val="clear" w:color="auto" w:fill="auto"/>
            <w:vAlign w:val="center"/>
          </w:tcPr>
          <w:p w14:paraId="7FF7712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0.0613</w:t>
            </w:r>
          </w:p>
        </w:tc>
        <w:tc>
          <w:tcPr>
            <w:tcW w:w="255" w:type="pct"/>
            <w:tcBorders>
              <w:top w:val="nil"/>
              <w:left w:val="nil"/>
              <w:bottom w:val="single" w:color="auto" w:sz="4" w:space="0"/>
              <w:right w:val="single" w:color="auto" w:sz="4" w:space="0"/>
            </w:tcBorders>
            <w:shd w:val="clear" w:color="auto" w:fill="auto"/>
            <w:vAlign w:val="center"/>
          </w:tcPr>
          <w:p w14:paraId="52BDBCB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0.0123</w:t>
            </w:r>
          </w:p>
        </w:tc>
        <w:tc>
          <w:tcPr>
            <w:tcW w:w="287" w:type="pct"/>
            <w:tcBorders>
              <w:top w:val="nil"/>
              <w:left w:val="nil"/>
              <w:bottom w:val="single" w:color="auto" w:sz="4" w:space="0"/>
              <w:right w:val="single" w:color="auto" w:sz="4" w:space="0"/>
            </w:tcBorders>
            <w:shd w:val="clear" w:color="auto" w:fill="auto"/>
            <w:vAlign w:val="center"/>
          </w:tcPr>
          <w:p w14:paraId="53FD8B9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5.0294</w:t>
            </w:r>
          </w:p>
        </w:tc>
        <w:tc>
          <w:tcPr>
            <w:tcW w:w="255" w:type="pct"/>
            <w:tcBorders>
              <w:top w:val="nil"/>
              <w:left w:val="nil"/>
              <w:bottom w:val="single" w:color="auto" w:sz="4" w:space="0"/>
              <w:right w:val="single" w:color="auto" w:sz="4" w:space="0"/>
            </w:tcBorders>
            <w:shd w:val="clear" w:color="auto" w:fill="auto"/>
            <w:vAlign w:val="center"/>
          </w:tcPr>
          <w:p w14:paraId="40E0711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2.5147</w:t>
            </w:r>
          </w:p>
        </w:tc>
        <w:tc>
          <w:tcPr>
            <w:tcW w:w="275" w:type="pct"/>
            <w:tcBorders>
              <w:top w:val="nil"/>
              <w:left w:val="nil"/>
              <w:bottom w:val="single" w:color="auto" w:sz="4" w:space="0"/>
              <w:right w:val="single" w:color="auto" w:sz="4" w:space="0"/>
            </w:tcBorders>
            <w:shd w:val="clear" w:color="auto" w:fill="auto"/>
            <w:vAlign w:val="center"/>
          </w:tcPr>
          <w:p w14:paraId="7D5FBF1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23.766</w:t>
            </w:r>
          </w:p>
        </w:tc>
        <w:tc>
          <w:tcPr>
            <w:tcW w:w="255" w:type="pct"/>
            <w:tcBorders>
              <w:top w:val="nil"/>
              <w:left w:val="nil"/>
              <w:bottom w:val="single" w:color="auto" w:sz="4" w:space="0"/>
              <w:right w:val="single" w:color="auto" w:sz="4" w:space="0"/>
            </w:tcBorders>
            <w:shd w:val="clear" w:color="auto" w:fill="auto"/>
            <w:vAlign w:val="center"/>
          </w:tcPr>
          <w:p w14:paraId="5D32F4F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2.6407</w:t>
            </w:r>
          </w:p>
        </w:tc>
        <w:tc>
          <w:tcPr>
            <w:tcW w:w="287" w:type="pct"/>
            <w:tcBorders>
              <w:top w:val="nil"/>
              <w:left w:val="nil"/>
              <w:bottom w:val="single" w:color="auto" w:sz="4" w:space="0"/>
              <w:right w:val="single" w:color="auto" w:sz="4" w:space="0"/>
            </w:tcBorders>
            <w:shd w:val="clear" w:color="auto" w:fill="auto"/>
            <w:vAlign w:val="center"/>
          </w:tcPr>
          <w:p w14:paraId="06EC0A9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4.66</w:t>
            </w:r>
          </w:p>
        </w:tc>
        <w:tc>
          <w:tcPr>
            <w:tcW w:w="255" w:type="pct"/>
            <w:tcBorders>
              <w:top w:val="nil"/>
              <w:left w:val="nil"/>
              <w:bottom w:val="single" w:color="auto" w:sz="4" w:space="0"/>
              <w:right w:val="single" w:color="auto" w:sz="4" w:space="0"/>
            </w:tcBorders>
            <w:shd w:val="clear" w:color="auto" w:fill="auto"/>
            <w:vAlign w:val="center"/>
          </w:tcPr>
          <w:p w14:paraId="285EDD1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1.0356</w:t>
            </w:r>
          </w:p>
        </w:tc>
        <w:tc>
          <w:tcPr>
            <w:tcW w:w="275" w:type="pct"/>
            <w:tcBorders>
              <w:top w:val="nil"/>
              <w:left w:val="nil"/>
              <w:bottom w:val="single" w:color="auto" w:sz="4" w:space="0"/>
              <w:right w:val="single" w:color="auto" w:sz="4" w:space="0"/>
            </w:tcBorders>
            <w:shd w:val="clear" w:color="auto" w:fill="auto"/>
            <w:vAlign w:val="center"/>
          </w:tcPr>
          <w:p w14:paraId="5A54382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0.9786</w:t>
            </w:r>
          </w:p>
        </w:tc>
        <w:tc>
          <w:tcPr>
            <w:tcW w:w="255" w:type="pct"/>
            <w:tcBorders>
              <w:top w:val="nil"/>
              <w:left w:val="nil"/>
              <w:bottom w:val="single" w:color="auto" w:sz="4" w:space="0"/>
              <w:right w:val="single" w:color="auto" w:sz="4" w:space="0"/>
            </w:tcBorders>
            <w:shd w:val="clear" w:color="auto" w:fill="auto"/>
            <w:vAlign w:val="center"/>
          </w:tcPr>
          <w:p w14:paraId="6BFA517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0.4349</w:t>
            </w:r>
          </w:p>
        </w:tc>
      </w:tr>
      <w:tr w14:paraId="78F1B5A7">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7E5C19D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1200</w:t>
            </w:r>
          </w:p>
        </w:tc>
        <w:tc>
          <w:tcPr>
            <w:tcW w:w="358" w:type="pct"/>
            <w:tcBorders>
              <w:top w:val="nil"/>
              <w:left w:val="nil"/>
              <w:bottom w:val="single" w:color="auto" w:sz="4" w:space="0"/>
              <w:right w:val="single" w:color="auto" w:sz="4" w:space="0"/>
            </w:tcBorders>
            <w:shd w:val="clear" w:color="auto" w:fill="auto"/>
            <w:vAlign w:val="center"/>
          </w:tcPr>
          <w:p w14:paraId="2E573A2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15.021</w:t>
            </w:r>
          </w:p>
        </w:tc>
        <w:tc>
          <w:tcPr>
            <w:tcW w:w="347" w:type="pct"/>
            <w:tcBorders>
              <w:top w:val="nil"/>
              <w:left w:val="nil"/>
              <w:bottom w:val="single" w:color="auto" w:sz="4" w:space="0"/>
              <w:right w:val="single" w:color="auto" w:sz="4" w:space="0"/>
            </w:tcBorders>
            <w:shd w:val="clear" w:color="auto" w:fill="auto"/>
            <w:vAlign w:val="center"/>
          </w:tcPr>
          <w:p w14:paraId="635F7C5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1.669</w:t>
            </w:r>
          </w:p>
        </w:tc>
        <w:tc>
          <w:tcPr>
            <w:tcW w:w="355" w:type="pct"/>
            <w:tcBorders>
              <w:top w:val="nil"/>
              <w:left w:val="nil"/>
              <w:bottom w:val="single" w:color="auto" w:sz="4" w:space="0"/>
              <w:right w:val="single" w:color="auto" w:sz="4" w:space="0"/>
            </w:tcBorders>
            <w:shd w:val="clear" w:color="auto" w:fill="auto"/>
            <w:vAlign w:val="center"/>
          </w:tcPr>
          <w:p w14:paraId="6131944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2.9453</w:t>
            </w:r>
          </w:p>
        </w:tc>
        <w:tc>
          <w:tcPr>
            <w:tcW w:w="264" w:type="pct"/>
            <w:tcBorders>
              <w:top w:val="nil"/>
              <w:left w:val="nil"/>
              <w:bottom w:val="single" w:color="auto" w:sz="4" w:space="0"/>
              <w:right w:val="single" w:color="auto" w:sz="4" w:space="0"/>
            </w:tcBorders>
            <w:shd w:val="clear" w:color="auto" w:fill="auto"/>
            <w:vAlign w:val="center"/>
          </w:tcPr>
          <w:p w14:paraId="4611777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0.6545</w:t>
            </w:r>
          </w:p>
        </w:tc>
        <w:tc>
          <w:tcPr>
            <w:tcW w:w="342" w:type="pct"/>
            <w:tcBorders>
              <w:top w:val="nil"/>
              <w:left w:val="nil"/>
              <w:bottom w:val="single" w:color="auto" w:sz="4" w:space="0"/>
              <w:right w:val="single" w:color="auto" w:sz="4" w:space="0"/>
            </w:tcBorders>
            <w:shd w:val="clear" w:color="auto" w:fill="auto"/>
            <w:vAlign w:val="center"/>
          </w:tcPr>
          <w:p w14:paraId="2721527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0.6185</w:t>
            </w:r>
          </w:p>
        </w:tc>
        <w:tc>
          <w:tcPr>
            <w:tcW w:w="306" w:type="pct"/>
            <w:tcBorders>
              <w:top w:val="nil"/>
              <w:left w:val="nil"/>
              <w:bottom w:val="single" w:color="auto" w:sz="4" w:space="0"/>
              <w:right w:val="nil"/>
            </w:tcBorders>
            <w:shd w:val="clear" w:color="auto" w:fill="auto"/>
            <w:vAlign w:val="center"/>
          </w:tcPr>
          <w:p w14:paraId="4464B20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0.2749</w:t>
            </w:r>
          </w:p>
        </w:tc>
        <w:tc>
          <w:tcPr>
            <w:tcW w:w="275" w:type="pct"/>
            <w:tcBorders>
              <w:top w:val="nil"/>
              <w:left w:val="single" w:color="auto" w:sz="4" w:space="0"/>
              <w:bottom w:val="single" w:color="auto" w:sz="4" w:space="0"/>
              <w:right w:val="single" w:color="auto" w:sz="4" w:space="0"/>
            </w:tcBorders>
            <w:shd w:val="clear" w:color="auto" w:fill="auto"/>
            <w:vAlign w:val="center"/>
          </w:tcPr>
          <w:p w14:paraId="660FD0B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0.0378</w:t>
            </w:r>
          </w:p>
        </w:tc>
        <w:tc>
          <w:tcPr>
            <w:tcW w:w="255" w:type="pct"/>
            <w:tcBorders>
              <w:top w:val="nil"/>
              <w:left w:val="nil"/>
              <w:bottom w:val="single" w:color="auto" w:sz="4" w:space="0"/>
              <w:right w:val="single" w:color="auto" w:sz="4" w:space="0"/>
            </w:tcBorders>
            <w:shd w:val="clear" w:color="auto" w:fill="auto"/>
            <w:vAlign w:val="center"/>
          </w:tcPr>
          <w:p w14:paraId="07C6486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0.0076</w:t>
            </w:r>
          </w:p>
        </w:tc>
        <w:tc>
          <w:tcPr>
            <w:tcW w:w="287" w:type="pct"/>
            <w:tcBorders>
              <w:top w:val="nil"/>
              <w:left w:val="nil"/>
              <w:bottom w:val="single" w:color="auto" w:sz="4" w:space="0"/>
              <w:right w:val="single" w:color="auto" w:sz="4" w:space="0"/>
            </w:tcBorders>
            <w:shd w:val="clear" w:color="auto" w:fill="auto"/>
            <w:vAlign w:val="center"/>
          </w:tcPr>
          <w:p w14:paraId="5CD48E6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3.0992</w:t>
            </w:r>
          </w:p>
        </w:tc>
        <w:tc>
          <w:tcPr>
            <w:tcW w:w="255" w:type="pct"/>
            <w:tcBorders>
              <w:top w:val="nil"/>
              <w:left w:val="nil"/>
              <w:bottom w:val="single" w:color="auto" w:sz="4" w:space="0"/>
              <w:right w:val="single" w:color="auto" w:sz="4" w:space="0"/>
            </w:tcBorders>
            <w:shd w:val="clear" w:color="auto" w:fill="auto"/>
            <w:vAlign w:val="center"/>
          </w:tcPr>
          <w:p w14:paraId="6167F05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1.5496</w:t>
            </w:r>
          </w:p>
        </w:tc>
        <w:tc>
          <w:tcPr>
            <w:tcW w:w="275" w:type="pct"/>
            <w:tcBorders>
              <w:top w:val="nil"/>
              <w:left w:val="nil"/>
              <w:bottom w:val="single" w:color="auto" w:sz="4" w:space="0"/>
              <w:right w:val="single" w:color="auto" w:sz="4" w:space="0"/>
            </w:tcBorders>
            <w:shd w:val="clear" w:color="auto" w:fill="auto"/>
            <w:vAlign w:val="center"/>
          </w:tcPr>
          <w:p w14:paraId="6B7C1B2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15.021</w:t>
            </w:r>
          </w:p>
        </w:tc>
        <w:tc>
          <w:tcPr>
            <w:tcW w:w="255" w:type="pct"/>
            <w:tcBorders>
              <w:top w:val="nil"/>
              <w:left w:val="nil"/>
              <w:bottom w:val="single" w:color="auto" w:sz="4" w:space="0"/>
              <w:right w:val="single" w:color="auto" w:sz="4" w:space="0"/>
            </w:tcBorders>
            <w:shd w:val="clear" w:color="auto" w:fill="auto"/>
            <w:vAlign w:val="center"/>
          </w:tcPr>
          <w:p w14:paraId="132AE0C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1.669</w:t>
            </w:r>
          </w:p>
        </w:tc>
        <w:tc>
          <w:tcPr>
            <w:tcW w:w="287" w:type="pct"/>
            <w:tcBorders>
              <w:top w:val="nil"/>
              <w:left w:val="nil"/>
              <w:bottom w:val="single" w:color="auto" w:sz="4" w:space="0"/>
              <w:right w:val="single" w:color="auto" w:sz="4" w:space="0"/>
            </w:tcBorders>
            <w:shd w:val="clear" w:color="auto" w:fill="auto"/>
            <w:vAlign w:val="center"/>
          </w:tcPr>
          <w:p w14:paraId="6EFD963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2.9453</w:t>
            </w:r>
          </w:p>
        </w:tc>
        <w:tc>
          <w:tcPr>
            <w:tcW w:w="255" w:type="pct"/>
            <w:tcBorders>
              <w:top w:val="nil"/>
              <w:left w:val="nil"/>
              <w:bottom w:val="single" w:color="auto" w:sz="4" w:space="0"/>
              <w:right w:val="single" w:color="auto" w:sz="4" w:space="0"/>
            </w:tcBorders>
            <w:shd w:val="clear" w:color="auto" w:fill="auto"/>
            <w:vAlign w:val="center"/>
          </w:tcPr>
          <w:p w14:paraId="1177D19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0.6545</w:t>
            </w:r>
          </w:p>
        </w:tc>
        <w:tc>
          <w:tcPr>
            <w:tcW w:w="275" w:type="pct"/>
            <w:tcBorders>
              <w:top w:val="nil"/>
              <w:left w:val="nil"/>
              <w:bottom w:val="single" w:color="auto" w:sz="4" w:space="0"/>
              <w:right w:val="single" w:color="auto" w:sz="4" w:space="0"/>
            </w:tcBorders>
            <w:shd w:val="clear" w:color="auto" w:fill="auto"/>
            <w:vAlign w:val="center"/>
          </w:tcPr>
          <w:p w14:paraId="3CB01DA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0.6185</w:t>
            </w:r>
          </w:p>
        </w:tc>
        <w:tc>
          <w:tcPr>
            <w:tcW w:w="255" w:type="pct"/>
            <w:tcBorders>
              <w:top w:val="nil"/>
              <w:left w:val="nil"/>
              <w:bottom w:val="single" w:color="auto" w:sz="4" w:space="0"/>
              <w:right w:val="single" w:color="auto" w:sz="4" w:space="0"/>
            </w:tcBorders>
            <w:shd w:val="clear" w:color="auto" w:fill="auto"/>
            <w:vAlign w:val="center"/>
          </w:tcPr>
          <w:p w14:paraId="4B6EE91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0.2749</w:t>
            </w:r>
          </w:p>
        </w:tc>
      </w:tr>
      <w:tr w14:paraId="60CD122F">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6BD2C9B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2000</w:t>
            </w:r>
          </w:p>
        </w:tc>
        <w:tc>
          <w:tcPr>
            <w:tcW w:w="358" w:type="pct"/>
            <w:tcBorders>
              <w:top w:val="nil"/>
              <w:left w:val="nil"/>
              <w:bottom w:val="single" w:color="auto" w:sz="4" w:space="0"/>
              <w:right w:val="single" w:color="auto" w:sz="4" w:space="0"/>
            </w:tcBorders>
            <w:shd w:val="clear" w:color="auto" w:fill="auto"/>
            <w:vAlign w:val="center"/>
          </w:tcPr>
          <w:p w14:paraId="1092647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8.0619</w:t>
            </w:r>
          </w:p>
        </w:tc>
        <w:tc>
          <w:tcPr>
            <w:tcW w:w="347" w:type="pct"/>
            <w:tcBorders>
              <w:top w:val="nil"/>
              <w:left w:val="nil"/>
              <w:bottom w:val="single" w:color="auto" w:sz="4" w:space="0"/>
              <w:right w:val="single" w:color="auto" w:sz="4" w:space="0"/>
            </w:tcBorders>
            <w:shd w:val="clear" w:color="auto" w:fill="auto"/>
            <w:vAlign w:val="center"/>
          </w:tcPr>
          <w:p w14:paraId="5B24754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0.8958</w:t>
            </w:r>
          </w:p>
        </w:tc>
        <w:tc>
          <w:tcPr>
            <w:tcW w:w="355" w:type="pct"/>
            <w:tcBorders>
              <w:top w:val="nil"/>
              <w:left w:val="nil"/>
              <w:bottom w:val="single" w:color="auto" w:sz="4" w:space="0"/>
              <w:right w:val="single" w:color="auto" w:sz="4" w:space="0"/>
            </w:tcBorders>
            <w:shd w:val="clear" w:color="auto" w:fill="auto"/>
            <w:vAlign w:val="center"/>
          </w:tcPr>
          <w:p w14:paraId="20B50FE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1.5808</w:t>
            </w:r>
          </w:p>
        </w:tc>
        <w:tc>
          <w:tcPr>
            <w:tcW w:w="264" w:type="pct"/>
            <w:tcBorders>
              <w:top w:val="nil"/>
              <w:left w:val="nil"/>
              <w:bottom w:val="single" w:color="auto" w:sz="4" w:space="0"/>
              <w:right w:val="single" w:color="auto" w:sz="4" w:space="0"/>
            </w:tcBorders>
            <w:shd w:val="clear" w:color="auto" w:fill="auto"/>
            <w:vAlign w:val="center"/>
          </w:tcPr>
          <w:p w14:paraId="5D2FA6D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0.3513</w:t>
            </w:r>
          </w:p>
        </w:tc>
        <w:tc>
          <w:tcPr>
            <w:tcW w:w="342" w:type="pct"/>
            <w:tcBorders>
              <w:top w:val="nil"/>
              <w:left w:val="nil"/>
              <w:bottom w:val="single" w:color="auto" w:sz="4" w:space="0"/>
              <w:right w:val="single" w:color="auto" w:sz="4" w:space="0"/>
            </w:tcBorders>
            <w:shd w:val="clear" w:color="auto" w:fill="auto"/>
            <w:vAlign w:val="center"/>
          </w:tcPr>
          <w:p w14:paraId="08219B5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0.332</w:t>
            </w:r>
          </w:p>
        </w:tc>
        <w:tc>
          <w:tcPr>
            <w:tcW w:w="306" w:type="pct"/>
            <w:tcBorders>
              <w:top w:val="nil"/>
              <w:left w:val="nil"/>
              <w:bottom w:val="single" w:color="auto" w:sz="4" w:space="0"/>
              <w:right w:val="nil"/>
            </w:tcBorders>
            <w:shd w:val="clear" w:color="auto" w:fill="auto"/>
            <w:vAlign w:val="center"/>
          </w:tcPr>
          <w:p w14:paraId="0C50584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0.1475</w:t>
            </w:r>
          </w:p>
        </w:tc>
        <w:tc>
          <w:tcPr>
            <w:tcW w:w="275" w:type="pct"/>
            <w:tcBorders>
              <w:top w:val="nil"/>
              <w:left w:val="single" w:color="auto" w:sz="4" w:space="0"/>
              <w:bottom w:val="single" w:color="auto" w:sz="4" w:space="0"/>
              <w:right w:val="single" w:color="auto" w:sz="4" w:space="0"/>
            </w:tcBorders>
            <w:shd w:val="clear" w:color="auto" w:fill="auto"/>
            <w:vAlign w:val="center"/>
          </w:tcPr>
          <w:p w14:paraId="015689B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0.0202</w:t>
            </w:r>
          </w:p>
        </w:tc>
        <w:tc>
          <w:tcPr>
            <w:tcW w:w="255" w:type="pct"/>
            <w:tcBorders>
              <w:top w:val="nil"/>
              <w:left w:val="nil"/>
              <w:bottom w:val="single" w:color="auto" w:sz="4" w:space="0"/>
              <w:right w:val="single" w:color="auto" w:sz="4" w:space="0"/>
            </w:tcBorders>
            <w:shd w:val="clear" w:color="auto" w:fill="auto"/>
            <w:vAlign w:val="center"/>
          </w:tcPr>
          <w:p w14:paraId="6FECD0C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0.004</w:t>
            </w:r>
          </w:p>
        </w:tc>
        <w:tc>
          <w:tcPr>
            <w:tcW w:w="287" w:type="pct"/>
            <w:tcBorders>
              <w:top w:val="nil"/>
              <w:left w:val="nil"/>
              <w:bottom w:val="single" w:color="auto" w:sz="4" w:space="0"/>
              <w:right w:val="single" w:color="auto" w:sz="4" w:space="0"/>
            </w:tcBorders>
            <w:shd w:val="clear" w:color="auto" w:fill="auto"/>
            <w:vAlign w:val="center"/>
          </w:tcPr>
          <w:p w14:paraId="6B11F95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1.6556</w:t>
            </w:r>
          </w:p>
        </w:tc>
        <w:tc>
          <w:tcPr>
            <w:tcW w:w="255" w:type="pct"/>
            <w:tcBorders>
              <w:top w:val="nil"/>
              <w:left w:val="nil"/>
              <w:bottom w:val="single" w:color="auto" w:sz="4" w:space="0"/>
              <w:right w:val="single" w:color="auto" w:sz="4" w:space="0"/>
            </w:tcBorders>
            <w:shd w:val="clear" w:color="auto" w:fill="auto"/>
            <w:vAlign w:val="center"/>
          </w:tcPr>
          <w:p w14:paraId="2B9894C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0.8278</w:t>
            </w:r>
          </w:p>
        </w:tc>
        <w:tc>
          <w:tcPr>
            <w:tcW w:w="275" w:type="pct"/>
            <w:tcBorders>
              <w:top w:val="nil"/>
              <w:left w:val="nil"/>
              <w:bottom w:val="single" w:color="auto" w:sz="4" w:space="0"/>
              <w:right w:val="single" w:color="auto" w:sz="4" w:space="0"/>
            </w:tcBorders>
            <w:shd w:val="clear" w:color="auto" w:fill="auto"/>
            <w:vAlign w:val="center"/>
          </w:tcPr>
          <w:p w14:paraId="1790FD2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8.0619</w:t>
            </w:r>
          </w:p>
        </w:tc>
        <w:tc>
          <w:tcPr>
            <w:tcW w:w="255" w:type="pct"/>
            <w:tcBorders>
              <w:top w:val="nil"/>
              <w:left w:val="nil"/>
              <w:bottom w:val="single" w:color="auto" w:sz="4" w:space="0"/>
              <w:right w:val="single" w:color="auto" w:sz="4" w:space="0"/>
            </w:tcBorders>
            <w:shd w:val="clear" w:color="auto" w:fill="auto"/>
            <w:vAlign w:val="center"/>
          </w:tcPr>
          <w:p w14:paraId="304C66A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0.8958</w:t>
            </w:r>
          </w:p>
        </w:tc>
        <w:tc>
          <w:tcPr>
            <w:tcW w:w="287" w:type="pct"/>
            <w:tcBorders>
              <w:top w:val="nil"/>
              <w:left w:val="nil"/>
              <w:bottom w:val="single" w:color="auto" w:sz="4" w:space="0"/>
              <w:right w:val="single" w:color="auto" w:sz="4" w:space="0"/>
            </w:tcBorders>
            <w:shd w:val="clear" w:color="auto" w:fill="auto"/>
            <w:vAlign w:val="center"/>
          </w:tcPr>
          <w:p w14:paraId="7E0A27C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1.5808</w:t>
            </w:r>
          </w:p>
        </w:tc>
        <w:tc>
          <w:tcPr>
            <w:tcW w:w="255" w:type="pct"/>
            <w:tcBorders>
              <w:top w:val="nil"/>
              <w:left w:val="nil"/>
              <w:bottom w:val="single" w:color="auto" w:sz="4" w:space="0"/>
              <w:right w:val="single" w:color="auto" w:sz="4" w:space="0"/>
            </w:tcBorders>
            <w:shd w:val="clear" w:color="auto" w:fill="auto"/>
            <w:vAlign w:val="center"/>
          </w:tcPr>
          <w:p w14:paraId="66A599D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0.3513</w:t>
            </w:r>
          </w:p>
        </w:tc>
        <w:tc>
          <w:tcPr>
            <w:tcW w:w="275" w:type="pct"/>
            <w:tcBorders>
              <w:top w:val="nil"/>
              <w:left w:val="nil"/>
              <w:bottom w:val="single" w:color="auto" w:sz="4" w:space="0"/>
              <w:right w:val="single" w:color="auto" w:sz="4" w:space="0"/>
            </w:tcBorders>
            <w:shd w:val="clear" w:color="auto" w:fill="auto"/>
            <w:vAlign w:val="center"/>
          </w:tcPr>
          <w:p w14:paraId="7A0CD50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0.332</w:t>
            </w:r>
          </w:p>
        </w:tc>
        <w:tc>
          <w:tcPr>
            <w:tcW w:w="255" w:type="pct"/>
            <w:tcBorders>
              <w:top w:val="nil"/>
              <w:left w:val="nil"/>
              <w:bottom w:val="single" w:color="auto" w:sz="4" w:space="0"/>
              <w:right w:val="single" w:color="auto" w:sz="4" w:space="0"/>
            </w:tcBorders>
            <w:shd w:val="clear" w:color="auto" w:fill="auto"/>
            <w:vAlign w:val="center"/>
          </w:tcPr>
          <w:p w14:paraId="59565A2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0.1475</w:t>
            </w:r>
          </w:p>
        </w:tc>
      </w:tr>
      <w:tr w14:paraId="4D641CE1">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363F7FA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4000</w:t>
            </w:r>
          </w:p>
        </w:tc>
        <w:tc>
          <w:tcPr>
            <w:tcW w:w="358" w:type="pct"/>
            <w:tcBorders>
              <w:top w:val="nil"/>
              <w:left w:val="nil"/>
              <w:bottom w:val="single" w:color="auto" w:sz="4" w:space="0"/>
              <w:right w:val="single" w:color="auto" w:sz="4" w:space="0"/>
            </w:tcBorders>
            <w:shd w:val="clear" w:color="auto" w:fill="auto"/>
            <w:vAlign w:val="center"/>
          </w:tcPr>
          <w:p w14:paraId="3D0FDBD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3.3159</w:t>
            </w:r>
          </w:p>
        </w:tc>
        <w:tc>
          <w:tcPr>
            <w:tcW w:w="347" w:type="pct"/>
            <w:tcBorders>
              <w:top w:val="nil"/>
              <w:left w:val="nil"/>
              <w:bottom w:val="single" w:color="auto" w:sz="4" w:space="0"/>
              <w:right w:val="single" w:color="auto" w:sz="4" w:space="0"/>
            </w:tcBorders>
            <w:shd w:val="clear" w:color="auto" w:fill="auto"/>
            <w:vAlign w:val="center"/>
          </w:tcPr>
          <w:p w14:paraId="2471A23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0.3684</w:t>
            </w:r>
          </w:p>
        </w:tc>
        <w:tc>
          <w:tcPr>
            <w:tcW w:w="355" w:type="pct"/>
            <w:tcBorders>
              <w:top w:val="nil"/>
              <w:left w:val="nil"/>
              <w:bottom w:val="single" w:color="auto" w:sz="4" w:space="0"/>
              <w:right w:val="single" w:color="auto" w:sz="4" w:space="0"/>
            </w:tcBorders>
            <w:shd w:val="clear" w:color="auto" w:fill="auto"/>
            <w:vAlign w:val="center"/>
          </w:tcPr>
          <w:p w14:paraId="3669136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0.6502</w:t>
            </w:r>
          </w:p>
        </w:tc>
        <w:tc>
          <w:tcPr>
            <w:tcW w:w="264" w:type="pct"/>
            <w:tcBorders>
              <w:top w:val="nil"/>
              <w:left w:val="nil"/>
              <w:bottom w:val="single" w:color="auto" w:sz="4" w:space="0"/>
              <w:right w:val="single" w:color="auto" w:sz="4" w:space="0"/>
            </w:tcBorders>
            <w:shd w:val="clear" w:color="auto" w:fill="auto"/>
            <w:vAlign w:val="center"/>
          </w:tcPr>
          <w:p w14:paraId="78199D0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0.1445</w:t>
            </w:r>
          </w:p>
        </w:tc>
        <w:tc>
          <w:tcPr>
            <w:tcW w:w="342" w:type="pct"/>
            <w:tcBorders>
              <w:top w:val="nil"/>
              <w:left w:val="nil"/>
              <w:bottom w:val="single" w:color="auto" w:sz="4" w:space="0"/>
              <w:right w:val="single" w:color="auto" w:sz="4" w:space="0"/>
            </w:tcBorders>
            <w:shd w:val="clear" w:color="auto" w:fill="auto"/>
            <w:vAlign w:val="center"/>
          </w:tcPr>
          <w:p w14:paraId="09A9C3C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0.1365</w:t>
            </w:r>
          </w:p>
        </w:tc>
        <w:tc>
          <w:tcPr>
            <w:tcW w:w="306" w:type="pct"/>
            <w:tcBorders>
              <w:top w:val="nil"/>
              <w:left w:val="nil"/>
              <w:bottom w:val="single" w:color="auto" w:sz="4" w:space="0"/>
              <w:right w:val="nil"/>
            </w:tcBorders>
            <w:shd w:val="clear" w:color="auto" w:fill="auto"/>
            <w:vAlign w:val="center"/>
          </w:tcPr>
          <w:p w14:paraId="50C85F9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0.0607</w:t>
            </w:r>
          </w:p>
        </w:tc>
        <w:tc>
          <w:tcPr>
            <w:tcW w:w="275" w:type="pct"/>
            <w:tcBorders>
              <w:top w:val="nil"/>
              <w:left w:val="single" w:color="auto" w:sz="4" w:space="0"/>
              <w:bottom w:val="single" w:color="auto" w:sz="4" w:space="0"/>
              <w:right w:val="single" w:color="auto" w:sz="4" w:space="0"/>
            </w:tcBorders>
            <w:shd w:val="clear" w:color="auto" w:fill="auto"/>
            <w:vAlign w:val="center"/>
          </w:tcPr>
          <w:p w14:paraId="3208FE5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0.008</w:t>
            </w:r>
          </w:p>
        </w:tc>
        <w:tc>
          <w:tcPr>
            <w:tcW w:w="255" w:type="pct"/>
            <w:tcBorders>
              <w:top w:val="nil"/>
              <w:left w:val="nil"/>
              <w:bottom w:val="single" w:color="auto" w:sz="4" w:space="0"/>
              <w:right w:val="single" w:color="auto" w:sz="4" w:space="0"/>
            </w:tcBorders>
            <w:shd w:val="clear" w:color="auto" w:fill="auto"/>
            <w:vAlign w:val="center"/>
          </w:tcPr>
          <w:p w14:paraId="1E118C6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0.0016</w:t>
            </w:r>
          </w:p>
        </w:tc>
        <w:tc>
          <w:tcPr>
            <w:tcW w:w="287" w:type="pct"/>
            <w:tcBorders>
              <w:top w:val="nil"/>
              <w:left w:val="nil"/>
              <w:bottom w:val="single" w:color="auto" w:sz="4" w:space="0"/>
              <w:right w:val="single" w:color="auto" w:sz="4" w:space="0"/>
            </w:tcBorders>
            <w:shd w:val="clear" w:color="auto" w:fill="auto"/>
            <w:vAlign w:val="center"/>
          </w:tcPr>
          <w:p w14:paraId="2243DB2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0.6575</w:t>
            </w:r>
          </w:p>
        </w:tc>
        <w:tc>
          <w:tcPr>
            <w:tcW w:w="255" w:type="pct"/>
            <w:tcBorders>
              <w:top w:val="nil"/>
              <w:left w:val="nil"/>
              <w:bottom w:val="single" w:color="auto" w:sz="4" w:space="0"/>
              <w:right w:val="single" w:color="auto" w:sz="4" w:space="0"/>
            </w:tcBorders>
            <w:shd w:val="clear" w:color="auto" w:fill="auto"/>
            <w:vAlign w:val="center"/>
          </w:tcPr>
          <w:p w14:paraId="203B468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0.3288</w:t>
            </w:r>
          </w:p>
        </w:tc>
        <w:tc>
          <w:tcPr>
            <w:tcW w:w="275" w:type="pct"/>
            <w:tcBorders>
              <w:top w:val="nil"/>
              <w:left w:val="nil"/>
              <w:bottom w:val="single" w:color="auto" w:sz="4" w:space="0"/>
              <w:right w:val="single" w:color="auto" w:sz="4" w:space="0"/>
            </w:tcBorders>
            <w:shd w:val="clear" w:color="auto" w:fill="auto"/>
            <w:vAlign w:val="center"/>
          </w:tcPr>
          <w:p w14:paraId="1D0E71D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3.3159</w:t>
            </w:r>
          </w:p>
        </w:tc>
        <w:tc>
          <w:tcPr>
            <w:tcW w:w="255" w:type="pct"/>
            <w:tcBorders>
              <w:top w:val="nil"/>
              <w:left w:val="nil"/>
              <w:bottom w:val="single" w:color="auto" w:sz="4" w:space="0"/>
              <w:right w:val="single" w:color="auto" w:sz="4" w:space="0"/>
            </w:tcBorders>
            <w:shd w:val="clear" w:color="auto" w:fill="auto"/>
            <w:vAlign w:val="center"/>
          </w:tcPr>
          <w:p w14:paraId="4E31AD5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0.3684</w:t>
            </w:r>
          </w:p>
        </w:tc>
        <w:tc>
          <w:tcPr>
            <w:tcW w:w="287" w:type="pct"/>
            <w:tcBorders>
              <w:top w:val="nil"/>
              <w:left w:val="nil"/>
              <w:bottom w:val="single" w:color="auto" w:sz="4" w:space="0"/>
              <w:right w:val="single" w:color="auto" w:sz="4" w:space="0"/>
            </w:tcBorders>
            <w:shd w:val="clear" w:color="auto" w:fill="auto"/>
            <w:vAlign w:val="center"/>
          </w:tcPr>
          <w:p w14:paraId="62D43FA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0.6502</w:t>
            </w:r>
          </w:p>
        </w:tc>
        <w:tc>
          <w:tcPr>
            <w:tcW w:w="255" w:type="pct"/>
            <w:tcBorders>
              <w:top w:val="nil"/>
              <w:left w:val="nil"/>
              <w:bottom w:val="single" w:color="auto" w:sz="4" w:space="0"/>
              <w:right w:val="single" w:color="auto" w:sz="4" w:space="0"/>
            </w:tcBorders>
            <w:shd w:val="clear" w:color="auto" w:fill="auto"/>
            <w:vAlign w:val="center"/>
          </w:tcPr>
          <w:p w14:paraId="039A70A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0.1445</w:t>
            </w:r>
          </w:p>
        </w:tc>
        <w:tc>
          <w:tcPr>
            <w:tcW w:w="275" w:type="pct"/>
            <w:tcBorders>
              <w:top w:val="nil"/>
              <w:left w:val="nil"/>
              <w:bottom w:val="single" w:color="auto" w:sz="4" w:space="0"/>
              <w:right w:val="single" w:color="auto" w:sz="4" w:space="0"/>
            </w:tcBorders>
            <w:shd w:val="clear" w:color="auto" w:fill="auto"/>
            <w:vAlign w:val="center"/>
          </w:tcPr>
          <w:p w14:paraId="56DFF2E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0.1365</w:t>
            </w:r>
          </w:p>
        </w:tc>
        <w:tc>
          <w:tcPr>
            <w:tcW w:w="255" w:type="pct"/>
            <w:tcBorders>
              <w:top w:val="nil"/>
              <w:left w:val="nil"/>
              <w:bottom w:val="single" w:color="auto" w:sz="4" w:space="0"/>
              <w:right w:val="single" w:color="auto" w:sz="4" w:space="0"/>
            </w:tcBorders>
            <w:shd w:val="clear" w:color="auto" w:fill="auto"/>
            <w:vAlign w:val="center"/>
          </w:tcPr>
          <w:p w14:paraId="68778CD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0.0607</w:t>
            </w:r>
          </w:p>
        </w:tc>
      </w:tr>
      <w:tr w14:paraId="55726D8B">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14B4C3B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5000</w:t>
            </w:r>
          </w:p>
        </w:tc>
        <w:tc>
          <w:tcPr>
            <w:tcW w:w="358" w:type="pct"/>
            <w:tcBorders>
              <w:top w:val="nil"/>
              <w:left w:val="nil"/>
              <w:bottom w:val="single" w:color="auto" w:sz="4" w:space="0"/>
              <w:right w:val="single" w:color="auto" w:sz="4" w:space="0"/>
            </w:tcBorders>
            <w:shd w:val="clear" w:color="auto" w:fill="auto"/>
            <w:vAlign w:val="center"/>
          </w:tcPr>
          <w:p w14:paraId="75C55DD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2.4759</w:t>
            </w:r>
          </w:p>
        </w:tc>
        <w:tc>
          <w:tcPr>
            <w:tcW w:w="347" w:type="pct"/>
            <w:tcBorders>
              <w:top w:val="nil"/>
              <w:left w:val="nil"/>
              <w:bottom w:val="single" w:color="auto" w:sz="4" w:space="0"/>
              <w:right w:val="single" w:color="auto" w:sz="4" w:space="0"/>
            </w:tcBorders>
            <w:shd w:val="clear" w:color="auto" w:fill="auto"/>
            <w:vAlign w:val="center"/>
          </w:tcPr>
          <w:p w14:paraId="2FAD951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0.2751</w:t>
            </w:r>
          </w:p>
        </w:tc>
        <w:tc>
          <w:tcPr>
            <w:tcW w:w="355" w:type="pct"/>
            <w:tcBorders>
              <w:top w:val="nil"/>
              <w:left w:val="nil"/>
              <w:bottom w:val="single" w:color="auto" w:sz="4" w:space="0"/>
              <w:right w:val="single" w:color="auto" w:sz="4" w:space="0"/>
            </w:tcBorders>
            <w:shd w:val="clear" w:color="auto" w:fill="auto"/>
            <w:vAlign w:val="center"/>
          </w:tcPr>
          <w:p w14:paraId="313E403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0.4855</w:t>
            </w:r>
          </w:p>
        </w:tc>
        <w:tc>
          <w:tcPr>
            <w:tcW w:w="264" w:type="pct"/>
            <w:tcBorders>
              <w:top w:val="nil"/>
              <w:left w:val="nil"/>
              <w:bottom w:val="single" w:color="auto" w:sz="4" w:space="0"/>
              <w:right w:val="single" w:color="auto" w:sz="4" w:space="0"/>
            </w:tcBorders>
            <w:shd w:val="clear" w:color="auto" w:fill="auto"/>
            <w:vAlign w:val="center"/>
          </w:tcPr>
          <w:p w14:paraId="3C317CA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0.1079</w:t>
            </w:r>
          </w:p>
        </w:tc>
        <w:tc>
          <w:tcPr>
            <w:tcW w:w="342" w:type="pct"/>
            <w:tcBorders>
              <w:top w:val="nil"/>
              <w:left w:val="nil"/>
              <w:bottom w:val="single" w:color="auto" w:sz="4" w:space="0"/>
              <w:right w:val="single" w:color="auto" w:sz="4" w:space="0"/>
            </w:tcBorders>
            <w:shd w:val="clear" w:color="auto" w:fill="auto"/>
            <w:vAlign w:val="center"/>
          </w:tcPr>
          <w:p w14:paraId="5187FF3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0.1019</w:t>
            </w:r>
          </w:p>
        </w:tc>
        <w:tc>
          <w:tcPr>
            <w:tcW w:w="306" w:type="pct"/>
            <w:tcBorders>
              <w:top w:val="nil"/>
              <w:left w:val="nil"/>
              <w:bottom w:val="single" w:color="auto" w:sz="4" w:space="0"/>
              <w:right w:val="nil"/>
            </w:tcBorders>
            <w:shd w:val="clear" w:color="auto" w:fill="auto"/>
            <w:vAlign w:val="center"/>
          </w:tcPr>
          <w:p w14:paraId="6957A89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0.0453</w:t>
            </w:r>
          </w:p>
        </w:tc>
        <w:tc>
          <w:tcPr>
            <w:tcW w:w="275" w:type="pct"/>
            <w:tcBorders>
              <w:top w:val="nil"/>
              <w:left w:val="single" w:color="auto" w:sz="4" w:space="0"/>
              <w:bottom w:val="single" w:color="auto" w:sz="4" w:space="0"/>
              <w:right w:val="single" w:color="auto" w:sz="4" w:space="0"/>
            </w:tcBorders>
            <w:shd w:val="clear" w:color="auto" w:fill="auto"/>
            <w:vAlign w:val="center"/>
          </w:tcPr>
          <w:p w14:paraId="62EAA19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0.0059</w:t>
            </w:r>
          </w:p>
        </w:tc>
        <w:tc>
          <w:tcPr>
            <w:tcW w:w="255" w:type="pct"/>
            <w:tcBorders>
              <w:top w:val="nil"/>
              <w:left w:val="nil"/>
              <w:bottom w:val="single" w:color="auto" w:sz="4" w:space="0"/>
              <w:right w:val="single" w:color="auto" w:sz="4" w:space="0"/>
            </w:tcBorders>
            <w:shd w:val="clear" w:color="auto" w:fill="auto"/>
            <w:vAlign w:val="center"/>
          </w:tcPr>
          <w:p w14:paraId="5E46BCD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0.0012</w:t>
            </w:r>
          </w:p>
        </w:tc>
        <w:tc>
          <w:tcPr>
            <w:tcW w:w="287" w:type="pct"/>
            <w:tcBorders>
              <w:top w:val="nil"/>
              <w:left w:val="nil"/>
              <w:bottom w:val="single" w:color="auto" w:sz="4" w:space="0"/>
              <w:right w:val="single" w:color="auto" w:sz="4" w:space="0"/>
            </w:tcBorders>
            <w:shd w:val="clear" w:color="auto" w:fill="auto"/>
            <w:vAlign w:val="center"/>
          </w:tcPr>
          <w:p w14:paraId="5AC7051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0.4872</w:t>
            </w:r>
          </w:p>
        </w:tc>
        <w:tc>
          <w:tcPr>
            <w:tcW w:w="255" w:type="pct"/>
            <w:tcBorders>
              <w:top w:val="nil"/>
              <w:left w:val="nil"/>
              <w:bottom w:val="single" w:color="auto" w:sz="4" w:space="0"/>
              <w:right w:val="single" w:color="auto" w:sz="4" w:space="0"/>
            </w:tcBorders>
            <w:shd w:val="clear" w:color="auto" w:fill="auto"/>
            <w:vAlign w:val="center"/>
          </w:tcPr>
          <w:p w14:paraId="201AB7F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0.2436</w:t>
            </w:r>
          </w:p>
        </w:tc>
        <w:tc>
          <w:tcPr>
            <w:tcW w:w="275" w:type="pct"/>
            <w:tcBorders>
              <w:top w:val="nil"/>
              <w:left w:val="nil"/>
              <w:bottom w:val="single" w:color="auto" w:sz="4" w:space="0"/>
              <w:right w:val="single" w:color="auto" w:sz="4" w:space="0"/>
            </w:tcBorders>
            <w:shd w:val="clear" w:color="auto" w:fill="auto"/>
            <w:vAlign w:val="center"/>
          </w:tcPr>
          <w:p w14:paraId="3C10678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2.4759</w:t>
            </w:r>
          </w:p>
        </w:tc>
        <w:tc>
          <w:tcPr>
            <w:tcW w:w="255" w:type="pct"/>
            <w:tcBorders>
              <w:top w:val="nil"/>
              <w:left w:val="nil"/>
              <w:bottom w:val="single" w:color="auto" w:sz="4" w:space="0"/>
              <w:right w:val="single" w:color="auto" w:sz="4" w:space="0"/>
            </w:tcBorders>
            <w:shd w:val="clear" w:color="auto" w:fill="auto"/>
            <w:vAlign w:val="center"/>
          </w:tcPr>
          <w:p w14:paraId="5C6190D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0.2751</w:t>
            </w:r>
          </w:p>
        </w:tc>
        <w:tc>
          <w:tcPr>
            <w:tcW w:w="287" w:type="pct"/>
            <w:tcBorders>
              <w:top w:val="nil"/>
              <w:left w:val="nil"/>
              <w:bottom w:val="single" w:color="auto" w:sz="4" w:space="0"/>
              <w:right w:val="single" w:color="auto" w:sz="4" w:space="0"/>
            </w:tcBorders>
            <w:shd w:val="clear" w:color="auto" w:fill="auto"/>
            <w:vAlign w:val="center"/>
          </w:tcPr>
          <w:p w14:paraId="25FE9BA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0.4855</w:t>
            </w:r>
          </w:p>
        </w:tc>
        <w:tc>
          <w:tcPr>
            <w:tcW w:w="255" w:type="pct"/>
            <w:tcBorders>
              <w:top w:val="nil"/>
              <w:left w:val="nil"/>
              <w:bottom w:val="single" w:color="auto" w:sz="4" w:space="0"/>
              <w:right w:val="single" w:color="auto" w:sz="4" w:space="0"/>
            </w:tcBorders>
            <w:shd w:val="clear" w:color="auto" w:fill="auto"/>
            <w:vAlign w:val="center"/>
          </w:tcPr>
          <w:p w14:paraId="33A5AF0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0.1079</w:t>
            </w:r>
          </w:p>
        </w:tc>
        <w:tc>
          <w:tcPr>
            <w:tcW w:w="275" w:type="pct"/>
            <w:tcBorders>
              <w:top w:val="nil"/>
              <w:left w:val="nil"/>
              <w:bottom w:val="single" w:color="auto" w:sz="4" w:space="0"/>
              <w:right w:val="single" w:color="auto" w:sz="4" w:space="0"/>
            </w:tcBorders>
            <w:shd w:val="clear" w:color="auto" w:fill="auto"/>
            <w:vAlign w:val="center"/>
          </w:tcPr>
          <w:p w14:paraId="76379DB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0.1019</w:t>
            </w:r>
          </w:p>
        </w:tc>
        <w:tc>
          <w:tcPr>
            <w:tcW w:w="255" w:type="pct"/>
            <w:tcBorders>
              <w:top w:val="nil"/>
              <w:left w:val="nil"/>
              <w:bottom w:val="single" w:color="auto" w:sz="4" w:space="0"/>
              <w:right w:val="single" w:color="auto" w:sz="4" w:space="0"/>
            </w:tcBorders>
            <w:shd w:val="clear" w:color="auto" w:fill="auto"/>
            <w:vAlign w:val="center"/>
          </w:tcPr>
          <w:p w14:paraId="4EA9717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0.0453</w:t>
            </w:r>
          </w:p>
        </w:tc>
      </w:tr>
      <w:tr w14:paraId="67A9853B">
        <w:tblPrEx>
          <w:tblCellMar>
            <w:top w:w="0" w:type="dxa"/>
            <w:left w:w="108" w:type="dxa"/>
            <w:bottom w:w="0" w:type="dxa"/>
            <w:right w:w="108" w:type="dxa"/>
          </w:tblCellMar>
        </w:tblPrEx>
        <w:trPr>
          <w:trHeight w:val="3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21E157B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10000</w:t>
            </w:r>
          </w:p>
        </w:tc>
        <w:tc>
          <w:tcPr>
            <w:tcW w:w="358" w:type="pct"/>
            <w:tcBorders>
              <w:top w:val="nil"/>
              <w:left w:val="nil"/>
              <w:bottom w:val="single" w:color="auto" w:sz="4" w:space="0"/>
              <w:right w:val="single" w:color="auto" w:sz="4" w:space="0"/>
            </w:tcBorders>
            <w:shd w:val="clear" w:color="auto" w:fill="auto"/>
            <w:vAlign w:val="center"/>
          </w:tcPr>
          <w:p w14:paraId="5CF0039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0.989</w:t>
            </w:r>
          </w:p>
        </w:tc>
        <w:tc>
          <w:tcPr>
            <w:tcW w:w="347" w:type="pct"/>
            <w:tcBorders>
              <w:top w:val="nil"/>
              <w:left w:val="nil"/>
              <w:bottom w:val="single" w:color="auto" w:sz="4" w:space="0"/>
              <w:right w:val="single" w:color="auto" w:sz="4" w:space="0"/>
            </w:tcBorders>
            <w:shd w:val="clear" w:color="auto" w:fill="auto"/>
            <w:vAlign w:val="center"/>
          </w:tcPr>
          <w:p w14:paraId="7EC6A37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0.1099</w:t>
            </w:r>
          </w:p>
        </w:tc>
        <w:tc>
          <w:tcPr>
            <w:tcW w:w="355" w:type="pct"/>
            <w:tcBorders>
              <w:top w:val="nil"/>
              <w:left w:val="nil"/>
              <w:bottom w:val="single" w:color="auto" w:sz="4" w:space="0"/>
              <w:right w:val="single" w:color="auto" w:sz="4" w:space="0"/>
            </w:tcBorders>
            <w:shd w:val="clear" w:color="auto" w:fill="auto"/>
            <w:vAlign w:val="center"/>
          </w:tcPr>
          <w:p w14:paraId="25796CB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0.1939</w:t>
            </w:r>
          </w:p>
        </w:tc>
        <w:tc>
          <w:tcPr>
            <w:tcW w:w="264" w:type="pct"/>
            <w:tcBorders>
              <w:top w:val="nil"/>
              <w:left w:val="nil"/>
              <w:bottom w:val="single" w:color="auto" w:sz="4" w:space="0"/>
              <w:right w:val="single" w:color="auto" w:sz="4" w:space="0"/>
            </w:tcBorders>
            <w:shd w:val="clear" w:color="auto" w:fill="auto"/>
            <w:vAlign w:val="center"/>
          </w:tcPr>
          <w:p w14:paraId="3E4B63C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0.0431</w:t>
            </w:r>
          </w:p>
        </w:tc>
        <w:tc>
          <w:tcPr>
            <w:tcW w:w="342" w:type="pct"/>
            <w:tcBorders>
              <w:top w:val="nil"/>
              <w:left w:val="nil"/>
              <w:bottom w:val="single" w:color="auto" w:sz="4" w:space="0"/>
              <w:right w:val="single" w:color="auto" w:sz="4" w:space="0"/>
            </w:tcBorders>
            <w:shd w:val="clear" w:color="auto" w:fill="auto"/>
            <w:vAlign w:val="center"/>
          </w:tcPr>
          <w:p w14:paraId="6D40440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0.0407</w:t>
            </w:r>
          </w:p>
        </w:tc>
        <w:tc>
          <w:tcPr>
            <w:tcW w:w="306" w:type="pct"/>
            <w:tcBorders>
              <w:top w:val="nil"/>
              <w:left w:val="nil"/>
              <w:bottom w:val="single" w:color="auto" w:sz="4" w:space="0"/>
              <w:right w:val="nil"/>
            </w:tcBorders>
            <w:shd w:val="clear" w:color="auto" w:fill="auto"/>
            <w:vAlign w:val="center"/>
          </w:tcPr>
          <w:p w14:paraId="557DAB5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0.0181</w:t>
            </w:r>
          </w:p>
        </w:tc>
        <w:tc>
          <w:tcPr>
            <w:tcW w:w="275" w:type="pct"/>
            <w:tcBorders>
              <w:top w:val="nil"/>
              <w:left w:val="single" w:color="auto" w:sz="4" w:space="0"/>
              <w:bottom w:val="single" w:color="auto" w:sz="4" w:space="0"/>
              <w:right w:val="single" w:color="auto" w:sz="4" w:space="0"/>
            </w:tcBorders>
            <w:shd w:val="clear" w:color="auto" w:fill="auto"/>
            <w:vAlign w:val="center"/>
          </w:tcPr>
          <w:p w14:paraId="5123CFE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0.0023</w:t>
            </w:r>
          </w:p>
        </w:tc>
        <w:tc>
          <w:tcPr>
            <w:tcW w:w="255" w:type="pct"/>
            <w:tcBorders>
              <w:top w:val="nil"/>
              <w:left w:val="nil"/>
              <w:bottom w:val="single" w:color="auto" w:sz="4" w:space="0"/>
              <w:right w:val="single" w:color="auto" w:sz="4" w:space="0"/>
            </w:tcBorders>
            <w:shd w:val="clear" w:color="auto" w:fill="auto"/>
            <w:vAlign w:val="center"/>
          </w:tcPr>
          <w:p w14:paraId="65EB7E7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0.0005</w:t>
            </w:r>
          </w:p>
        </w:tc>
        <w:tc>
          <w:tcPr>
            <w:tcW w:w="287" w:type="pct"/>
            <w:tcBorders>
              <w:top w:val="nil"/>
              <w:left w:val="nil"/>
              <w:bottom w:val="single" w:color="auto" w:sz="4" w:space="0"/>
              <w:right w:val="single" w:color="auto" w:sz="4" w:space="0"/>
            </w:tcBorders>
            <w:shd w:val="clear" w:color="auto" w:fill="auto"/>
            <w:vAlign w:val="center"/>
          </w:tcPr>
          <w:p w14:paraId="165FD295">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0.1912</w:t>
            </w:r>
          </w:p>
        </w:tc>
        <w:tc>
          <w:tcPr>
            <w:tcW w:w="255" w:type="pct"/>
            <w:tcBorders>
              <w:top w:val="nil"/>
              <w:left w:val="nil"/>
              <w:bottom w:val="single" w:color="auto" w:sz="4" w:space="0"/>
              <w:right w:val="single" w:color="auto" w:sz="4" w:space="0"/>
            </w:tcBorders>
            <w:shd w:val="clear" w:color="auto" w:fill="auto"/>
            <w:vAlign w:val="center"/>
          </w:tcPr>
          <w:p w14:paraId="751E63C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0.0956</w:t>
            </w:r>
          </w:p>
        </w:tc>
        <w:tc>
          <w:tcPr>
            <w:tcW w:w="275" w:type="pct"/>
            <w:tcBorders>
              <w:top w:val="nil"/>
              <w:left w:val="nil"/>
              <w:bottom w:val="single" w:color="auto" w:sz="4" w:space="0"/>
              <w:right w:val="single" w:color="auto" w:sz="4" w:space="0"/>
            </w:tcBorders>
            <w:shd w:val="clear" w:color="auto" w:fill="auto"/>
            <w:vAlign w:val="center"/>
          </w:tcPr>
          <w:p w14:paraId="29E7F98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0.989</w:t>
            </w:r>
          </w:p>
        </w:tc>
        <w:tc>
          <w:tcPr>
            <w:tcW w:w="255" w:type="pct"/>
            <w:tcBorders>
              <w:top w:val="nil"/>
              <w:left w:val="nil"/>
              <w:bottom w:val="single" w:color="auto" w:sz="4" w:space="0"/>
              <w:right w:val="single" w:color="auto" w:sz="4" w:space="0"/>
            </w:tcBorders>
            <w:shd w:val="clear" w:color="auto" w:fill="auto"/>
            <w:vAlign w:val="center"/>
          </w:tcPr>
          <w:p w14:paraId="435D921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0.1099</w:t>
            </w:r>
          </w:p>
        </w:tc>
        <w:tc>
          <w:tcPr>
            <w:tcW w:w="287" w:type="pct"/>
            <w:tcBorders>
              <w:top w:val="nil"/>
              <w:left w:val="nil"/>
              <w:bottom w:val="single" w:color="auto" w:sz="4" w:space="0"/>
              <w:right w:val="single" w:color="auto" w:sz="4" w:space="0"/>
            </w:tcBorders>
            <w:shd w:val="clear" w:color="auto" w:fill="auto"/>
            <w:vAlign w:val="center"/>
          </w:tcPr>
          <w:p w14:paraId="77B9ECC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0.1939</w:t>
            </w:r>
          </w:p>
        </w:tc>
        <w:tc>
          <w:tcPr>
            <w:tcW w:w="255" w:type="pct"/>
            <w:tcBorders>
              <w:top w:val="nil"/>
              <w:left w:val="nil"/>
              <w:bottom w:val="single" w:color="auto" w:sz="4" w:space="0"/>
              <w:right w:val="single" w:color="auto" w:sz="4" w:space="0"/>
            </w:tcBorders>
            <w:shd w:val="clear" w:color="auto" w:fill="auto"/>
            <w:vAlign w:val="center"/>
          </w:tcPr>
          <w:p w14:paraId="32BD23C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0.0431</w:t>
            </w:r>
          </w:p>
        </w:tc>
        <w:tc>
          <w:tcPr>
            <w:tcW w:w="275" w:type="pct"/>
            <w:tcBorders>
              <w:top w:val="nil"/>
              <w:left w:val="nil"/>
              <w:bottom w:val="single" w:color="auto" w:sz="4" w:space="0"/>
              <w:right w:val="single" w:color="auto" w:sz="4" w:space="0"/>
            </w:tcBorders>
            <w:shd w:val="clear" w:color="auto" w:fill="auto"/>
            <w:vAlign w:val="center"/>
          </w:tcPr>
          <w:p w14:paraId="1D13280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0.0407</w:t>
            </w:r>
          </w:p>
        </w:tc>
        <w:tc>
          <w:tcPr>
            <w:tcW w:w="255" w:type="pct"/>
            <w:tcBorders>
              <w:top w:val="nil"/>
              <w:left w:val="nil"/>
              <w:bottom w:val="single" w:color="auto" w:sz="4" w:space="0"/>
              <w:right w:val="single" w:color="auto" w:sz="4" w:space="0"/>
            </w:tcBorders>
            <w:shd w:val="clear" w:color="auto" w:fill="auto"/>
            <w:vAlign w:val="center"/>
          </w:tcPr>
          <w:p w14:paraId="02F40D2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0.0181</w:t>
            </w:r>
          </w:p>
        </w:tc>
      </w:tr>
      <w:tr w14:paraId="4B236301">
        <w:tblPrEx>
          <w:tblCellMar>
            <w:top w:w="0" w:type="dxa"/>
            <w:left w:w="108" w:type="dxa"/>
            <w:bottom w:w="0" w:type="dxa"/>
            <w:right w:w="108" w:type="dxa"/>
          </w:tblCellMar>
        </w:tblPrEx>
        <w:trPr>
          <w:trHeight w:val="6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6D69102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下风向最大浓度</w:t>
            </w:r>
          </w:p>
        </w:tc>
        <w:tc>
          <w:tcPr>
            <w:tcW w:w="358" w:type="pct"/>
            <w:tcBorders>
              <w:top w:val="nil"/>
              <w:left w:val="nil"/>
              <w:bottom w:val="single" w:color="auto" w:sz="4" w:space="0"/>
              <w:right w:val="single" w:color="auto" w:sz="4" w:space="0"/>
            </w:tcBorders>
            <w:shd w:val="clear" w:color="auto" w:fill="auto"/>
            <w:vAlign w:val="center"/>
          </w:tcPr>
          <w:p w14:paraId="729CE82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84.198</w:t>
            </w:r>
          </w:p>
        </w:tc>
        <w:tc>
          <w:tcPr>
            <w:tcW w:w="347" w:type="pct"/>
            <w:tcBorders>
              <w:top w:val="nil"/>
              <w:left w:val="nil"/>
              <w:bottom w:val="single" w:color="auto" w:sz="4" w:space="0"/>
              <w:right w:val="single" w:color="auto" w:sz="4" w:space="0"/>
            </w:tcBorders>
            <w:shd w:val="clear" w:color="auto" w:fill="auto"/>
            <w:vAlign w:val="center"/>
          </w:tcPr>
          <w:p w14:paraId="0884020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9.3553</w:t>
            </w:r>
          </w:p>
        </w:tc>
        <w:tc>
          <w:tcPr>
            <w:tcW w:w="355" w:type="pct"/>
            <w:tcBorders>
              <w:top w:val="nil"/>
              <w:left w:val="nil"/>
              <w:bottom w:val="single" w:color="auto" w:sz="4" w:space="0"/>
              <w:right w:val="single" w:color="auto" w:sz="4" w:space="0"/>
            </w:tcBorders>
            <w:shd w:val="clear" w:color="auto" w:fill="auto"/>
            <w:vAlign w:val="center"/>
          </w:tcPr>
          <w:p w14:paraId="4B4FA8B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16.5094</w:t>
            </w:r>
          </w:p>
        </w:tc>
        <w:tc>
          <w:tcPr>
            <w:tcW w:w="264" w:type="pct"/>
            <w:tcBorders>
              <w:top w:val="nil"/>
              <w:left w:val="nil"/>
              <w:bottom w:val="single" w:color="auto" w:sz="4" w:space="0"/>
              <w:right w:val="single" w:color="auto" w:sz="4" w:space="0"/>
            </w:tcBorders>
            <w:shd w:val="clear" w:color="auto" w:fill="auto"/>
            <w:vAlign w:val="center"/>
          </w:tcPr>
          <w:p w14:paraId="4A08D90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3.6688</w:t>
            </w:r>
          </w:p>
        </w:tc>
        <w:tc>
          <w:tcPr>
            <w:tcW w:w="342" w:type="pct"/>
            <w:tcBorders>
              <w:top w:val="nil"/>
              <w:left w:val="nil"/>
              <w:bottom w:val="single" w:color="auto" w:sz="4" w:space="0"/>
              <w:right w:val="single" w:color="auto" w:sz="4" w:space="0"/>
            </w:tcBorders>
            <w:shd w:val="clear" w:color="auto" w:fill="auto"/>
            <w:vAlign w:val="center"/>
          </w:tcPr>
          <w:p w14:paraId="507A221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3.467</w:t>
            </w:r>
          </w:p>
        </w:tc>
        <w:tc>
          <w:tcPr>
            <w:tcW w:w="306" w:type="pct"/>
            <w:tcBorders>
              <w:top w:val="nil"/>
              <w:left w:val="nil"/>
              <w:bottom w:val="single" w:color="auto" w:sz="4" w:space="0"/>
              <w:right w:val="nil"/>
            </w:tcBorders>
            <w:shd w:val="clear" w:color="auto" w:fill="auto"/>
            <w:vAlign w:val="center"/>
          </w:tcPr>
          <w:p w14:paraId="787A38D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1.5409</w:t>
            </w:r>
          </w:p>
        </w:tc>
        <w:tc>
          <w:tcPr>
            <w:tcW w:w="275" w:type="pct"/>
            <w:tcBorders>
              <w:top w:val="nil"/>
              <w:left w:val="single" w:color="auto" w:sz="4" w:space="0"/>
              <w:bottom w:val="single" w:color="auto" w:sz="4" w:space="0"/>
              <w:right w:val="single" w:color="auto" w:sz="4" w:space="0"/>
            </w:tcBorders>
            <w:shd w:val="clear" w:color="auto" w:fill="auto"/>
            <w:vAlign w:val="center"/>
          </w:tcPr>
          <w:p w14:paraId="03E4BA8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0.2146</w:t>
            </w:r>
          </w:p>
        </w:tc>
        <w:tc>
          <w:tcPr>
            <w:tcW w:w="255" w:type="pct"/>
            <w:tcBorders>
              <w:top w:val="nil"/>
              <w:left w:val="nil"/>
              <w:bottom w:val="single" w:color="auto" w:sz="4" w:space="0"/>
              <w:right w:val="single" w:color="auto" w:sz="4" w:space="0"/>
            </w:tcBorders>
            <w:shd w:val="clear" w:color="auto" w:fill="auto"/>
            <w:vAlign w:val="center"/>
          </w:tcPr>
          <w:p w14:paraId="78D475B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0.0429</w:t>
            </w:r>
          </w:p>
        </w:tc>
        <w:tc>
          <w:tcPr>
            <w:tcW w:w="287" w:type="pct"/>
            <w:tcBorders>
              <w:top w:val="nil"/>
              <w:left w:val="nil"/>
              <w:bottom w:val="single" w:color="auto" w:sz="4" w:space="0"/>
              <w:right w:val="single" w:color="auto" w:sz="4" w:space="0"/>
            </w:tcBorders>
            <w:shd w:val="clear" w:color="auto" w:fill="auto"/>
            <w:vAlign w:val="center"/>
          </w:tcPr>
          <w:p w14:paraId="09B5529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17.598</w:t>
            </w:r>
          </w:p>
        </w:tc>
        <w:tc>
          <w:tcPr>
            <w:tcW w:w="255" w:type="pct"/>
            <w:tcBorders>
              <w:top w:val="nil"/>
              <w:left w:val="nil"/>
              <w:bottom w:val="single" w:color="auto" w:sz="4" w:space="0"/>
              <w:right w:val="single" w:color="auto" w:sz="4" w:space="0"/>
            </w:tcBorders>
            <w:shd w:val="clear" w:color="auto" w:fill="auto"/>
            <w:vAlign w:val="center"/>
          </w:tcPr>
          <w:p w14:paraId="0C2F163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8.799</w:t>
            </w:r>
          </w:p>
        </w:tc>
        <w:tc>
          <w:tcPr>
            <w:tcW w:w="275" w:type="pct"/>
            <w:tcBorders>
              <w:top w:val="nil"/>
              <w:left w:val="nil"/>
              <w:bottom w:val="single" w:color="auto" w:sz="4" w:space="0"/>
              <w:right w:val="single" w:color="auto" w:sz="4" w:space="0"/>
            </w:tcBorders>
            <w:shd w:val="clear" w:color="auto" w:fill="auto"/>
            <w:vAlign w:val="center"/>
          </w:tcPr>
          <w:p w14:paraId="057348B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84.198</w:t>
            </w:r>
          </w:p>
        </w:tc>
        <w:tc>
          <w:tcPr>
            <w:tcW w:w="255" w:type="pct"/>
            <w:tcBorders>
              <w:top w:val="nil"/>
              <w:left w:val="nil"/>
              <w:bottom w:val="single" w:color="auto" w:sz="4" w:space="0"/>
              <w:right w:val="single" w:color="auto" w:sz="4" w:space="0"/>
            </w:tcBorders>
            <w:shd w:val="clear" w:color="auto" w:fill="auto"/>
            <w:vAlign w:val="center"/>
          </w:tcPr>
          <w:p w14:paraId="32BA6CE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9.3553</w:t>
            </w:r>
          </w:p>
        </w:tc>
        <w:tc>
          <w:tcPr>
            <w:tcW w:w="287" w:type="pct"/>
            <w:tcBorders>
              <w:top w:val="nil"/>
              <w:left w:val="nil"/>
              <w:bottom w:val="single" w:color="auto" w:sz="4" w:space="0"/>
              <w:right w:val="single" w:color="auto" w:sz="4" w:space="0"/>
            </w:tcBorders>
            <w:shd w:val="clear" w:color="auto" w:fill="auto"/>
            <w:vAlign w:val="center"/>
          </w:tcPr>
          <w:p w14:paraId="34F19A0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16.5094</w:t>
            </w:r>
          </w:p>
        </w:tc>
        <w:tc>
          <w:tcPr>
            <w:tcW w:w="255" w:type="pct"/>
            <w:tcBorders>
              <w:top w:val="nil"/>
              <w:left w:val="nil"/>
              <w:bottom w:val="single" w:color="auto" w:sz="4" w:space="0"/>
              <w:right w:val="single" w:color="auto" w:sz="4" w:space="0"/>
            </w:tcBorders>
            <w:shd w:val="clear" w:color="auto" w:fill="auto"/>
            <w:vAlign w:val="center"/>
          </w:tcPr>
          <w:p w14:paraId="33AE3DB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3.6688</w:t>
            </w:r>
          </w:p>
        </w:tc>
        <w:tc>
          <w:tcPr>
            <w:tcW w:w="275" w:type="pct"/>
            <w:tcBorders>
              <w:top w:val="nil"/>
              <w:left w:val="nil"/>
              <w:bottom w:val="single" w:color="auto" w:sz="4" w:space="0"/>
              <w:right w:val="single" w:color="auto" w:sz="4" w:space="0"/>
            </w:tcBorders>
            <w:shd w:val="clear" w:color="auto" w:fill="auto"/>
            <w:vAlign w:val="center"/>
          </w:tcPr>
          <w:p w14:paraId="3E83043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3.467</w:t>
            </w:r>
          </w:p>
        </w:tc>
        <w:tc>
          <w:tcPr>
            <w:tcW w:w="255" w:type="pct"/>
            <w:tcBorders>
              <w:top w:val="nil"/>
              <w:left w:val="nil"/>
              <w:bottom w:val="single" w:color="auto" w:sz="4" w:space="0"/>
              <w:right w:val="single" w:color="auto" w:sz="4" w:space="0"/>
            </w:tcBorders>
            <w:shd w:val="clear" w:color="auto" w:fill="auto"/>
            <w:vAlign w:val="center"/>
          </w:tcPr>
          <w:p w14:paraId="43450D7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1.5409</w:t>
            </w:r>
          </w:p>
        </w:tc>
      </w:tr>
      <w:tr w14:paraId="35DB9439">
        <w:tblPrEx>
          <w:tblCellMar>
            <w:top w:w="0" w:type="dxa"/>
            <w:left w:w="108" w:type="dxa"/>
            <w:bottom w:w="0" w:type="dxa"/>
            <w:right w:w="108" w:type="dxa"/>
          </w:tblCellMar>
        </w:tblPrEx>
        <w:trPr>
          <w:trHeight w:val="9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2799FB1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下风向最大浓度出现距离</w:t>
            </w:r>
          </w:p>
        </w:tc>
        <w:tc>
          <w:tcPr>
            <w:tcW w:w="358" w:type="pct"/>
            <w:tcBorders>
              <w:top w:val="nil"/>
              <w:left w:val="nil"/>
              <w:bottom w:val="single" w:color="auto" w:sz="4" w:space="0"/>
              <w:right w:val="single" w:color="auto" w:sz="4" w:space="0"/>
            </w:tcBorders>
            <w:shd w:val="clear" w:color="auto" w:fill="auto"/>
            <w:vAlign w:val="center"/>
          </w:tcPr>
          <w:p w14:paraId="5942D0D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347" w:type="pct"/>
            <w:tcBorders>
              <w:top w:val="nil"/>
              <w:left w:val="nil"/>
              <w:bottom w:val="single" w:color="auto" w:sz="4" w:space="0"/>
              <w:right w:val="single" w:color="auto" w:sz="4" w:space="0"/>
            </w:tcBorders>
            <w:shd w:val="clear" w:color="auto" w:fill="auto"/>
            <w:vAlign w:val="center"/>
          </w:tcPr>
          <w:p w14:paraId="73528B0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355" w:type="pct"/>
            <w:tcBorders>
              <w:top w:val="nil"/>
              <w:left w:val="nil"/>
              <w:bottom w:val="single" w:color="auto" w:sz="4" w:space="0"/>
              <w:right w:val="single" w:color="auto" w:sz="4" w:space="0"/>
            </w:tcBorders>
            <w:shd w:val="clear" w:color="auto" w:fill="auto"/>
            <w:vAlign w:val="center"/>
          </w:tcPr>
          <w:p w14:paraId="40ABFA2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64" w:type="pct"/>
            <w:tcBorders>
              <w:top w:val="nil"/>
              <w:left w:val="nil"/>
              <w:bottom w:val="single" w:color="auto" w:sz="4" w:space="0"/>
              <w:right w:val="single" w:color="auto" w:sz="4" w:space="0"/>
            </w:tcBorders>
            <w:shd w:val="clear" w:color="auto" w:fill="auto"/>
            <w:vAlign w:val="center"/>
          </w:tcPr>
          <w:p w14:paraId="20A8CB5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342" w:type="pct"/>
            <w:tcBorders>
              <w:top w:val="nil"/>
              <w:left w:val="nil"/>
              <w:bottom w:val="single" w:color="auto" w:sz="4" w:space="0"/>
              <w:right w:val="single" w:color="auto" w:sz="4" w:space="0"/>
            </w:tcBorders>
            <w:shd w:val="clear" w:color="auto" w:fill="auto"/>
            <w:vAlign w:val="center"/>
          </w:tcPr>
          <w:p w14:paraId="068D974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306" w:type="pct"/>
            <w:tcBorders>
              <w:top w:val="nil"/>
              <w:left w:val="nil"/>
              <w:bottom w:val="single" w:color="auto" w:sz="4" w:space="0"/>
              <w:right w:val="nil"/>
            </w:tcBorders>
            <w:shd w:val="clear" w:color="auto" w:fill="auto"/>
            <w:vAlign w:val="center"/>
          </w:tcPr>
          <w:p w14:paraId="00F1745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75" w:type="pct"/>
            <w:tcBorders>
              <w:top w:val="nil"/>
              <w:left w:val="single" w:color="auto" w:sz="4" w:space="0"/>
              <w:bottom w:val="single" w:color="auto" w:sz="4" w:space="0"/>
              <w:right w:val="single" w:color="auto" w:sz="4" w:space="0"/>
            </w:tcBorders>
            <w:shd w:val="clear" w:color="auto" w:fill="auto"/>
            <w:vAlign w:val="center"/>
          </w:tcPr>
          <w:p w14:paraId="4A09A0A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144</w:t>
            </w:r>
          </w:p>
        </w:tc>
        <w:tc>
          <w:tcPr>
            <w:tcW w:w="255" w:type="pct"/>
            <w:tcBorders>
              <w:top w:val="nil"/>
              <w:left w:val="nil"/>
              <w:bottom w:val="single" w:color="auto" w:sz="4" w:space="0"/>
              <w:right w:val="single" w:color="auto" w:sz="4" w:space="0"/>
            </w:tcBorders>
            <w:shd w:val="clear" w:color="auto" w:fill="auto"/>
            <w:vAlign w:val="center"/>
          </w:tcPr>
          <w:p w14:paraId="6E65C99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144</w:t>
            </w:r>
          </w:p>
        </w:tc>
        <w:tc>
          <w:tcPr>
            <w:tcW w:w="287" w:type="pct"/>
            <w:tcBorders>
              <w:top w:val="nil"/>
              <w:left w:val="nil"/>
              <w:bottom w:val="single" w:color="auto" w:sz="4" w:space="0"/>
              <w:right w:val="single" w:color="auto" w:sz="4" w:space="0"/>
            </w:tcBorders>
            <w:shd w:val="clear" w:color="auto" w:fill="auto"/>
            <w:vAlign w:val="center"/>
          </w:tcPr>
          <w:p w14:paraId="51F47D4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144</w:t>
            </w:r>
          </w:p>
        </w:tc>
        <w:tc>
          <w:tcPr>
            <w:tcW w:w="255" w:type="pct"/>
            <w:tcBorders>
              <w:top w:val="nil"/>
              <w:left w:val="nil"/>
              <w:bottom w:val="single" w:color="auto" w:sz="4" w:space="0"/>
              <w:right w:val="single" w:color="auto" w:sz="4" w:space="0"/>
            </w:tcBorders>
            <w:shd w:val="clear" w:color="auto" w:fill="auto"/>
            <w:vAlign w:val="center"/>
          </w:tcPr>
          <w:p w14:paraId="2B75EBC6">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144</w:t>
            </w:r>
          </w:p>
        </w:tc>
        <w:tc>
          <w:tcPr>
            <w:tcW w:w="275" w:type="pct"/>
            <w:tcBorders>
              <w:top w:val="nil"/>
              <w:left w:val="nil"/>
              <w:bottom w:val="single" w:color="auto" w:sz="4" w:space="0"/>
              <w:right w:val="single" w:color="auto" w:sz="4" w:space="0"/>
            </w:tcBorders>
            <w:shd w:val="clear" w:color="auto" w:fill="auto"/>
            <w:vAlign w:val="center"/>
          </w:tcPr>
          <w:p w14:paraId="65E2D78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55" w:type="pct"/>
            <w:tcBorders>
              <w:top w:val="nil"/>
              <w:left w:val="nil"/>
              <w:bottom w:val="single" w:color="auto" w:sz="4" w:space="0"/>
              <w:right w:val="single" w:color="auto" w:sz="4" w:space="0"/>
            </w:tcBorders>
            <w:shd w:val="clear" w:color="auto" w:fill="auto"/>
            <w:vAlign w:val="center"/>
          </w:tcPr>
          <w:p w14:paraId="4A72622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87" w:type="pct"/>
            <w:tcBorders>
              <w:top w:val="nil"/>
              <w:left w:val="nil"/>
              <w:bottom w:val="single" w:color="auto" w:sz="4" w:space="0"/>
              <w:right w:val="single" w:color="auto" w:sz="4" w:space="0"/>
            </w:tcBorders>
            <w:shd w:val="clear" w:color="auto" w:fill="auto"/>
            <w:vAlign w:val="center"/>
          </w:tcPr>
          <w:p w14:paraId="212B65E8">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55" w:type="pct"/>
            <w:tcBorders>
              <w:top w:val="nil"/>
              <w:left w:val="nil"/>
              <w:bottom w:val="single" w:color="auto" w:sz="4" w:space="0"/>
              <w:right w:val="single" w:color="auto" w:sz="4" w:space="0"/>
            </w:tcBorders>
            <w:shd w:val="clear" w:color="auto" w:fill="auto"/>
            <w:vAlign w:val="center"/>
          </w:tcPr>
          <w:p w14:paraId="18F12790">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75" w:type="pct"/>
            <w:tcBorders>
              <w:top w:val="nil"/>
              <w:left w:val="nil"/>
              <w:bottom w:val="single" w:color="auto" w:sz="4" w:space="0"/>
              <w:right w:val="single" w:color="auto" w:sz="4" w:space="0"/>
            </w:tcBorders>
            <w:shd w:val="clear" w:color="auto" w:fill="auto"/>
            <w:vAlign w:val="center"/>
          </w:tcPr>
          <w:p w14:paraId="76876E37">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c>
          <w:tcPr>
            <w:tcW w:w="255" w:type="pct"/>
            <w:tcBorders>
              <w:top w:val="nil"/>
              <w:left w:val="nil"/>
              <w:bottom w:val="single" w:color="auto" w:sz="4" w:space="0"/>
              <w:right w:val="single" w:color="auto" w:sz="4" w:space="0"/>
            </w:tcBorders>
            <w:shd w:val="clear" w:color="auto" w:fill="auto"/>
            <w:vAlign w:val="center"/>
          </w:tcPr>
          <w:p w14:paraId="449C28F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57</w:t>
            </w:r>
          </w:p>
        </w:tc>
      </w:tr>
      <w:tr w14:paraId="1A93F2D8">
        <w:tblPrEx>
          <w:tblCellMar>
            <w:top w:w="0" w:type="dxa"/>
            <w:left w:w="108" w:type="dxa"/>
            <w:bottom w:w="0" w:type="dxa"/>
            <w:right w:w="108" w:type="dxa"/>
          </w:tblCellMar>
        </w:tblPrEx>
        <w:trPr>
          <w:trHeight w:val="600" w:hRule="atLeast"/>
        </w:trPr>
        <w:tc>
          <w:tcPr>
            <w:tcW w:w="355" w:type="pct"/>
            <w:tcBorders>
              <w:top w:val="nil"/>
              <w:left w:val="single" w:color="auto" w:sz="4" w:space="0"/>
              <w:bottom w:val="single" w:color="auto" w:sz="4" w:space="0"/>
              <w:right w:val="single" w:color="auto" w:sz="4" w:space="0"/>
            </w:tcBorders>
            <w:shd w:val="clear" w:color="auto" w:fill="auto"/>
            <w:vAlign w:val="center"/>
          </w:tcPr>
          <w:p w14:paraId="43D20D0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D10%最远距离</w:t>
            </w:r>
          </w:p>
        </w:tc>
        <w:tc>
          <w:tcPr>
            <w:tcW w:w="358" w:type="pct"/>
            <w:tcBorders>
              <w:top w:val="nil"/>
              <w:left w:val="nil"/>
              <w:bottom w:val="single" w:color="auto" w:sz="4" w:space="0"/>
              <w:right w:val="single" w:color="auto" w:sz="4" w:space="0"/>
            </w:tcBorders>
            <w:shd w:val="clear" w:color="auto" w:fill="auto"/>
            <w:vAlign w:val="center"/>
          </w:tcPr>
          <w:p w14:paraId="6C4B63F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347" w:type="pct"/>
            <w:tcBorders>
              <w:top w:val="nil"/>
              <w:left w:val="nil"/>
              <w:bottom w:val="single" w:color="auto" w:sz="4" w:space="0"/>
              <w:right w:val="single" w:color="auto" w:sz="4" w:space="0"/>
            </w:tcBorders>
            <w:shd w:val="clear" w:color="auto" w:fill="auto"/>
            <w:vAlign w:val="center"/>
          </w:tcPr>
          <w:p w14:paraId="2347F0ED">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355" w:type="pct"/>
            <w:tcBorders>
              <w:top w:val="nil"/>
              <w:left w:val="nil"/>
              <w:bottom w:val="single" w:color="auto" w:sz="4" w:space="0"/>
              <w:right w:val="single" w:color="auto" w:sz="4" w:space="0"/>
            </w:tcBorders>
            <w:shd w:val="clear" w:color="auto" w:fill="auto"/>
            <w:vAlign w:val="center"/>
          </w:tcPr>
          <w:p w14:paraId="19F26C1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64" w:type="pct"/>
            <w:tcBorders>
              <w:top w:val="nil"/>
              <w:left w:val="nil"/>
              <w:bottom w:val="single" w:color="auto" w:sz="4" w:space="0"/>
              <w:right w:val="single" w:color="auto" w:sz="4" w:space="0"/>
            </w:tcBorders>
            <w:shd w:val="clear" w:color="auto" w:fill="auto"/>
            <w:vAlign w:val="center"/>
          </w:tcPr>
          <w:p w14:paraId="0428BC52">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342" w:type="pct"/>
            <w:tcBorders>
              <w:top w:val="nil"/>
              <w:left w:val="nil"/>
              <w:bottom w:val="single" w:color="auto" w:sz="4" w:space="0"/>
              <w:right w:val="single" w:color="auto" w:sz="4" w:space="0"/>
            </w:tcBorders>
            <w:shd w:val="clear" w:color="auto" w:fill="auto"/>
            <w:vAlign w:val="center"/>
          </w:tcPr>
          <w:p w14:paraId="29CD37B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306" w:type="pct"/>
            <w:tcBorders>
              <w:top w:val="nil"/>
              <w:left w:val="nil"/>
              <w:bottom w:val="single" w:color="auto" w:sz="4" w:space="0"/>
              <w:right w:val="nil"/>
            </w:tcBorders>
            <w:shd w:val="clear" w:color="auto" w:fill="auto"/>
            <w:vAlign w:val="center"/>
          </w:tcPr>
          <w:p w14:paraId="40DFE5A3">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75" w:type="pct"/>
            <w:tcBorders>
              <w:top w:val="nil"/>
              <w:left w:val="single" w:color="auto" w:sz="4" w:space="0"/>
              <w:bottom w:val="single" w:color="auto" w:sz="4" w:space="0"/>
              <w:right w:val="single" w:color="auto" w:sz="4" w:space="0"/>
            </w:tcBorders>
            <w:shd w:val="clear" w:color="auto" w:fill="auto"/>
            <w:vAlign w:val="center"/>
          </w:tcPr>
          <w:p w14:paraId="68797CD9">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55" w:type="pct"/>
            <w:tcBorders>
              <w:top w:val="nil"/>
              <w:left w:val="nil"/>
              <w:bottom w:val="single" w:color="auto" w:sz="4" w:space="0"/>
              <w:right w:val="single" w:color="auto" w:sz="4" w:space="0"/>
            </w:tcBorders>
            <w:shd w:val="clear" w:color="auto" w:fill="auto"/>
            <w:vAlign w:val="center"/>
          </w:tcPr>
          <w:p w14:paraId="17B77A7C">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87" w:type="pct"/>
            <w:tcBorders>
              <w:top w:val="nil"/>
              <w:left w:val="nil"/>
              <w:bottom w:val="single" w:color="auto" w:sz="4" w:space="0"/>
              <w:right w:val="single" w:color="auto" w:sz="4" w:space="0"/>
            </w:tcBorders>
            <w:shd w:val="clear" w:color="auto" w:fill="auto"/>
            <w:vAlign w:val="center"/>
          </w:tcPr>
          <w:p w14:paraId="74E29ED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55" w:type="pct"/>
            <w:tcBorders>
              <w:top w:val="nil"/>
              <w:left w:val="nil"/>
              <w:bottom w:val="single" w:color="auto" w:sz="4" w:space="0"/>
              <w:right w:val="single" w:color="auto" w:sz="4" w:space="0"/>
            </w:tcBorders>
            <w:shd w:val="clear" w:color="auto" w:fill="auto"/>
            <w:vAlign w:val="center"/>
          </w:tcPr>
          <w:p w14:paraId="34F590DA">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75" w:type="pct"/>
            <w:tcBorders>
              <w:top w:val="nil"/>
              <w:left w:val="nil"/>
              <w:bottom w:val="single" w:color="auto" w:sz="4" w:space="0"/>
              <w:right w:val="single" w:color="auto" w:sz="4" w:space="0"/>
            </w:tcBorders>
            <w:shd w:val="clear" w:color="auto" w:fill="auto"/>
            <w:vAlign w:val="center"/>
          </w:tcPr>
          <w:p w14:paraId="4BC2CBBE">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55" w:type="pct"/>
            <w:tcBorders>
              <w:top w:val="nil"/>
              <w:left w:val="nil"/>
              <w:bottom w:val="single" w:color="auto" w:sz="4" w:space="0"/>
              <w:right w:val="single" w:color="auto" w:sz="4" w:space="0"/>
            </w:tcBorders>
            <w:shd w:val="clear" w:color="auto" w:fill="auto"/>
            <w:vAlign w:val="center"/>
          </w:tcPr>
          <w:p w14:paraId="0B0F1BF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87" w:type="pct"/>
            <w:tcBorders>
              <w:top w:val="nil"/>
              <w:left w:val="nil"/>
              <w:bottom w:val="single" w:color="auto" w:sz="4" w:space="0"/>
              <w:right w:val="single" w:color="auto" w:sz="4" w:space="0"/>
            </w:tcBorders>
            <w:shd w:val="clear" w:color="auto" w:fill="auto"/>
            <w:vAlign w:val="center"/>
          </w:tcPr>
          <w:p w14:paraId="5DB12B7F">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55" w:type="pct"/>
            <w:tcBorders>
              <w:top w:val="nil"/>
              <w:left w:val="nil"/>
              <w:bottom w:val="single" w:color="auto" w:sz="4" w:space="0"/>
              <w:right w:val="single" w:color="auto" w:sz="4" w:space="0"/>
            </w:tcBorders>
            <w:shd w:val="clear" w:color="auto" w:fill="auto"/>
            <w:vAlign w:val="center"/>
          </w:tcPr>
          <w:p w14:paraId="70DE93A1">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75" w:type="pct"/>
            <w:tcBorders>
              <w:top w:val="nil"/>
              <w:left w:val="nil"/>
              <w:bottom w:val="single" w:color="auto" w:sz="4" w:space="0"/>
              <w:right w:val="single" w:color="auto" w:sz="4" w:space="0"/>
            </w:tcBorders>
            <w:shd w:val="clear" w:color="auto" w:fill="auto"/>
            <w:vAlign w:val="center"/>
          </w:tcPr>
          <w:p w14:paraId="25D2884B">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c>
          <w:tcPr>
            <w:tcW w:w="255" w:type="pct"/>
            <w:tcBorders>
              <w:top w:val="nil"/>
              <w:left w:val="nil"/>
              <w:bottom w:val="single" w:color="auto" w:sz="4" w:space="0"/>
              <w:right w:val="single" w:color="auto" w:sz="4" w:space="0"/>
            </w:tcBorders>
            <w:shd w:val="clear" w:color="auto" w:fill="auto"/>
            <w:vAlign w:val="center"/>
          </w:tcPr>
          <w:p w14:paraId="18C36204">
            <w:pPr>
              <w:spacing w:line="240" w:lineRule="auto"/>
              <w:ind w:firstLine="0" w:firstLineChars="0"/>
              <w:jc w:val="center"/>
              <w:rPr>
                <w:rFonts w:cs="Times New Roman" w:eastAsiaTheme="majorEastAsia"/>
                <w:kern w:val="0"/>
                <w:sz w:val="18"/>
                <w:szCs w:val="18"/>
              </w:rPr>
            </w:pPr>
            <w:r>
              <w:rPr>
                <w:rFonts w:cs="Times New Roman" w:eastAsiaTheme="majorEastAsia"/>
                <w:kern w:val="0"/>
                <w:sz w:val="18"/>
                <w:szCs w:val="18"/>
              </w:rPr>
              <w:t>/</w:t>
            </w:r>
          </w:p>
        </w:tc>
      </w:tr>
    </w:tbl>
    <w:p w14:paraId="47BAB02C">
      <w:pPr>
        <w:pStyle w:val="196"/>
      </w:pPr>
    </w:p>
    <w:p w14:paraId="60056E8F">
      <w:pPr>
        <w:pStyle w:val="196"/>
      </w:pPr>
    </w:p>
    <w:p w14:paraId="51051D40">
      <w:pPr>
        <w:pStyle w:val="93"/>
        <w:sectPr>
          <w:pgSz w:w="16838" w:h="11905" w:orient="landscape"/>
          <w:pgMar w:top="1800" w:right="1440" w:bottom="1800" w:left="1440" w:header="851" w:footer="992" w:gutter="0"/>
          <w:cols w:space="720" w:num="1"/>
          <w:docGrid w:type="lines" w:linePitch="332" w:charSpace="0"/>
        </w:sectPr>
      </w:pPr>
    </w:p>
    <w:p w14:paraId="097673F5">
      <w:pPr>
        <w:pStyle w:val="93"/>
      </w:pPr>
      <w:r>
        <w:rPr>
          <w:rFonts w:hint="eastAsia"/>
        </w:rPr>
        <w:t>由上表可知，项目所有污染源正常工况下无组织排放</w:t>
      </w:r>
      <w:r>
        <w:rPr>
          <w:rFonts w:hint="eastAsia"/>
          <w:lang w:eastAsia="zh-CN"/>
        </w:rPr>
        <w:t>细颗粒物</w:t>
      </w:r>
      <w:r>
        <w:rPr>
          <w:rFonts w:hint="eastAsia"/>
        </w:rPr>
        <w:t>的占标率最大，</w:t>
      </w:r>
      <w:r>
        <w:rPr>
          <w:rStyle w:val="140"/>
          <w:rFonts w:hint="eastAsia"/>
          <w:color w:val="auto"/>
        </w:rPr>
        <w:t>为</w:t>
      </w:r>
      <w:r>
        <w:rPr>
          <w:rStyle w:val="140"/>
          <w:color w:val="auto"/>
        </w:rPr>
        <w:t>9.355</w:t>
      </w:r>
      <w:r>
        <w:rPr>
          <w:rStyle w:val="140"/>
          <w:rFonts w:hint="eastAsia"/>
          <w:color w:val="auto"/>
        </w:rPr>
        <w:t>%，</w:t>
      </w:r>
      <w:r>
        <w:rPr>
          <w:rFonts w:hint="eastAsia"/>
        </w:rPr>
        <w:t>根据《环境影响评价技术导则 大气环境》（HJ2.2-2018），大气评价等级为二级，环境影响可接受，不进行进一步预测与评价，只对污染物排放量进行核算。项目大气污染物排放量核算详见表5.2-3。</w:t>
      </w:r>
    </w:p>
    <w:p w14:paraId="204B3F32">
      <w:pPr>
        <w:pStyle w:val="86"/>
      </w:pPr>
      <w:r>
        <w:rPr>
          <w:rFonts w:hint="eastAsia"/>
        </w:rPr>
        <w:t>项目大气污染物无组织排放量核算</w:t>
      </w:r>
    </w:p>
    <w:tbl>
      <w:tblPr>
        <w:tblStyle w:val="38"/>
        <w:tblW w:w="5146" w:type="pct"/>
        <w:jc w:val="center"/>
        <w:tblLayout w:type="autofit"/>
        <w:tblCellMar>
          <w:top w:w="0" w:type="dxa"/>
          <w:left w:w="108" w:type="dxa"/>
          <w:bottom w:w="0" w:type="dxa"/>
          <w:right w:w="108" w:type="dxa"/>
        </w:tblCellMar>
      </w:tblPr>
      <w:tblGrid>
        <w:gridCol w:w="603"/>
        <w:gridCol w:w="716"/>
        <w:gridCol w:w="979"/>
        <w:gridCol w:w="723"/>
        <w:gridCol w:w="1138"/>
        <w:gridCol w:w="1515"/>
        <w:gridCol w:w="812"/>
        <w:gridCol w:w="1230"/>
        <w:gridCol w:w="1054"/>
      </w:tblGrid>
      <w:tr w14:paraId="25223611">
        <w:tblPrEx>
          <w:tblCellMar>
            <w:top w:w="0" w:type="dxa"/>
            <w:left w:w="108" w:type="dxa"/>
            <w:bottom w:w="0" w:type="dxa"/>
            <w:right w:w="108" w:type="dxa"/>
          </w:tblCellMar>
        </w:tblPrEx>
        <w:trPr>
          <w:trHeight w:val="288" w:hRule="atLeast"/>
          <w:jc w:val="center"/>
        </w:trPr>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415B1">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序号</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80E77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排放口编号</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BA01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产污环节</w:t>
            </w:r>
          </w:p>
        </w:tc>
        <w:tc>
          <w:tcPr>
            <w:tcW w:w="4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A3CA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污染物</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75640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主要污染防治措施</w:t>
            </w:r>
          </w:p>
        </w:tc>
        <w:tc>
          <w:tcPr>
            <w:tcW w:w="202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8C25F4">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国家或地方污染物排放标准</w:t>
            </w:r>
          </w:p>
        </w:tc>
        <w:tc>
          <w:tcPr>
            <w:tcW w:w="6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98FCA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年排放量</w:t>
            </w:r>
            <w:r>
              <w:rPr>
                <w:rFonts w:eastAsia="宋体" w:cs="Times New Roman"/>
                <w:kern w:val="0"/>
                <w:sz w:val="21"/>
              </w:rPr>
              <w:t>/</w:t>
            </w:r>
            <w:r>
              <w:rPr>
                <w:rFonts w:ascii="宋体" w:hAnsi="宋体" w:eastAsia="宋体" w:cs="宋体"/>
                <w:kern w:val="0"/>
                <w:sz w:val="21"/>
              </w:rPr>
              <w:t>（</w:t>
            </w:r>
            <w:r>
              <w:rPr>
                <w:rFonts w:eastAsia="宋体" w:cs="Times New Roman"/>
                <w:kern w:val="0"/>
                <w:sz w:val="21"/>
              </w:rPr>
              <w:t>t/a</w:t>
            </w:r>
            <w:r>
              <w:rPr>
                <w:rFonts w:ascii="宋体" w:hAnsi="宋体" w:eastAsia="宋体" w:cs="宋体"/>
                <w:kern w:val="0"/>
                <w:sz w:val="21"/>
              </w:rPr>
              <w:t>）</w:t>
            </w:r>
          </w:p>
        </w:tc>
      </w:tr>
      <w:tr w14:paraId="161574AE">
        <w:tblPrEx>
          <w:tblCellMar>
            <w:top w:w="0" w:type="dxa"/>
            <w:left w:w="108" w:type="dxa"/>
            <w:bottom w:w="0" w:type="dxa"/>
            <w:right w:w="108" w:type="dxa"/>
          </w:tblCellMar>
        </w:tblPrEx>
        <w:trPr>
          <w:trHeight w:val="588" w:hRule="atLeast"/>
          <w:jc w:val="center"/>
        </w:trPr>
        <w:tc>
          <w:tcPr>
            <w:tcW w:w="344" w:type="pct"/>
            <w:vMerge w:val="continue"/>
            <w:tcBorders>
              <w:top w:val="single" w:color="000000" w:sz="4" w:space="0"/>
              <w:left w:val="single" w:color="000000" w:sz="4" w:space="0"/>
              <w:bottom w:val="single" w:color="000000" w:sz="4" w:space="0"/>
              <w:right w:val="single" w:color="000000" w:sz="4" w:space="0"/>
            </w:tcBorders>
            <w:vAlign w:val="center"/>
          </w:tcPr>
          <w:p w14:paraId="2C80ED03">
            <w:pPr>
              <w:spacing w:line="240" w:lineRule="auto"/>
              <w:ind w:firstLine="0" w:firstLineChars="0"/>
              <w:rPr>
                <w:rFonts w:hint="eastAsia" w:ascii="宋体" w:hAnsi="宋体" w:eastAsia="宋体" w:cs="宋体"/>
                <w:kern w:val="0"/>
                <w:sz w:val="21"/>
              </w:rPr>
            </w:pPr>
          </w:p>
        </w:tc>
        <w:tc>
          <w:tcPr>
            <w:tcW w:w="408" w:type="pct"/>
            <w:vMerge w:val="continue"/>
            <w:tcBorders>
              <w:top w:val="single" w:color="000000" w:sz="4" w:space="0"/>
              <w:left w:val="single" w:color="000000" w:sz="4" w:space="0"/>
              <w:bottom w:val="single" w:color="000000" w:sz="4" w:space="0"/>
              <w:right w:val="single" w:color="000000" w:sz="4" w:space="0"/>
            </w:tcBorders>
            <w:vAlign w:val="center"/>
          </w:tcPr>
          <w:p w14:paraId="691166D3">
            <w:pPr>
              <w:spacing w:line="240" w:lineRule="auto"/>
              <w:ind w:firstLine="0" w:firstLineChars="0"/>
              <w:rPr>
                <w:rFonts w:hint="eastAsia" w:ascii="宋体" w:hAnsi="宋体" w:eastAsia="宋体" w:cs="宋体"/>
                <w:kern w:val="0"/>
                <w:sz w:val="21"/>
              </w:rPr>
            </w:pP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14:paraId="5BA2AB94">
            <w:pPr>
              <w:spacing w:line="240" w:lineRule="auto"/>
              <w:ind w:firstLine="0" w:firstLineChars="0"/>
              <w:rPr>
                <w:rFonts w:hint="eastAsia" w:ascii="宋体" w:hAnsi="宋体" w:eastAsia="宋体" w:cs="宋体"/>
                <w:kern w:val="0"/>
                <w:sz w:val="21"/>
              </w:rPr>
            </w:pPr>
          </w:p>
        </w:tc>
        <w:tc>
          <w:tcPr>
            <w:tcW w:w="409" w:type="pct"/>
            <w:vMerge w:val="continue"/>
            <w:tcBorders>
              <w:top w:val="single" w:color="000000" w:sz="4" w:space="0"/>
              <w:left w:val="single" w:color="000000" w:sz="4" w:space="0"/>
              <w:bottom w:val="single" w:color="000000" w:sz="4" w:space="0"/>
              <w:right w:val="single" w:color="000000" w:sz="4" w:space="0"/>
            </w:tcBorders>
            <w:vAlign w:val="center"/>
          </w:tcPr>
          <w:p w14:paraId="0A9D416F">
            <w:pPr>
              <w:spacing w:line="240" w:lineRule="auto"/>
              <w:ind w:firstLine="0" w:firstLineChars="0"/>
              <w:rPr>
                <w:rFonts w:hint="eastAsia" w:ascii="宋体" w:hAnsi="宋体" w:eastAsia="宋体" w:cs="宋体"/>
                <w:kern w:val="0"/>
                <w:sz w:val="21"/>
              </w:rPr>
            </w:pPr>
          </w:p>
        </w:tc>
        <w:tc>
          <w:tcPr>
            <w:tcW w:w="649" w:type="pct"/>
            <w:vMerge w:val="continue"/>
            <w:tcBorders>
              <w:top w:val="single" w:color="000000" w:sz="4" w:space="0"/>
              <w:left w:val="single" w:color="000000" w:sz="4" w:space="0"/>
              <w:bottom w:val="single" w:color="000000" w:sz="4" w:space="0"/>
              <w:right w:val="single" w:color="000000" w:sz="4" w:space="0"/>
            </w:tcBorders>
            <w:vAlign w:val="center"/>
          </w:tcPr>
          <w:p w14:paraId="4DE3EBAE">
            <w:pPr>
              <w:spacing w:line="240" w:lineRule="auto"/>
              <w:ind w:firstLine="0" w:firstLineChars="0"/>
              <w:rPr>
                <w:rFonts w:hint="eastAsia" w:ascii="宋体" w:hAnsi="宋体" w:eastAsia="宋体" w:cs="宋体"/>
                <w:kern w:val="0"/>
                <w:sz w:val="21"/>
              </w:rPr>
            </w:pPr>
          </w:p>
        </w:tc>
        <w:tc>
          <w:tcPr>
            <w:tcW w:w="8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5606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标准名称</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13D39">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污染物</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5E5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浓度限值</w:t>
            </w:r>
            <w:r>
              <w:rPr>
                <w:rFonts w:eastAsia="宋体" w:cs="Times New Roman"/>
                <w:kern w:val="0"/>
                <w:sz w:val="21"/>
              </w:rPr>
              <w:t>/</w:t>
            </w:r>
            <w:r>
              <w:rPr>
                <w:rFonts w:ascii="宋体" w:hAnsi="宋体" w:eastAsia="宋体" w:cs="宋体"/>
                <w:kern w:val="0"/>
                <w:sz w:val="21"/>
              </w:rPr>
              <w:t>（</w:t>
            </w:r>
            <w:r>
              <w:rPr>
                <w:rFonts w:eastAsia="宋体" w:cs="Times New Roman"/>
                <w:kern w:val="0"/>
                <w:sz w:val="21"/>
              </w:rPr>
              <w:t>mg/m</w:t>
            </w:r>
            <w:r>
              <w:rPr>
                <w:rFonts w:eastAsia="宋体" w:cs="Times New Roman"/>
                <w:kern w:val="0"/>
                <w:sz w:val="21"/>
                <w:vertAlign w:val="superscript"/>
              </w:rPr>
              <w:t>3</w:t>
            </w:r>
            <w:r>
              <w:rPr>
                <w:rFonts w:ascii="宋体" w:hAnsi="宋体" w:eastAsia="宋体" w:cs="宋体"/>
                <w:kern w:val="0"/>
                <w:sz w:val="21"/>
              </w:rPr>
              <w:t>）</w:t>
            </w:r>
          </w:p>
        </w:tc>
        <w:tc>
          <w:tcPr>
            <w:tcW w:w="601" w:type="pct"/>
            <w:vMerge w:val="continue"/>
            <w:tcBorders>
              <w:top w:val="single" w:color="000000" w:sz="4" w:space="0"/>
              <w:left w:val="single" w:color="000000" w:sz="4" w:space="0"/>
              <w:bottom w:val="single" w:color="000000" w:sz="4" w:space="0"/>
              <w:right w:val="single" w:color="000000" w:sz="4" w:space="0"/>
            </w:tcBorders>
            <w:vAlign w:val="center"/>
          </w:tcPr>
          <w:p w14:paraId="708E1701">
            <w:pPr>
              <w:spacing w:line="240" w:lineRule="auto"/>
              <w:ind w:firstLine="0" w:firstLineChars="0"/>
              <w:rPr>
                <w:rFonts w:hint="eastAsia" w:ascii="宋体" w:hAnsi="宋体" w:eastAsia="宋体" w:cs="宋体"/>
                <w:kern w:val="0"/>
                <w:sz w:val="21"/>
              </w:rPr>
            </w:pPr>
          </w:p>
        </w:tc>
      </w:tr>
      <w:tr w14:paraId="32FAD1E2">
        <w:tblPrEx>
          <w:tblCellMar>
            <w:top w:w="0" w:type="dxa"/>
            <w:left w:w="108" w:type="dxa"/>
            <w:bottom w:w="0" w:type="dxa"/>
            <w:right w:w="108" w:type="dxa"/>
          </w:tblCellMar>
        </w:tblPrEx>
        <w:trPr>
          <w:trHeight w:val="348" w:hRule="atLeast"/>
          <w:jc w:val="center"/>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FFAA">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4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420F6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码头</w:t>
            </w:r>
          </w:p>
        </w:tc>
        <w:tc>
          <w:tcPr>
            <w:tcW w:w="5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59272">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汽车及机械燃油废气</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009E2">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6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E82793">
            <w:pPr>
              <w:spacing w:line="240" w:lineRule="auto"/>
              <w:ind w:firstLine="0" w:firstLineChars="0"/>
              <w:jc w:val="center"/>
              <w:rPr>
                <w:rFonts w:eastAsia="等线" w:cs="Times New Roman"/>
                <w:kern w:val="0"/>
                <w:sz w:val="21"/>
              </w:rPr>
            </w:pPr>
            <w:r>
              <w:rPr>
                <w:rFonts w:eastAsia="等线" w:cs="Times New Roman"/>
                <w:kern w:val="0"/>
                <w:sz w:val="21"/>
              </w:rPr>
              <w:t>/</w:t>
            </w:r>
          </w:p>
        </w:tc>
        <w:tc>
          <w:tcPr>
            <w:tcW w:w="8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4311A3">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《大气污染物综合排放标准》（</w:t>
            </w:r>
            <w:r>
              <w:rPr>
                <w:rFonts w:eastAsia="宋体" w:cs="Times New Roman"/>
                <w:kern w:val="0"/>
                <w:sz w:val="21"/>
              </w:rPr>
              <w:t>DB32/4041-2021</w:t>
            </w:r>
            <w:r>
              <w:rPr>
                <w:rFonts w:ascii="宋体" w:hAnsi="宋体" w:eastAsia="宋体" w:cs="宋体"/>
                <w:kern w:val="0"/>
                <w:sz w:val="21"/>
              </w:rPr>
              <w:t>）表</w:t>
            </w:r>
            <w:r>
              <w:rPr>
                <w:rFonts w:eastAsia="宋体" w:cs="Times New Roman"/>
                <w:kern w:val="0"/>
                <w:sz w:val="21"/>
              </w:rPr>
              <w:t>3</w:t>
            </w: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86EE2">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2B7AF">
            <w:pPr>
              <w:spacing w:line="240" w:lineRule="auto"/>
              <w:ind w:firstLine="0" w:firstLineChars="0"/>
              <w:jc w:val="center"/>
              <w:rPr>
                <w:rFonts w:eastAsia="等线" w:cs="Times New Roman"/>
                <w:kern w:val="0"/>
                <w:sz w:val="21"/>
              </w:rPr>
            </w:pPr>
            <w:r>
              <w:rPr>
                <w:rFonts w:eastAsia="等线" w:cs="Times New Roman"/>
                <w:kern w:val="0"/>
                <w:sz w:val="21"/>
              </w:rPr>
              <w:t>0.4</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D776A">
            <w:pPr>
              <w:spacing w:line="240" w:lineRule="auto"/>
              <w:ind w:firstLine="0" w:firstLineChars="0"/>
              <w:jc w:val="center"/>
              <w:rPr>
                <w:rFonts w:eastAsia="等线" w:cs="Times New Roman"/>
                <w:kern w:val="0"/>
                <w:sz w:val="21"/>
              </w:rPr>
            </w:pPr>
            <w:r>
              <w:rPr>
                <w:rFonts w:eastAsia="等线" w:cs="Times New Roman"/>
                <w:kern w:val="0"/>
                <w:sz w:val="21"/>
              </w:rPr>
              <w:t xml:space="preserve">0.00056 </w:t>
            </w:r>
          </w:p>
        </w:tc>
      </w:tr>
      <w:tr w14:paraId="3250A541">
        <w:tblPrEx>
          <w:tblCellMar>
            <w:top w:w="0" w:type="dxa"/>
            <w:left w:w="108" w:type="dxa"/>
            <w:bottom w:w="0" w:type="dxa"/>
            <w:right w:w="108" w:type="dxa"/>
          </w:tblCellMar>
        </w:tblPrEx>
        <w:trPr>
          <w:trHeight w:val="276" w:hRule="atLeast"/>
          <w:jc w:val="center"/>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2A3AA">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408" w:type="pct"/>
            <w:vMerge w:val="continue"/>
            <w:tcBorders>
              <w:top w:val="single" w:color="000000" w:sz="4" w:space="0"/>
              <w:left w:val="single" w:color="000000" w:sz="4" w:space="0"/>
              <w:bottom w:val="single" w:color="000000" w:sz="4" w:space="0"/>
              <w:right w:val="single" w:color="000000" w:sz="4" w:space="0"/>
            </w:tcBorders>
            <w:vAlign w:val="center"/>
          </w:tcPr>
          <w:p w14:paraId="0C5DA56D">
            <w:pPr>
              <w:spacing w:line="240" w:lineRule="auto"/>
              <w:ind w:firstLine="0" w:firstLineChars="0"/>
              <w:rPr>
                <w:rFonts w:hint="eastAsia" w:ascii="宋体" w:hAnsi="宋体" w:eastAsia="宋体" w:cs="宋体"/>
                <w:kern w:val="0"/>
                <w:sz w:val="21"/>
              </w:rPr>
            </w:pP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14:paraId="7F9FF2F4">
            <w:pPr>
              <w:spacing w:line="240" w:lineRule="auto"/>
              <w:ind w:firstLine="0" w:firstLineChars="0"/>
              <w:rPr>
                <w:rFonts w:hint="eastAsia" w:ascii="宋体" w:hAnsi="宋体" w:eastAsia="宋体" w:cs="宋体"/>
                <w:kern w:val="0"/>
                <w:sz w:val="21"/>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868DC">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649" w:type="pct"/>
            <w:vMerge w:val="continue"/>
            <w:tcBorders>
              <w:top w:val="single" w:color="000000" w:sz="4" w:space="0"/>
              <w:left w:val="single" w:color="000000" w:sz="4" w:space="0"/>
              <w:bottom w:val="single" w:color="000000" w:sz="4" w:space="0"/>
              <w:right w:val="single" w:color="000000" w:sz="4" w:space="0"/>
            </w:tcBorders>
            <w:vAlign w:val="center"/>
          </w:tcPr>
          <w:p w14:paraId="2D1BA141">
            <w:pPr>
              <w:spacing w:line="240" w:lineRule="auto"/>
              <w:ind w:firstLine="0" w:firstLineChars="0"/>
              <w:rPr>
                <w:rFonts w:eastAsia="等线" w:cs="Times New Roman"/>
                <w:kern w:val="0"/>
                <w:sz w:val="21"/>
              </w:rPr>
            </w:pPr>
          </w:p>
        </w:tc>
        <w:tc>
          <w:tcPr>
            <w:tcW w:w="864" w:type="pct"/>
            <w:vMerge w:val="continue"/>
            <w:tcBorders>
              <w:top w:val="single" w:color="000000" w:sz="4" w:space="0"/>
              <w:left w:val="single" w:color="000000" w:sz="4" w:space="0"/>
              <w:bottom w:val="single" w:color="000000" w:sz="4" w:space="0"/>
              <w:right w:val="single" w:color="000000" w:sz="4" w:space="0"/>
            </w:tcBorders>
            <w:vAlign w:val="center"/>
          </w:tcPr>
          <w:p w14:paraId="18061295">
            <w:pPr>
              <w:spacing w:line="240" w:lineRule="auto"/>
              <w:ind w:firstLine="0" w:firstLineChars="0"/>
              <w:rPr>
                <w:rFonts w:hint="eastAsia" w:ascii="宋体" w:hAnsi="宋体" w:eastAsia="宋体" w:cs="宋体"/>
                <w:kern w:val="0"/>
                <w:sz w:val="21"/>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39B0C">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FE8AF">
            <w:pPr>
              <w:spacing w:line="240" w:lineRule="auto"/>
              <w:ind w:firstLine="0" w:firstLineChars="0"/>
              <w:jc w:val="center"/>
              <w:rPr>
                <w:rFonts w:eastAsia="等线" w:cs="Times New Roman"/>
                <w:kern w:val="0"/>
                <w:sz w:val="21"/>
              </w:rPr>
            </w:pPr>
            <w:r>
              <w:rPr>
                <w:rFonts w:eastAsia="等线" w:cs="Times New Roman"/>
                <w:kern w:val="0"/>
                <w:sz w:val="21"/>
              </w:rPr>
              <w:t>10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6CCD">
            <w:pPr>
              <w:spacing w:line="240" w:lineRule="auto"/>
              <w:ind w:firstLine="0" w:firstLineChars="0"/>
              <w:jc w:val="center"/>
              <w:rPr>
                <w:rFonts w:eastAsia="等线" w:cs="Times New Roman"/>
                <w:kern w:val="0"/>
                <w:sz w:val="21"/>
              </w:rPr>
            </w:pPr>
            <w:r>
              <w:rPr>
                <w:rFonts w:eastAsia="等线" w:cs="Times New Roman"/>
                <w:kern w:val="0"/>
                <w:sz w:val="21"/>
              </w:rPr>
              <w:t xml:space="preserve">0.33 </w:t>
            </w:r>
          </w:p>
        </w:tc>
      </w:tr>
      <w:tr w14:paraId="06750106">
        <w:tblPrEx>
          <w:tblCellMar>
            <w:top w:w="0" w:type="dxa"/>
            <w:left w:w="108" w:type="dxa"/>
            <w:bottom w:w="0" w:type="dxa"/>
            <w:right w:w="108" w:type="dxa"/>
          </w:tblCellMar>
        </w:tblPrEx>
        <w:trPr>
          <w:trHeight w:val="348" w:hRule="atLeast"/>
          <w:jc w:val="center"/>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06B9B">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408" w:type="pct"/>
            <w:vMerge w:val="continue"/>
            <w:tcBorders>
              <w:top w:val="single" w:color="000000" w:sz="4" w:space="0"/>
              <w:left w:val="single" w:color="000000" w:sz="4" w:space="0"/>
              <w:bottom w:val="single" w:color="000000" w:sz="4" w:space="0"/>
              <w:right w:val="single" w:color="000000" w:sz="4" w:space="0"/>
            </w:tcBorders>
            <w:vAlign w:val="center"/>
          </w:tcPr>
          <w:p w14:paraId="6E8CED9A">
            <w:pPr>
              <w:spacing w:line="240" w:lineRule="auto"/>
              <w:ind w:firstLine="0" w:firstLineChars="0"/>
              <w:rPr>
                <w:rFonts w:hint="eastAsia" w:ascii="宋体" w:hAnsi="宋体" w:eastAsia="宋体" w:cs="宋体"/>
                <w:kern w:val="0"/>
                <w:sz w:val="21"/>
              </w:rPr>
            </w:pPr>
          </w:p>
        </w:tc>
        <w:tc>
          <w:tcPr>
            <w:tcW w:w="558" w:type="pct"/>
            <w:vMerge w:val="continue"/>
            <w:tcBorders>
              <w:top w:val="single" w:color="000000" w:sz="4" w:space="0"/>
              <w:left w:val="single" w:color="000000" w:sz="4" w:space="0"/>
              <w:bottom w:val="single" w:color="000000" w:sz="4" w:space="0"/>
              <w:right w:val="single" w:color="000000" w:sz="4" w:space="0"/>
            </w:tcBorders>
            <w:vAlign w:val="center"/>
          </w:tcPr>
          <w:p w14:paraId="2F84140C">
            <w:pPr>
              <w:spacing w:line="240" w:lineRule="auto"/>
              <w:ind w:firstLine="0" w:firstLineChars="0"/>
              <w:rPr>
                <w:rFonts w:hint="eastAsia" w:ascii="宋体" w:hAnsi="宋体" w:eastAsia="宋体" w:cs="宋体"/>
                <w:kern w:val="0"/>
                <w:sz w:val="21"/>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1E7CC">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649" w:type="pct"/>
            <w:vMerge w:val="continue"/>
            <w:tcBorders>
              <w:top w:val="single" w:color="000000" w:sz="4" w:space="0"/>
              <w:left w:val="single" w:color="000000" w:sz="4" w:space="0"/>
              <w:bottom w:val="single" w:color="000000" w:sz="4" w:space="0"/>
              <w:right w:val="single" w:color="000000" w:sz="4" w:space="0"/>
            </w:tcBorders>
            <w:vAlign w:val="center"/>
          </w:tcPr>
          <w:p w14:paraId="59267C56">
            <w:pPr>
              <w:spacing w:line="240" w:lineRule="auto"/>
              <w:ind w:firstLine="0" w:firstLineChars="0"/>
              <w:rPr>
                <w:rFonts w:eastAsia="等线" w:cs="Times New Roman"/>
                <w:kern w:val="0"/>
                <w:sz w:val="21"/>
              </w:rPr>
            </w:pPr>
          </w:p>
        </w:tc>
        <w:tc>
          <w:tcPr>
            <w:tcW w:w="864" w:type="pct"/>
            <w:vMerge w:val="continue"/>
            <w:tcBorders>
              <w:top w:val="single" w:color="000000" w:sz="4" w:space="0"/>
              <w:left w:val="single" w:color="000000" w:sz="4" w:space="0"/>
              <w:bottom w:val="single" w:color="000000" w:sz="4" w:space="0"/>
              <w:right w:val="single" w:color="000000" w:sz="4" w:space="0"/>
            </w:tcBorders>
            <w:vAlign w:val="center"/>
          </w:tcPr>
          <w:p w14:paraId="347CD991">
            <w:pPr>
              <w:spacing w:line="240" w:lineRule="auto"/>
              <w:ind w:firstLine="0" w:firstLineChars="0"/>
              <w:rPr>
                <w:rFonts w:hint="eastAsia" w:ascii="宋体" w:hAnsi="宋体" w:eastAsia="宋体" w:cs="宋体"/>
                <w:kern w:val="0"/>
                <w:sz w:val="21"/>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35FDA">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0EF4E">
            <w:pPr>
              <w:spacing w:line="240" w:lineRule="auto"/>
              <w:ind w:firstLine="0" w:firstLineChars="0"/>
              <w:jc w:val="center"/>
              <w:rPr>
                <w:rFonts w:eastAsia="等线" w:cs="Times New Roman"/>
                <w:kern w:val="0"/>
                <w:sz w:val="21"/>
              </w:rPr>
            </w:pPr>
            <w:r>
              <w:rPr>
                <w:rFonts w:eastAsia="等线" w:cs="Times New Roman"/>
                <w:kern w:val="0"/>
                <w:sz w:val="21"/>
              </w:rPr>
              <w:t>0.12</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97D9E">
            <w:pPr>
              <w:spacing w:line="240" w:lineRule="auto"/>
              <w:ind w:firstLine="0" w:firstLineChars="0"/>
              <w:jc w:val="center"/>
              <w:rPr>
                <w:rFonts w:eastAsia="等线" w:cs="Times New Roman"/>
                <w:kern w:val="0"/>
                <w:sz w:val="21"/>
              </w:rPr>
            </w:pPr>
            <w:r>
              <w:rPr>
                <w:rFonts w:eastAsia="等线" w:cs="Times New Roman"/>
                <w:kern w:val="0"/>
                <w:sz w:val="21"/>
              </w:rPr>
              <w:t xml:space="preserve">0.046 </w:t>
            </w:r>
          </w:p>
        </w:tc>
      </w:tr>
      <w:tr w14:paraId="0EC99C3C">
        <w:tblPrEx>
          <w:tblCellMar>
            <w:top w:w="0" w:type="dxa"/>
            <w:left w:w="108" w:type="dxa"/>
            <w:bottom w:w="0" w:type="dxa"/>
            <w:right w:w="108" w:type="dxa"/>
          </w:tblCellMar>
        </w:tblPrEx>
        <w:trPr>
          <w:trHeight w:val="288" w:hRule="atLeast"/>
          <w:jc w:val="center"/>
        </w:trPr>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508DD">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408" w:type="pct"/>
            <w:vMerge w:val="continue"/>
            <w:tcBorders>
              <w:top w:val="single" w:color="000000" w:sz="4" w:space="0"/>
              <w:left w:val="single" w:color="000000" w:sz="4" w:space="0"/>
              <w:bottom w:val="single" w:color="000000" w:sz="4" w:space="0"/>
              <w:right w:val="single" w:color="000000" w:sz="4" w:space="0"/>
            </w:tcBorders>
            <w:vAlign w:val="center"/>
          </w:tcPr>
          <w:p w14:paraId="2921DD47">
            <w:pPr>
              <w:spacing w:line="240" w:lineRule="auto"/>
              <w:ind w:firstLine="0" w:firstLineChars="0"/>
              <w:rPr>
                <w:rFonts w:hint="eastAsia" w:ascii="宋体" w:hAnsi="宋体" w:eastAsia="宋体" w:cs="宋体"/>
                <w:kern w:val="0"/>
                <w:sz w:val="21"/>
              </w:rPr>
            </w:pPr>
          </w:p>
        </w:tc>
        <w:tc>
          <w:tcPr>
            <w:tcW w:w="5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2C23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卸船粉尘</w:t>
            </w:r>
          </w:p>
        </w:tc>
        <w:tc>
          <w:tcPr>
            <w:tcW w:w="4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6E2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颗粒物</w:t>
            </w:r>
          </w:p>
        </w:tc>
        <w:tc>
          <w:tcPr>
            <w:tcW w:w="649" w:type="pct"/>
            <w:vMerge w:val="continue"/>
            <w:tcBorders>
              <w:top w:val="single" w:color="000000" w:sz="4" w:space="0"/>
              <w:left w:val="single" w:color="000000" w:sz="4" w:space="0"/>
              <w:bottom w:val="single" w:color="000000" w:sz="4" w:space="0"/>
              <w:right w:val="single" w:color="000000" w:sz="4" w:space="0"/>
            </w:tcBorders>
            <w:vAlign w:val="center"/>
          </w:tcPr>
          <w:p w14:paraId="57FBB485">
            <w:pPr>
              <w:spacing w:line="240" w:lineRule="auto"/>
              <w:ind w:firstLine="0" w:firstLineChars="0"/>
              <w:rPr>
                <w:rFonts w:eastAsia="等线" w:cs="Times New Roman"/>
                <w:kern w:val="0"/>
                <w:sz w:val="21"/>
              </w:rPr>
            </w:pPr>
          </w:p>
        </w:tc>
        <w:tc>
          <w:tcPr>
            <w:tcW w:w="864" w:type="pct"/>
            <w:vMerge w:val="continue"/>
            <w:tcBorders>
              <w:top w:val="single" w:color="000000" w:sz="4" w:space="0"/>
              <w:left w:val="single" w:color="000000" w:sz="4" w:space="0"/>
              <w:bottom w:val="single" w:color="000000" w:sz="4" w:space="0"/>
              <w:right w:val="single" w:color="000000" w:sz="4" w:space="0"/>
            </w:tcBorders>
            <w:vAlign w:val="center"/>
          </w:tcPr>
          <w:p w14:paraId="6E4930CC">
            <w:pPr>
              <w:spacing w:line="240" w:lineRule="auto"/>
              <w:ind w:firstLine="0" w:firstLineChars="0"/>
              <w:rPr>
                <w:rFonts w:hint="eastAsia" w:ascii="宋体" w:hAnsi="宋体" w:eastAsia="宋体" w:cs="宋体"/>
                <w:kern w:val="0"/>
                <w:sz w:val="21"/>
              </w:rPr>
            </w:pPr>
          </w:p>
        </w:tc>
        <w:tc>
          <w:tcPr>
            <w:tcW w:w="4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2043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颗粒物</w:t>
            </w:r>
          </w:p>
        </w:tc>
        <w:tc>
          <w:tcPr>
            <w:tcW w:w="7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76580">
            <w:pPr>
              <w:spacing w:line="240" w:lineRule="auto"/>
              <w:ind w:firstLine="0" w:firstLineChars="0"/>
              <w:jc w:val="center"/>
              <w:rPr>
                <w:rFonts w:eastAsia="等线" w:cs="Times New Roman"/>
                <w:kern w:val="0"/>
                <w:sz w:val="21"/>
              </w:rPr>
            </w:pPr>
            <w:r>
              <w:rPr>
                <w:rFonts w:eastAsia="等线" w:cs="Times New Roman"/>
                <w:kern w:val="0"/>
                <w:sz w:val="21"/>
              </w:rPr>
              <w:t>0.5</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DC4F4">
            <w:pPr>
              <w:spacing w:line="240" w:lineRule="auto"/>
              <w:ind w:firstLine="0" w:firstLineChars="0"/>
              <w:jc w:val="center"/>
              <w:rPr>
                <w:rFonts w:eastAsia="等线" w:cs="Times New Roman"/>
                <w:kern w:val="0"/>
                <w:sz w:val="21"/>
              </w:rPr>
            </w:pPr>
            <w:r>
              <w:rPr>
                <w:rFonts w:hint="eastAsia" w:eastAsia="等线" w:cs="Times New Roman"/>
                <w:kern w:val="0"/>
                <w:sz w:val="21"/>
              </w:rPr>
              <w:t>3.72</w:t>
            </w:r>
          </w:p>
        </w:tc>
      </w:tr>
      <w:tr w14:paraId="04A761BB">
        <w:tblPrEx>
          <w:tblCellMar>
            <w:top w:w="0" w:type="dxa"/>
            <w:left w:w="108" w:type="dxa"/>
            <w:bottom w:w="0" w:type="dxa"/>
            <w:right w:w="108" w:type="dxa"/>
          </w:tblCellMar>
        </w:tblPrEx>
        <w:trPr>
          <w:trHeight w:val="288"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77B6A3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无组织排放总计</w:t>
            </w:r>
          </w:p>
        </w:tc>
      </w:tr>
      <w:tr w14:paraId="5BBFED9F">
        <w:tblPrEx>
          <w:tblCellMar>
            <w:top w:w="0" w:type="dxa"/>
            <w:left w:w="108" w:type="dxa"/>
            <w:bottom w:w="0" w:type="dxa"/>
            <w:right w:w="108" w:type="dxa"/>
          </w:tblCellMar>
        </w:tblPrEx>
        <w:trPr>
          <w:trHeight w:val="276" w:hRule="atLeast"/>
          <w:jc w:val="center"/>
        </w:trPr>
        <w:tc>
          <w:tcPr>
            <w:tcW w:w="1722" w:type="pct"/>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D05E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无组织排放总计</w:t>
            </w:r>
          </w:p>
        </w:tc>
        <w:tc>
          <w:tcPr>
            <w:tcW w:w="19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B8F10C">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0429AF">
            <w:pPr>
              <w:spacing w:line="240" w:lineRule="auto"/>
              <w:ind w:firstLine="0" w:firstLineChars="0"/>
              <w:jc w:val="center"/>
              <w:rPr>
                <w:rFonts w:eastAsia="等线" w:cs="Times New Roman"/>
                <w:kern w:val="0"/>
                <w:sz w:val="21"/>
              </w:rPr>
            </w:pPr>
            <w:r>
              <w:rPr>
                <w:rFonts w:eastAsia="等线" w:cs="Times New Roman"/>
                <w:kern w:val="0"/>
                <w:sz w:val="21"/>
              </w:rPr>
              <w:t xml:space="preserve">0.00056 </w:t>
            </w:r>
          </w:p>
        </w:tc>
      </w:tr>
      <w:tr w14:paraId="3CCA7E0C">
        <w:tblPrEx>
          <w:tblCellMar>
            <w:top w:w="0" w:type="dxa"/>
            <w:left w:w="108" w:type="dxa"/>
            <w:bottom w:w="0" w:type="dxa"/>
            <w:right w:w="108" w:type="dxa"/>
          </w:tblCellMar>
        </w:tblPrEx>
        <w:trPr>
          <w:trHeight w:val="276" w:hRule="atLeast"/>
          <w:jc w:val="center"/>
        </w:trPr>
        <w:tc>
          <w:tcPr>
            <w:tcW w:w="172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6D0BDECD">
            <w:pPr>
              <w:spacing w:line="240" w:lineRule="auto"/>
              <w:ind w:firstLine="0" w:firstLineChars="0"/>
              <w:rPr>
                <w:rFonts w:hint="eastAsia" w:ascii="宋体" w:hAnsi="宋体" w:eastAsia="宋体" w:cs="宋体"/>
                <w:kern w:val="0"/>
                <w:sz w:val="21"/>
              </w:rPr>
            </w:pPr>
          </w:p>
        </w:tc>
        <w:tc>
          <w:tcPr>
            <w:tcW w:w="19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6F49D7">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70C88B">
            <w:pPr>
              <w:spacing w:line="240" w:lineRule="auto"/>
              <w:ind w:firstLine="0" w:firstLineChars="0"/>
              <w:jc w:val="center"/>
              <w:rPr>
                <w:rFonts w:eastAsia="等线" w:cs="Times New Roman"/>
                <w:kern w:val="0"/>
                <w:sz w:val="21"/>
              </w:rPr>
            </w:pPr>
            <w:r>
              <w:rPr>
                <w:rFonts w:eastAsia="等线" w:cs="Times New Roman"/>
                <w:kern w:val="0"/>
                <w:sz w:val="21"/>
              </w:rPr>
              <w:t xml:space="preserve">0.33 </w:t>
            </w:r>
          </w:p>
        </w:tc>
      </w:tr>
      <w:tr w14:paraId="6C4B96AD">
        <w:tblPrEx>
          <w:tblCellMar>
            <w:top w:w="0" w:type="dxa"/>
            <w:left w:w="108" w:type="dxa"/>
            <w:bottom w:w="0" w:type="dxa"/>
            <w:right w:w="108" w:type="dxa"/>
          </w:tblCellMar>
        </w:tblPrEx>
        <w:trPr>
          <w:trHeight w:val="276" w:hRule="atLeast"/>
          <w:jc w:val="center"/>
        </w:trPr>
        <w:tc>
          <w:tcPr>
            <w:tcW w:w="172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3F526E72">
            <w:pPr>
              <w:spacing w:line="240" w:lineRule="auto"/>
              <w:ind w:firstLine="0" w:firstLineChars="0"/>
              <w:rPr>
                <w:rFonts w:hint="eastAsia" w:ascii="宋体" w:hAnsi="宋体" w:eastAsia="宋体" w:cs="宋体"/>
                <w:kern w:val="0"/>
                <w:sz w:val="21"/>
              </w:rPr>
            </w:pPr>
          </w:p>
        </w:tc>
        <w:tc>
          <w:tcPr>
            <w:tcW w:w="19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63EE51">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BA90A4">
            <w:pPr>
              <w:spacing w:line="240" w:lineRule="auto"/>
              <w:ind w:firstLine="0" w:firstLineChars="0"/>
              <w:jc w:val="center"/>
              <w:rPr>
                <w:rFonts w:eastAsia="等线" w:cs="Times New Roman"/>
                <w:kern w:val="0"/>
                <w:sz w:val="21"/>
              </w:rPr>
            </w:pPr>
            <w:r>
              <w:rPr>
                <w:rFonts w:eastAsia="等线" w:cs="Times New Roman"/>
                <w:kern w:val="0"/>
                <w:sz w:val="21"/>
              </w:rPr>
              <w:t xml:space="preserve">0.046 </w:t>
            </w:r>
          </w:p>
        </w:tc>
      </w:tr>
      <w:tr w14:paraId="79B3782C">
        <w:tblPrEx>
          <w:tblCellMar>
            <w:top w:w="0" w:type="dxa"/>
            <w:left w:w="108" w:type="dxa"/>
            <w:bottom w:w="0" w:type="dxa"/>
            <w:right w:w="108" w:type="dxa"/>
          </w:tblCellMar>
        </w:tblPrEx>
        <w:trPr>
          <w:trHeight w:val="288" w:hRule="atLeast"/>
          <w:jc w:val="center"/>
        </w:trPr>
        <w:tc>
          <w:tcPr>
            <w:tcW w:w="1722" w:type="pct"/>
            <w:gridSpan w:val="4"/>
            <w:vMerge w:val="continue"/>
            <w:tcBorders>
              <w:top w:val="single" w:color="000000" w:sz="4" w:space="0"/>
              <w:left w:val="single" w:color="000000" w:sz="4" w:space="0"/>
              <w:bottom w:val="single" w:color="000000" w:sz="4" w:space="0"/>
              <w:right w:val="single" w:color="000000" w:sz="4" w:space="0"/>
            </w:tcBorders>
            <w:vAlign w:val="center"/>
          </w:tcPr>
          <w:p w14:paraId="2AE06668">
            <w:pPr>
              <w:spacing w:line="240" w:lineRule="auto"/>
              <w:ind w:firstLine="0" w:firstLineChars="0"/>
              <w:rPr>
                <w:rFonts w:hint="eastAsia" w:ascii="宋体" w:hAnsi="宋体" w:eastAsia="宋体" w:cs="宋体"/>
                <w:kern w:val="0"/>
                <w:sz w:val="21"/>
              </w:rPr>
            </w:pPr>
          </w:p>
        </w:tc>
        <w:tc>
          <w:tcPr>
            <w:tcW w:w="19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C56B7C">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颗粒物（TSP）</w:t>
            </w:r>
          </w:p>
        </w:tc>
        <w:tc>
          <w:tcPr>
            <w:tcW w:w="13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B96DBC">
            <w:pPr>
              <w:spacing w:line="240" w:lineRule="auto"/>
              <w:ind w:firstLine="0" w:firstLineChars="0"/>
              <w:jc w:val="center"/>
              <w:rPr>
                <w:rFonts w:eastAsia="等线" w:cs="Times New Roman"/>
                <w:kern w:val="0"/>
                <w:sz w:val="21"/>
              </w:rPr>
            </w:pPr>
            <w:r>
              <w:rPr>
                <w:rFonts w:hint="eastAsia" w:eastAsia="等线" w:cs="Times New Roman"/>
                <w:kern w:val="0"/>
                <w:sz w:val="21"/>
              </w:rPr>
              <w:t>3.72</w:t>
            </w:r>
          </w:p>
        </w:tc>
      </w:tr>
    </w:tbl>
    <w:p w14:paraId="751616A2">
      <w:pPr>
        <w:pStyle w:val="93"/>
      </w:pPr>
      <w:r>
        <w:rPr>
          <w:rFonts w:hint="eastAsia"/>
        </w:rPr>
        <w:t>根据以上预测结果，采取措施后，本项目无组织排放的颗粒物、SO</w:t>
      </w:r>
      <w:r>
        <w:rPr>
          <w:rFonts w:hint="eastAsia"/>
          <w:vertAlign w:val="subscript"/>
        </w:rPr>
        <w:t>2</w:t>
      </w:r>
      <w:r>
        <w:rPr>
          <w:rFonts w:hint="eastAsia"/>
        </w:rPr>
        <w:t>、NOx等最大落地浓度占标率均未超过质量标准的10%，对周围大气环境影响较小，本项目大气评价等级为二级，不需要做进一步预测。</w:t>
      </w:r>
    </w:p>
    <w:p w14:paraId="6B6F3F5B">
      <w:pPr>
        <w:pStyle w:val="84"/>
      </w:pPr>
      <w:r>
        <w:rPr>
          <w:rFonts w:hint="eastAsia"/>
        </w:rPr>
        <w:t>大气环境防护距离</w:t>
      </w:r>
    </w:p>
    <w:p w14:paraId="25DE85AA">
      <w:pPr>
        <w:ind w:firstLine="480"/>
      </w:pPr>
      <w:r>
        <w:rPr>
          <w:rFonts w:hint="eastAsia"/>
        </w:rPr>
        <w:t>本项目大气评价等级为二级，</w:t>
      </w:r>
      <w:r>
        <w:rPr>
          <w:rFonts w:hint="eastAsia"/>
          <w:lang w:eastAsia="zh-CN"/>
        </w:rPr>
        <w:t>无需设置</w:t>
      </w:r>
      <w:r>
        <w:rPr>
          <w:rFonts w:hint="eastAsia"/>
        </w:rPr>
        <w:t>大气环境防护距离。</w:t>
      </w:r>
    </w:p>
    <w:p w14:paraId="64BA8B1F">
      <w:pPr>
        <w:pStyle w:val="84"/>
      </w:pPr>
      <w:r>
        <w:rPr>
          <w:rFonts w:hint="eastAsia"/>
        </w:rPr>
        <w:t>卫生环境防护距离</w:t>
      </w:r>
    </w:p>
    <w:p w14:paraId="6377FF39">
      <w:pPr>
        <w:pStyle w:val="93"/>
      </w:pPr>
      <w:r>
        <w:rPr>
          <w:rFonts w:hint="eastAsia"/>
        </w:rPr>
        <w:t>按照“工程分析”核算的有害气体无组织排放量，根据《大气有害物质无组织排放卫生防护距离推导技术导则》（GB/T39499-2020）的有关规定，当目标企业无组织排放存在多种有毒有害污染物时，基于单个污染物的等标排放量（Q</w:t>
      </w:r>
      <w:r>
        <w:rPr>
          <w:rFonts w:hint="eastAsia"/>
          <w:vertAlign w:val="subscript"/>
        </w:rPr>
        <w:t>c</w:t>
      </w:r>
      <w:r>
        <w:rPr>
          <w:rFonts w:hint="eastAsia"/>
        </w:rPr>
        <w:t>/C</w:t>
      </w:r>
      <w:r>
        <w:rPr>
          <w:rFonts w:hint="eastAsia"/>
          <w:vertAlign w:val="subscript"/>
        </w:rPr>
        <w:t>m</w:t>
      </w:r>
      <w:r>
        <w:rPr>
          <w:rFonts w:hint="eastAsia"/>
        </w:rPr>
        <w:t>）计算结果，优先选择等标排放量最大的污染物1～2种为企业无组织排放的主要特征大气有害物质。当前两种污染物的等标排放量相差在10%以内时，需要同时选择这两种特征大气有害物质分别计算卫生防护距离初值，本项目无组织污染物等标排放量详见表5.2-4。</w:t>
      </w:r>
    </w:p>
    <w:p w14:paraId="0D871B2E">
      <w:pPr>
        <w:pStyle w:val="86"/>
      </w:pPr>
      <w:r>
        <w:rPr>
          <w:rFonts w:hint="eastAsia"/>
        </w:rPr>
        <w:t>无组织废气等标排放量计算结果一览表</w:t>
      </w:r>
    </w:p>
    <w:tbl>
      <w:tblPr>
        <w:tblStyle w:val="38"/>
        <w:tblW w:w="5000" w:type="pct"/>
        <w:tblInd w:w="0" w:type="dxa"/>
        <w:tblLayout w:type="autofit"/>
        <w:tblCellMar>
          <w:top w:w="0" w:type="dxa"/>
          <w:left w:w="108" w:type="dxa"/>
          <w:bottom w:w="0" w:type="dxa"/>
          <w:right w:w="108" w:type="dxa"/>
        </w:tblCellMar>
      </w:tblPr>
      <w:tblGrid>
        <w:gridCol w:w="1228"/>
        <w:gridCol w:w="1229"/>
        <w:gridCol w:w="1759"/>
        <w:gridCol w:w="2546"/>
        <w:gridCol w:w="1759"/>
      </w:tblGrid>
      <w:tr w14:paraId="271D2D63">
        <w:tblPrEx>
          <w:tblCellMar>
            <w:top w:w="0" w:type="dxa"/>
            <w:left w:w="108" w:type="dxa"/>
            <w:bottom w:w="0" w:type="dxa"/>
            <w:right w:w="108" w:type="dxa"/>
          </w:tblCellMar>
        </w:tblPrEx>
        <w:trPr>
          <w:trHeight w:val="648" w:hRule="atLeast"/>
        </w:trPr>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A75A7">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面源</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352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污染物</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3D67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源强</w:t>
            </w:r>
            <w:r>
              <w:rPr>
                <w:rFonts w:eastAsia="宋体" w:cs="Times New Roman"/>
                <w:kern w:val="0"/>
                <w:sz w:val="21"/>
              </w:rPr>
              <w:t>Q</w:t>
            </w:r>
            <w:r>
              <w:rPr>
                <w:rFonts w:eastAsia="宋体" w:cs="Times New Roman"/>
                <w:kern w:val="0"/>
                <w:sz w:val="21"/>
                <w:vertAlign w:val="subscript"/>
              </w:rPr>
              <w:t>c</w:t>
            </w:r>
            <w:r>
              <w:rPr>
                <w:rFonts w:ascii="宋体" w:hAnsi="宋体" w:eastAsia="宋体" w:cs="宋体"/>
                <w:kern w:val="0"/>
                <w:sz w:val="21"/>
              </w:rPr>
              <w:t>（</w:t>
            </w:r>
            <w:r>
              <w:rPr>
                <w:rFonts w:eastAsia="宋体" w:cs="Times New Roman"/>
                <w:kern w:val="0"/>
                <w:sz w:val="21"/>
              </w:rPr>
              <w:t>kg/h</w:t>
            </w:r>
            <w:r>
              <w:rPr>
                <w:rFonts w:ascii="宋体" w:hAnsi="宋体" w:eastAsia="宋体" w:cs="宋体"/>
                <w:kern w:val="0"/>
                <w:sz w:val="21"/>
              </w:rPr>
              <w:t>）</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736A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标准限值</w:t>
            </w:r>
            <w:r>
              <w:rPr>
                <w:rFonts w:hint="eastAsia" w:ascii="宋体" w:hAnsi="宋体" w:eastAsia="宋体" w:cs="宋体"/>
                <w:kern w:val="0"/>
                <w:sz w:val="21"/>
                <w:lang w:eastAsia="zh-CN"/>
              </w:rPr>
              <w:t>cm厘米</w:t>
            </w:r>
            <w:r>
              <w:rPr>
                <w:rFonts w:ascii="宋体" w:hAnsi="宋体" w:eastAsia="宋体" w:cs="宋体"/>
                <w:kern w:val="0"/>
                <w:sz w:val="21"/>
              </w:rPr>
              <w:t>计算（</w:t>
            </w:r>
            <w:r>
              <w:rPr>
                <w:rFonts w:eastAsia="宋体" w:cs="Times New Roman"/>
                <w:kern w:val="0"/>
                <w:sz w:val="21"/>
              </w:rPr>
              <w:t>mg/Nm</w:t>
            </w:r>
            <w:r>
              <w:rPr>
                <w:rFonts w:eastAsia="宋体" w:cs="Times New Roman"/>
                <w:kern w:val="0"/>
                <w:sz w:val="21"/>
                <w:vertAlign w:val="superscript"/>
              </w:rPr>
              <w:t>3</w:t>
            </w:r>
            <w:r>
              <w:rPr>
                <w:rFonts w:ascii="宋体" w:hAnsi="宋体" w:eastAsia="宋体" w:cs="宋体"/>
                <w:kern w:val="0"/>
                <w:sz w:val="21"/>
              </w:rPr>
              <w:t>）</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93B1A">
            <w:pPr>
              <w:spacing w:line="240" w:lineRule="auto"/>
              <w:ind w:firstLine="0" w:firstLineChars="0"/>
              <w:jc w:val="center"/>
              <w:rPr>
                <w:rFonts w:eastAsia="等线" w:cs="Times New Roman"/>
                <w:kern w:val="0"/>
                <w:sz w:val="21"/>
              </w:rPr>
            </w:pPr>
            <w:r>
              <w:rPr>
                <w:rFonts w:eastAsia="等线" w:cs="Times New Roman"/>
                <w:kern w:val="0"/>
                <w:sz w:val="21"/>
              </w:rPr>
              <w:t>Q</w:t>
            </w:r>
            <w:r>
              <w:rPr>
                <w:rFonts w:eastAsia="等线" w:cs="Times New Roman"/>
                <w:kern w:val="0"/>
                <w:sz w:val="21"/>
                <w:vertAlign w:val="subscript"/>
              </w:rPr>
              <w:t>c</w:t>
            </w:r>
            <w:r>
              <w:rPr>
                <w:rFonts w:eastAsia="等线" w:cs="Times New Roman"/>
                <w:kern w:val="0"/>
                <w:sz w:val="21"/>
              </w:rPr>
              <w:t>/C</w:t>
            </w:r>
            <w:r>
              <w:rPr>
                <w:rFonts w:eastAsia="等线" w:cs="Times New Roman"/>
                <w:kern w:val="0"/>
                <w:sz w:val="21"/>
                <w:vertAlign w:val="subscript"/>
              </w:rPr>
              <w:t>m</w:t>
            </w:r>
          </w:p>
        </w:tc>
      </w:tr>
      <w:tr w14:paraId="263BDB86">
        <w:tblPrEx>
          <w:tblCellMar>
            <w:top w:w="0" w:type="dxa"/>
            <w:left w:w="108" w:type="dxa"/>
            <w:bottom w:w="0" w:type="dxa"/>
            <w:right w:w="108" w:type="dxa"/>
          </w:tblCellMar>
        </w:tblPrEx>
        <w:trPr>
          <w:trHeight w:val="348" w:hRule="atLeast"/>
        </w:trPr>
        <w:tc>
          <w:tcPr>
            <w:tcW w:w="7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62F9BF">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港区</w:t>
            </w: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3D280">
            <w:pPr>
              <w:spacing w:line="240" w:lineRule="auto"/>
              <w:ind w:firstLine="0" w:firstLineChars="0"/>
              <w:jc w:val="center"/>
              <w:rPr>
                <w:rFonts w:eastAsia="等线" w:cs="Times New Roman"/>
                <w:kern w:val="0"/>
                <w:sz w:val="21"/>
              </w:rPr>
            </w:pPr>
            <w:r>
              <w:rPr>
                <w:rFonts w:eastAsia="等线" w:cs="Times New Roman"/>
                <w:kern w:val="0"/>
                <w:sz w:val="21"/>
              </w:rPr>
              <w:t>SO</w:t>
            </w:r>
            <w:r>
              <w:rPr>
                <w:rFonts w:eastAsia="等线" w:cs="Times New Roman"/>
                <w:kern w:val="0"/>
                <w:sz w:val="21"/>
                <w:vertAlign w:val="subscript"/>
              </w:rPr>
              <w:t>2</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F6898">
            <w:pPr>
              <w:spacing w:line="240" w:lineRule="auto"/>
              <w:ind w:firstLine="0" w:firstLineChars="0"/>
              <w:jc w:val="center"/>
              <w:rPr>
                <w:rFonts w:eastAsia="等线" w:cs="Times New Roman"/>
                <w:kern w:val="0"/>
                <w:sz w:val="21"/>
              </w:rPr>
            </w:pPr>
            <w:r>
              <w:rPr>
                <w:rFonts w:eastAsia="等线" w:cs="Times New Roman"/>
                <w:kern w:val="0"/>
                <w:sz w:val="21"/>
              </w:rPr>
              <w:t>0.0010</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C5EDE">
            <w:pPr>
              <w:spacing w:line="240" w:lineRule="auto"/>
              <w:ind w:firstLine="0" w:firstLineChars="0"/>
              <w:jc w:val="center"/>
              <w:rPr>
                <w:rFonts w:eastAsia="等线" w:cs="Times New Roman"/>
                <w:kern w:val="0"/>
                <w:sz w:val="21"/>
              </w:rPr>
            </w:pPr>
            <w:r>
              <w:rPr>
                <w:rFonts w:eastAsia="等线" w:cs="Times New Roman"/>
                <w:kern w:val="0"/>
                <w:sz w:val="21"/>
              </w:rPr>
              <w:t>0.5</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047B6">
            <w:pPr>
              <w:spacing w:line="240" w:lineRule="auto"/>
              <w:ind w:firstLine="0" w:firstLineChars="0"/>
              <w:jc w:val="center"/>
              <w:rPr>
                <w:rFonts w:eastAsia="等线" w:cs="Times New Roman"/>
                <w:kern w:val="0"/>
                <w:sz w:val="21"/>
              </w:rPr>
            </w:pPr>
            <w:r>
              <w:rPr>
                <w:rFonts w:eastAsia="等线" w:cs="Times New Roman"/>
                <w:kern w:val="0"/>
                <w:sz w:val="21"/>
              </w:rPr>
              <w:t xml:space="preserve">0.002 </w:t>
            </w:r>
          </w:p>
        </w:tc>
      </w:tr>
      <w:tr w14:paraId="35B73E49">
        <w:tblPrEx>
          <w:tblCellMar>
            <w:top w:w="0" w:type="dxa"/>
            <w:left w:w="108" w:type="dxa"/>
            <w:bottom w:w="0" w:type="dxa"/>
            <w:right w:w="108" w:type="dxa"/>
          </w:tblCellMar>
        </w:tblPrEx>
        <w:trPr>
          <w:trHeight w:val="276" w:hRule="atLeast"/>
        </w:trPr>
        <w:tc>
          <w:tcPr>
            <w:tcW w:w="721" w:type="pct"/>
            <w:vMerge w:val="continue"/>
            <w:tcBorders>
              <w:top w:val="single" w:color="000000" w:sz="4" w:space="0"/>
              <w:left w:val="single" w:color="000000" w:sz="4" w:space="0"/>
              <w:bottom w:val="single" w:color="000000" w:sz="4" w:space="0"/>
              <w:right w:val="single" w:color="000000" w:sz="4" w:space="0"/>
            </w:tcBorders>
            <w:vAlign w:val="center"/>
          </w:tcPr>
          <w:p w14:paraId="61616551">
            <w:pPr>
              <w:spacing w:line="240" w:lineRule="auto"/>
              <w:ind w:firstLine="0" w:firstLineChars="0"/>
              <w:rPr>
                <w:rFonts w:hint="eastAsia" w:ascii="宋体" w:hAnsi="宋体" w:eastAsia="宋体" w:cs="宋体"/>
                <w:kern w:val="0"/>
                <w:sz w:val="21"/>
              </w:rPr>
            </w:pP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8B2C2">
            <w:pPr>
              <w:spacing w:line="240" w:lineRule="auto"/>
              <w:ind w:firstLine="0" w:firstLineChars="0"/>
              <w:jc w:val="center"/>
              <w:rPr>
                <w:rFonts w:eastAsia="等线" w:cs="Times New Roman"/>
                <w:kern w:val="0"/>
                <w:sz w:val="21"/>
              </w:rPr>
            </w:pPr>
            <w:r>
              <w:rPr>
                <w:rFonts w:eastAsia="等线" w:cs="Times New Roman"/>
                <w:kern w:val="0"/>
                <w:sz w:val="21"/>
              </w:rPr>
              <w:t>CO</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B09D">
            <w:pPr>
              <w:spacing w:line="240" w:lineRule="auto"/>
              <w:ind w:firstLine="0" w:firstLineChars="0"/>
              <w:jc w:val="center"/>
              <w:rPr>
                <w:rFonts w:eastAsia="等线" w:cs="Times New Roman"/>
                <w:kern w:val="0"/>
                <w:sz w:val="21"/>
              </w:rPr>
            </w:pPr>
            <w:r>
              <w:rPr>
                <w:rFonts w:eastAsia="等线" w:cs="Times New Roman"/>
                <w:kern w:val="0"/>
                <w:sz w:val="21"/>
              </w:rPr>
              <w:t xml:space="preserve">0.59 </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A65DA">
            <w:pPr>
              <w:spacing w:line="240" w:lineRule="auto"/>
              <w:ind w:firstLine="0" w:firstLineChars="0"/>
              <w:jc w:val="center"/>
              <w:rPr>
                <w:rFonts w:eastAsia="等线" w:cs="Times New Roman"/>
                <w:kern w:val="0"/>
                <w:sz w:val="21"/>
              </w:rPr>
            </w:pPr>
            <w:r>
              <w:rPr>
                <w:rFonts w:eastAsia="等线" w:cs="Times New Roman"/>
                <w:kern w:val="0"/>
                <w:sz w:val="21"/>
              </w:rPr>
              <w:t>10</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4ED5">
            <w:pPr>
              <w:spacing w:line="240" w:lineRule="auto"/>
              <w:ind w:firstLine="0" w:firstLineChars="0"/>
              <w:jc w:val="center"/>
              <w:rPr>
                <w:rFonts w:eastAsia="等线" w:cs="Times New Roman"/>
                <w:kern w:val="0"/>
                <w:sz w:val="21"/>
              </w:rPr>
            </w:pPr>
            <w:r>
              <w:rPr>
                <w:rFonts w:eastAsia="等线" w:cs="Times New Roman"/>
                <w:kern w:val="0"/>
                <w:sz w:val="21"/>
              </w:rPr>
              <w:t xml:space="preserve">0.059 </w:t>
            </w:r>
          </w:p>
        </w:tc>
      </w:tr>
      <w:tr w14:paraId="76D978FF">
        <w:tblPrEx>
          <w:tblCellMar>
            <w:top w:w="0" w:type="dxa"/>
            <w:left w:w="108" w:type="dxa"/>
            <w:bottom w:w="0" w:type="dxa"/>
            <w:right w:w="108" w:type="dxa"/>
          </w:tblCellMar>
        </w:tblPrEx>
        <w:trPr>
          <w:trHeight w:val="348" w:hRule="atLeast"/>
        </w:trPr>
        <w:tc>
          <w:tcPr>
            <w:tcW w:w="721" w:type="pct"/>
            <w:vMerge w:val="continue"/>
            <w:tcBorders>
              <w:top w:val="single" w:color="000000" w:sz="4" w:space="0"/>
              <w:left w:val="single" w:color="000000" w:sz="4" w:space="0"/>
              <w:bottom w:val="single" w:color="000000" w:sz="4" w:space="0"/>
              <w:right w:val="single" w:color="000000" w:sz="4" w:space="0"/>
            </w:tcBorders>
            <w:vAlign w:val="center"/>
          </w:tcPr>
          <w:p w14:paraId="51DD487E">
            <w:pPr>
              <w:spacing w:line="240" w:lineRule="auto"/>
              <w:ind w:firstLine="0" w:firstLineChars="0"/>
              <w:rPr>
                <w:rFonts w:hint="eastAsia" w:ascii="宋体" w:hAnsi="宋体" w:eastAsia="宋体" w:cs="宋体"/>
                <w:kern w:val="0"/>
                <w:sz w:val="21"/>
              </w:rPr>
            </w:pP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D8AD">
            <w:pPr>
              <w:spacing w:line="240" w:lineRule="auto"/>
              <w:ind w:firstLine="0" w:firstLineChars="0"/>
              <w:jc w:val="center"/>
              <w:rPr>
                <w:rFonts w:eastAsia="等线" w:cs="Times New Roman"/>
                <w:kern w:val="0"/>
                <w:sz w:val="21"/>
              </w:rPr>
            </w:pPr>
            <w:r>
              <w:rPr>
                <w:rFonts w:eastAsia="等线" w:cs="Times New Roman"/>
                <w:kern w:val="0"/>
                <w:sz w:val="21"/>
              </w:rPr>
              <w:t>NO</w:t>
            </w:r>
            <w:r>
              <w:rPr>
                <w:rFonts w:eastAsia="等线" w:cs="Times New Roman"/>
                <w:kern w:val="0"/>
                <w:sz w:val="21"/>
                <w:vertAlign w:val="subscript"/>
              </w:rPr>
              <w:t>x</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F2298">
            <w:pPr>
              <w:spacing w:line="240" w:lineRule="auto"/>
              <w:ind w:firstLine="0" w:firstLineChars="0"/>
              <w:jc w:val="center"/>
              <w:rPr>
                <w:rFonts w:eastAsia="等线" w:cs="Times New Roman"/>
                <w:kern w:val="0"/>
                <w:sz w:val="21"/>
              </w:rPr>
            </w:pPr>
            <w:r>
              <w:rPr>
                <w:rFonts w:eastAsia="等线" w:cs="Times New Roman"/>
                <w:kern w:val="0"/>
                <w:sz w:val="21"/>
              </w:rPr>
              <w:t xml:space="preserve">0.082 </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EC81C">
            <w:pPr>
              <w:spacing w:line="240" w:lineRule="auto"/>
              <w:ind w:firstLine="0" w:firstLineChars="0"/>
              <w:jc w:val="center"/>
              <w:rPr>
                <w:rFonts w:eastAsia="等线" w:cs="Times New Roman"/>
                <w:kern w:val="0"/>
                <w:sz w:val="21"/>
              </w:rPr>
            </w:pPr>
            <w:r>
              <w:rPr>
                <w:rFonts w:eastAsia="等线" w:cs="Times New Roman"/>
                <w:kern w:val="0"/>
                <w:sz w:val="21"/>
              </w:rPr>
              <w:t>0.2</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9811">
            <w:pPr>
              <w:spacing w:line="240" w:lineRule="auto"/>
              <w:ind w:firstLine="0" w:firstLineChars="0"/>
              <w:jc w:val="center"/>
              <w:rPr>
                <w:rFonts w:eastAsia="等线" w:cs="Times New Roman"/>
                <w:kern w:val="0"/>
                <w:sz w:val="21"/>
              </w:rPr>
            </w:pPr>
            <w:r>
              <w:rPr>
                <w:rFonts w:eastAsia="等线" w:cs="Times New Roman"/>
                <w:kern w:val="0"/>
                <w:sz w:val="21"/>
              </w:rPr>
              <w:t xml:space="preserve">0.408 </w:t>
            </w:r>
          </w:p>
        </w:tc>
      </w:tr>
      <w:tr w14:paraId="3A0CBE1E">
        <w:tblPrEx>
          <w:tblCellMar>
            <w:top w:w="0" w:type="dxa"/>
            <w:left w:w="108" w:type="dxa"/>
            <w:bottom w:w="0" w:type="dxa"/>
            <w:right w:w="108" w:type="dxa"/>
          </w:tblCellMar>
        </w:tblPrEx>
        <w:trPr>
          <w:trHeight w:val="288" w:hRule="atLeast"/>
        </w:trPr>
        <w:tc>
          <w:tcPr>
            <w:tcW w:w="721" w:type="pct"/>
            <w:vMerge w:val="continue"/>
            <w:tcBorders>
              <w:top w:val="single" w:color="000000" w:sz="4" w:space="0"/>
              <w:left w:val="single" w:color="000000" w:sz="4" w:space="0"/>
              <w:bottom w:val="single" w:color="000000" w:sz="4" w:space="0"/>
              <w:right w:val="single" w:color="000000" w:sz="4" w:space="0"/>
            </w:tcBorders>
            <w:vAlign w:val="center"/>
          </w:tcPr>
          <w:p w14:paraId="1003D104">
            <w:pPr>
              <w:spacing w:line="240" w:lineRule="auto"/>
              <w:ind w:firstLine="0" w:firstLineChars="0"/>
              <w:rPr>
                <w:rFonts w:hint="eastAsia" w:ascii="宋体" w:hAnsi="宋体" w:eastAsia="宋体" w:cs="宋体"/>
                <w:kern w:val="0"/>
                <w:sz w:val="21"/>
              </w:rPr>
            </w:pPr>
          </w:p>
        </w:tc>
        <w:tc>
          <w:tcPr>
            <w:tcW w:w="7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63C06">
            <w:pPr>
              <w:spacing w:line="240" w:lineRule="auto"/>
              <w:ind w:firstLine="0" w:firstLineChars="0"/>
              <w:jc w:val="center"/>
              <w:rPr>
                <w:rFonts w:hint="eastAsia" w:ascii="宋体" w:hAnsi="宋体" w:eastAsia="宋体" w:cs="宋体"/>
                <w:kern w:val="0"/>
                <w:sz w:val="21"/>
              </w:rPr>
            </w:pPr>
            <w:bookmarkStart w:id="278" w:name="_Hlk181524349"/>
            <w:r>
              <w:rPr>
                <w:rFonts w:hint="eastAsia" w:ascii="宋体" w:hAnsi="宋体" w:eastAsia="宋体" w:cs="宋体"/>
                <w:kern w:val="0"/>
                <w:sz w:val="21"/>
              </w:rPr>
              <w:t>颗粒物（TSP）</w:t>
            </w:r>
            <w:bookmarkEnd w:id="278"/>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9AD83">
            <w:pPr>
              <w:spacing w:line="240" w:lineRule="auto"/>
              <w:ind w:firstLine="0" w:firstLineChars="0"/>
              <w:jc w:val="center"/>
              <w:rPr>
                <w:rFonts w:eastAsia="等线" w:cs="Times New Roman"/>
                <w:kern w:val="0"/>
                <w:sz w:val="21"/>
              </w:rPr>
            </w:pPr>
            <w:bookmarkStart w:id="279" w:name="OLE_LINK22"/>
            <w:r>
              <w:rPr>
                <w:rFonts w:eastAsia="等线" w:cs="Times New Roman"/>
                <w:sz w:val="21"/>
              </w:rPr>
              <w:t>1.022</w:t>
            </w:r>
            <w:bookmarkEnd w:id="279"/>
            <w:r>
              <w:rPr>
                <w:rFonts w:eastAsia="等线" w:cs="Times New Roman"/>
                <w:sz w:val="21"/>
              </w:rPr>
              <w:t xml:space="preserve"> </w:t>
            </w:r>
          </w:p>
        </w:tc>
        <w:tc>
          <w:tcPr>
            <w:tcW w:w="14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253D5">
            <w:pPr>
              <w:spacing w:line="240" w:lineRule="auto"/>
              <w:ind w:firstLine="0" w:firstLineChars="0"/>
              <w:jc w:val="center"/>
              <w:rPr>
                <w:rFonts w:eastAsia="等线" w:cs="Times New Roman"/>
                <w:kern w:val="0"/>
                <w:sz w:val="21"/>
              </w:rPr>
            </w:pPr>
            <w:r>
              <w:rPr>
                <w:rFonts w:eastAsia="等线" w:cs="Times New Roman"/>
                <w:sz w:val="21"/>
              </w:rPr>
              <w:t>2</w:t>
            </w:r>
          </w:p>
        </w:tc>
        <w:tc>
          <w:tcPr>
            <w:tcW w:w="10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6D2AA">
            <w:pPr>
              <w:spacing w:line="240" w:lineRule="auto"/>
              <w:ind w:firstLine="0" w:firstLineChars="0"/>
              <w:jc w:val="center"/>
              <w:rPr>
                <w:rFonts w:eastAsia="等线" w:cs="Times New Roman"/>
                <w:kern w:val="0"/>
                <w:sz w:val="21"/>
              </w:rPr>
            </w:pPr>
            <w:r>
              <w:rPr>
                <w:rFonts w:eastAsia="等线" w:cs="Times New Roman"/>
                <w:sz w:val="21"/>
              </w:rPr>
              <w:t xml:space="preserve">0.511 </w:t>
            </w:r>
          </w:p>
        </w:tc>
      </w:tr>
    </w:tbl>
    <w:p w14:paraId="15E65021">
      <w:pPr>
        <w:pStyle w:val="91"/>
      </w:pPr>
      <w:r>
        <w:rPr>
          <w:rFonts w:hint="eastAsia"/>
        </w:rPr>
        <w:t>注：项目评价区为二类功能区，大气基本污染物SO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、CO、O</w:t>
      </w:r>
      <w:r>
        <w:rPr>
          <w:rFonts w:hint="eastAsia"/>
          <w:vertAlign w:val="subscript"/>
        </w:rPr>
        <w:t>3</w:t>
      </w:r>
      <w:r>
        <w:rPr>
          <w:rFonts w:hint="eastAsia"/>
        </w:rPr>
        <w:t>及NO</w:t>
      </w:r>
      <w:r>
        <w:rPr>
          <w:rFonts w:hint="eastAsia"/>
          <w:vertAlign w:val="subscript"/>
        </w:rPr>
        <w:t>x</w:t>
      </w:r>
      <w:r>
        <w:rPr>
          <w:rFonts w:hint="eastAsia"/>
        </w:rPr>
        <w:t>、TSP执行《环境空气质量标准》（GB3095-2012）及其修改单的二级标准。</w:t>
      </w:r>
    </w:p>
    <w:p w14:paraId="3F9CC38D">
      <w:pPr>
        <w:pStyle w:val="93"/>
      </w:pPr>
      <w:r>
        <w:rPr>
          <w:rFonts w:hint="eastAsia"/>
        </w:rPr>
        <w:t>由上表可知，本项目面源等标排放量最大的大气污染物为颗粒物（TSP），且同个面源多种污染物等标排放量相差超过10%，故本次评价选择颗粒物（TSP）为特征大气有害物质分别计算厂区的卫生防护距离。</w:t>
      </w:r>
    </w:p>
    <w:p w14:paraId="7C06CF96">
      <w:pPr>
        <w:pStyle w:val="93"/>
      </w:pPr>
      <w:r>
        <w:rPr>
          <w:rFonts w:hint="eastAsia"/>
        </w:rPr>
        <w:t>根据《大气有害物质无组织排放卫生防护距离推导技术导则》（GB/T39499-2020）的有关规定，无组织排放有害气体的生产单元（生产区、车间或工段）与敏感区之间应设置卫生防护距离，计算公式如下：</w:t>
      </w:r>
    </w:p>
    <w:p w14:paraId="2C56A5C1">
      <w:pPr>
        <w:ind w:firstLine="480"/>
      </w:pPr>
      <w:r>
        <w:rPr>
          <w:rFonts w:hint="eastAsia"/>
        </w:rPr>
        <w:drawing>
          <wp:inline distT="0" distB="0" distL="0" distR="0">
            <wp:extent cx="1854200" cy="450215"/>
            <wp:effectExtent l="0" t="0" r="0" b="6985"/>
            <wp:docPr id="44941162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11626" name="图片 18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865378" cy="452890"/>
                    </a:xfrm>
                    <a:prstGeom prst="rect">
                      <a:avLst/>
                    </a:prstGeom>
                    <a:noFill/>
                    <a:ln>
                      <a:noFill/>
                    </a:ln>
                  </pic:spPr>
                </pic:pic>
              </a:graphicData>
            </a:graphic>
          </wp:inline>
        </w:drawing>
      </w:r>
      <w:r>
        <w:rPr>
          <w:rFonts w:hint="eastAsia"/>
        </w:rPr>
        <w:t xml:space="preserve"> </w:t>
      </w:r>
    </w:p>
    <w:p w14:paraId="1321A51F">
      <w:pPr>
        <w:ind w:firstLine="480"/>
      </w:pPr>
      <w:r>
        <w:rPr>
          <w:rFonts w:hint="eastAsia"/>
        </w:rPr>
        <w:t>式中：Q</w:t>
      </w:r>
      <w:r>
        <w:rPr>
          <w:rFonts w:hint="eastAsia"/>
          <w:vertAlign w:val="subscript"/>
        </w:rPr>
        <w:t>c</w:t>
      </w:r>
      <w:r>
        <w:rPr>
          <w:rFonts w:hint="eastAsia"/>
        </w:rPr>
        <w:t>——大气有害物质的无组织排放量，单位为千克每小时（kg/h）；</w:t>
      </w:r>
    </w:p>
    <w:p w14:paraId="0CC85F18">
      <w:pPr>
        <w:pStyle w:val="93"/>
      </w:pPr>
      <w:r>
        <w:rPr>
          <w:rFonts w:hint="eastAsia"/>
        </w:rPr>
        <w:t>C</w:t>
      </w:r>
      <w:r>
        <w:rPr>
          <w:rFonts w:hint="eastAsia"/>
          <w:vertAlign w:val="subscript"/>
        </w:rPr>
        <w:t>m</w:t>
      </w:r>
      <w:r>
        <w:rPr>
          <w:rFonts w:hint="eastAsia"/>
        </w:rPr>
        <w:t>——大气有害物质环境空气质量的标准限值，单位为毫克每立方米（mg/m</w:t>
      </w:r>
      <w:r>
        <w:rPr>
          <w:rFonts w:hint="eastAsia"/>
          <w:vertAlign w:val="superscript"/>
        </w:rPr>
        <w:t>3</w:t>
      </w:r>
      <w:r>
        <w:rPr>
          <w:rFonts w:hint="eastAsia"/>
        </w:rPr>
        <w:t>）；</w:t>
      </w:r>
    </w:p>
    <w:p w14:paraId="7DF4E478">
      <w:pPr>
        <w:pStyle w:val="93"/>
        <w:rPr>
          <w:i/>
          <w:iCs/>
        </w:rPr>
      </w:pPr>
      <w:r>
        <w:rPr>
          <w:rFonts w:hint="eastAsia"/>
          <w:i/>
          <w:iCs/>
        </w:rPr>
        <w:t>L</w:t>
      </w:r>
      <w:r>
        <w:rPr>
          <w:rFonts w:hint="eastAsia"/>
        </w:rPr>
        <w:t>——大气有害物质卫生防护距离初值，单位为米（m）；</w:t>
      </w:r>
    </w:p>
    <w:p w14:paraId="36EDDE1C">
      <w:pPr>
        <w:pStyle w:val="93"/>
      </w:pPr>
      <w:r>
        <w:rPr>
          <w:rFonts w:hint="eastAsia"/>
          <w:i/>
          <w:iCs/>
        </w:rPr>
        <w:t>g</w:t>
      </w:r>
      <w:r>
        <w:rPr>
          <w:rFonts w:hint="eastAsia"/>
        </w:rPr>
        <w:t>——大气有害物质无组织排放源所在生产单元的等效半径，单位为米（m），</w:t>
      </w:r>
      <w:r>
        <w:rPr>
          <w:rFonts w:hint="eastAsia"/>
          <w:i/>
          <w:iCs/>
        </w:rPr>
        <w:t>g</w:t>
      </w:r>
      <w:r>
        <w:rPr>
          <w:rFonts w:hint="eastAsia"/>
        </w:rPr>
        <w:t xml:space="preserve"> =(</w:t>
      </w:r>
      <w:r>
        <w:rPr>
          <w:rFonts w:hint="eastAsia"/>
          <w:i/>
          <w:iCs/>
        </w:rPr>
        <w:t>S</w:t>
      </w:r>
      <w:r>
        <w:rPr>
          <w:rFonts w:hint="eastAsia"/>
        </w:rPr>
        <w:t>/p)</w:t>
      </w:r>
      <w:r>
        <w:rPr>
          <w:rFonts w:hint="eastAsia"/>
          <w:vertAlign w:val="superscript"/>
        </w:rPr>
        <w:t>0.5</w:t>
      </w:r>
      <w:r>
        <w:rPr>
          <w:rFonts w:hint="eastAsia"/>
        </w:rPr>
        <w:t>m；</w:t>
      </w:r>
    </w:p>
    <w:p w14:paraId="5E6E9E3A">
      <w:pPr>
        <w:pStyle w:val="93"/>
      </w:pPr>
      <w:r>
        <w:rPr>
          <w:rFonts w:hint="eastAsia"/>
          <w:i/>
          <w:iCs/>
        </w:rPr>
        <w:t>A</w:t>
      </w:r>
      <w:r>
        <w:rPr>
          <w:rFonts w:hint="eastAsia"/>
          <w:i/>
          <w:iCs/>
          <w:lang w:eastAsia="zh-CN"/>
        </w:rPr>
        <w:t>.</w:t>
      </w:r>
      <w:r>
        <w:rPr>
          <w:rFonts w:hint="eastAsia"/>
          <w:i/>
          <w:iCs/>
        </w:rPr>
        <w:t>B、C、D</w:t>
      </w:r>
      <w:r>
        <w:rPr>
          <w:rFonts w:hint="eastAsia"/>
        </w:rPr>
        <w:t>——卫生防护距离初值计算系数，无因次，根据工业企业所在地区近5年平均风速及大气污染源构成类别从下表查取。</w:t>
      </w:r>
    </w:p>
    <w:p w14:paraId="54B910E7">
      <w:pPr>
        <w:pStyle w:val="93"/>
      </w:pPr>
      <w:r>
        <w:rPr>
          <w:rFonts w:hint="eastAsia"/>
        </w:rPr>
        <w:t>本项目面源颗粒物排放量小于江苏省地标《大气污染物综合排放标准》（DB32/4041-2021）表1中标准规定的允许排放量的1/3，按Ⅱ类进行取值。同时近5年平均风速为2.56m/s，本项目卫生防护距离计算系数取值见下表。</w:t>
      </w:r>
    </w:p>
    <w:p w14:paraId="5ACA5518">
      <w:pPr>
        <w:pStyle w:val="86"/>
      </w:pPr>
      <w:r>
        <w:rPr>
          <w:rFonts w:hint="eastAsia"/>
        </w:rPr>
        <w:t>卫生防护距离计算系数</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963"/>
        <w:gridCol w:w="840"/>
        <w:gridCol w:w="841"/>
        <w:gridCol w:w="839"/>
        <w:gridCol w:w="840"/>
        <w:gridCol w:w="839"/>
        <w:gridCol w:w="839"/>
        <w:gridCol w:w="840"/>
        <w:gridCol w:w="839"/>
        <w:gridCol w:w="841"/>
      </w:tblGrid>
      <w:tr w14:paraId="2219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restart"/>
            <w:vAlign w:val="center"/>
          </w:tcPr>
          <w:p w14:paraId="1F2F5821">
            <w:pPr>
              <w:pStyle w:val="196"/>
            </w:pPr>
            <w:r>
              <w:rPr>
                <w:rFonts w:hint="eastAsia"/>
              </w:rPr>
              <w:t>计</w:t>
            </w:r>
          </w:p>
          <w:p w14:paraId="7654BEBB">
            <w:pPr>
              <w:pStyle w:val="196"/>
            </w:pPr>
            <w:r>
              <w:rPr>
                <w:rFonts w:hint="eastAsia"/>
              </w:rPr>
              <w:t>算</w:t>
            </w:r>
          </w:p>
          <w:p w14:paraId="2C25F67C">
            <w:pPr>
              <w:pStyle w:val="196"/>
            </w:pPr>
            <w:r>
              <w:rPr>
                <w:rFonts w:hint="eastAsia"/>
              </w:rPr>
              <w:t>系</w:t>
            </w:r>
          </w:p>
          <w:p w14:paraId="476DB1E9">
            <w:pPr>
              <w:pStyle w:val="196"/>
            </w:pPr>
            <w:r>
              <w:rPr>
                <w:rFonts w:hint="eastAsia"/>
              </w:rPr>
              <w:t>数</w:t>
            </w:r>
          </w:p>
        </w:tc>
        <w:tc>
          <w:tcPr>
            <w:tcW w:w="963" w:type="dxa"/>
            <w:vMerge w:val="restart"/>
            <w:vAlign w:val="center"/>
          </w:tcPr>
          <w:p w14:paraId="564F20B1">
            <w:pPr>
              <w:pStyle w:val="196"/>
            </w:pPr>
            <w:r>
              <w:rPr>
                <w:rFonts w:hint="eastAsia"/>
              </w:rPr>
              <w:t>5年平均风速</w:t>
            </w:r>
          </w:p>
          <w:p w14:paraId="34A61977">
            <w:pPr>
              <w:pStyle w:val="196"/>
            </w:pPr>
            <w:r>
              <w:rPr>
                <w:rFonts w:hint="eastAsia"/>
              </w:rPr>
              <w:t>m/s</w:t>
            </w:r>
          </w:p>
        </w:tc>
        <w:tc>
          <w:tcPr>
            <w:tcW w:w="7558" w:type="dxa"/>
            <w:gridSpan w:val="9"/>
            <w:vAlign w:val="center"/>
          </w:tcPr>
          <w:p w14:paraId="632BCB09">
            <w:pPr>
              <w:pStyle w:val="196"/>
            </w:pPr>
            <w:r>
              <w:rPr>
                <w:rFonts w:hint="eastAsia"/>
              </w:rPr>
              <w:t>卫生防护距离L，m</w:t>
            </w:r>
          </w:p>
        </w:tc>
      </w:tr>
      <w:tr w14:paraId="2DBA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35F540D7">
            <w:pPr>
              <w:pStyle w:val="196"/>
            </w:pPr>
          </w:p>
        </w:tc>
        <w:tc>
          <w:tcPr>
            <w:tcW w:w="963" w:type="dxa"/>
            <w:vMerge w:val="continue"/>
            <w:vAlign w:val="center"/>
          </w:tcPr>
          <w:p w14:paraId="1CC542D0">
            <w:pPr>
              <w:pStyle w:val="196"/>
            </w:pPr>
          </w:p>
        </w:tc>
        <w:tc>
          <w:tcPr>
            <w:tcW w:w="2520" w:type="dxa"/>
            <w:gridSpan w:val="3"/>
            <w:vAlign w:val="center"/>
          </w:tcPr>
          <w:p w14:paraId="56A0DCB5">
            <w:pPr>
              <w:pStyle w:val="196"/>
            </w:pPr>
            <w:r>
              <w:rPr>
                <w:rFonts w:hint="eastAsia"/>
              </w:rPr>
              <w:t>L≤1000</w:t>
            </w:r>
          </w:p>
        </w:tc>
        <w:tc>
          <w:tcPr>
            <w:tcW w:w="2518" w:type="dxa"/>
            <w:gridSpan w:val="3"/>
            <w:vAlign w:val="center"/>
          </w:tcPr>
          <w:p w14:paraId="743FFFF7">
            <w:pPr>
              <w:pStyle w:val="196"/>
            </w:pPr>
            <w:r>
              <w:rPr>
                <w:rFonts w:hint="eastAsia"/>
              </w:rPr>
              <w:t>1000</w:t>
            </w:r>
            <w:r>
              <w:rPr>
                <w:rFonts w:hint="eastAsia"/>
                <w:lang w:eastAsia="zh-CN"/>
              </w:rPr>
              <w:t>&lt;</w:t>
            </w:r>
            <w:r>
              <w:rPr>
                <w:rFonts w:hint="eastAsia"/>
              </w:rPr>
              <w:t>L≤2000</w:t>
            </w:r>
          </w:p>
        </w:tc>
        <w:tc>
          <w:tcPr>
            <w:tcW w:w="2520" w:type="dxa"/>
            <w:gridSpan w:val="3"/>
            <w:vAlign w:val="center"/>
          </w:tcPr>
          <w:p w14:paraId="564B9C5E">
            <w:pPr>
              <w:pStyle w:val="196"/>
            </w:pPr>
            <w:r>
              <w:rPr>
                <w:rFonts w:hint="eastAsia"/>
              </w:rPr>
              <w:t>L</w:t>
            </w:r>
            <w:r>
              <w:rPr>
                <w:rFonts w:hint="eastAsia"/>
                <w:lang w:eastAsia="zh-CN"/>
              </w:rPr>
              <w:t>&gt;</w:t>
            </w:r>
            <w:r>
              <w:rPr>
                <w:rFonts w:hint="eastAsia"/>
              </w:rPr>
              <w:t>2000</w:t>
            </w:r>
          </w:p>
        </w:tc>
      </w:tr>
      <w:tr w14:paraId="2260B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6C077EAF">
            <w:pPr>
              <w:pStyle w:val="196"/>
            </w:pPr>
          </w:p>
        </w:tc>
        <w:tc>
          <w:tcPr>
            <w:tcW w:w="963" w:type="dxa"/>
            <w:vMerge w:val="continue"/>
            <w:vAlign w:val="center"/>
          </w:tcPr>
          <w:p w14:paraId="7693DD75">
            <w:pPr>
              <w:pStyle w:val="196"/>
            </w:pPr>
          </w:p>
        </w:tc>
        <w:tc>
          <w:tcPr>
            <w:tcW w:w="7558" w:type="dxa"/>
            <w:gridSpan w:val="9"/>
            <w:vAlign w:val="center"/>
          </w:tcPr>
          <w:p w14:paraId="21A3C246">
            <w:pPr>
              <w:pStyle w:val="196"/>
            </w:pPr>
            <w:r>
              <w:rPr>
                <w:rFonts w:hint="eastAsia"/>
              </w:rPr>
              <w:t>工业大气污染源构成类别</w:t>
            </w:r>
          </w:p>
        </w:tc>
      </w:tr>
      <w:tr w14:paraId="0792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73AB7F61">
            <w:pPr>
              <w:pStyle w:val="196"/>
            </w:pPr>
          </w:p>
        </w:tc>
        <w:tc>
          <w:tcPr>
            <w:tcW w:w="963" w:type="dxa"/>
            <w:vMerge w:val="continue"/>
            <w:vAlign w:val="center"/>
          </w:tcPr>
          <w:p w14:paraId="15429C42">
            <w:pPr>
              <w:pStyle w:val="196"/>
            </w:pPr>
          </w:p>
        </w:tc>
        <w:tc>
          <w:tcPr>
            <w:tcW w:w="840" w:type="dxa"/>
            <w:vAlign w:val="center"/>
          </w:tcPr>
          <w:p w14:paraId="377158BC">
            <w:pPr>
              <w:pStyle w:val="196"/>
            </w:pPr>
            <w:r>
              <w:rPr>
                <w:rFonts w:hint="eastAsia"/>
              </w:rPr>
              <w:t>Ⅰ</w:t>
            </w:r>
          </w:p>
        </w:tc>
        <w:tc>
          <w:tcPr>
            <w:tcW w:w="841" w:type="dxa"/>
            <w:vAlign w:val="center"/>
          </w:tcPr>
          <w:p w14:paraId="1265E616">
            <w:pPr>
              <w:pStyle w:val="196"/>
            </w:pPr>
            <w:r>
              <w:rPr>
                <w:rFonts w:hint="eastAsia"/>
              </w:rPr>
              <w:t>Ⅱ</w:t>
            </w:r>
          </w:p>
        </w:tc>
        <w:tc>
          <w:tcPr>
            <w:tcW w:w="839" w:type="dxa"/>
            <w:vAlign w:val="center"/>
          </w:tcPr>
          <w:p w14:paraId="6A389FE6">
            <w:pPr>
              <w:pStyle w:val="196"/>
            </w:pPr>
            <w:r>
              <w:rPr>
                <w:rFonts w:hint="eastAsia"/>
              </w:rPr>
              <w:t>Ⅲ</w:t>
            </w:r>
          </w:p>
        </w:tc>
        <w:tc>
          <w:tcPr>
            <w:tcW w:w="840" w:type="dxa"/>
            <w:vAlign w:val="center"/>
          </w:tcPr>
          <w:p w14:paraId="195B2674">
            <w:pPr>
              <w:pStyle w:val="196"/>
            </w:pPr>
            <w:r>
              <w:rPr>
                <w:rFonts w:hint="eastAsia"/>
              </w:rPr>
              <w:t>Ⅰ</w:t>
            </w:r>
          </w:p>
        </w:tc>
        <w:tc>
          <w:tcPr>
            <w:tcW w:w="839" w:type="dxa"/>
            <w:vAlign w:val="center"/>
          </w:tcPr>
          <w:p w14:paraId="58DEF932">
            <w:pPr>
              <w:pStyle w:val="196"/>
            </w:pPr>
            <w:r>
              <w:rPr>
                <w:rFonts w:hint="eastAsia"/>
              </w:rPr>
              <w:t>Ⅱ</w:t>
            </w:r>
          </w:p>
        </w:tc>
        <w:tc>
          <w:tcPr>
            <w:tcW w:w="839" w:type="dxa"/>
            <w:vAlign w:val="center"/>
          </w:tcPr>
          <w:p w14:paraId="7D0AD0D2">
            <w:pPr>
              <w:pStyle w:val="196"/>
            </w:pPr>
            <w:r>
              <w:rPr>
                <w:rFonts w:hint="eastAsia"/>
              </w:rPr>
              <w:t>Ⅲ</w:t>
            </w:r>
          </w:p>
        </w:tc>
        <w:tc>
          <w:tcPr>
            <w:tcW w:w="840" w:type="dxa"/>
            <w:vAlign w:val="center"/>
          </w:tcPr>
          <w:p w14:paraId="22FA0A71">
            <w:pPr>
              <w:pStyle w:val="196"/>
            </w:pPr>
            <w:r>
              <w:rPr>
                <w:rFonts w:hint="eastAsia"/>
              </w:rPr>
              <w:t>Ⅰ</w:t>
            </w:r>
          </w:p>
        </w:tc>
        <w:tc>
          <w:tcPr>
            <w:tcW w:w="839" w:type="dxa"/>
            <w:vAlign w:val="center"/>
          </w:tcPr>
          <w:p w14:paraId="6D6F5828">
            <w:pPr>
              <w:pStyle w:val="196"/>
            </w:pPr>
            <w:r>
              <w:rPr>
                <w:rFonts w:hint="eastAsia"/>
              </w:rPr>
              <w:t>Ⅱ</w:t>
            </w:r>
          </w:p>
        </w:tc>
        <w:tc>
          <w:tcPr>
            <w:tcW w:w="841" w:type="dxa"/>
            <w:vAlign w:val="center"/>
          </w:tcPr>
          <w:p w14:paraId="6395DED4">
            <w:pPr>
              <w:pStyle w:val="196"/>
            </w:pPr>
            <w:r>
              <w:rPr>
                <w:rFonts w:hint="eastAsia"/>
              </w:rPr>
              <w:t>Ⅲ</w:t>
            </w:r>
          </w:p>
        </w:tc>
      </w:tr>
      <w:tr w14:paraId="49CE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restart"/>
            <w:vAlign w:val="center"/>
          </w:tcPr>
          <w:p w14:paraId="16421F5D">
            <w:pPr>
              <w:pStyle w:val="196"/>
            </w:pPr>
            <w:r>
              <w:rPr>
                <w:rFonts w:hint="eastAsia"/>
              </w:rPr>
              <w:t>A</w:t>
            </w:r>
          </w:p>
        </w:tc>
        <w:tc>
          <w:tcPr>
            <w:tcW w:w="963" w:type="dxa"/>
            <w:vAlign w:val="center"/>
          </w:tcPr>
          <w:p w14:paraId="01B9FC98">
            <w:pPr>
              <w:pStyle w:val="196"/>
            </w:pPr>
            <w:r>
              <w:rPr>
                <w:rFonts w:hint="eastAsia"/>
                <w:lang w:eastAsia="zh-CN"/>
              </w:rPr>
              <w:t>&lt;</w:t>
            </w:r>
            <w:r>
              <w:rPr>
                <w:rFonts w:hint="eastAsia"/>
              </w:rPr>
              <w:t>2</w:t>
            </w:r>
          </w:p>
        </w:tc>
        <w:tc>
          <w:tcPr>
            <w:tcW w:w="840" w:type="dxa"/>
            <w:vAlign w:val="center"/>
          </w:tcPr>
          <w:p w14:paraId="571C0379">
            <w:pPr>
              <w:pStyle w:val="196"/>
            </w:pPr>
            <w:r>
              <w:rPr>
                <w:rFonts w:hint="eastAsia"/>
              </w:rPr>
              <w:t>400</w:t>
            </w:r>
          </w:p>
        </w:tc>
        <w:tc>
          <w:tcPr>
            <w:tcW w:w="841" w:type="dxa"/>
            <w:vAlign w:val="center"/>
          </w:tcPr>
          <w:p w14:paraId="68BE11E6">
            <w:pPr>
              <w:pStyle w:val="196"/>
            </w:pPr>
            <w:r>
              <w:rPr>
                <w:rFonts w:hint="eastAsia"/>
              </w:rPr>
              <w:t>400</w:t>
            </w:r>
          </w:p>
        </w:tc>
        <w:tc>
          <w:tcPr>
            <w:tcW w:w="839" w:type="dxa"/>
            <w:vAlign w:val="center"/>
          </w:tcPr>
          <w:p w14:paraId="5EC18656">
            <w:pPr>
              <w:pStyle w:val="196"/>
            </w:pPr>
            <w:r>
              <w:rPr>
                <w:rFonts w:hint="eastAsia"/>
              </w:rPr>
              <w:t>400</w:t>
            </w:r>
          </w:p>
        </w:tc>
        <w:tc>
          <w:tcPr>
            <w:tcW w:w="840" w:type="dxa"/>
            <w:vAlign w:val="center"/>
          </w:tcPr>
          <w:p w14:paraId="414B6CA8">
            <w:pPr>
              <w:pStyle w:val="196"/>
            </w:pPr>
            <w:r>
              <w:rPr>
                <w:rFonts w:hint="eastAsia"/>
              </w:rPr>
              <w:t>400</w:t>
            </w:r>
          </w:p>
        </w:tc>
        <w:tc>
          <w:tcPr>
            <w:tcW w:w="839" w:type="dxa"/>
            <w:vAlign w:val="center"/>
          </w:tcPr>
          <w:p w14:paraId="05943397">
            <w:pPr>
              <w:pStyle w:val="196"/>
            </w:pPr>
            <w:r>
              <w:rPr>
                <w:rFonts w:hint="eastAsia"/>
              </w:rPr>
              <w:t>400</w:t>
            </w:r>
          </w:p>
        </w:tc>
        <w:tc>
          <w:tcPr>
            <w:tcW w:w="839" w:type="dxa"/>
            <w:vAlign w:val="center"/>
          </w:tcPr>
          <w:p w14:paraId="218BD111">
            <w:pPr>
              <w:pStyle w:val="196"/>
            </w:pPr>
            <w:r>
              <w:rPr>
                <w:rFonts w:hint="eastAsia"/>
              </w:rPr>
              <w:t>400</w:t>
            </w:r>
          </w:p>
        </w:tc>
        <w:tc>
          <w:tcPr>
            <w:tcW w:w="840" w:type="dxa"/>
            <w:vAlign w:val="center"/>
          </w:tcPr>
          <w:p w14:paraId="0BE04F46">
            <w:pPr>
              <w:pStyle w:val="196"/>
            </w:pPr>
            <w:r>
              <w:rPr>
                <w:rFonts w:hint="eastAsia"/>
              </w:rPr>
              <w:t>80</w:t>
            </w:r>
          </w:p>
        </w:tc>
        <w:tc>
          <w:tcPr>
            <w:tcW w:w="839" w:type="dxa"/>
            <w:vAlign w:val="center"/>
          </w:tcPr>
          <w:p w14:paraId="374DD898">
            <w:pPr>
              <w:pStyle w:val="196"/>
            </w:pPr>
            <w:r>
              <w:rPr>
                <w:rFonts w:hint="eastAsia"/>
              </w:rPr>
              <w:t>80</w:t>
            </w:r>
          </w:p>
        </w:tc>
        <w:tc>
          <w:tcPr>
            <w:tcW w:w="841" w:type="dxa"/>
            <w:vAlign w:val="center"/>
          </w:tcPr>
          <w:p w14:paraId="407B007B">
            <w:pPr>
              <w:pStyle w:val="196"/>
            </w:pPr>
            <w:r>
              <w:rPr>
                <w:rFonts w:hint="eastAsia"/>
              </w:rPr>
              <w:t>80</w:t>
            </w:r>
          </w:p>
        </w:tc>
      </w:tr>
      <w:tr w14:paraId="2E696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0AF4A084">
            <w:pPr>
              <w:pStyle w:val="196"/>
            </w:pPr>
          </w:p>
        </w:tc>
        <w:tc>
          <w:tcPr>
            <w:tcW w:w="963" w:type="dxa"/>
            <w:vAlign w:val="center"/>
          </w:tcPr>
          <w:p w14:paraId="65BEAE62">
            <w:pPr>
              <w:pStyle w:val="196"/>
            </w:pPr>
            <w:r>
              <w:rPr>
                <w:rFonts w:hint="eastAsia"/>
              </w:rPr>
              <w:t>2</w:t>
            </w:r>
            <w:r>
              <w:rPr>
                <w:rFonts w:hint="eastAsia"/>
                <w:lang w:eastAsia="zh-CN"/>
              </w:rPr>
              <w:t>~</w:t>
            </w:r>
            <w:r>
              <w:rPr>
                <w:rFonts w:hint="eastAsia"/>
              </w:rPr>
              <w:t>4</w:t>
            </w:r>
          </w:p>
        </w:tc>
        <w:tc>
          <w:tcPr>
            <w:tcW w:w="840" w:type="dxa"/>
            <w:vAlign w:val="center"/>
          </w:tcPr>
          <w:p w14:paraId="5F34DBE9">
            <w:pPr>
              <w:pStyle w:val="196"/>
            </w:pPr>
            <w:r>
              <w:rPr>
                <w:rFonts w:hint="eastAsia"/>
              </w:rPr>
              <w:t>700</w:t>
            </w:r>
          </w:p>
        </w:tc>
        <w:tc>
          <w:tcPr>
            <w:tcW w:w="841" w:type="dxa"/>
            <w:shd w:val="clear" w:color="auto" w:fill="BFBFBF"/>
            <w:vAlign w:val="center"/>
          </w:tcPr>
          <w:p w14:paraId="09E57295">
            <w:pPr>
              <w:pStyle w:val="196"/>
            </w:pPr>
            <w:r>
              <w:rPr>
                <w:rFonts w:hint="eastAsia"/>
              </w:rPr>
              <w:t>470</w:t>
            </w:r>
          </w:p>
        </w:tc>
        <w:tc>
          <w:tcPr>
            <w:tcW w:w="839" w:type="dxa"/>
            <w:vAlign w:val="center"/>
          </w:tcPr>
          <w:p w14:paraId="4269780C">
            <w:pPr>
              <w:pStyle w:val="196"/>
            </w:pPr>
            <w:r>
              <w:rPr>
                <w:rFonts w:hint="eastAsia"/>
              </w:rPr>
              <w:t>350</w:t>
            </w:r>
          </w:p>
        </w:tc>
        <w:tc>
          <w:tcPr>
            <w:tcW w:w="840" w:type="dxa"/>
            <w:vAlign w:val="center"/>
          </w:tcPr>
          <w:p w14:paraId="632F4DDB">
            <w:pPr>
              <w:pStyle w:val="196"/>
            </w:pPr>
            <w:r>
              <w:rPr>
                <w:rFonts w:hint="eastAsia"/>
              </w:rPr>
              <w:t>700</w:t>
            </w:r>
          </w:p>
        </w:tc>
        <w:tc>
          <w:tcPr>
            <w:tcW w:w="839" w:type="dxa"/>
            <w:vAlign w:val="center"/>
          </w:tcPr>
          <w:p w14:paraId="28CAC12C">
            <w:pPr>
              <w:pStyle w:val="196"/>
            </w:pPr>
            <w:r>
              <w:rPr>
                <w:rFonts w:hint="eastAsia"/>
              </w:rPr>
              <w:t>470</w:t>
            </w:r>
          </w:p>
        </w:tc>
        <w:tc>
          <w:tcPr>
            <w:tcW w:w="839" w:type="dxa"/>
            <w:vAlign w:val="center"/>
          </w:tcPr>
          <w:p w14:paraId="05617D12">
            <w:pPr>
              <w:pStyle w:val="196"/>
            </w:pPr>
            <w:r>
              <w:rPr>
                <w:rFonts w:hint="eastAsia"/>
              </w:rPr>
              <w:t>350</w:t>
            </w:r>
          </w:p>
        </w:tc>
        <w:tc>
          <w:tcPr>
            <w:tcW w:w="840" w:type="dxa"/>
            <w:vAlign w:val="center"/>
          </w:tcPr>
          <w:p w14:paraId="0807C4FA">
            <w:pPr>
              <w:pStyle w:val="196"/>
            </w:pPr>
            <w:r>
              <w:rPr>
                <w:rFonts w:hint="eastAsia"/>
              </w:rPr>
              <w:t>380</w:t>
            </w:r>
          </w:p>
        </w:tc>
        <w:tc>
          <w:tcPr>
            <w:tcW w:w="839" w:type="dxa"/>
            <w:vAlign w:val="center"/>
          </w:tcPr>
          <w:p w14:paraId="2D1C6F75">
            <w:pPr>
              <w:pStyle w:val="196"/>
            </w:pPr>
            <w:r>
              <w:rPr>
                <w:rFonts w:hint="eastAsia"/>
              </w:rPr>
              <w:t>250</w:t>
            </w:r>
          </w:p>
        </w:tc>
        <w:tc>
          <w:tcPr>
            <w:tcW w:w="841" w:type="dxa"/>
            <w:vAlign w:val="center"/>
          </w:tcPr>
          <w:p w14:paraId="36EC9DAB">
            <w:pPr>
              <w:pStyle w:val="196"/>
            </w:pPr>
            <w:r>
              <w:rPr>
                <w:rFonts w:hint="eastAsia"/>
              </w:rPr>
              <w:t>190</w:t>
            </w:r>
          </w:p>
        </w:tc>
      </w:tr>
      <w:tr w14:paraId="4AC9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1D4E3185">
            <w:pPr>
              <w:pStyle w:val="196"/>
            </w:pPr>
          </w:p>
        </w:tc>
        <w:tc>
          <w:tcPr>
            <w:tcW w:w="963" w:type="dxa"/>
            <w:vAlign w:val="center"/>
          </w:tcPr>
          <w:p w14:paraId="5BCE863E">
            <w:pPr>
              <w:pStyle w:val="196"/>
            </w:pPr>
            <w:r>
              <w:rPr>
                <w:rFonts w:hint="eastAsia"/>
                <w:lang w:eastAsia="zh-CN"/>
              </w:rPr>
              <w:t>&gt;</w:t>
            </w:r>
            <w:r>
              <w:rPr>
                <w:rFonts w:hint="eastAsia"/>
              </w:rPr>
              <w:t>4</w:t>
            </w:r>
          </w:p>
        </w:tc>
        <w:tc>
          <w:tcPr>
            <w:tcW w:w="840" w:type="dxa"/>
            <w:vAlign w:val="center"/>
          </w:tcPr>
          <w:p w14:paraId="1D00EAF1">
            <w:pPr>
              <w:pStyle w:val="196"/>
            </w:pPr>
            <w:r>
              <w:rPr>
                <w:rFonts w:hint="eastAsia"/>
              </w:rPr>
              <w:t>530</w:t>
            </w:r>
          </w:p>
        </w:tc>
        <w:tc>
          <w:tcPr>
            <w:tcW w:w="841" w:type="dxa"/>
            <w:vAlign w:val="center"/>
          </w:tcPr>
          <w:p w14:paraId="4741E10A">
            <w:pPr>
              <w:pStyle w:val="196"/>
            </w:pPr>
            <w:r>
              <w:rPr>
                <w:rFonts w:hint="eastAsia"/>
              </w:rPr>
              <w:t>350</w:t>
            </w:r>
          </w:p>
        </w:tc>
        <w:tc>
          <w:tcPr>
            <w:tcW w:w="839" w:type="dxa"/>
            <w:vAlign w:val="center"/>
          </w:tcPr>
          <w:p w14:paraId="45630D08">
            <w:pPr>
              <w:pStyle w:val="196"/>
            </w:pPr>
            <w:r>
              <w:rPr>
                <w:rFonts w:hint="eastAsia"/>
              </w:rPr>
              <w:t>260</w:t>
            </w:r>
          </w:p>
        </w:tc>
        <w:tc>
          <w:tcPr>
            <w:tcW w:w="840" w:type="dxa"/>
            <w:vAlign w:val="center"/>
          </w:tcPr>
          <w:p w14:paraId="03F7C1EE">
            <w:pPr>
              <w:pStyle w:val="196"/>
            </w:pPr>
            <w:r>
              <w:rPr>
                <w:rFonts w:hint="eastAsia"/>
              </w:rPr>
              <w:t>530</w:t>
            </w:r>
          </w:p>
        </w:tc>
        <w:tc>
          <w:tcPr>
            <w:tcW w:w="839" w:type="dxa"/>
            <w:vAlign w:val="center"/>
          </w:tcPr>
          <w:p w14:paraId="52D768A7">
            <w:pPr>
              <w:pStyle w:val="196"/>
            </w:pPr>
            <w:r>
              <w:rPr>
                <w:rFonts w:hint="eastAsia"/>
              </w:rPr>
              <w:t>350</w:t>
            </w:r>
          </w:p>
        </w:tc>
        <w:tc>
          <w:tcPr>
            <w:tcW w:w="839" w:type="dxa"/>
            <w:vAlign w:val="center"/>
          </w:tcPr>
          <w:p w14:paraId="2CD6BA6B">
            <w:pPr>
              <w:pStyle w:val="196"/>
            </w:pPr>
            <w:r>
              <w:rPr>
                <w:rFonts w:hint="eastAsia"/>
              </w:rPr>
              <w:t>260</w:t>
            </w:r>
          </w:p>
        </w:tc>
        <w:tc>
          <w:tcPr>
            <w:tcW w:w="840" w:type="dxa"/>
            <w:vAlign w:val="center"/>
          </w:tcPr>
          <w:p w14:paraId="44BA55FD">
            <w:pPr>
              <w:pStyle w:val="196"/>
            </w:pPr>
            <w:r>
              <w:rPr>
                <w:rFonts w:hint="eastAsia"/>
              </w:rPr>
              <w:t>290</w:t>
            </w:r>
          </w:p>
        </w:tc>
        <w:tc>
          <w:tcPr>
            <w:tcW w:w="839" w:type="dxa"/>
            <w:vAlign w:val="center"/>
          </w:tcPr>
          <w:p w14:paraId="3B81B0D0">
            <w:pPr>
              <w:pStyle w:val="196"/>
            </w:pPr>
            <w:r>
              <w:rPr>
                <w:rFonts w:hint="eastAsia"/>
              </w:rPr>
              <w:t>190</w:t>
            </w:r>
          </w:p>
        </w:tc>
        <w:tc>
          <w:tcPr>
            <w:tcW w:w="841" w:type="dxa"/>
            <w:vAlign w:val="center"/>
          </w:tcPr>
          <w:p w14:paraId="7968F699">
            <w:pPr>
              <w:pStyle w:val="196"/>
            </w:pPr>
            <w:r>
              <w:rPr>
                <w:rFonts w:hint="eastAsia"/>
              </w:rPr>
              <w:t>140</w:t>
            </w:r>
          </w:p>
        </w:tc>
      </w:tr>
      <w:tr w14:paraId="2946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restart"/>
            <w:vAlign w:val="center"/>
          </w:tcPr>
          <w:p w14:paraId="25A9E426">
            <w:pPr>
              <w:pStyle w:val="196"/>
            </w:pPr>
            <w:r>
              <w:rPr>
                <w:rFonts w:hint="eastAsia"/>
              </w:rPr>
              <w:t>B</w:t>
            </w:r>
          </w:p>
        </w:tc>
        <w:tc>
          <w:tcPr>
            <w:tcW w:w="963" w:type="dxa"/>
            <w:vAlign w:val="center"/>
          </w:tcPr>
          <w:p w14:paraId="01A2419A">
            <w:pPr>
              <w:pStyle w:val="196"/>
            </w:pPr>
            <w:r>
              <w:rPr>
                <w:rFonts w:hint="eastAsia"/>
                <w:lang w:eastAsia="zh-CN"/>
              </w:rPr>
              <w:t>&lt;</w:t>
            </w:r>
            <w:r>
              <w:rPr>
                <w:rFonts w:hint="eastAsia"/>
              </w:rPr>
              <w:t>2</w:t>
            </w:r>
          </w:p>
        </w:tc>
        <w:tc>
          <w:tcPr>
            <w:tcW w:w="2520" w:type="dxa"/>
            <w:gridSpan w:val="3"/>
            <w:vAlign w:val="center"/>
          </w:tcPr>
          <w:p w14:paraId="48BB6279">
            <w:pPr>
              <w:pStyle w:val="196"/>
            </w:pPr>
            <w:r>
              <w:rPr>
                <w:rFonts w:hint="eastAsia"/>
              </w:rPr>
              <w:t>0.01</w:t>
            </w:r>
          </w:p>
        </w:tc>
        <w:tc>
          <w:tcPr>
            <w:tcW w:w="2518" w:type="dxa"/>
            <w:gridSpan w:val="3"/>
            <w:vAlign w:val="center"/>
          </w:tcPr>
          <w:p w14:paraId="57BD9845">
            <w:pPr>
              <w:pStyle w:val="196"/>
            </w:pPr>
            <w:r>
              <w:rPr>
                <w:rFonts w:hint="eastAsia"/>
              </w:rPr>
              <w:t>0.015</w:t>
            </w:r>
          </w:p>
        </w:tc>
        <w:tc>
          <w:tcPr>
            <w:tcW w:w="2520" w:type="dxa"/>
            <w:gridSpan w:val="3"/>
            <w:vAlign w:val="center"/>
          </w:tcPr>
          <w:p w14:paraId="1F876BFB">
            <w:pPr>
              <w:pStyle w:val="196"/>
            </w:pPr>
            <w:r>
              <w:rPr>
                <w:rFonts w:hint="eastAsia"/>
              </w:rPr>
              <w:t>0.015</w:t>
            </w:r>
          </w:p>
        </w:tc>
      </w:tr>
      <w:tr w14:paraId="5AEE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05F8288D">
            <w:pPr>
              <w:pStyle w:val="196"/>
            </w:pPr>
          </w:p>
        </w:tc>
        <w:tc>
          <w:tcPr>
            <w:tcW w:w="963" w:type="dxa"/>
            <w:vAlign w:val="center"/>
          </w:tcPr>
          <w:p w14:paraId="1C386073">
            <w:pPr>
              <w:pStyle w:val="196"/>
            </w:pPr>
            <w:r>
              <w:rPr>
                <w:rFonts w:hint="eastAsia"/>
                <w:lang w:eastAsia="zh-CN"/>
              </w:rPr>
              <w:t>&gt;</w:t>
            </w:r>
            <w:r>
              <w:rPr>
                <w:rFonts w:hint="eastAsia"/>
              </w:rPr>
              <w:t>2</w:t>
            </w:r>
          </w:p>
        </w:tc>
        <w:tc>
          <w:tcPr>
            <w:tcW w:w="2520" w:type="dxa"/>
            <w:gridSpan w:val="3"/>
            <w:shd w:val="clear" w:color="auto" w:fill="C0C0C0"/>
            <w:vAlign w:val="center"/>
          </w:tcPr>
          <w:p w14:paraId="39D8CA3C">
            <w:pPr>
              <w:pStyle w:val="196"/>
            </w:pPr>
            <w:r>
              <w:rPr>
                <w:rFonts w:hint="eastAsia"/>
              </w:rPr>
              <w:t>0.021</w:t>
            </w:r>
          </w:p>
        </w:tc>
        <w:tc>
          <w:tcPr>
            <w:tcW w:w="2518" w:type="dxa"/>
            <w:gridSpan w:val="3"/>
            <w:vAlign w:val="center"/>
          </w:tcPr>
          <w:p w14:paraId="4CD32AF3">
            <w:pPr>
              <w:pStyle w:val="196"/>
            </w:pPr>
            <w:r>
              <w:rPr>
                <w:rFonts w:hint="eastAsia"/>
              </w:rPr>
              <w:t>0.036</w:t>
            </w:r>
          </w:p>
        </w:tc>
        <w:tc>
          <w:tcPr>
            <w:tcW w:w="2520" w:type="dxa"/>
            <w:gridSpan w:val="3"/>
            <w:vAlign w:val="center"/>
          </w:tcPr>
          <w:p w14:paraId="5C238D3C">
            <w:pPr>
              <w:pStyle w:val="196"/>
            </w:pPr>
            <w:r>
              <w:rPr>
                <w:rFonts w:hint="eastAsia"/>
              </w:rPr>
              <w:t>0.036</w:t>
            </w:r>
          </w:p>
        </w:tc>
      </w:tr>
      <w:tr w14:paraId="1A5A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restart"/>
            <w:vAlign w:val="center"/>
          </w:tcPr>
          <w:p w14:paraId="7A404C0A">
            <w:pPr>
              <w:pStyle w:val="196"/>
            </w:pPr>
            <w:r>
              <w:rPr>
                <w:rFonts w:hint="eastAsia"/>
              </w:rPr>
              <w:t>C</w:t>
            </w:r>
          </w:p>
        </w:tc>
        <w:tc>
          <w:tcPr>
            <w:tcW w:w="963" w:type="dxa"/>
            <w:vAlign w:val="center"/>
          </w:tcPr>
          <w:p w14:paraId="0FB20D74">
            <w:pPr>
              <w:pStyle w:val="196"/>
            </w:pPr>
            <w:r>
              <w:rPr>
                <w:rFonts w:hint="eastAsia"/>
                <w:lang w:eastAsia="zh-CN"/>
              </w:rPr>
              <w:t>&lt;</w:t>
            </w:r>
            <w:r>
              <w:rPr>
                <w:rFonts w:hint="eastAsia"/>
              </w:rPr>
              <w:t>2</w:t>
            </w:r>
          </w:p>
        </w:tc>
        <w:tc>
          <w:tcPr>
            <w:tcW w:w="2520" w:type="dxa"/>
            <w:gridSpan w:val="3"/>
            <w:vAlign w:val="center"/>
          </w:tcPr>
          <w:p w14:paraId="3CBACB52">
            <w:pPr>
              <w:pStyle w:val="196"/>
            </w:pPr>
            <w:r>
              <w:rPr>
                <w:rFonts w:hint="eastAsia"/>
              </w:rPr>
              <w:t>1.85</w:t>
            </w:r>
          </w:p>
        </w:tc>
        <w:tc>
          <w:tcPr>
            <w:tcW w:w="2518" w:type="dxa"/>
            <w:gridSpan w:val="3"/>
            <w:vAlign w:val="center"/>
          </w:tcPr>
          <w:p w14:paraId="6516DAC2">
            <w:pPr>
              <w:pStyle w:val="196"/>
            </w:pPr>
            <w:r>
              <w:rPr>
                <w:rFonts w:hint="eastAsia"/>
              </w:rPr>
              <w:t>1.79</w:t>
            </w:r>
          </w:p>
        </w:tc>
        <w:tc>
          <w:tcPr>
            <w:tcW w:w="2520" w:type="dxa"/>
            <w:gridSpan w:val="3"/>
            <w:vAlign w:val="center"/>
          </w:tcPr>
          <w:p w14:paraId="38D339BD">
            <w:pPr>
              <w:pStyle w:val="196"/>
            </w:pPr>
            <w:r>
              <w:rPr>
                <w:rFonts w:hint="eastAsia"/>
              </w:rPr>
              <w:t>1.79</w:t>
            </w:r>
          </w:p>
        </w:tc>
      </w:tr>
      <w:tr w14:paraId="1B85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550" w:type="dxa"/>
            <w:vMerge w:val="continue"/>
            <w:vAlign w:val="center"/>
          </w:tcPr>
          <w:p w14:paraId="2D138B75">
            <w:pPr>
              <w:pStyle w:val="196"/>
            </w:pPr>
          </w:p>
        </w:tc>
        <w:tc>
          <w:tcPr>
            <w:tcW w:w="963" w:type="dxa"/>
            <w:vAlign w:val="center"/>
          </w:tcPr>
          <w:p w14:paraId="61D9C565">
            <w:pPr>
              <w:pStyle w:val="196"/>
            </w:pPr>
            <w:r>
              <w:rPr>
                <w:rFonts w:hint="eastAsia"/>
                <w:lang w:eastAsia="zh-CN"/>
              </w:rPr>
              <w:t>&gt;</w:t>
            </w:r>
            <w:r>
              <w:rPr>
                <w:rFonts w:hint="eastAsia"/>
              </w:rPr>
              <w:t>2</w:t>
            </w:r>
          </w:p>
        </w:tc>
        <w:tc>
          <w:tcPr>
            <w:tcW w:w="2520" w:type="dxa"/>
            <w:gridSpan w:val="3"/>
            <w:shd w:val="clear" w:color="auto" w:fill="C0C0C0"/>
            <w:vAlign w:val="center"/>
          </w:tcPr>
          <w:p w14:paraId="7A768EE0">
            <w:pPr>
              <w:pStyle w:val="196"/>
            </w:pPr>
            <w:r>
              <w:rPr>
                <w:rFonts w:hint="eastAsia"/>
              </w:rPr>
              <w:t>1.85</w:t>
            </w:r>
          </w:p>
        </w:tc>
        <w:tc>
          <w:tcPr>
            <w:tcW w:w="2518" w:type="dxa"/>
            <w:gridSpan w:val="3"/>
            <w:vAlign w:val="center"/>
          </w:tcPr>
          <w:p w14:paraId="315429C0">
            <w:pPr>
              <w:pStyle w:val="196"/>
            </w:pPr>
            <w:r>
              <w:rPr>
                <w:rFonts w:hint="eastAsia"/>
              </w:rPr>
              <w:t>1.77</w:t>
            </w:r>
          </w:p>
        </w:tc>
        <w:tc>
          <w:tcPr>
            <w:tcW w:w="2520" w:type="dxa"/>
            <w:gridSpan w:val="3"/>
            <w:vAlign w:val="center"/>
          </w:tcPr>
          <w:p w14:paraId="04D286B1">
            <w:pPr>
              <w:pStyle w:val="196"/>
            </w:pPr>
            <w:r>
              <w:rPr>
                <w:rFonts w:hint="eastAsia"/>
              </w:rPr>
              <w:t>1.77</w:t>
            </w:r>
          </w:p>
        </w:tc>
      </w:tr>
      <w:tr w14:paraId="66569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restart"/>
            <w:vAlign w:val="center"/>
          </w:tcPr>
          <w:p w14:paraId="7A5EB75E">
            <w:pPr>
              <w:pStyle w:val="196"/>
            </w:pPr>
            <w:r>
              <w:rPr>
                <w:rFonts w:hint="eastAsia"/>
              </w:rPr>
              <w:t>D</w:t>
            </w:r>
          </w:p>
        </w:tc>
        <w:tc>
          <w:tcPr>
            <w:tcW w:w="963" w:type="dxa"/>
            <w:vAlign w:val="center"/>
          </w:tcPr>
          <w:p w14:paraId="1EAD903B">
            <w:pPr>
              <w:pStyle w:val="196"/>
            </w:pPr>
            <w:r>
              <w:rPr>
                <w:rFonts w:hint="eastAsia"/>
                <w:lang w:eastAsia="zh-CN"/>
              </w:rPr>
              <w:t>&lt;</w:t>
            </w:r>
            <w:r>
              <w:rPr>
                <w:rFonts w:hint="eastAsia"/>
              </w:rPr>
              <w:t>2</w:t>
            </w:r>
          </w:p>
        </w:tc>
        <w:tc>
          <w:tcPr>
            <w:tcW w:w="2520" w:type="dxa"/>
            <w:gridSpan w:val="3"/>
            <w:vAlign w:val="center"/>
          </w:tcPr>
          <w:p w14:paraId="0382DD50">
            <w:pPr>
              <w:pStyle w:val="196"/>
            </w:pPr>
            <w:r>
              <w:rPr>
                <w:rFonts w:hint="eastAsia"/>
              </w:rPr>
              <w:t>0.78</w:t>
            </w:r>
          </w:p>
        </w:tc>
        <w:tc>
          <w:tcPr>
            <w:tcW w:w="2518" w:type="dxa"/>
            <w:gridSpan w:val="3"/>
            <w:vAlign w:val="center"/>
          </w:tcPr>
          <w:p w14:paraId="4E70EA2D">
            <w:pPr>
              <w:pStyle w:val="196"/>
            </w:pPr>
            <w:r>
              <w:rPr>
                <w:rFonts w:hint="eastAsia"/>
              </w:rPr>
              <w:t>0.78</w:t>
            </w:r>
          </w:p>
        </w:tc>
        <w:tc>
          <w:tcPr>
            <w:tcW w:w="2520" w:type="dxa"/>
            <w:gridSpan w:val="3"/>
            <w:vAlign w:val="center"/>
          </w:tcPr>
          <w:p w14:paraId="5CD4AF51">
            <w:pPr>
              <w:pStyle w:val="196"/>
            </w:pPr>
            <w:r>
              <w:rPr>
                <w:rFonts w:hint="eastAsia"/>
              </w:rPr>
              <w:t>0.57</w:t>
            </w:r>
          </w:p>
        </w:tc>
      </w:tr>
      <w:tr w14:paraId="0A3A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50" w:type="dxa"/>
            <w:vMerge w:val="continue"/>
            <w:vAlign w:val="center"/>
          </w:tcPr>
          <w:p w14:paraId="21F7B1BB">
            <w:pPr>
              <w:pStyle w:val="196"/>
            </w:pPr>
          </w:p>
        </w:tc>
        <w:tc>
          <w:tcPr>
            <w:tcW w:w="963" w:type="dxa"/>
            <w:vAlign w:val="center"/>
          </w:tcPr>
          <w:p w14:paraId="366A17B8">
            <w:pPr>
              <w:pStyle w:val="196"/>
            </w:pPr>
            <w:r>
              <w:rPr>
                <w:rFonts w:hint="eastAsia"/>
                <w:lang w:eastAsia="zh-CN"/>
              </w:rPr>
              <w:t>&gt;</w:t>
            </w:r>
            <w:r>
              <w:rPr>
                <w:rFonts w:hint="eastAsia"/>
              </w:rPr>
              <w:t>2</w:t>
            </w:r>
          </w:p>
        </w:tc>
        <w:tc>
          <w:tcPr>
            <w:tcW w:w="2520" w:type="dxa"/>
            <w:gridSpan w:val="3"/>
            <w:shd w:val="clear" w:color="auto" w:fill="C0C0C0"/>
            <w:vAlign w:val="center"/>
          </w:tcPr>
          <w:p w14:paraId="1F1CBDF2">
            <w:pPr>
              <w:pStyle w:val="196"/>
            </w:pPr>
            <w:r>
              <w:rPr>
                <w:rFonts w:hint="eastAsia"/>
              </w:rPr>
              <w:t>0.84</w:t>
            </w:r>
          </w:p>
        </w:tc>
        <w:tc>
          <w:tcPr>
            <w:tcW w:w="2518" w:type="dxa"/>
            <w:gridSpan w:val="3"/>
            <w:vAlign w:val="center"/>
          </w:tcPr>
          <w:p w14:paraId="2CAFA70F">
            <w:pPr>
              <w:pStyle w:val="196"/>
            </w:pPr>
            <w:r>
              <w:rPr>
                <w:rFonts w:hint="eastAsia"/>
              </w:rPr>
              <w:t>0.84</w:t>
            </w:r>
          </w:p>
        </w:tc>
        <w:tc>
          <w:tcPr>
            <w:tcW w:w="2520" w:type="dxa"/>
            <w:gridSpan w:val="3"/>
            <w:vAlign w:val="center"/>
          </w:tcPr>
          <w:p w14:paraId="69A8C27D">
            <w:pPr>
              <w:pStyle w:val="196"/>
            </w:pPr>
            <w:r>
              <w:rPr>
                <w:rFonts w:hint="eastAsia"/>
              </w:rPr>
              <w:t>0.76</w:t>
            </w:r>
          </w:p>
        </w:tc>
      </w:tr>
    </w:tbl>
    <w:p w14:paraId="72DD5F99">
      <w:pPr>
        <w:ind w:firstLine="480"/>
      </w:pPr>
      <w:r>
        <w:rPr>
          <w:rFonts w:hint="eastAsia"/>
        </w:rPr>
        <w:t>卫生防护距离计算结果见表5.2-6。</w:t>
      </w:r>
    </w:p>
    <w:p w14:paraId="31A95C2E">
      <w:pPr>
        <w:pStyle w:val="86"/>
      </w:pPr>
      <w:r>
        <w:rPr>
          <w:rFonts w:hint="eastAsia"/>
        </w:rPr>
        <w:t>本项目卫生防护距离计算结果表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998"/>
        <w:gridCol w:w="1416"/>
        <w:gridCol w:w="1133"/>
        <w:gridCol w:w="1133"/>
        <w:gridCol w:w="1607"/>
        <w:gridCol w:w="1277"/>
      </w:tblGrid>
      <w:tr w14:paraId="3418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2" w:type="pct"/>
            <w:vAlign w:val="center"/>
          </w:tcPr>
          <w:p w14:paraId="49422441">
            <w:pPr>
              <w:pStyle w:val="196"/>
            </w:pPr>
            <w:r>
              <w:rPr>
                <w:rFonts w:hint="eastAsia"/>
              </w:rPr>
              <w:t>污染源</w:t>
            </w:r>
          </w:p>
        </w:tc>
        <w:tc>
          <w:tcPr>
            <w:tcW w:w="583" w:type="pct"/>
            <w:vAlign w:val="center"/>
          </w:tcPr>
          <w:p w14:paraId="0975BFC3">
            <w:pPr>
              <w:pStyle w:val="196"/>
            </w:pPr>
            <w:r>
              <w:rPr>
                <w:rFonts w:hint="eastAsia"/>
              </w:rPr>
              <w:t>污染物</w:t>
            </w:r>
          </w:p>
        </w:tc>
        <w:tc>
          <w:tcPr>
            <w:tcW w:w="831" w:type="pct"/>
            <w:vAlign w:val="center"/>
          </w:tcPr>
          <w:p w14:paraId="054A4FC5">
            <w:pPr>
              <w:pStyle w:val="196"/>
            </w:pPr>
            <w:r>
              <w:rPr>
                <w:rFonts w:hint="eastAsia"/>
              </w:rPr>
              <w:t>排放源强</w:t>
            </w:r>
          </w:p>
          <w:p w14:paraId="0EE2E753">
            <w:pPr>
              <w:pStyle w:val="196"/>
            </w:pPr>
            <w:r>
              <w:rPr>
                <w:rFonts w:hint="eastAsia"/>
                <w:lang w:eastAsia="zh-CN"/>
              </w:rPr>
              <w:t>(</w:t>
            </w:r>
            <w:r>
              <w:rPr>
                <w:rFonts w:hint="eastAsia"/>
              </w:rPr>
              <w:t>kg/h</w:t>
            </w:r>
            <w:r>
              <w:rPr>
                <w:rFonts w:hint="eastAsia"/>
                <w:lang w:eastAsia="zh-CN"/>
              </w:rPr>
              <w:t>)</w:t>
            </w:r>
          </w:p>
        </w:tc>
        <w:tc>
          <w:tcPr>
            <w:tcW w:w="665" w:type="pct"/>
            <w:vAlign w:val="center"/>
          </w:tcPr>
          <w:p w14:paraId="31D11BD1">
            <w:pPr>
              <w:pStyle w:val="196"/>
            </w:pPr>
            <w:r>
              <w:rPr>
                <w:rFonts w:hint="eastAsia"/>
              </w:rPr>
              <w:t>面源长度（m）</w:t>
            </w:r>
          </w:p>
        </w:tc>
        <w:tc>
          <w:tcPr>
            <w:tcW w:w="665" w:type="pct"/>
            <w:vAlign w:val="center"/>
          </w:tcPr>
          <w:p w14:paraId="3E24F166">
            <w:pPr>
              <w:pStyle w:val="196"/>
            </w:pPr>
            <w:r>
              <w:rPr>
                <w:rFonts w:hint="eastAsia"/>
              </w:rPr>
              <w:t>面源宽度（m）</w:t>
            </w:r>
          </w:p>
        </w:tc>
        <w:tc>
          <w:tcPr>
            <w:tcW w:w="943" w:type="pct"/>
            <w:vAlign w:val="center"/>
          </w:tcPr>
          <w:p w14:paraId="2A4DB30B">
            <w:pPr>
              <w:pStyle w:val="196"/>
            </w:pPr>
            <w:r>
              <w:rPr>
                <w:rFonts w:hint="eastAsia"/>
              </w:rPr>
              <w:t>卫生防护距离计算结果（m）</w:t>
            </w:r>
          </w:p>
        </w:tc>
        <w:tc>
          <w:tcPr>
            <w:tcW w:w="749" w:type="pct"/>
            <w:vAlign w:val="center"/>
          </w:tcPr>
          <w:p w14:paraId="01DA7070">
            <w:pPr>
              <w:pStyle w:val="196"/>
            </w:pPr>
            <w:r>
              <w:rPr>
                <w:rFonts w:hint="eastAsia"/>
              </w:rPr>
              <w:t>卫生防护距离取值（m）</w:t>
            </w:r>
          </w:p>
        </w:tc>
      </w:tr>
      <w:tr w14:paraId="1FBDD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62" w:type="pct"/>
            <w:vAlign w:val="center"/>
          </w:tcPr>
          <w:p w14:paraId="1B60BB98">
            <w:pPr>
              <w:pStyle w:val="196"/>
            </w:pPr>
            <w:r>
              <w:rPr>
                <w:rFonts w:hint="eastAsia"/>
              </w:rPr>
              <w:t>港区</w:t>
            </w:r>
          </w:p>
        </w:tc>
        <w:tc>
          <w:tcPr>
            <w:tcW w:w="583" w:type="pct"/>
            <w:vAlign w:val="center"/>
          </w:tcPr>
          <w:p w14:paraId="69097827">
            <w:pPr>
              <w:pStyle w:val="196"/>
            </w:pPr>
            <w:r>
              <w:rPr>
                <w:rFonts w:hint="eastAsia"/>
              </w:rPr>
              <w:t>颗粒物（TSP）</w:t>
            </w:r>
          </w:p>
        </w:tc>
        <w:tc>
          <w:tcPr>
            <w:tcW w:w="831" w:type="pct"/>
            <w:vAlign w:val="center"/>
          </w:tcPr>
          <w:p w14:paraId="2B536A61">
            <w:pPr>
              <w:pStyle w:val="196"/>
            </w:pPr>
            <w:r>
              <w:rPr>
                <w:rFonts w:eastAsia="等线" w:cs="Times New Roman"/>
                <w:szCs w:val="21"/>
              </w:rPr>
              <w:t>1.022</w:t>
            </w:r>
          </w:p>
        </w:tc>
        <w:tc>
          <w:tcPr>
            <w:tcW w:w="665" w:type="pct"/>
            <w:vAlign w:val="center"/>
          </w:tcPr>
          <w:p w14:paraId="3A24C888">
            <w:pPr>
              <w:pStyle w:val="196"/>
            </w:pPr>
            <w:r>
              <w:t>182</w:t>
            </w:r>
          </w:p>
        </w:tc>
        <w:tc>
          <w:tcPr>
            <w:tcW w:w="665" w:type="pct"/>
            <w:vAlign w:val="center"/>
          </w:tcPr>
          <w:p w14:paraId="302DD336">
            <w:pPr>
              <w:pStyle w:val="196"/>
            </w:pPr>
            <w:r>
              <w:rPr>
                <w:rFonts w:hint="eastAsia"/>
              </w:rPr>
              <w:t>9</w:t>
            </w:r>
            <w:r>
              <w:t>0</w:t>
            </w:r>
          </w:p>
        </w:tc>
        <w:tc>
          <w:tcPr>
            <w:tcW w:w="943" w:type="pct"/>
            <w:vAlign w:val="center"/>
          </w:tcPr>
          <w:p w14:paraId="690C953B">
            <w:pPr>
              <w:pStyle w:val="196"/>
            </w:pPr>
            <w:r>
              <w:rPr>
                <w:rFonts w:hint="eastAsia"/>
              </w:rPr>
              <w:t>24.604</w:t>
            </w:r>
          </w:p>
        </w:tc>
        <w:tc>
          <w:tcPr>
            <w:tcW w:w="749" w:type="pct"/>
            <w:vAlign w:val="center"/>
          </w:tcPr>
          <w:p w14:paraId="22C5F7BD">
            <w:pPr>
              <w:pStyle w:val="196"/>
            </w:pPr>
            <w:r>
              <w:rPr>
                <w:rFonts w:hint="eastAsia"/>
              </w:rPr>
              <w:t>5</w:t>
            </w:r>
            <w:r>
              <w:t>0</w:t>
            </w:r>
          </w:p>
        </w:tc>
      </w:tr>
    </w:tbl>
    <w:p w14:paraId="5125252A">
      <w:pPr>
        <w:pStyle w:val="93"/>
      </w:pPr>
      <w:r>
        <w:rPr>
          <w:rFonts w:hint="eastAsia"/>
        </w:rPr>
        <w:t>经计算，颗粒物（TSP）计算的防护距离均为50m，根据确定卫生防护距离的要求，确定本项目厂界需设置50m的卫生防护距离。根据现场调查50m卫生防护距离内无环境保护目标。</w:t>
      </w:r>
    </w:p>
    <w:p w14:paraId="190FAC5A">
      <w:pPr>
        <w:ind w:firstLine="480"/>
        <w:rPr>
          <w:bCs/>
        </w:rPr>
      </w:pPr>
      <w:r>
        <w:rPr>
          <w:rFonts w:hint="eastAsia"/>
          <w:bCs/>
        </w:rPr>
        <w:t>建设项目大气环境影响评价自查表详见表5.2.1-7。</w:t>
      </w:r>
    </w:p>
    <w:p w14:paraId="0953C859">
      <w:pPr>
        <w:pStyle w:val="86"/>
      </w:pPr>
      <w:r>
        <w:rPr>
          <w:rFonts w:hint="eastAsia"/>
        </w:rPr>
        <w:t>建设项目大气环境影响评价自查表</w:t>
      </w:r>
    </w:p>
    <w:tbl>
      <w:tblPr>
        <w:tblStyle w:val="38"/>
        <w:tblW w:w="8703"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4"/>
        <w:gridCol w:w="1173"/>
        <w:gridCol w:w="827"/>
        <w:gridCol w:w="80"/>
        <w:gridCol w:w="488"/>
        <w:gridCol w:w="587"/>
        <w:gridCol w:w="186"/>
        <w:gridCol w:w="898"/>
        <w:gridCol w:w="398"/>
        <w:gridCol w:w="845"/>
        <w:gridCol w:w="345"/>
        <w:gridCol w:w="654"/>
        <w:gridCol w:w="433"/>
        <w:gridCol w:w="614"/>
        <w:gridCol w:w="511"/>
      </w:tblGrid>
      <w:tr w14:paraId="33AB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837" w:type="dxa"/>
            <w:gridSpan w:val="2"/>
            <w:tcBorders>
              <w:top w:val="single" w:color="auto" w:sz="4" w:space="0"/>
              <w:left w:val="single" w:color="auto" w:sz="4" w:space="0"/>
              <w:bottom w:val="single" w:color="auto" w:sz="4" w:space="0"/>
              <w:right w:val="single" w:color="auto" w:sz="4" w:space="0"/>
            </w:tcBorders>
            <w:vAlign w:val="center"/>
          </w:tcPr>
          <w:p w14:paraId="6E39B507">
            <w:pPr>
              <w:pStyle w:val="196"/>
            </w:pPr>
            <w:r>
              <w:rPr>
                <w:rFonts w:hint="eastAsia"/>
              </w:rPr>
              <w:t>工作内容</w:t>
            </w:r>
          </w:p>
        </w:tc>
        <w:tc>
          <w:tcPr>
            <w:tcW w:w="6866" w:type="dxa"/>
            <w:gridSpan w:val="13"/>
            <w:tcBorders>
              <w:top w:val="single" w:color="auto" w:sz="4" w:space="0"/>
              <w:left w:val="single" w:color="auto" w:sz="4" w:space="0"/>
              <w:bottom w:val="single" w:color="auto" w:sz="4" w:space="0"/>
              <w:right w:val="single" w:color="auto" w:sz="4" w:space="0"/>
            </w:tcBorders>
            <w:vAlign w:val="center"/>
          </w:tcPr>
          <w:p w14:paraId="36E2BE50">
            <w:pPr>
              <w:pStyle w:val="196"/>
            </w:pPr>
            <w:r>
              <w:rPr>
                <w:rFonts w:hint="eastAsia"/>
              </w:rPr>
              <w:t>自查项目</w:t>
            </w:r>
          </w:p>
        </w:tc>
      </w:tr>
      <w:tr w14:paraId="6300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restart"/>
            <w:tcBorders>
              <w:top w:val="nil"/>
              <w:left w:val="single" w:color="auto" w:sz="4" w:space="0"/>
              <w:bottom w:val="single" w:color="auto" w:sz="4" w:space="0"/>
              <w:right w:val="single" w:color="auto" w:sz="4" w:space="0"/>
            </w:tcBorders>
            <w:vAlign w:val="center"/>
          </w:tcPr>
          <w:p w14:paraId="5FA8C53B">
            <w:pPr>
              <w:pStyle w:val="196"/>
            </w:pPr>
            <w:r>
              <w:rPr>
                <w:rFonts w:hint="eastAsia"/>
              </w:rPr>
              <w:t>评价等级与范围</w:t>
            </w:r>
          </w:p>
        </w:tc>
        <w:tc>
          <w:tcPr>
            <w:tcW w:w="1173" w:type="dxa"/>
            <w:tcBorders>
              <w:top w:val="single" w:color="auto" w:sz="4" w:space="0"/>
              <w:left w:val="single" w:color="auto" w:sz="4" w:space="0"/>
              <w:bottom w:val="single" w:color="auto" w:sz="4" w:space="0"/>
              <w:right w:val="single" w:color="auto" w:sz="4" w:space="0"/>
            </w:tcBorders>
            <w:vAlign w:val="center"/>
          </w:tcPr>
          <w:p w14:paraId="68A35873">
            <w:pPr>
              <w:pStyle w:val="196"/>
            </w:pPr>
            <w:r>
              <w:rPr>
                <w:rFonts w:hint="eastAsia"/>
              </w:rPr>
              <w:t>评价等级</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5D8522D2">
            <w:pPr>
              <w:pStyle w:val="196"/>
            </w:pPr>
            <w:r>
              <w:rPr>
                <w:rFonts w:hint="eastAsia"/>
              </w:rPr>
              <w:t>一级□</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5795B378">
            <w:pPr>
              <w:pStyle w:val="196"/>
            </w:pPr>
            <w:r>
              <w:rPr>
                <w:rFonts w:hint="eastAsia"/>
              </w:rPr>
              <w:t>二级</w:t>
            </w:r>
            <w:r>
              <w:rPr>
                <w:rFonts w:hint="eastAsia" w:ascii="Segoe UI Symbol" w:hAnsi="Segoe UI Symbol" w:cs="Segoe UI Symbol"/>
              </w:rPr>
              <w:t>☑</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2512F2FD">
            <w:pPr>
              <w:pStyle w:val="196"/>
            </w:pPr>
            <w:r>
              <w:rPr>
                <w:rFonts w:hint="eastAsia"/>
              </w:rPr>
              <w:t>三级□</w:t>
            </w:r>
          </w:p>
        </w:tc>
      </w:tr>
      <w:tr w14:paraId="7673B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28FD141E">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0FF98ECE">
            <w:pPr>
              <w:pStyle w:val="196"/>
            </w:pPr>
            <w:r>
              <w:rPr>
                <w:rFonts w:hint="eastAsia"/>
              </w:rPr>
              <w:t>评价范围</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73E82862">
            <w:pPr>
              <w:pStyle w:val="196"/>
            </w:pPr>
            <w:r>
              <w:rPr>
                <w:rFonts w:hint="eastAsia"/>
              </w:rPr>
              <w:t>边长=50km□</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2C62369B">
            <w:pPr>
              <w:pStyle w:val="196"/>
            </w:pPr>
            <w:r>
              <w:rPr>
                <w:rFonts w:hint="eastAsia"/>
              </w:rPr>
              <w:t>边长5</w:t>
            </w:r>
            <w:r>
              <w:rPr>
                <w:rFonts w:hint="eastAsia"/>
                <w:lang w:eastAsia="zh-CN"/>
              </w:rPr>
              <w:t>～</w:t>
            </w:r>
            <w:r>
              <w:rPr>
                <w:rFonts w:hint="eastAsia"/>
              </w:rPr>
              <w:t>50km□</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4ED5ADA7">
            <w:pPr>
              <w:pStyle w:val="196"/>
            </w:pPr>
            <w:r>
              <w:rPr>
                <w:rFonts w:hint="eastAsia"/>
              </w:rPr>
              <w:t>边长=5km</w:t>
            </w:r>
            <w:r>
              <w:rPr>
                <w:rFonts w:hint="eastAsia" w:ascii="Segoe UI Symbol" w:hAnsi="Segoe UI Symbol" w:cs="Segoe UI Symbol"/>
              </w:rPr>
              <w:t>☑</w:t>
            </w:r>
          </w:p>
        </w:tc>
      </w:tr>
      <w:tr w14:paraId="5B65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restart"/>
            <w:tcBorders>
              <w:top w:val="nil"/>
              <w:left w:val="single" w:color="auto" w:sz="4" w:space="0"/>
              <w:bottom w:val="single" w:color="auto" w:sz="4" w:space="0"/>
              <w:right w:val="single" w:color="auto" w:sz="4" w:space="0"/>
            </w:tcBorders>
            <w:vAlign w:val="center"/>
          </w:tcPr>
          <w:p w14:paraId="4FFCA945">
            <w:pPr>
              <w:pStyle w:val="196"/>
            </w:pPr>
            <w:r>
              <w:rPr>
                <w:rFonts w:hint="eastAsia"/>
              </w:rPr>
              <w:t>评价因子</w:t>
            </w:r>
          </w:p>
        </w:tc>
        <w:tc>
          <w:tcPr>
            <w:tcW w:w="1173" w:type="dxa"/>
            <w:tcBorders>
              <w:top w:val="single" w:color="auto" w:sz="4" w:space="0"/>
              <w:left w:val="single" w:color="auto" w:sz="4" w:space="0"/>
              <w:bottom w:val="single" w:color="auto" w:sz="4" w:space="0"/>
              <w:right w:val="single" w:color="auto" w:sz="4" w:space="0"/>
            </w:tcBorders>
            <w:vAlign w:val="center"/>
          </w:tcPr>
          <w:p w14:paraId="2AF69A41">
            <w:pPr>
              <w:pStyle w:val="196"/>
            </w:pPr>
            <w:r>
              <w:rPr>
                <w:rFonts w:hint="eastAsia"/>
              </w:rPr>
              <w:t>SO</w:t>
            </w:r>
            <w:r>
              <w:rPr>
                <w:rFonts w:hint="eastAsia"/>
                <w:vertAlign w:val="subscript"/>
              </w:rPr>
              <w:t>2</w:t>
            </w:r>
            <w:r>
              <w:rPr>
                <w:rFonts w:hint="eastAsia"/>
              </w:rPr>
              <w:t>+NO</w:t>
            </w:r>
            <w:r>
              <w:rPr>
                <w:rFonts w:hint="eastAsia"/>
                <w:vertAlign w:val="subscript"/>
              </w:rPr>
              <w:t>x</w:t>
            </w:r>
            <w:r>
              <w:rPr>
                <w:rFonts w:hint="eastAsia"/>
              </w:rPr>
              <w:t>排放量</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51886F74">
            <w:pPr>
              <w:pStyle w:val="196"/>
            </w:pPr>
            <w:r>
              <w:rPr>
                <w:rFonts w:hint="eastAsia"/>
              </w:rPr>
              <w:t>≥2000t/a□</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7A2885AF">
            <w:pPr>
              <w:pStyle w:val="196"/>
            </w:pPr>
            <w:r>
              <w:rPr>
                <w:rFonts w:hint="eastAsia"/>
              </w:rPr>
              <w:t>500</w:t>
            </w:r>
            <w:r>
              <w:rPr>
                <w:rFonts w:hint="eastAsia"/>
                <w:lang w:eastAsia="zh-CN"/>
              </w:rPr>
              <w:t>~</w:t>
            </w:r>
            <w:r>
              <w:rPr>
                <w:rFonts w:hint="eastAsia"/>
              </w:rPr>
              <w:t>2000t/a□</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7F9D94E3">
            <w:pPr>
              <w:pStyle w:val="196"/>
            </w:pPr>
            <w:r>
              <w:rPr>
                <w:rFonts w:hint="eastAsia"/>
                <w:lang w:eastAsia="zh-CN"/>
              </w:rPr>
              <w:t>&lt;</w:t>
            </w:r>
            <w:r>
              <w:rPr>
                <w:rFonts w:hint="eastAsia"/>
              </w:rPr>
              <w:t>500t/a</w:t>
            </w:r>
            <w:r>
              <w:rPr>
                <w:rFonts w:hint="eastAsia" w:ascii="Segoe UI Symbol" w:hAnsi="Segoe UI Symbol" w:cs="Segoe UI Symbol"/>
              </w:rPr>
              <w:t>☑</w:t>
            </w:r>
          </w:p>
        </w:tc>
      </w:tr>
      <w:tr w14:paraId="6CD8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6C9C052C">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387F6883">
            <w:pPr>
              <w:pStyle w:val="196"/>
            </w:pPr>
            <w:r>
              <w:rPr>
                <w:rFonts w:hint="eastAsia"/>
              </w:rPr>
              <w:t>评价因子</w:t>
            </w:r>
          </w:p>
        </w:tc>
        <w:tc>
          <w:tcPr>
            <w:tcW w:w="4309" w:type="dxa"/>
            <w:gridSpan w:val="8"/>
            <w:tcBorders>
              <w:top w:val="single" w:color="auto" w:sz="4" w:space="0"/>
              <w:left w:val="single" w:color="auto" w:sz="4" w:space="0"/>
              <w:bottom w:val="single" w:color="auto" w:sz="4" w:space="0"/>
              <w:right w:val="single" w:color="auto" w:sz="4" w:space="0"/>
            </w:tcBorders>
            <w:vAlign w:val="center"/>
          </w:tcPr>
          <w:p w14:paraId="0AD9496D">
            <w:pPr>
              <w:pStyle w:val="196"/>
            </w:pPr>
            <w:r>
              <w:rPr>
                <w:rFonts w:hint="eastAsia"/>
              </w:rPr>
              <w:t>基本污染物（SO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、CO、O</w:t>
            </w:r>
            <w:r>
              <w:rPr>
                <w:rFonts w:hint="eastAsia"/>
                <w:vertAlign w:val="subscript"/>
              </w:rPr>
              <w:t>3</w:t>
            </w:r>
            <w:r>
              <w:rPr>
                <w:rFonts w:hint="eastAsia"/>
              </w:rPr>
              <w:t>、PM</w:t>
            </w:r>
            <w:r>
              <w:rPr>
                <w:rFonts w:hint="eastAsia"/>
                <w:vertAlign w:val="subscript"/>
              </w:rPr>
              <w:t>2.5</w:t>
            </w:r>
            <w:r>
              <w:rPr>
                <w:rFonts w:hint="eastAsia"/>
              </w:rPr>
              <w:t>）</w:t>
            </w:r>
          </w:p>
          <w:p w14:paraId="4CE29A49">
            <w:pPr>
              <w:pStyle w:val="196"/>
            </w:pPr>
            <w:r>
              <w:rPr>
                <w:rFonts w:hint="eastAsia"/>
              </w:rPr>
              <w:t>其他污染物（H</w:t>
            </w:r>
            <w:r>
              <w:rPr>
                <w:rFonts w:hint="eastAsia"/>
                <w:vertAlign w:val="subscript"/>
              </w:rPr>
              <w:t>2</w:t>
            </w:r>
            <w:r>
              <w:rPr>
                <w:rFonts w:hint="eastAsia"/>
              </w:rPr>
              <w:t>S，NH</w:t>
            </w:r>
            <w:r>
              <w:rPr>
                <w:rFonts w:hint="eastAsia"/>
                <w:vertAlign w:val="subscript"/>
              </w:rPr>
              <w:t>3</w:t>
            </w:r>
            <w:r>
              <w:rPr>
                <w:rFonts w:hint="eastAsia"/>
              </w:rPr>
              <w:t>）</w:t>
            </w:r>
          </w:p>
        </w:tc>
        <w:tc>
          <w:tcPr>
            <w:tcW w:w="2557" w:type="dxa"/>
            <w:gridSpan w:val="5"/>
            <w:tcBorders>
              <w:top w:val="single" w:color="auto" w:sz="4" w:space="0"/>
              <w:left w:val="single" w:color="auto" w:sz="4" w:space="0"/>
              <w:bottom w:val="single" w:color="auto" w:sz="4" w:space="0"/>
              <w:right w:val="single" w:color="auto" w:sz="4" w:space="0"/>
            </w:tcBorders>
            <w:vAlign w:val="center"/>
          </w:tcPr>
          <w:p w14:paraId="2C45CB7F">
            <w:pPr>
              <w:pStyle w:val="196"/>
            </w:pPr>
            <w:r>
              <w:rPr>
                <w:rFonts w:hint="eastAsia"/>
              </w:rPr>
              <w:t>包括二次PM</w:t>
            </w:r>
            <w:r>
              <w:rPr>
                <w:rFonts w:hint="eastAsia"/>
                <w:vertAlign w:val="subscript"/>
              </w:rPr>
              <w:t>2.5</w:t>
            </w:r>
            <w:r>
              <w:rPr>
                <w:rFonts w:hint="eastAsia"/>
              </w:rPr>
              <w:t>□</w:t>
            </w:r>
          </w:p>
          <w:p w14:paraId="0C9C8CF9">
            <w:pPr>
              <w:pStyle w:val="196"/>
            </w:pPr>
            <w:r>
              <w:rPr>
                <w:rFonts w:hint="eastAsia"/>
              </w:rPr>
              <w:t>不包括二次PM</w:t>
            </w:r>
            <w:r>
              <w:rPr>
                <w:rFonts w:hint="eastAsia"/>
                <w:vertAlign w:val="subscript"/>
              </w:rPr>
              <w:t>2.5</w:t>
            </w:r>
            <w:r>
              <w:rPr>
                <w:rFonts w:hint="eastAsia" w:ascii="Segoe UI Symbol" w:hAnsi="Segoe UI Symbol" w:cs="Segoe UI Symbol"/>
              </w:rPr>
              <w:t>☑</w:t>
            </w:r>
          </w:p>
        </w:tc>
      </w:tr>
      <w:tr w14:paraId="6931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tcBorders>
              <w:top w:val="single" w:color="auto" w:sz="4" w:space="0"/>
              <w:left w:val="single" w:color="auto" w:sz="4" w:space="0"/>
              <w:bottom w:val="single" w:color="auto" w:sz="4" w:space="0"/>
              <w:right w:val="single" w:color="auto" w:sz="4" w:space="0"/>
            </w:tcBorders>
            <w:vAlign w:val="center"/>
          </w:tcPr>
          <w:p w14:paraId="58BD125B">
            <w:pPr>
              <w:pStyle w:val="196"/>
            </w:pPr>
            <w:r>
              <w:rPr>
                <w:rFonts w:hint="eastAsia"/>
              </w:rPr>
              <w:t>评价标准</w:t>
            </w:r>
          </w:p>
        </w:tc>
        <w:tc>
          <w:tcPr>
            <w:tcW w:w="1173" w:type="dxa"/>
            <w:tcBorders>
              <w:top w:val="single" w:color="auto" w:sz="4" w:space="0"/>
              <w:left w:val="single" w:color="auto" w:sz="4" w:space="0"/>
              <w:bottom w:val="single" w:color="auto" w:sz="4" w:space="0"/>
              <w:right w:val="single" w:color="auto" w:sz="4" w:space="0"/>
            </w:tcBorders>
            <w:vAlign w:val="center"/>
          </w:tcPr>
          <w:p w14:paraId="68760A7E">
            <w:pPr>
              <w:pStyle w:val="196"/>
            </w:pPr>
            <w:r>
              <w:rPr>
                <w:rFonts w:hint="eastAsia"/>
              </w:rPr>
              <w:t>评价标准</w:t>
            </w:r>
          </w:p>
        </w:tc>
        <w:tc>
          <w:tcPr>
            <w:tcW w:w="1395" w:type="dxa"/>
            <w:gridSpan w:val="3"/>
            <w:tcBorders>
              <w:top w:val="single" w:color="auto" w:sz="4" w:space="0"/>
              <w:left w:val="single" w:color="auto" w:sz="4" w:space="0"/>
              <w:bottom w:val="single" w:color="auto" w:sz="4" w:space="0"/>
              <w:right w:val="single" w:color="auto" w:sz="4" w:space="0"/>
            </w:tcBorders>
            <w:vAlign w:val="center"/>
          </w:tcPr>
          <w:p w14:paraId="137D7106">
            <w:pPr>
              <w:pStyle w:val="196"/>
            </w:pPr>
            <w:r>
              <w:rPr>
                <w:rFonts w:hint="eastAsia"/>
              </w:rPr>
              <w:t>国家标准</w:t>
            </w:r>
            <w:r>
              <w:rPr>
                <w:rFonts w:hint="eastAsia" w:ascii="Segoe UI Symbol" w:hAnsi="Segoe UI Symbol" w:cs="Segoe UI Symbol"/>
              </w:rPr>
              <w:t>☑</w:t>
            </w:r>
          </w:p>
        </w:tc>
        <w:tc>
          <w:tcPr>
            <w:tcW w:w="2914" w:type="dxa"/>
            <w:gridSpan w:val="5"/>
            <w:tcBorders>
              <w:top w:val="single" w:color="auto" w:sz="4" w:space="0"/>
              <w:left w:val="single" w:color="auto" w:sz="4" w:space="0"/>
              <w:bottom w:val="single" w:color="auto" w:sz="4" w:space="0"/>
              <w:right w:val="single" w:color="auto" w:sz="4" w:space="0"/>
            </w:tcBorders>
            <w:vAlign w:val="center"/>
          </w:tcPr>
          <w:p w14:paraId="4E65A036">
            <w:pPr>
              <w:pStyle w:val="196"/>
            </w:pPr>
            <w:r>
              <w:rPr>
                <w:rFonts w:hint="eastAsia"/>
              </w:rPr>
              <w:t>地方标准£</w:t>
            </w:r>
          </w:p>
        </w:tc>
        <w:tc>
          <w:tcPr>
            <w:tcW w:w="999" w:type="dxa"/>
            <w:gridSpan w:val="2"/>
            <w:tcBorders>
              <w:top w:val="single" w:color="auto" w:sz="4" w:space="0"/>
              <w:left w:val="single" w:color="auto" w:sz="4" w:space="0"/>
              <w:bottom w:val="single" w:color="auto" w:sz="4" w:space="0"/>
              <w:right w:val="single" w:color="auto" w:sz="4" w:space="0"/>
            </w:tcBorders>
            <w:vAlign w:val="center"/>
          </w:tcPr>
          <w:p w14:paraId="2BC017D4">
            <w:pPr>
              <w:pStyle w:val="196"/>
            </w:pPr>
            <w:r>
              <w:rPr>
                <w:rFonts w:hint="eastAsia"/>
              </w:rPr>
              <w:t>附录D</w:t>
            </w:r>
            <w:r>
              <w:rPr>
                <w:rFonts w:hint="eastAsia" w:ascii="Segoe UI Symbol" w:hAnsi="Segoe UI Symbol" w:cs="Segoe UI Symbol"/>
              </w:rPr>
              <w:t>☑</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035EDC30">
            <w:pPr>
              <w:pStyle w:val="196"/>
            </w:pPr>
            <w:r>
              <w:rPr>
                <w:rFonts w:hint="eastAsia"/>
                <w:lang w:eastAsia="zh-CN"/>
              </w:rPr>
              <w:t>其他</w:t>
            </w:r>
            <w:r>
              <w:rPr>
                <w:rFonts w:hint="eastAsia"/>
              </w:rPr>
              <w:t>标准</w:t>
            </w:r>
            <w:r>
              <w:rPr>
                <w:rFonts w:hint="eastAsia" w:ascii="Segoe UI Symbol" w:hAnsi="Segoe UI Symbol" w:cs="Segoe UI Symbol"/>
              </w:rPr>
              <w:t>☑</w:t>
            </w:r>
          </w:p>
        </w:tc>
      </w:tr>
      <w:tr w14:paraId="5415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restart"/>
            <w:tcBorders>
              <w:top w:val="nil"/>
              <w:left w:val="single" w:color="auto" w:sz="4" w:space="0"/>
              <w:bottom w:val="single" w:color="auto" w:sz="4" w:space="0"/>
              <w:right w:val="single" w:color="auto" w:sz="4" w:space="0"/>
            </w:tcBorders>
            <w:vAlign w:val="center"/>
          </w:tcPr>
          <w:p w14:paraId="36569C1F">
            <w:pPr>
              <w:pStyle w:val="196"/>
            </w:pPr>
            <w:r>
              <w:rPr>
                <w:rFonts w:hint="eastAsia"/>
              </w:rPr>
              <w:t>现状评价</w:t>
            </w:r>
          </w:p>
        </w:tc>
        <w:tc>
          <w:tcPr>
            <w:tcW w:w="1173" w:type="dxa"/>
            <w:tcBorders>
              <w:top w:val="single" w:color="auto" w:sz="4" w:space="0"/>
              <w:left w:val="single" w:color="auto" w:sz="4" w:space="0"/>
              <w:bottom w:val="single" w:color="auto" w:sz="4" w:space="0"/>
              <w:right w:val="single" w:color="auto" w:sz="4" w:space="0"/>
            </w:tcBorders>
            <w:vAlign w:val="center"/>
          </w:tcPr>
          <w:p w14:paraId="33B02495">
            <w:pPr>
              <w:pStyle w:val="196"/>
            </w:pPr>
            <w:r>
              <w:rPr>
                <w:rFonts w:hint="eastAsia"/>
              </w:rPr>
              <w:t>环境功能区</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0778415F">
            <w:pPr>
              <w:pStyle w:val="196"/>
            </w:pPr>
            <w:r>
              <w:rPr>
                <w:rFonts w:hint="eastAsia"/>
              </w:rPr>
              <w:t>一类区£</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2B7099CD">
            <w:pPr>
              <w:pStyle w:val="196"/>
            </w:pPr>
            <w:r>
              <w:rPr>
                <w:rFonts w:hint="eastAsia"/>
              </w:rPr>
              <w:t>二类区</w:t>
            </w:r>
            <w:r>
              <w:rPr>
                <w:rFonts w:hint="eastAsia" w:ascii="Segoe UI Symbol" w:hAnsi="Segoe UI Symbol" w:cs="Segoe UI Symbol"/>
              </w:rPr>
              <w:t>☑</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19C92178">
            <w:pPr>
              <w:pStyle w:val="196"/>
            </w:pPr>
            <w:r>
              <w:rPr>
                <w:rFonts w:hint="eastAsia"/>
              </w:rPr>
              <w:t>一类区和二类区□</w:t>
            </w:r>
          </w:p>
        </w:tc>
      </w:tr>
      <w:tr w14:paraId="6EAB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62063736">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23811059">
            <w:pPr>
              <w:pStyle w:val="196"/>
            </w:pPr>
            <w:r>
              <w:rPr>
                <w:rFonts w:hint="eastAsia"/>
              </w:rPr>
              <w:t>评价基准年</w:t>
            </w:r>
          </w:p>
        </w:tc>
        <w:tc>
          <w:tcPr>
            <w:tcW w:w="6866" w:type="dxa"/>
            <w:gridSpan w:val="13"/>
            <w:tcBorders>
              <w:top w:val="single" w:color="auto" w:sz="4" w:space="0"/>
              <w:left w:val="single" w:color="auto" w:sz="4" w:space="0"/>
              <w:bottom w:val="single" w:color="auto" w:sz="4" w:space="0"/>
              <w:right w:val="single" w:color="auto" w:sz="4" w:space="0"/>
            </w:tcBorders>
            <w:vAlign w:val="center"/>
          </w:tcPr>
          <w:p w14:paraId="295CF83B">
            <w:pPr>
              <w:pStyle w:val="196"/>
            </w:pPr>
            <w:r>
              <w:rPr>
                <w:rFonts w:hint="eastAsia"/>
              </w:rPr>
              <w:t>（202</w:t>
            </w:r>
            <w:r>
              <w:t>2</w:t>
            </w:r>
            <w:r>
              <w:rPr>
                <w:rFonts w:hint="eastAsia"/>
              </w:rPr>
              <w:t>）年</w:t>
            </w:r>
          </w:p>
        </w:tc>
      </w:tr>
      <w:tr w14:paraId="05C2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4CA65303">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23CB670B">
            <w:pPr>
              <w:pStyle w:val="196"/>
            </w:pPr>
            <w:r>
              <w:rPr>
                <w:rFonts w:hint="eastAsia"/>
              </w:rPr>
              <w:t>环境空气质量现状调查数据来源</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4D3CD960">
            <w:pPr>
              <w:pStyle w:val="196"/>
            </w:pPr>
            <w:r>
              <w:rPr>
                <w:rFonts w:hint="eastAsia"/>
              </w:rPr>
              <w:t>长期例行监测数据□</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326C238C">
            <w:pPr>
              <w:pStyle w:val="196"/>
            </w:pPr>
            <w:r>
              <w:rPr>
                <w:rFonts w:hint="eastAsia"/>
              </w:rPr>
              <w:t>主管部门发布的数据</w:t>
            </w:r>
            <w:r>
              <w:rPr>
                <w:rFonts w:hint="eastAsia" w:ascii="Segoe UI Symbol" w:hAnsi="Segoe UI Symbol" w:cs="Segoe UI Symbol"/>
              </w:rPr>
              <w:t>☑</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799C8C5F">
            <w:pPr>
              <w:pStyle w:val="196"/>
            </w:pPr>
            <w:r>
              <w:rPr>
                <w:rFonts w:hint="eastAsia"/>
              </w:rPr>
              <w:t>现状补充监测</w:t>
            </w:r>
            <w:r>
              <w:rPr>
                <w:rFonts w:hint="eastAsia" w:ascii="Segoe UI Symbol" w:hAnsi="Segoe UI Symbol" w:cs="Segoe UI Symbol"/>
              </w:rPr>
              <w:t>☑</w:t>
            </w:r>
          </w:p>
        </w:tc>
      </w:tr>
      <w:tr w14:paraId="2C85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7EE81C81">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299A7FCB">
            <w:pPr>
              <w:pStyle w:val="196"/>
            </w:pPr>
            <w:r>
              <w:rPr>
                <w:rFonts w:hint="eastAsia"/>
              </w:rPr>
              <w:t>现状评价</w:t>
            </w:r>
          </w:p>
        </w:tc>
        <w:tc>
          <w:tcPr>
            <w:tcW w:w="4309" w:type="dxa"/>
            <w:gridSpan w:val="8"/>
            <w:tcBorders>
              <w:top w:val="single" w:color="auto" w:sz="4" w:space="0"/>
              <w:left w:val="single" w:color="auto" w:sz="4" w:space="0"/>
              <w:bottom w:val="single" w:color="auto" w:sz="4" w:space="0"/>
              <w:right w:val="single" w:color="auto" w:sz="4" w:space="0"/>
            </w:tcBorders>
            <w:vAlign w:val="center"/>
          </w:tcPr>
          <w:p w14:paraId="27255D33">
            <w:pPr>
              <w:pStyle w:val="196"/>
            </w:pPr>
            <w:r>
              <w:rPr>
                <w:rFonts w:hint="eastAsia"/>
              </w:rPr>
              <w:t>达标区□</w:t>
            </w:r>
          </w:p>
        </w:tc>
        <w:tc>
          <w:tcPr>
            <w:tcW w:w="2557" w:type="dxa"/>
            <w:gridSpan w:val="5"/>
            <w:tcBorders>
              <w:top w:val="single" w:color="auto" w:sz="4" w:space="0"/>
              <w:left w:val="single" w:color="auto" w:sz="4" w:space="0"/>
              <w:bottom w:val="single" w:color="auto" w:sz="4" w:space="0"/>
              <w:right w:val="single" w:color="auto" w:sz="4" w:space="0"/>
            </w:tcBorders>
            <w:vAlign w:val="center"/>
          </w:tcPr>
          <w:p w14:paraId="5F7527D2">
            <w:pPr>
              <w:pStyle w:val="196"/>
            </w:pPr>
            <w:r>
              <w:rPr>
                <w:rFonts w:hint="eastAsia"/>
              </w:rPr>
              <w:t>不达标区</w:t>
            </w:r>
            <w:r>
              <w:rPr>
                <w:rFonts w:ascii="Segoe UI Symbol" w:hAnsi="Segoe UI Symbol" w:cs="Segoe UI Symbol"/>
              </w:rPr>
              <w:t>☑</w:t>
            </w:r>
          </w:p>
        </w:tc>
      </w:tr>
      <w:tr w14:paraId="70DA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tcBorders>
              <w:top w:val="single" w:color="auto" w:sz="4" w:space="0"/>
              <w:left w:val="single" w:color="auto" w:sz="4" w:space="0"/>
              <w:bottom w:val="single" w:color="auto" w:sz="4" w:space="0"/>
              <w:right w:val="single" w:color="auto" w:sz="4" w:space="0"/>
            </w:tcBorders>
            <w:vAlign w:val="center"/>
          </w:tcPr>
          <w:p w14:paraId="19EFD7B6">
            <w:pPr>
              <w:pStyle w:val="196"/>
            </w:pPr>
            <w:r>
              <w:rPr>
                <w:rFonts w:hint="eastAsia"/>
              </w:rPr>
              <w:t>污染源调查</w:t>
            </w:r>
          </w:p>
        </w:tc>
        <w:tc>
          <w:tcPr>
            <w:tcW w:w="1173" w:type="dxa"/>
            <w:tcBorders>
              <w:top w:val="single" w:color="auto" w:sz="4" w:space="0"/>
              <w:left w:val="single" w:color="auto" w:sz="4" w:space="0"/>
              <w:bottom w:val="single" w:color="auto" w:sz="4" w:space="0"/>
              <w:right w:val="single" w:color="auto" w:sz="4" w:space="0"/>
            </w:tcBorders>
            <w:vAlign w:val="center"/>
          </w:tcPr>
          <w:p w14:paraId="21332B13">
            <w:pPr>
              <w:pStyle w:val="196"/>
            </w:pPr>
            <w:r>
              <w:rPr>
                <w:rFonts w:hint="eastAsia"/>
              </w:rPr>
              <w:t>调查内容</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43083618">
            <w:pPr>
              <w:pStyle w:val="196"/>
            </w:pPr>
            <w:r>
              <w:rPr>
                <w:rFonts w:hint="eastAsia"/>
              </w:rPr>
              <w:t>本项目正常排放源R</w:t>
            </w:r>
          </w:p>
          <w:p w14:paraId="2D10076B">
            <w:pPr>
              <w:pStyle w:val="196"/>
            </w:pPr>
            <w:r>
              <w:rPr>
                <w:rFonts w:hint="eastAsia"/>
              </w:rPr>
              <w:t>本项目非正常排放源</w:t>
            </w:r>
            <w:r>
              <w:rPr>
                <w:rFonts w:hint="eastAsia" w:ascii="Segoe UI Symbol" w:hAnsi="Segoe UI Symbol" w:cs="Segoe UI Symbol"/>
              </w:rPr>
              <w:t>☑</w:t>
            </w:r>
          </w:p>
          <w:p w14:paraId="5AF95F66">
            <w:pPr>
              <w:pStyle w:val="196"/>
            </w:pPr>
            <w:r>
              <w:rPr>
                <w:rFonts w:hint="eastAsia"/>
              </w:rPr>
              <w:t>现有污染源□</w:t>
            </w:r>
          </w:p>
        </w:tc>
        <w:tc>
          <w:tcPr>
            <w:tcW w:w="2327" w:type="dxa"/>
            <w:gridSpan w:val="4"/>
            <w:tcBorders>
              <w:top w:val="single" w:color="auto" w:sz="4" w:space="0"/>
              <w:left w:val="single" w:color="auto" w:sz="4" w:space="0"/>
              <w:bottom w:val="single" w:color="auto" w:sz="4" w:space="0"/>
              <w:right w:val="single" w:color="auto" w:sz="4" w:space="0"/>
            </w:tcBorders>
            <w:vAlign w:val="center"/>
          </w:tcPr>
          <w:p w14:paraId="2BCDA97E">
            <w:pPr>
              <w:pStyle w:val="196"/>
            </w:pPr>
            <w:r>
              <w:rPr>
                <w:rFonts w:hint="eastAsia"/>
              </w:rPr>
              <w:t>拟替代的污染源□</w:t>
            </w:r>
          </w:p>
        </w:tc>
        <w:tc>
          <w:tcPr>
            <w:tcW w:w="1432" w:type="dxa"/>
            <w:gridSpan w:val="3"/>
            <w:tcBorders>
              <w:top w:val="single" w:color="auto" w:sz="4" w:space="0"/>
              <w:left w:val="single" w:color="auto" w:sz="4" w:space="0"/>
              <w:bottom w:val="single" w:color="auto" w:sz="4" w:space="0"/>
              <w:right w:val="single" w:color="auto" w:sz="4" w:space="0"/>
            </w:tcBorders>
            <w:vAlign w:val="center"/>
          </w:tcPr>
          <w:p w14:paraId="0BEC0DA9">
            <w:pPr>
              <w:pStyle w:val="196"/>
            </w:pPr>
            <w:r>
              <w:rPr>
                <w:rFonts w:hint="eastAsia"/>
              </w:rPr>
              <w:t>其他在建、拟建项目污染源□</w:t>
            </w:r>
          </w:p>
        </w:tc>
        <w:tc>
          <w:tcPr>
            <w:tcW w:w="1125" w:type="dxa"/>
            <w:gridSpan w:val="2"/>
            <w:tcBorders>
              <w:top w:val="single" w:color="auto" w:sz="4" w:space="0"/>
              <w:left w:val="single" w:color="auto" w:sz="4" w:space="0"/>
              <w:bottom w:val="single" w:color="auto" w:sz="4" w:space="0"/>
              <w:right w:val="single" w:color="auto" w:sz="4" w:space="0"/>
            </w:tcBorders>
            <w:vAlign w:val="center"/>
          </w:tcPr>
          <w:p w14:paraId="79D4B96C">
            <w:pPr>
              <w:pStyle w:val="196"/>
            </w:pPr>
            <w:r>
              <w:rPr>
                <w:rFonts w:hint="eastAsia"/>
              </w:rPr>
              <w:t>区域污染源□</w:t>
            </w:r>
          </w:p>
        </w:tc>
      </w:tr>
      <w:tr w14:paraId="1814E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restart"/>
            <w:tcBorders>
              <w:top w:val="nil"/>
              <w:left w:val="single" w:color="auto" w:sz="4" w:space="0"/>
              <w:bottom w:val="single" w:color="auto" w:sz="4" w:space="0"/>
              <w:right w:val="single" w:color="auto" w:sz="4" w:space="0"/>
            </w:tcBorders>
            <w:vAlign w:val="center"/>
          </w:tcPr>
          <w:p w14:paraId="0640435F">
            <w:pPr>
              <w:pStyle w:val="196"/>
            </w:pPr>
            <w:r>
              <w:rPr>
                <w:rFonts w:hint="eastAsia"/>
              </w:rPr>
              <w:t>大气环境影响预测与评价</w:t>
            </w:r>
          </w:p>
        </w:tc>
        <w:tc>
          <w:tcPr>
            <w:tcW w:w="1173" w:type="dxa"/>
            <w:tcBorders>
              <w:top w:val="single" w:color="auto" w:sz="4" w:space="0"/>
              <w:left w:val="single" w:color="auto" w:sz="4" w:space="0"/>
              <w:bottom w:val="single" w:color="auto" w:sz="4" w:space="0"/>
              <w:right w:val="single" w:color="auto" w:sz="4" w:space="0"/>
            </w:tcBorders>
            <w:vAlign w:val="center"/>
          </w:tcPr>
          <w:p w14:paraId="6A654197">
            <w:pPr>
              <w:pStyle w:val="196"/>
            </w:pPr>
            <w:r>
              <w:rPr>
                <w:rFonts w:hint="eastAsia"/>
              </w:rPr>
              <w:t>预测模型</w:t>
            </w:r>
          </w:p>
        </w:tc>
        <w:tc>
          <w:tcPr>
            <w:tcW w:w="907" w:type="dxa"/>
            <w:gridSpan w:val="2"/>
            <w:tcBorders>
              <w:top w:val="single" w:color="auto" w:sz="4" w:space="0"/>
              <w:left w:val="single" w:color="auto" w:sz="4" w:space="0"/>
              <w:bottom w:val="single" w:color="auto" w:sz="4" w:space="0"/>
              <w:right w:val="single" w:color="auto" w:sz="4" w:space="0"/>
            </w:tcBorders>
            <w:vAlign w:val="center"/>
          </w:tcPr>
          <w:p w14:paraId="499232E5">
            <w:pPr>
              <w:pStyle w:val="196"/>
            </w:pPr>
            <w:r>
              <w:rPr>
                <w:rFonts w:hint="eastAsia"/>
              </w:rPr>
              <w:t>AERMOD</w:t>
            </w:r>
          </w:p>
          <w:p w14:paraId="08B74A65">
            <w:pPr>
              <w:pStyle w:val="196"/>
            </w:pPr>
            <w:r>
              <w:rPr>
                <w:rFonts w:hint="eastAsia"/>
              </w:rPr>
              <w:t>□</w:t>
            </w:r>
          </w:p>
        </w:tc>
        <w:tc>
          <w:tcPr>
            <w:tcW w:w="1075" w:type="dxa"/>
            <w:gridSpan w:val="2"/>
            <w:tcBorders>
              <w:top w:val="single" w:color="auto" w:sz="4" w:space="0"/>
              <w:left w:val="single" w:color="auto" w:sz="4" w:space="0"/>
              <w:bottom w:val="single" w:color="auto" w:sz="4" w:space="0"/>
              <w:right w:val="single" w:color="auto" w:sz="4" w:space="0"/>
            </w:tcBorders>
            <w:vAlign w:val="center"/>
          </w:tcPr>
          <w:p w14:paraId="7AADB7F0">
            <w:pPr>
              <w:pStyle w:val="196"/>
            </w:pPr>
            <w:r>
              <w:rPr>
                <w:rFonts w:hint="eastAsia"/>
              </w:rPr>
              <w:t>ADMS</w:t>
            </w:r>
          </w:p>
          <w:p w14:paraId="75767BAE">
            <w:pPr>
              <w:pStyle w:val="196"/>
            </w:pPr>
            <w:r>
              <w:rPr>
                <w:rFonts w:hint="eastAsia"/>
              </w:rPr>
              <w:t>□</w:t>
            </w:r>
          </w:p>
        </w:tc>
        <w:tc>
          <w:tcPr>
            <w:tcW w:w="1084" w:type="dxa"/>
            <w:gridSpan w:val="2"/>
            <w:tcBorders>
              <w:top w:val="single" w:color="auto" w:sz="4" w:space="0"/>
              <w:left w:val="single" w:color="auto" w:sz="4" w:space="0"/>
              <w:bottom w:val="single" w:color="auto" w:sz="4" w:space="0"/>
              <w:right w:val="single" w:color="auto" w:sz="4" w:space="0"/>
            </w:tcBorders>
            <w:vAlign w:val="center"/>
          </w:tcPr>
          <w:p w14:paraId="5D73A809">
            <w:pPr>
              <w:pStyle w:val="196"/>
            </w:pPr>
            <w:r>
              <w:rPr>
                <w:rFonts w:hint="eastAsia"/>
              </w:rPr>
              <w:t>AUSTAL2000□</w:t>
            </w:r>
          </w:p>
        </w:tc>
        <w:tc>
          <w:tcPr>
            <w:tcW w:w="1243" w:type="dxa"/>
            <w:gridSpan w:val="2"/>
            <w:tcBorders>
              <w:top w:val="single" w:color="auto" w:sz="4" w:space="0"/>
              <w:left w:val="single" w:color="auto" w:sz="4" w:space="0"/>
              <w:bottom w:val="single" w:color="auto" w:sz="4" w:space="0"/>
              <w:right w:val="single" w:color="auto" w:sz="4" w:space="0"/>
            </w:tcBorders>
            <w:vAlign w:val="center"/>
          </w:tcPr>
          <w:p w14:paraId="39025BC7">
            <w:pPr>
              <w:pStyle w:val="196"/>
            </w:pPr>
            <w:r>
              <w:rPr>
                <w:rFonts w:hint="eastAsia"/>
              </w:rPr>
              <w:t>EDMS/AEDT</w:t>
            </w:r>
          </w:p>
          <w:p w14:paraId="2A87BA76">
            <w:pPr>
              <w:pStyle w:val="196"/>
            </w:pPr>
            <w:r>
              <w:rPr>
                <w:rFonts w:hint="eastAsia"/>
              </w:rPr>
              <w:t>□</w:t>
            </w:r>
          </w:p>
        </w:tc>
        <w:tc>
          <w:tcPr>
            <w:tcW w:w="999" w:type="dxa"/>
            <w:gridSpan w:val="2"/>
            <w:tcBorders>
              <w:top w:val="single" w:color="auto" w:sz="4" w:space="0"/>
              <w:left w:val="single" w:color="auto" w:sz="4" w:space="0"/>
              <w:bottom w:val="single" w:color="auto" w:sz="4" w:space="0"/>
              <w:right w:val="single" w:color="auto" w:sz="4" w:space="0"/>
            </w:tcBorders>
            <w:vAlign w:val="center"/>
          </w:tcPr>
          <w:p w14:paraId="3408FA30">
            <w:pPr>
              <w:pStyle w:val="196"/>
            </w:pPr>
            <w:r>
              <w:rPr>
                <w:rFonts w:hint="eastAsia"/>
              </w:rPr>
              <w:t>CALPUFF</w:t>
            </w:r>
          </w:p>
          <w:p w14:paraId="5772DB8D">
            <w:pPr>
              <w:pStyle w:val="196"/>
            </w:pPr>
            <w:r>
              <w:rPr>
                <w:rFonts w:hint="eastAsia"/>
              </w:rPr>
              <w:t>□</w:t>
            </w:r>
          </w:p>
        </w:tc>
        <w:tc>
          <w:tcPr>
            <w:tcW w:w="1047" w:type="dxa"/>
            <w:gridSpan w:val="2"/>
            <w:tcBorders>
              <w:top w:val="single" w:color="auto" w:sz="4" w:space="0"/>
              <w:left w:val="single" w:color="auto" w:sz="4" w:space="0"/>
              <w:bottom w:val="single" w:color="auto" w:sz="4" w:space="0"/>
              <w:right w:val="single" w:color="auto" w:sz="4" w:space="0"/>
            </w:tcBorders>
            <w:vAlign w:val="center"/>
          </w:tcPr>
          <w:p w14:paraId="6C5DA170">
            <w:pPr>
              <w:pStyle w:val="196"/>
            </w:pPr>
            <w:r>
              <w:rPr>
                <w:rFonts w:hint="eastAsia"/>
              </w:rPr>
              <w:t>网络模型</w:t>
            </w:r>
          </w:p>
          <w:p w14:paraId="5F073122">
            <w:pPr>
              <w:pStyle w:val="196"/>
            </w:pPr>
            <w:r>
              <w:rPr>
                <w:rFonts w:hint="eastAsia"/>
              </w:rPr>
              <w:t>□</w:t>
            </w:r>
          </w:p>
        </w:tc>
        <w:tc>
          <w:tcPr>
            <w:tcW w:w="511" w:type="dxa"/>
            <w:tcBorders>
              <w:top w:val="single" w:color="auto" w:sz="4" w:space="0"/>
              <w:left w:val="single" w:color="auto" w:sz="4" w:space="0"/>
              <w:bottom w:val="single" w:color="auto" w:sz="4" w:space="0"/>
              <w:right w:val="single" w:color="auto" w:sz="4" w:space="0"/>
            </w:tcBorders>
            <w:vAlign w:val="center"/>
          </w:tcPr>
          <w:p w14:paraId="31F4D179">
            <w:pPr>
              <w:pStyle w:val="196"/>
            </w:pPr>
            <w:r>
              <w:rPr>
                <w:rFonts w:hint="eastAsia"/>
              </w:rPr>
              <w:t>其他□</w:t>
            </w:r>
          </w:p>
        </w:tc>
      </w:tr>
      <w:tr w14:paraId="7674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75D1C4AA">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0B72B109">
            <w:pPr>
              <w:pStyle w:val="196"/>
            </w:pPr>
            <w:r>
              <w:rPr>
                <w:rFonts w:hint="eastAsia"/>
              </w:rPr>
              <w:t>预测范围</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49FE62BD">
            <w:pPr>
              <w:pStyle w:val="196"/>
            </w:pPr>
            <w:r>
              <w:rPr>
                <w:rFonts w:hint="eastAsia"/>
              </w:rPr>
              <w:t>边长≥50km□</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3F1EB68A">
            <w:pPr>
              <w:pStyle w:val="196"/>
            </w:pPr>
            <w:r>
              <w:rPr>
                <w:rFonts w:hint="eastAsia"/>
              </w:rPr>
              <w:t>边长5</w:t>
            </w:r>
            <w:r>
              <w:rPr>
                <w:rFonts w:hint="eastAsia"/>
                <w:lang w:eastAsia="zh-CN"/>
              </w:rPr>
              <w:t>～</w:t>
            </w:r>
            <w:r>
              <w:rPr>
                <w:rFonts w:hint="eastAsia"/>
              </w:rPr>
              <w:t>50km□</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184DA9B9">
            <w:pPr>
              <w:pStyle w:val="196"/>
            </w:pPr>
            <w:r>
              <w:rPr>
                <w:rFonts w:hint="eastAsia"/>
              </w:rPr>
              <w:t>边长=5km□</w:t>
            </w:r>
          </w:p>
        </w:tc>
      </w:tr>
      <w:tr w14:paraId="5F03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79DC60E8">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167EABAE">
            <w:pPr>
              <w:pStyle w:val="196"/>
            </w:pPr>
            <w:r>
              <w:rPr>
                <w:rFonts w:hint="eastAsia"/>
              </w:rPr>
              <w:t>预测因子</w:t>
            </w:r>
          </w:p>
        </w:tc>
        <w:tc>
          <w:tcPr>
            <w:tcW w:w="4654" w:type="dxa"/>
            <w:gridSpan w:val="9"/>
            <w:tcBorders>
              <w:top w:val="single" w:color="auto" w:sz="4" w:space="0"/>
              <w:left w:val="single" w:color="auto" w:sz="4" w:space="0"/>
              <w:bottom w:val="single" w:color="auto" w:sz="4" w:space="0"/>
              <w:right w:val="single" w:color="auto" w:sz="4" w:space="0"/>
            </w:tcBorders>
            <w:vAlign w:val="center"/>
          </w:tcPr>
          <w:p w14:paraId="148CEE62">
            <w:pPr>
              <w:pStyle w:val="196"/>
            </w:pPr>
            <w:r>
              <w:rPr>
                <w:rFonts w:hint="eastAsia"/>
              </w:rPr>
              <w:t xml:space="preserve">预测因子（  </w:t>
            </w:r>
            <w:r>
              <w:rPr>
                <w:rFonts w:hint="eastAsia"/>
                <w:vertAlign w:val="subscript"/>
              </w:rPr>
              <w:t xml:space="preserve"> </w:t>
            </w:r>
            <w:r>
              <w:rPr>
                <w:rFonts w:hint="eastAsia"/>
              </w:rPr>
              <w:t>）</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7DA1D39B">
            <w:pPr>
              <w:pStyle w:val="196"/>
            </w:pPr>
            <w:r>
              <w:rPr>
                <w:rFonts w:hint="eastAsia"/>
              </w:rPr>
              <w:t>包括二次PM</w:t>
            </w:r>
            <w:r>
              <w:rPr>
                <w:rFonts w:hint="eastAsia"/>
                <w:vertAlign w:val="subscript"/>
              </w:rPr>
              <w:t>2.5</w:t>
            </w:r>
            <w:r>
              <w:rPr>
                <w:rFonts w:hint="eastAsia"/>
              </w:rPr>
              <w:t>□</w:t>
            </w:r>
          </w:p>
          <w:p w14:paraId="443FCF61">
            <w:pPr>
              <w:pStyle w:val="196"/>
            </w:pPr>
            <w:r>
              <w:rPr>
                <w:rFonts w:hint="eastAsia"/>
              </w:rPr>
              <w:t>不包括二次PM</w:t>
            </w:r>
            <w:r>
              <w:rPr>
                <w:rFonts w:hint="eastAsia"/>
                <w:vertAlign w:val="subscript"/>
              </w:rPr>
              <w:t>2.5</w:t>
            </w:r>
            <w:r>
              <w:rPr>
                <w:rFonts w:hint="eastAsia"/>
              </w:rPr>
              <w:t>□</w:t>
            </w:r>
          </w:p>
        </w:tc>
      </w:tr>
      <w:tr w14:paraId="3922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26AA1A10">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66B693FA">
            <w:pPr>
              <w:pStyle w:val="196"/>
            </w:pPr>
            <w:r>
              <w:rPr>
                <w:rFonts w:hint="eastAsia"/>
              </w:rPr>
              <w:t>正常排放短期浓度贡献值</w:t>
            </w:r>
          </w:p>
        </w:tc>
        <w:tc>
          <w:tcPr>
            <w:tcW w:w="4654" w:type="dxa"/>
            <w:gridSpan w:val="9"/>
            <w:tcBorders>
              <w:top w:val="single" w:color="auto" w:sz="4" w:space="0"/>
              <w:left w:val="single" w:color="auto" w:sz="4" w:space="0"/>
              <w:bottom w:val="single" w:color="auto" w:sz="4" w:space="0"/>
              <w:right w:val="single" w:color="auto" w:sz="4" w:space="0"/>
            </w:tcBorders>
            <w:vAlign w:val="center"/>
          </w:tcPr>
          <w:p w14:paraId="0557D88F">
            <w:pPr>
              <w:pStyle w:val="196"/>
            </w:pPr>
            <w:r>
              <w:rPr>
                <w:rFonts w:hint="eastAsia"/>
              </w:rPr>
              <w:t>C</w:t>
            </w:r>
            <w:r>
              <w:rPr>
                <w:rFonts w:hint="eastAsia"/>
                <w:vertAlign w:val="subscript"/>
              </w:rPr>
              <w:t>本项目</w:t>
            </w:r>
            <w:r>
              <w:rPr>
                <w:rFonts w:hint="eastAsia"/>
              </w:rPr>
              <w:t>最大占标率≤100%□</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161B874C">
            <w:pPr>
              <w:pStyle w:val="196"/>
            </w:pPr>
            <w:r>
              <w:rPr>
                <w:rFonts w:hint="eastAsia"/>
              </w:rPr>
              <w:t>C</w:t>
            </w:r>
            <w:r>
              <w:rPr>
                <w:rFonts w:hint="eastAsia"/>
                <w:vertAlign w:val="subscript"/>
              </w:rPr>
              <w:t>本项目</w:t>
            </w:r>
            <w:r>
              <w:rPr>
                <w:rFonts w:hint="eastAsia"/>
              </w:rPr>
              <w:t>最大占标率＞100%□</w:t>
            </w:r>
          </w:p>
        </w:tc>
      </w:tr>
      <w:tr w14:paraId="6BD3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trPr>
        <w:tc>
          <w:tcPr>
            <w:tcW w:w="664" w:type="dxa"/>
            <w:vMerge w:val="continue"/>
            <w:tcBorders>
              <w:top w:val="nil"/>
              <w:left w:val="single" w:color="auto" w:sz="4" w:space="0"/>
              <w:bottom w:val="single" w:color="auto" w:sz="4" w:space="0"/>
              <w:right w:val="single" w:color="auto" w:sz="4" w:space="0"/>
            </w:tcBorders>
            <w:vAlign w:val="center"/>
          </w:tcPr>
          <w:p w14:paraId="6C8862EA">
            <w:pPr>
              <w:pStyle w:val="196"/>
            </w:pPr>
          </w:p>
        </w:tc>
        <w:tc>
          <w:tcPr>
            <w:tcW w:w="1173" w:type="dxa"/>
            <w:vMerge w:val="restart"/>
            <w:tcBorders>
              <w:top w:val="nil"/>
              <w:left w:val="single" w:color="auto" w:sz="4" w:space="0"/>
              <w:bottom w:val="single" w:color="auto" w:sz="4" w:space="0"/>
              <w:right w:val="single" w:color="auto" w:sz="4" w:space="0"/>
            </w:tcBorders>
            <w:vAlign w:val="center"/>
          </w:tcPr>
          <w:p w14:paraId="474791A9">
            <w:pPr>
              <w:pStyle w:val="196"/>
            </w:pPr>
            <w:r>
              <w:rPr>
                <w:rFonts w:hint="eastAsia"/>
              </w:rPr>
              <w:t>正常排放年均浓度贡献值</w:t>
            </w:r>
          </w:p>
        </w:tc>
        <w:tc>
          <w:tcPr>
            <w:tcW w:w="827" w:type="dxa"/>
            <w:tcBorders>
              <w:top w:val="single" w:color="auto" w:sz="4" w:space="0"/>
              <w:left w:val="single" w:color="auto" w:sz="4" w:space="0"/>
              <w:bottom w:val="single" w:color="auto" w:sz="4" w:space="0"/>
              <w:right w:val="single" w:color="auto" w:sz="4" w:space="0"/>
            </w:tcBorders>
            <w:vAlign w:val="center"/>
          </w:tcPr>
          <w:p w14:paraId="1FABD48B">
            <w:pPr>
              <w:pStyle w:val="196"/>
            </w:pPr>
            <w:r>
              <w:rPr>
                <w:rFonts w:hint="eastAsia"/>
              </w:rPr>
              <w:t>一类区</w:t>
            </w:r>
          </w:p>
        </w:tc>
        <w:tc>
          <w:tcPr>
            <w:tcW w:w="3827" w:type="dxa"/>
            <w:gridSpan w:val="8"/>
            <w:tcBorders>
              <w:top w:val="single" w:color="auto" w:sz="4" w:space="0"/>
              <w:left w:val="single" w:color="auto" w:sz="4" w:space="0"/>
              <w:bottom w:val="single" w:color="auto" w:sz="4" w:space="0"/>
              <w:right w:val="single" w:color="auto" w:sz="4" w:space="0"/>
            </w:tcBorders>
            <w:vAlign w:val="center"/>
          </w:tcPr>
          <w:p w14:paraId="1E058B4D">
            <w:pPr>
              <w:pStyle w:val="196"/>
            </w:pPr>
            <w:r>
              <w:rPr>
                <w:rFonts w:hint="eastAsia"/>
              </w:rPr>
              <w:t>C</w:t>
            </w:r>
            <w:r>
              <w:rPr>
                <w:rFonts w:hint="eastAsia"/>
                <w:vertAlign w:val="subscript"/>
              </w:rPr>
              <w:t>本项目</w:t>
            </w:r>
            <w:r>
              <w:rPr>
                <w:rFonts w:hint="eastAsia"/>
              </w:rPr>
              <w:t>最大占标率≤10%□</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55BDC24B">
            <w:pPr>
              <w:pStyle w:val="196"/>
            </w:pPr>
            <w:r>
              <w:rPr>
                <w:rFonts w:hint="eastAsia"/>
              </w:rPr>
              <w:t>C</w:t>
            </w:r>
            <w:r>
              <w:rPr>
                <w:rFonts w:hint="eastAsia"/>
                <w:vertAlign w:val="subscript"/>
              </w:rPr>
              <w:t>本项目</w:t>
            </w:r>
            <w:r>
              <w:rPr>
                <w:rFonts w:hint="eastAsia"/>
              </w:rPr>
              <w:t>最大占标率＞10%□</w:t>
            </w:r>
          </w:p>
        </w:tc>
      </w:tr>
      <w:tr w14:paraId="561C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664" w:type="dxa"/>
            <w:vMerge w:val="continue"/>
            <w:tcBorders>
              <w:top w:val="nil"/>
              <w:left w:val="single" w:color="auto" w:sz="4" w:space="0"/>
              <w:bottom w:val="single" w:color="auto" w:sz="4" w:space="0"/>
              <w:right w:val="single" w:color="auto" w:sz="4" w:space="0"/>
            </w:tcBorders>
            <w:vAlign w:val="center"/>
          </w:tcPr>
          <w:p w14:paraId="2E2FADA4">
            <w:pPr>
              <w:pStyle w:val="196"/>
            </w:pPr>
          </w:p>
        </w:tc>
        <w:tc>
          <w:tcPr>
            <w:tcW w:w="1173" w:type="dxa"/>
            <w:vMerge w:val="continue"/>
            <w:tcBorders>
              <w:top w:val="nil"/>
              <w:left w:val="single" w:color="auto" w:sz="4" w:space="0"/>
              <w:bottom w:val="single" w:color="auto" w:sz="4" w:space="0"/>
              <w:right w:val="single" w:color="auto" w:sz="4" w:space="0"/>
            </w:tcBorders>
            <w:vAlign w:val="center"/>
          </w:tcPr>
          <w:p w14:paraId="762531BC">
            <w:pPr>
              <w:pStyle w:val="196"/>
            </w:pPr>
          </w:p>
        </w:tc>
        <w:tc>
          <w:tcPr>
            <w:tcW w:w="827" w:type="dxa"/>
            <w:tcBorders>
              <w:top w:val="single" w:color="auto" w:sz="4" w:space="0"/>
              <w:left w:val="single" w:color="auto" w:sz="4" w:space="0"/>
              <w:bottom w:val="single" w:color="auto" w:sz="4" w:space="0"/>
              <w:right w:val="single" w:color="auto" w:sz="4" w:space="0"/>
            </w:tcBorders>
            <w:vAlign w:val="center"/>
          </w:tcPr>
          <w:p w14:paraId="0BF1EC3E">
            <w:pPr>
              <w:pStyle w:val="196"/>
            </w:pPr>
            <w:r>
              <w:rPr>
                <w:rFonts w:hint="eastAsia"/>
              </w:rPr>
              <w:t>二类区</w:t>
            </w:r>
          </w:p>
        </w:tc>
        <w:tc>
          <w:tcPr>
            <w:tcW w:w="3827" w:type="dxa"/>
            <w:gridSpan w:val="8"/>
            <w:tcBorders>
              <w:top w:val="single" w:color="auto" w:sz="4" w:space="0"/>
              <w:left w:val="single" w:color="auto" w:sz="4" w:space="0"/>
              <w:bottom w:val="single" w:color="auto" w:sz="4" w:space="0"/>
              <w:right w:val="single" w:color="auto" w:sz="4" w:space="0"/>
            </w:tcBorders>
            <w:vAlign w:val="center"/>
          </w:tcPr>
          <w:p w14:paraId="5B00AC36">
            <w:pPr>
              <w:pStyle w:val="196"/>
            </w:pPr>
            <w:r>
              <w:rPr>
                <w:rFonts w:hint="eastAsia"/>
              </w:rPr>
              <w:t>C</w:t>
            </w:r>
            <w:r>
              <w:rPr>
                <w:rFonts w:hint="eastAsia"/>
                <w:vertAlign w:val="subscript"/>
              </w:rPr>
              <w:t>本项目</w:t>
            </w:r>
            <w:r>
              <w:rPr>
                <w:rFonts w:hint="eastAsia"/>
              </w:rPr>
              <w:t>最大占标率≤30%□</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43DB7B78">
            <w:pPr>
              <w:pStyle w:val="196"/>
            </w:pPr>
            <w:r>
              <w:rPr>
                <w:rFonts w:hint="eastAsia"/>
              </w:rPr>
              <w:t>C</w:t>
            </w:r>
            <w:r>
              <w:rPr>
                <w:rFonts w:hint="eastAsia"/>
                <w:vertAlign w:val="subscript"/>
              </w:rPr>
              <w:t>本项目</w:t>
            </w:r>
            <w:r>
              <w:rPr>
                <w:rFonts w:hint="eastAsia"/>
              </w:rPr>
              <w:t>最大占标率＞30%□</w:t>
            </w:r>
          </w:p>
        </w:tc>
      </w:tr>
      <w:tr w14:paraId="6DAA9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1DA7384B">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33275CCE">
            <w:pPr>
              <w:pStyle w:val="196"/>
            </w:pPr>
            <w:r>
              <w:rPr>
                <w:rFonts w:hint="eastAsia"/>
              </w:rPr>
              <w:t>非正常排放1h浓度贡献值</w:t>
            </w:r>
          </w:p>
        </w:tc>
        <w:tc>
          <w:tcPr>
            <w:tcW w:w="2168" w:type="dxa"/>
            <w:gridSpan w:val="5"/>
            <w:tcBorders>
              <w:top w:val="single" w:color="auto" w:sz="4" w:space="0"/>
              <w:left w:val="single" w:color="auto" w:sz="4" w:space="0"/>
              <w:bottom w:val="single" w:color="auto" w:sz="4" w:space="0"/>
              <w:right w:val="single" w:color="auto" w:sz="4" w:space="0"/>
            </w:tcBorders>
            <w:vAlign w:val="center"/>
          </w:tcPr>
          <w:p w14:paraId="08201039">
            <w:pPr>
              <w:pStyle w:val="196"/>
            </w:pPr>
            <w:r>
              <w:rPr>
                <w:rFonts w:hint="eastAsia"/>
              </w:rPr>
              <w:t>非正常持续时长（1）h</w:t>
            </w:r>
          </w:p>
        </w:tc>
        <w:tc>
          <w:tcPr>
            <w:tcW w:w="2486" w:type="dxa"/>
            <w:gridSpan w:val="4"/>
            <w:tcBorders>
              <w:top w:val="single" w:color="auto" w:sz="4" w:space="0"/>
              <w:left w:val="single" w:color="auto" w:sz="4" w:space="0"/>
              <w:bottom w:val="single" w:color="auto" w:sz="4" w:space="0"/>
              <w:right w:val="single" w:color="auto" w:sz="4" w:space="0"/>
            </w:tcBorders>
            <w:vAlign w:val="center"/>
          </w:tcPr>
          <w:p w14:paraId="511B15D3">
            <w:pPr>
              <w:pStyle w:val="196"/>
            </w:pPr>
            <w:r>
              <w:rPr>
                <w:rFonts w:hint="eastAsia"/>
              </w:rPr>
              <w:t>C</w:t>
            </w:r>
            <w:r>
              <w:rPr>
                <w:rFonts w:hint="eastAsia"/>
                <w:vertAlign w:val="subscript"/>
              </w:rPr>
              <w:t>非正常</w:t>
            </w:r>
            <w:r>
              <w:rPr>
                <w:rFonts w:hint="eastAsia"/>
              </w:rPr>
              <w:t>最大占标率≤100%□</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1721258F">
            <w:pPr>
              <w:pStyle w:val="196"/>
            </w:pPr>
            <w:r>
              <w:rPr>
                <w:rFonts w:hint="eastAsia"/>
              </w:rPr>
              <w:t>C</w:t>
            </w:r>
            <w:r>
              <w:rPr>
                <w:rFonts w:hint="eastAsia"/>
                <w:vertAlign w:val="subscript"/>
              </w:rPr>
              <w:t>非正常</w:t>
            </w:r>
            <w:r>
              <w:rPr>
                <w:rFonts w:hint="eastAsia"/>
              </w:rPr>
              <w:t>最大占标率＞100%□</w:t>
            </w:r>
          </w:p>
        </w:tc>
      </w:tr>
      <w:tr w14:paraId="67E05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43EE2F33">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23959BDC">
            <w:pPr>
              <w:pStyle w:val="196"/>
            </w:pPr>
            <w:r>
              <w:rPr>
                <w:rFonts w:hint="eastAsia"/>
              </w:rPr>
              <w:t>保证率日平均浓度和年平均浓度叠加值</w:t>
            </w:r>
          </w:p>
        </w:tc>
        <w:tc>
          <w:tcPr>
            <w:tcW w:w="4654" w:type="dxa"/>
            <w:gridSpan w:val="9"/>
            <w:tcBorders>
              <w:top w:val="single" w:color="auto" w:sz="4" w:space="0"/>
              <w:left w:val="single" w:color="auto" w:sz="4" w:space="0"/>
              <w:bottom w:val="single" w:color="auto" w:sz="4" w:space="0"/>
              <w:right w:val="single" w:color="auto" w:sz="4" w:space="0"/>
            </w:tcBorders>
            <w:vAlign w:val="center"/>
          </w:tcPr>
          <w:p w14:paraId="3D8902B7">
            <w:pPr>
              <w:pStyle w:val="196"/>
            </w:pPr>
            <w:r>
              <w:rPr>
                <w:rFonts w:hint="eastAsia"/>
              </w:rPr>
              <w:t>C</w:t>
            </w:r>
            <w:r>
              <w:rPr>
                <w:rFonts w:hint="eastAsia"/>
                <w:vertAlign w:val="subscript"/>
              </w:rPr>
              <w:t>叠加</w:t>
            </w:r>
            <w:r>
              <w:rPr>
                <w:rFonts w:hint="eastAsia"/>
              </w:rPr>
              <w:t>达标□</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4C39FE5F">
            <w:pPr>
              <w:pStyle w:val="196"/>
            </w:pPr>
            <w:r>
              <w:rPr>
                <w:rFonts w:hint="eastAsia"/>
              </w:rPr>
              <w:t>C</w:t>
            </w:r>
            <w:r>
              <w:rPr>
                <w:rFonts w:hint="eastAsia"/>
                <w:vertAlign w:val="subscript"/>
              </w:rPr>
              <w:t>叠加</w:t>
            </w:r>
            <w:r>
              <w:rPr>
                <w:rFonts w:hint="eastAsia"/>
              </w:rPr>
              <w:t>不达标□</w:t>
            </w:r>
          </w:p>
        </w:tc>
      </w:tr>
      <w:tr w14:paraId="403E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25A2961A">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696527ED">
            <w:pPr>
              <w:pStyle w:val="196"/>
            </w:pPr>
            <w:r>
              <w:rPr>
                <w:rFonts w:hint="eastAsia"/>
              </w:rPr>
              <w:t>区域环境质量的整体变化情况</w:t>
            </w:r>
          </w:p>
        </w:tc>
        <w:tc>
          <w:tcPr>
            <w:tcW w:w="4654" w:type="dxa"/>
            <w:gridSpan w:val="9"/>
            <w:tcBorders>
              <w:top w:val="single" w:color="auto" w:sz="4" w:space="0"/>
              <w:left w:val="single" w:color="auto" w:sz="4" w:space="0"/>
              <w:bottom w:val="single" w:color="auto" w:sz="4" w:space="0"/>
              <w:right w:val="single" w:color="auto" w:sz="4" w:space="0"/>
            </w:tcBorders>
            <w:vAlign w:val="center"/>
          </w:tcPr>
          <w:p w14:paraId="68B9B00C">
            <w:pPr>
              <w:pStyle w:val="196"/>
            </w:pPr>
            <w:r>
              <w:rPr>
                <w:rFonts w:hint="eastAsia"/>
              </w:rPr>
              <w:t>k≤-20%□</w:t>
            </w:r>
          </w:p>
        </w:tc>
        <w:tc>
          <w:tcPr>
            <w:tcW w:w="2212" w:type="dxa"/>
            <w:gridSpan w:val="4"/>
            <w:tcBorders>
              <w:top w:val="single" w:color="auto" w:sz="4" w:space="0"/>
              <w:left w:val="single" w:color="auto" w:sz="4" w:space="0"/>
              <w:bottom w:val="single" w:color="auto" w:sz="4" w:space="0"/>
              <w:right w:val="single" w:color="auto" w:sz="4" w:space="0"/>
            </w:tcBorders>
            <w:vAlign w:val="center"/>
          </w:tcPr>
          <w:p w14:paraId="36A3AD5A">
            <w:pPr>
              <w:pStyle w:val="196"/>
            </w:pPr>
            <w:r>
              <w:rPr>
                <w:rFonts w:hint="eastAsia"/>
              </w:rPr>
              <w:t>k</w:t>
            </w:r>
            <w:r>
              <w:rPr>
                <w:rFonts w:hint="eastAsia"/>
                <w:lang w:eastAsia="zh-CN"/>
              </w:rPr>
              <w:t>&gt;</w:t>
            </w:r>
            <w:r>
              <w:rPr>
                <w:rFonts w:hint="eastAsia"/>
              </w:rPr>
              <w:t>-20%□</w:t>
            </w:r>
          </w:p>
        </w:tc>
      </w:tr>
      <w:tr w14:paraId="1E83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restart"/>
            <w:tcBorders>
              <w:top w:val="nil"/>
              <w:left w:val="single" w:color="auto" w:sz="4" w:space="0"/>
              <w:bottom w:val="single" w:color="auto" w:sz="4" w:space="0"/>
              <w:right w:val="single" w:color="auto" w:sz="4" w:space="0"/>
            </w:tcBorders>
            <w:vAlign w:val="center"/>
          </w:tcPr>
          <w:p w14:paraId="2C33F222">
            <w:pPr>
              <w:pStyle w:val="196"/>
            </w:pPr>
            <w:r>
              <w:rPr>
                <w:rFonts w:hint="eastAsia"/>
              </w:rPr>
              <w:t>环境监测计划</w:t>
            </w:r>
          </w:p>
        </w:tc>
        <w:tc>
          <w:tcPr>
            <w:tcW w:w="1173" w:type="dxa"/>
            <w:tcBorders>
              <w:top w:val="single" w:color="auto" w:sz="4" w:space="0"/>
              <w:left w:val="single" w:color="auto" w:sz="4" w:space="0"/>
              <w:bottom w:val="single" w:color="auto" w:sz="4" w:space="0"/>
              <w:right w:val="single" w:color="auto" w:sz="4" w:space="0"/>
            </w:tcBorders>
            <w:vAlign w:val="center"/>
          </w:tcPr>
          <w:p w14:paraId="5FDCD140">
            <w:pPr>
              <w:pStyle w:val="196"/>
            </w:pPr>
            <w:r>
              <w:rPr>
                <w:rFonts w:hint="eastAsia"/>
              </w:rPr>
              <w:t>污染源监测</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3554685B">
            <w:pPr>
              <w:pStyle w:val="196"/>
            </w:pPr>
            <w:r>
              <w:rPr>
                <w:rFonts w:hint="eastAsia"/>
              </w:rPr>
              <w:t>监测因子：（颗粒物、SO</w:t>
            </w:r>
            <w:r>
              <w:rPr>
                <w:rFonts w:hint="eastAsia"/>
                <w:vertAlign w:val="subscript"/>
              </w:rPr>
              <w:t>2</w:t>
            </w:r>
            <w:r>
              <w:rPr>
                <w:rFonts w:hint="eastAsia"/>
              </w:rPr>
              <w:t>、CO、NO</w:t>
            </w:r>
            <w:r>
              <w:rPr>
                <w:rFonts w:hint="eastAsia"/>
                <w:vertAlign w:val="subscript"/>
              </w:rPr>
              <w:t>X</w:t>
            </w:r>
            <w:r>
              <w:rPr>
                <w:rFonts w:hint="eastAsia"/>
              </w:rPr>
              <w:t>）</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02343850">
            <w:pPr>
              <w:pStyle w:val="196"/>
            </w:pPr>
            <w:r>
              <w:rPr>
                <w:rFonts w:hint="eastAsia"/>
              </w:rPr>
              <w:t>有组织废气监测</w:t>
            </w:r>
            <w:r>
              <w:rPr>
                <w:rFonts w:hint="eastAsia" w:ascii="Segoe UI Symbol" w:hAnsi="Segoe UI Symbol" w:cs="Segoe UI Symbol"/>
              </w:rPr>
              <w:t>☑</w:t>
            </w:r>
          </w:p>
          <w:p w14:paraId="286112F4">
            <w:pPr>
              <w:pStyle w:val="196"/>
            </w:pPr>
            <w:r>
              <w:rPr>
                <w:rFonts w:hint="eastAsia"/>
              </w:rPr>
              <w:t>无组织废气监测</w:t>
            </w:r>
            <w:r>
              <w:rPr>
                <w:rFonts w:hint="eastAsia" w:ascii="Segoe UI Symbol" w:hAnsi="Segoe UI Symbol" w:cs="Segoe UI Symbol"/>
              </w:rPr>
              <w:t>☑</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2F20F5D5">
            <w:pPr>
              <w:pStyle w:val="196"/>
            </w:pPr>
            <w:r>
              <w:rPr>
                <w:rFonts w:hint="eastAsia"/>
              </w:rPr>
              <w:t>无监测□</w:t>
            </w:r>
          </w:p>
        </w:tc>
      </w:tr>
      <w:tr w14:paraId="3492C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664" w:type="dxa"/>
            <w:vMerge w:val="continue"/>
            <w:tcBorders>
              <w:top w:val="nil"/>
              <w:left w:val="single" w:color="auto" w:sz="4" w:space="0"/>
              <w:bottom w:val="single" w:color="auto" w:sz="4" w:space="0"/>
              <w:right w:val="single" w:color="auto" w:sz="4" w:space="0"/>
            </w:tcBorders>
            <w:vAlign w:val="center"/>
          </w:tcPr>
          <w:p w14:paraId="3E5E3AC7">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4001BA16">
            <w:pPr>
              <w:pStyle w:val="196"/>
            </w:pPr>
            <w:r>
              <w:rPr>
                <w:rFonts w:hint="eastAsia"/>
              </w:rPr>
              <w:t>环境质量监测</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1D4CB702">
            <w:pPr>
              <w:pStyle w:val="196"/>
            </w:pPr>
            <w:r>
              <w:rPr>
                <w:rFonts w:hint="eastAsia"/>
              </w:rPr>
              <w:t>监测因子：（TSP、SO</w:t>
            </w:r>
            <w:r>
              <w:rPr>
                <w:rFonts w:hint="eastAsia"/>
                <w:vertAlign w:val="subscript"/>
              </w:rPr>
              <w:t>2</w:t>
            </w:r>
            <w:r>
              <w:rPr>
                <w:rFonts w:hint="eastAsia"/>
              </w:rPr>
              <w:t>、CO、NO</w:t>
            </w:r>
            <w:r>
              <w:rPr>
                <w:rFonts w:hint="eastAsia"/>
                <w:vertAlign w:val="subscript"/>
              </w:rPr>
              <w:t>X</w:t>
            </w:r>
            <w:r>
              <w:rPr>
                <w:rFonts w:hint="eastAsia"/>
              </w:rPr>
              <w:t>）</w:t>
            </w:r>
          </w:p>
        </w:tc>
        <w:tc>
          <w:tcPr>
            <w:tcW w:w="3326" w:type="dxa"/>
            <w:gridSpan w:val="6"/>
            <w:tcBorders>
              <w:top w:val="single" w:color="auto" w:sz="4" w:space="0"/>
              <w:left w:val="single" w:color="auto" w:sz="4" w:space="0"/>
              <w:bottom w:val="single" w:color="auto" w:sz="4" w:space="0"/>
              <w:right w:val="single" w:color="auto" w:sz="4" w:space="0"/>
            </w:tcBorders>
            <w:vAlign w:val="center"/>
          </w:tcPr>
          <w:p w14:paraId="2315997A">
            <w:pPr>
              <w:pStyle w:val="196"/>
            </w:pPr>
            <w:r>
              <w:rPr>
                <w:rFonts w:hint="eastAsia"/>
              </w:rPr>
              <w:t>监测点位数（在厂界外上风向、下风向）</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0EAD9751">
            <w:pPr>
              <w:pStyle w:val="196"/>
            </w:pPr>
            <w:r>
              <w:rPr>
                <w:rFonts w:hint="eastAsia"/>
              </w:rPr>
              <w:t>无监测□</w:t>
            </w:r>
          </w:p>
        </w:tc>
      </w:tr>
      <w:tr w14:paraId="3BCC6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5" w:hRule="atLeast"/>
        </w:trPr>
        <w:tc>
          <w:tcPr>
            <w:tcW w:w="664" w:type="dxa"/>
            <w:vMerge w:val="restart"/>
            <w:tcBorders>
              <w:top w:val="nil"/>
              <w:left w:val="single" w:color="auto" w:sz="4" w:space="0"/>
              <w:bottom w:val="single" w:color="auto" w:sz="4" w:space="0"/>
              <w:right w:val="single" w:color="auto" w:sz="4" w:space="0"/>
            </w:tcBorders>
            <w:vAlign w:val="center"/>
          </w:tcPr>
          <w:p w14:paraId="7E23D588">
            <w:pPr>
              <w:pStyle w:val="196"/>
            </w:pPr>
            <w:r>
              <w:rPr>
                <w:rFonts w:hint="eastAsia"/>
              </w:rPr>
              <w:t>评价结论</w:t>
            </w:r>
          </w:p>
        </w:tc>
        <w:tc>
          <w:tcPr>
            <w:tcW w:w="1173" w:type="dxa"/>
            <w:tcBorders>
              <w:top w:val="single" w:color="auto" w:sz="4" w:space="0"/>
              <w:left w:val="single" w:color="auto" w:sz="4" w:space="0"/>
              <w:bottom w:val="single" w:color="auto" w:sz="4" w:space="0"/>
              <w:right w:val="single" w:color="auto" w:sz="4" w:space="0"/>
            </w:tcBorders>
            <w:vAlign w:val="center"/>
          </w:tcPr>
          <w:p w14:paraId="3FC3B13A">
            <w:pPr>
              <w:pStyle w:val="196"/>
            </w:pPr>
            <w:r>
              <w:rPr>
                <w:rFonts w:hint="eastAsia"/>
              </w:rPr>
              <w:t>环境影响</w:t>
            </w:r>
          </w:p>
        </w:tc>
        <w:tc>
          <w:tcPr>
            <w:tcW w:w="6866" w:type="dxa"/>
            <w:gridSpan w:val="13"/>
            <w:tcBorders>
              <w:top w:val="single" w:color="auto" w:sz="4" w:space="0"/>
              <w:left w:val="single" w:color="auto" w:sz="4" w:space="0"/>
              <w:bottom w:val="single" w:color="auto" w:sz="4" w:space="0"/>
              <w:right w:val="single" w:color="auto" w:sz="4" w:space="0"/>
            </w:tcBorders>
            <w:vAlign w:val="center"/>
          </w:tcPr>
          <w:p w14:paraId="5172CA6C">
            <w:pPr>
              <w:pStyle w:val="196"/>
            </w:pPr>
            <w:r>
              <w:rPr>
                <w:rFonts w:hint="eastAsia"/>
              </w:rPr>
              <w:t>可以接受</w:t>
            </w:r>
            <w:r>
              <w:rPr>
                <w:rFonts w:hint="eastAsia" w:ascii="Segoe UI Symbol" w:hAnsi="Segoe UI Symbol" w:cs="Segoe UI Symbol"/>
              </w:rPr>
              <w:t>☑</w:t>
            </w:r>
            <w:r>
              <w:rPr>
                <w:rFonts w:hint="eastAsia"/>
              </w:rPr>
              <w:t xml:space="preserve">    不可以接受□</w:t>
            </w:r>
          </w:p>
        </w:tc>
      </w:tr>
      <w:tr w14:paraId="1CB3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664" w:type="dxa"/>
            <w:vMerge w:val="continue"/>
            <w:tcBorders>
              <w:top w:val="nil"/>
              <w:left w:val="single" w:color="auto" w:sz="4" w:space="0"/>
              <w:bottom w:val="single" w:color="auto" w:sz="4" w:space="0"/>
              <w:right w:val="single" w:color="auto" w:sz="4" w:space="0"/>
            </w:tcBorders>
            <w:vAlign w:val="center"/>
          </w:tcPr>
          <w:p w14:paraId="2CBBA37F">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357C16A7">
            <w:pPr>
              <w:pStyle w:val="196"/>
            </w:pPr>
            <w:r>
              <w:rPr>
                <w:rFonts w:hint="eastAsia"/>
              </w:rPr>
              <w:t>大气环境防护距离</w:t>
            </w:r>
          </w:p>
        </w:tc>
        <w:tc>
          <w:tcPr>
            <w:tcW w:w="6866" w:type="dxa"/>
            <w:gridSpan w:val="13"/>
            <w:tcBorders>
              <w:top w:val="single" w:color="auto" w:sz="4" w:space="0"/>
              <w:left w:val="single" w:color="auto" w:sz="4" w:space="0"/>
              <w:bottom w:val="single" w:color="auto" w:sz="4" w:space="0"/>
              <w:right w:val="single" w:color="auto" w:sz="4" w:space="0"/>
            </w:tcBorders>
            <w:vAlign w:val="center"/>
          </w:tcPr>
          <w:p w14:paraId="747DE480">
            <w:pPr>
              <w:pStyle w:val="196"/>
            </w:pPr>
            <w:r>
              <w:rPr>
                <w:rFonts w:hint="eastAsia"/>
              </w:rPr>
              <w:t>/</w:t>
            </w:r>
          </w:p>
        </w:tc>
      </w:tr>
      <w:tr w14:paraId="14A1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trPr>
        <w:tc>
          <w:tcPr>
            <w:tcW w:w="664" w:type="dxa"/>
            <w:vMerge w:val="continue"/>
            <w:tcBorders>
              <w:top w:val="nil"/>
              <w:left w:val="single" w:color="auto" w:sz="4" w:space="0"/>
              <w:bottom w:val="single" w:color="auto" w:sz="4" w:space="0"/>
              <w:right w:val="single" w:color="auto" w:sz="4" w:space="0"/>
            </w:tcBorders>
            <w:vAlign w:val="center"/>
          </w:tcPr>
          <w:p w14:paraId="3CED5259">
            <w:pPr>
              <w:pStyle w:val="196"/>
            </w:pPr>
          </w:p>
        </w:tc>
        <w:tc>
          <w:tcPr>
            <w:tcW w:w="1173" w:type="dxa"/>
            <w:tcBorders>
              <w:top w:val="single" w:color="auto" w:sz="4" w:space="0"/>
              <w:left w:val="single" w:color="auto" w:sz="4" w:space="0"/>
              <w:bottom w:val="single" w:color="auto" w:sz="4" w:space="0"/>
              <w:right w:val="single" w:color="auto" w:sz="4" w:space="0"/>
            </w:tcBorders>
            <w:vAlign w:val="center"/>
          </w:tcPr>
          <w:p w14:paraId="777CF419">
            <w:pPr>
              <w:pStyle w:val="196"/>
            </w:pPr>
            <w:r>
              <w:rPr>
                <w:rFonts w:hint="eastAsia"/>
              </w:rPr>
              <w:t>污染源年排放量</w:t>
            </w:r>
          </w:p>
        </w:tc>
        <w:tc>
          <w:tcPr>
            <w:tcW w:w="1982" w:type="dxa"/>
            <w:gridSpan w:val="4"/>
            <w:tcBorders>
              <w:top w:val="single" w:color="auto" w:sz="4" w:space="0"/>
              <w:left w:val="single" w:color="auto" w:sz="4" w:space="0"/>
              <w:bottom w:val="single" w:color="auto" w:sz="4" w:space="0"/>
              <w:right w:val="single" w:color="auto" w:sz="4" w:space="0"/>
            </w:tcBorders>
            <w:vAlign w:val="center"/>
          </w:tcPr>
          <w:p w14:paraId="0FAD6623">
            <w:pPr>
              <w:pStyle w:val="196"/>
            </w:pPr>
            <w:r>
              <w:rPr>
                <w:rFonts w:hint="eastAsia"/>
              </w:rPr>
              <w:t>颗粒物：（3.72）t/a</w:t>
            </w:r>
          </w:p>
        </w:tc>
        <w:tc>
          <w:tcPr>
            <w:tcW w:w="1482" w:type="dxa"/>
            <w:gridSpan w:val="3"/>
            <w:tcBorders>
              <w:top w:val="single" w:color="auto" w:sz="4" w:space="0"/>
              <w:left w:val="single" w:color="auto" w:sz="4" w:space="0"/>
              <w:bottom w:val="single" w:color="auto" w:sz="4" w:space="0"/>
              <w:right w:val="single" w:color="auto" w:sz="4" w:space="0"/>
            </w:tcBorders>
            <w:vAlign w:val="center"/>
          </w:tcPr>
          <w:p w14:paraId="0A33F45B">
            <w:pPr>
              <w:pStyle w:val="196"/>
            </w:pPr>
            <w:r>
              <w:rPr>
                <w:rFonts w:hint="eastAsia"/>
              </w:rPr>
              <w:t>SO</w:t>
            </w:r>
            <w:r>
              <w:rPr>
                <w:rFonts w:hint="eastAsia"/>
                <w:vertAlign w:val="subscript"/>
              </w:rPr>
              <w:t>2</w:t>
            </w:r>
            <w:r>
              <w:rPr>
                <w:rFonts w:hint="eastAsia"/>
                <w:vertAlign w:val="subscript"/>
                <w:lang w:eastAsia="zh-CN"/>
              </w:rPr>
              <w:t>:(</w:t>
            </w:r>
            <w:r>
              <w:t>0.00056</w:t>
            </w:r>
            <w:r>
              <w:rPr>
                <w:rFonts w:hint="eastAsia"/>
                <w:lang w:eastAsia="zh-CN"/>
              </w:rPr>
              <w:t>)</w:t>
            </w:r>
            <w:r>
              <w:rPr>
                <w:rFonts w:hint="eastAsia"/>
              </w:rPr>
              <w:t>t/a</w:t>
            </w:r>
          </w:p>
        </w:tc>
        <w:tc>
          <w:tcPr>
            <w:tcW w:w="1844" w:type="dxa"/>
            <w:gridSpan w:val="3"/>
            <w:tcBorders>
              <w:top w:val="single" w:color="auto" w:sz="4" w:space="0"/>
              <w:left w:val="single" w:color="auto" w:sz="4" w:space="0"/>
              <w:bottom w:val="single" w:color="auto" w:sz="4" w:space="0"/>
              <w:right w:val="single" w:color="auto" w:sz="4" w:space="0"/>
            </w:tcBorders>
            <w:vAlign w:val="center"/>
          </w:tcPr>
          <w:p w14:paraId="0631FDE9">
            <w:pPr>
              <w:pStyle w:val="196"/>
            </w:pPr>
            <w:r>
              <w:rPr>
                <w:rFonts w:hint="eastAsia"/>
              </w:rPr>
              <w:t>NOx</w:t>
            </w:r>
            <w:r>
              <w:rPr>
                <w:rFonts w:hint="eastAsia"/>
                <w:lang w:eastAsia="zh-CN"/>
              </w:rPr>
              <w:t>:(</w:t>
            </w:r>
            <w:r>
              <w:t>0.046</w:t>
            </w:r>
            <w:r>
              <w:rPr>
                <w:rFonts w:hint="eastAsia"/>
                <w:lang w:eastAsia="zh-CN"/>
              </w:rPr>
              <w:t>)</w:t>
            </w:r>
            <w:r>
              <w:rPr>
                <w:rFonts w:hint="eastAsia"/>
              </w:rPr>
              <w:t>t/a</w:t>
            </w:r>
          </w:p>
        </w:tc>
        <w:tc>
          <w:tcPr>
            <w:tcW w:w="1558" w:type="dxa"/>
            <w:gridSpan w:val="3"/>
            <w:tcBorders>
              <w:top w:val="single" w:color="auto" w:sz="4" w:space="0"/>
              <w:left w:val="single" w:color="auto" w:sz="4" w:space="0"/>
              <w:bottom w:val="single" w:color="auto" w:sz="4" w:space="0"/>
              <w:right w:val="single" w:color="auto" w:sz="4" w:space="0"/>
            </w:tcBorders>
            <w:vAlign w:val="center"/>
          </w:tcPr>
          <w:p w14:paraId="46E6859F">
            <w:pPr>
              <w:pStyle w:val="196"/>
            </w:pPr>
            <w:r>
              <w:rPr>
                <w:rFonts w:hint="eastAsia"/>
              </w:rPr>
              <w:t>VOCs</w:t>
            </w:r>
            <w:r>
              <w:rPr>
                <w:rFonts w:hint="eastAsia"/>
                <w:lang w:eastAsia="zh-CN"/>
              </w:rPr>
              <w:t>:()</w:t>
            </w:r>
            <w:r>
              <w:rPr>
                <w:rFonts w:hint="eastAsia"/>
              </w:rPr>
              <w:t>t/a</w:t>
            </w:r>
          </w:p>
        </w:tc>
      </w:tr>
      <w:tr w14:paraId="62D4D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1" w:hRule="atLeast"/>
        </w:trPr>
        <w:tc>
          <w:tcPr>
            <w:tcW w:w="8703" w:type="dxa"/>
            <w:gridSpan w:val="15"/>
            <w:tcBorders>
              <w:top w:val="single" w:color="auto" w:sz="4" w:space="0"/>
              <w:left w:val="single" w:color="auto" w:sz="4" w:space="0"/>
              <w:bottom w:val="single" w:color="auto" w:sz="4" w:space="0"/>
              <w:right w:val="single" w:color="auto" w:sz="4" w:space="0"/>
            </w:tcBorders>
            <w:vAlign w:val="center"/>
          </w:tcPr>
          <w:p w14:paraId="00374168">
            <w:pPr>
              <w:pStyle w:val="196"/>
            </w:pPr>
            <w:r>
              <w:rPr>
                <w:rFonts w:hint="eastAsia"/>
              </w:rPr>
              <w:t>注：“□” 为勾选项 ，填“√” ；“（</w:t>
            </w:r>
            <w:r>
              <w:rPr>
                <w:rFonts w:hint="eastAsia"/>
              </w:rPr>
              <w:tab/>
            </w:r>
            <w:r>
              <w:rPr>
                <w:rFonts w:hint="eastAsia"/>
              </w:rPr>
              <w:t>）”  为内容填写项</w:t>
            </w:r>
          </w:p>
        </w:tc>
      </w:tr>
    </w:tbl>
    <w:p w14:paraId="19B544A1">
      <w:pPr>
        <w:pStyle w:val="82"/>
      </w:pPr>
      <w:bookmarkStart w:id="280" w:name="_Toc19335"/>
      <w:bookmarkEnd w:id="280"/>
      <w:r>
        <w:rPr>
          <w:rFonts w:hint="eastAsia"/>
        </w:rPr>
        <w:t>地表水环境影响分析</w:t>
      </w:r>
    </w:p>
    <w:p w14:paraId="5A16A4F6">
      <w:pPr>
        <w:pStyle w:val="84"/>
      </w:pPr>
      <w:r>
        <w:rPr>
          <w:rFonts w:hint="eastAsia"/>
        </w:rPr>
        <w:t>营运期废水影响分析</w:t>
      </w:r>
    </w:p>
    <w:p w14:paraId="31C34E5B">
      <w:pPr>
        <w:pStyle w:val="93"/>
      </w:pPr>
      <w:r>
        <w:rPr>
          <w:rFonts w:hint="eastAsia"/>
        </w:rPr>
        <w:t>拟建码头营运期废水包括：船舶舱底油污水、船舶生活污水、陆域生活污水、初期雨水、码头冲洗废水等。</w:t>
      </w:r>
    </w:p>
    <w:p w14:paraId="2CA1BC7F">
      <w:pPr>
        <w:pStyle w:val="93"/>
      </w:pPr>
      <w:r>
        <w:rPr>
          <w:rFonts w:hint="eastAsia"/>
        </w:rPr>
        <w:t>其中，船舶舱底油污水由码头前沿接收装置收集，用不锈钢水箱作为船舶含油污水收集容器，配备自吸排污泵，标准法兰盘以及铜丝软管收集船舶含油污水。水箱盛满后，委托有资质单位处置；船舶生活污水经岸上接收装置接收后</w:t>
      </w:r>
      <w:r>
        <w:rPr>
          <w:rFonts w:hint="eastAsia"/>
          <w:bCs/>
        </w:rPr>
        <w:t>依托</w:t>
      </w:r>
      <w:r>
        <w:rPr>
          <w:rFonts w:hint="eastAsia"/>
        </w:rPr>
        <w:t>国能涟水一期热电联产项目污水处理设施</w:t>
      </w:r>
      <w:r>
        <w:rPr>
          <w:rFonts w:hint="eastAsia"/>
          <w:bCs/>
        </w:rPr>
        <w:t>处理；</w:t>
      </w:r>
      <w:r>
        <w:rPr>
          <w:rFonts w:hint="eastAsia"/>
        </w:rPr>
        <w:t>陆域生活污水</w:t>
      </w:r>
      <w:r>
        <w:rPr>
          <w:rFonts w:hint="eastAsia"/>
          <w:bCs/>
        </w:rPr>
        <w:t>依托</w:t>
      </w:r>
      <w:r>
        <w:rPr>
          <w:rFonts w:hint="eastAsia"/>
        </w:rPr>
        <w:t>国能涟水一期热电联产项目污水处理设施</w:t>
      </w:r>
      <w:r>
        <w:rPr>
          <w:rFonts w:hint="eastAsia"/>
          <w:bCs/>
        </w:rPr>
        <w:t>处理；</w:t>
      </w:r>
      <w:r>
        <w:rPr>
          <w:rFonts w:hint="eastAsia"/>
        </w:rPr>
        <w:t>码头初期雨水经排水沟收集后汇入</w:t>
      </w:r>
      <w:r>
        <w:rPr>
          <w:rFonts w:hint="eastAsia"/>
          <w:lang w:eastAsia="zh-CN"/>
        </w:rPr>
        <w:t>码头</w:t>
      </w:r>
      <w:r>
        <w:rPr>
          <w:rFonts w:hint="eastAsia"/>
        </w:rPr>
        <w:t>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机修废水经排水沟收集进入</w:t>
      </w:r>
      <w:r>
        <w:rPr>
          <w:rFonts w:hint="eastAsia"/>
          <w:lang w:eastAsia="zh-CN"/>
        </w:rPr>
        <w:t>厂区</w:t>
      </w:r>
      <w:r>
        <w:rPr>
          <w:rFonts w:hint="eastAsia"/>
        </w:rPr>
        <w:t>污水处理站预处理后</w:t>
      </w:r>
      <w:r>
        <w:rPr>
          <w:rFonts w:hint="eastAsia"/>
          <w:bCs/>
        </w:rPr>
        <w:t>依托</w:t>
      </w:r>
      <w:r>
        <w:rPr>
          <w:rFonts w:hint="eastAsia"/>
        </w:rPr>
        <w:t>国能涟水一期热电联产项目污水处理设施</w:t>
      </w:r>
      <w:r>
        <w:rPr>
          <w:rFonts w:hint="eastAsia"/>
          <w:bCs/>
        </w:rPr>
        <w:t>处理</w:t>
      </w:r>
      <w:r>
        <w:rPr>
          <w:rFonts w:hint="eastAsia"/>
        </w:rPr>
        <w:t>。码头冲洗废水经排水沟收集排入国能涟水一期热电联产项目含煤废水处理系统处理后用作厂区煤场喷淋和输煤栈桥冲洗，不外排。</w:t>
      </w:r>
    </w:p>
    <w:p w14:paraId="53C919E5">
      <w:pPr>
        <w:pStyle w:val="86"/>
      </w:pPr>
      <w:r>
        <w:rPr>
          <w:rFonts w:hint="eastAsia"/>
        </w:rPr>
        <w:t>废水类别、污染物及污染治理设施信息表</w:t>
      </w:r>
    </w:p>
    <w:tbl>
      <w:tblPr>
        <w:tblStyle w:val="38"/>
        <w:tblW w:w="6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
        <w:gridCol w:w="862"/>
        <w:gridCol w:w="1379"/>
        <w:gridCol w:w="825"/>
        <w:gridCol w:w="444"/>
        <w:gridCol w:w="953"/>
        <w:gridCol w:w="1209"/>
        <w:gridCol w:w="1713"/>
        <w:gridCol w:w="732"/>
        <w:gridCol w:w="1091"/>
        <w:gridCol w:w="688"/>
      </w:tblGrid>
      <w:tr w14:paraId="198D6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12" w:type="pct"/>
            <w:vMerge w:val="restart"/>
            <w:vAlign w:val="center"/>
          </w:tcPr>
          <w:p w14:paraId="64F34426">
            <w:pPr>
              <w:pStyle w:val="196"/>
              <w:rPr>
                <w:b/>
                <w:bCs/>
                <w:szCs w:val="21"/>
              </w:rPr>
            </w:pPr>
            <w:r>
              <w:rPr>
                <w:rFonts w:hint="eastAsia"/>
                <w:b/>
                <w:bCs/>
                <w:szCs w:val="21"/>
              </w:rPr>
              <w:t>序</w:t>
            </w:r>
          </w:p>
          <w:p w14:paraId="638A5D77">
            <w:pPr>
              <w:pStyle w:val="196"/>
              <w:rPr>
                <w:b/>
                <w:bCs/>
                <w:szCs w:val="21"/>
              </w:rPr>
            </w:pPr>
            <w:r>
              <w:rPr>
                <w:rFonts w:hint="eastAsia"/>
                <w:b/>
                <w:bCs/>
                <w:szCs w:val="21"/>
              </w:rPr>
              <w:t>号</w:t>
            </w:r>
          </w:p>
        </w:tc>
        <w:tc>
          <w:tcPr>
            <w:tcW w:w="417" w:type="pct"/>
            <w:vMerge w:val="restart"/>
            <w:vAlign w:val="center"/>
          </w:tcPr>
          <w:p w14:paraId="4E307B24">
            <w:pPr>
              <w:pStyle w:val="196"/>
              <w:rPr>
                <w:b/>
                <w:bCs/>
                <w:szCs w:val="21"/>
              </w:rPr>
            </w:pPr>
            <w:r>
              <w:rPr>
                <w:rFonts w:hint="eastAsia"/>
                <w:b/>
                <w:bCs/>
                <w:szCs w:val="21"/>
              </w:rPr>
              <w:t>废水类别</w:t>
            </w:r>
          </w:p>
        </w:tc>
        <w:tc>
          <w:tcPr>
            <w:tcW w:w="667" w:type="pct"/>
            <w:vMerge w:val="restart"/>
            <w:vAlign w:val="center"/>
          </w:tcPr>
          <w:p w14:paraId="34F0F6E9">
            <w:pPr>
              <w:pStyle w:val="196"/>
              <w:rPr>
                <w:b/>
                <w:bCs/>
                <w:szCs w:val="21"/>
              </w:rPr>
            </w:pPr>
            <w:r>
              <w:rPr>
                <w:rFonts w:hint="eastAsia"/>
                <w:b/>
                <w:bCs/>
                <w:szCs w:val="21"/>
              </w:rPr>
              <w:t>污染物种类</w:t>
            </w:r>
          </w:p>
        </w:tc>
        <w:tc>
          <w:tcPr>
            <w:tcW w:w="399" w:type="pct"/>
            <w:vMerge w:val="restart"/>
            <w:vAlign w:val="center"/>
          </w:tcPr>
          <w:p w14:paraId="1B3D1287">
            <w:pPr>
              <w:pStyle w:val="196"/>
              <w:rPr>
                <w:b/>
                <w:bCs/>
                <w:szCs w:val="21"/>
              </w:rPr>
            </w:pPr>
            <w:r>
              <w:rPr>
                <w:rFonts w:hint="eastAsia"/>
                <w:b/>
                <w:bCs/>
                <w:szCs w:val="21"/>
              </w:rPr>
              <w:t>排放去向</w:t>
            </w:r>
          </w:p>
        </w:tc>
        <w:tc>
          <w:tcPr>
            <w:tcW w:w="215" w:type="pct"/>
            <w:vMerge w:val="restart"/>
            <w:vAlign w:val="center"/>
          </w:tcPr>
          <w:p w14:paraId="10FC7C45">
            <w:pPr>
              <w:pStyle w:val="196"/>
              <w:rPr>
                <w:b/>
                <w:bCs/>
                <w:szCs w:val="21"/>
              </w:rPr>
            </w:pPr>
            <w:r>
              <w:rPr>
                <w:rFonts w:hint="eastAsia"/>
                <w:b/>
                <w:bCs/>
                <w:szCs w:val="21"/>
              </w:rPr>
              <w:t>排放</w:t>
            </w:r>
          </w:p>
          <w:p w14:paraId="41381186">
            <w:pPr>
              <w:pStyle w:val="196"/>
              <w:rPr>
                <w:b/>
                <w:bCs/>
                <w:szCs w:val="21"/>
              </w:rPr>
            </w:pPr>
            <w:r>
              <w:rPr>
                <w:rFonts w:hint="eastAsia"/>
                <w:b/>
                <w:bCs/>
                <w:szCs w:val="21"/>
              </w:rPr>
              <w:t>规律</w:t>
            </w:r>
          </w:p>
        </w:tc>
        <w:tc>
          <w:tcPr>
            <w:tcW w:w="1875" w:type="pct"/>
            <w:gridSpan w:val="3"/>
            <w:vAlign w:val="center"/>
          </w:tcPr>
          <w:p w14:paraId="1F050CD6">
            <w:pPr>
              <w:pStyle w:val="196"/>
              <w:rPr>
                <w:b/>
                <w:bCs/>
                <w:szCs w:val="21"/>
              </w:rPr>
            </w:pPr>
            <w:r>
              <w:rPr>
                <w:rFonts w:hint="eastAsia"/>
                <w:b/>
                <w:bCs/>
                <w:szCs w:val="21"/>
              </w:rPr>
              <w:t>污染治理设施</w:t>
            </w:r>
          </w:p>
        </w:tc>
        <w:tc>
          <w:tcPr>
            <w:tcW w:w="354" w:type="pct"/>
            <w:vMerge w:val="restart"/>
            <w:vAlign w:val="center"/>
          </w:tcPr>
          <w:p w14:paraId="1FCA2857">
            <w:pPr>
              <w:pStyle w:val="196"/>
              <w:rPr>
                <w:b/>
                <w:bCs/>
                <w:szCs w:val="21"/>
              </w:rPr>
            </w:pPr>
            <w:r>
              <w:rPr>
                <w:rFonts w:hint="eastAsia"/>
                <w:b/>
                <w:bCs/>
                <w:szCs w:val="21"/>
              </w:rPr>
              <w:t>排放口编号</w:t>
            </w:r>
          </w:p>
        </w:tc>
        <w:tc>
          <w:tcPr>
            <w:tcW w:w="528" w:type="pct"/>
            <w:vMerge w:val="restart"/>
            <w:vAlign w:val="center"/>
          </w:tcPr>
          <w:p w14:paraId="297A46BB">
            <w:pPr>
              <w:pStyle w:val="196"/>
              <w:rPr>
                <w:b/>
                <w:bCs/>
                <w:szCs w:val="21"/>
              </w:rPr>
            </w:pPr>
            <w:r>
              <w:rPr>
                <w:rFonts w:hint="eastAsia"/>
                <w:b/>
                <w:bCs/>
                <w:szCs w:val="21"/>
              </w:rPr>
              <w:t>排放口设置是否符合要求</w:t>
            </w:r>
          </w:p>
        </w:tc>
        <w:tc>
          <w:tcPr>
            <w:tcW w:w="333" w:type="pct"/>
            <w:vMerge w:val="restart"/>
            <w:vAlign w:val="center"/>
          </w:tcPr>
          <w:p w14:paraId="52F84574">
            <w:pPr>
              <w:pStyle w:val="196"/>
              <w:rPr>
                <w:b/>
                <w:bCs/>
                <w:szCs w:val="21"/>
              </w:rPr>
            </w:pPr>
            <w:r>
              <w:rPr>
                <w:rFonts w:hint="eastAsia"/>
                <w:b/>
                <w:bCs/>
                <w:szCs w:val="21"/>
              </w:rPr>
              <w:t>排放口类型</w:t>
            </w:r>
          </w:p>
        </w:tc>
      </w:tr>
      <w:tr w14:paraId="7E45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vAlign w:val="center"/>
          </w:tcPr>
          <w:p w14:paraId="6066E178">
            <w:pPr>
              <w:pStyle w:val="196"/>
              <w:rPr>
                <w:b/>
                <w:bCs/>
                <w:szCs w:val="21"/>
              </w:rPr>
            </w:pPr>
          </w:p>
        </w:tc>
        <w:tc>
          <w:tcPr>
            <w:tcW w:w="417" w:type="pct"/>
            <w:vMerge w:val="continue"/>
            <w:vAlign w:val="center"/>
          </w:tcPr>
          <w:p w14:paraId="65E4A9F5">
            <w:pPr>
              <w:pStyle w:val="196"/>
              <w:rPr>
                <w:b/>
                <w:bCs/>
                <w:szCs w:val="21"/>
              </w:rPr>
            </w:pPr>
          </w:p>
        </w:tc>
        <w:tc>
          <w:tcPr>
            <w:tcW w:w="667" w:type="pct"/>
            <w:vMerge w:val="continue"/>
            <w:vAlign w:val="center"/>
          </w:tcPr>
          <w:p w14:paraId="10591564">
            <w:pPr>
              <w:pStyle w:val="196"/>
              <w:rPr>
                <w:b/>
                <w:bCs/>
                <w:szCs w:val="21"/>
              </w:rPr>
            </w:pPr>
          </w:p>
        </w:tc>
        <w:tc>
          <w:tcPr>
            <w:tcW w:w="0" w:type="auto"/>
            <w:vMerge w:val="continue"/>
            <w:vAlign w:val="center"/>
          </w:tcPr>
          <w:p w14:paraId="44965AB2">
            <w:pPr>
              <w:pStyle w:val="196"/>
              <w:rPr>
                <w:b/>
                <w:bCs/>
                <w:szCs w:val="21"/>
              </w:rPr>
            </w:pPr>
          </w:p>
        </w:tc>
        <w:tc>
          <w:tcPr>
            <w:tcW w:w="0" w:type="auto"/>
            <w:vMerge w:val="continue"/>
            <w:vAlign w:val="center"/>
          </w:tcPr>
          <w:p w14:paraId="57222F70">
            <w:pPr>
              <w:pStyle w:val="196"/>
              <w:rPr>
                <w:b/>
                <w:bCs/>
                <w:szCs w:val="21"/>
              </w:rPr>
            </w:pPr>
          </w:p>
        </w:tc>
        <w:tc>
          <w:tcPr>
            <w:tcW w:w="461" w:type="pct"/>
            <w:vAlign w:val="center"/>
          </w:tcPr>
          <w:p w14:paraId="5582AE2F">
            <w:pPr>
              <w:pStyle w:val="196"/>
              <w:rPr>
                <w:b/>
                <w:bCs/>
                <w:szCs w:val="21"/>
              </w:rPr>
            </w:pPr>
            <w:r>
              <w:rPr>
                <w:rFonts w:hint="eastAsia"/>
                <w:b/>
                <w:bCs/>
                <w:szCs w:val="21"/>
              </w:rPr>
              <w:t>污染治理设施编号</w:t>
            </w:r>
          </w:p>
        </w:tc>
        <w:tc>
          <w:tcPr>
            <w:tcW w:w="585" w:type="pct"/>
            <w:vAlign w:val="center"/>
          </w:tcPr>
          <w:p w14:paraId="11611A64">
            <w:pPr>
              <w:pStyle w:val="196"/>
              <w:rPr>
                <w:b/>
                <w:bCs/>
                <w:szCs w:val="21"/>
              </w:rPr>
            </w:pPr>
            <w:r>
              <w:rPr>
                <w:rFonts w:hint="eastAsia"/>
                <w:b/>
                <w:bCs/>
                <w:szCs w:val="21"/>
              </w:rPr>
              <w:t>污染治理设施名称</w:t>
            </w:r>
          </w:p>
        </w:tc>
        <w:tc>
          <w:tcPr>
            <w:tcW w:w="829" w:type="pct"/>
            <w:vAlign w:val="center"/>
          </w:tcPr>
          <w:p w14:paraId="553E3595">
            <w:pPr>
              <w:pStyle w:val="196"/>
              <w:rPr>
                <w:b/>
                <w:bCs/>
                <w:szCs w:val="21"/>
              </w:rPr>
            </w:pPr>
            <w:r>
              <w:rPr>
                <w:rFonts w:hint="eastAsia"/>
                <w:b/>
                <w:bCs/>
                <w:szCs w:val="21"/>
              </w:rPr>
              <w:t>污染治理设施工艺</w:t>
            </w:r>
          </w:p>
        </w:tc>
        <w:tc>
          <w:tcPr>
            <w:tcW w:w="354" w:type="pct"/>
            <w:vMerge w:val="continue"/>
            <w:vAlign w:val="center"/>
          </w:tcPr>
          <w:p w14:paraId="4E9A8B5D">
            <w:pPr>
              <w:pStyle w:val="196"/>
              <w:rPr>
                <w:b/>
                <w:bCs/>
                <w:szCs w:val="21"/>
              </w:rPr>
            </w:pPr>
          </w:p>
        </w:tc>
        <w:tc>
          <w:tcPr>
            <w:tcW w:w="528" w:type="pct"/>
            <w:vMerge w:val="continue"/>
            <w:vAlign w:val="center"/>
          </w:tcPr>
          <w:p w14:paraId="19E160C1">
            <w:pPr>
              <w:pStyle w:val="196"/>
              <w:rPr>
                <w:b/>
                <w:bCs/>
                <w:szCs w:val="21"/>
              </w:rPr>
            </w:pPr>
          </w:p>
        </w:tc>
        <w:tc>
          <w:tcPr>
            <w:tcW w:w="333" w:type="pct"/>
            <w:vMerge w:val="continue"/>
            <w:vAlign w:val="center"/>
          </w:tcPr>
          <w:p w14:paraId="76498A27">
            <w:pPr>
              <w:pStyle w:val="196"/>
              <w:rPr>
                <w:b/>
                <w:bCs/>
                <w:szCs w:val="21"/>
              </w:rPr>
            </w:pPr>
          </w:p>
        </w:tc>
      </w:tr>
      <w:tr w14:paraId="41FC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5A2D8817">
            <w:pPr>
              <w:pStyle w:val="196"/>
              <w:rPr>
                <w:szCs w:val="21"/>
              </w:rPr>
            </w:pPr>
            <w:r>
              <w:rPr>
                <w:rFonts w:hint="eastAsia"/>
                <w:szCs w:val="21"/>
              </w:rPr>
              <w:t>1</w:t>
            </w:r>
          </w:p>
        </w:tc>
        <w:tc>
          <w:tcPr>
            <w:tcW w:w="417" w:type="pct"/>
            <w:vAlign w:val="center"/>
          </w:tcPr>
          <w:p w14:paraId="1FCABE16">
            <w:pPr>
              <w:pStyle w:val="196"/>
              <w:rPr>
                <w:szCs w:val="21"/>
              </w:rPr>
            </w:pPr>
            <w:r>
              <w:rPr>
                <w:rFonts w:hint="eastAsia"/>
                <w:szCs w:val="21"/>
              </w:rPr>
              <w:t>船舶生活污水</w:t>
            </w:r>
          </w:p>
        </w:tc>
        <w:tc>
          <w:tcPr>
            <w:tcW w:w="667" w:type="pct"/>
            <w:vAlign w:val="center"/>
          </w:tcPr>
          <w:p w14:paraId="3FEB22C4">
            <w:pPr>
              <w:pStyle w:val="196"/>
              <w:rPr>
                <w:szCs w:val="21"/>
              </w:rPr>
            </w:pPr>
            <w:r>
              <w:rPr>
                <w:rFonts w:hint="eastAsia"/>
                <w:szCs w:val="21"/>
              </w:rPr>
              <w:t>COD、SS、NH</w:t>
            </w:r>
            <w:r>
              <w:rPr>
                <w:rFonts w:hint="eastAsia"/>
                <w:szCs w:val="21"/>
                <w:vertAlign w:val="subscript"/>
              </w:rPr>
              <w:t>3</w:t>
            </w:r>
            <w:r>
              <w:rPr>
                <w:rFonts w:hint="eastAsia"/>
                <w:szCs w:val="21"/>
              </w:rPr>
              <w:t>-N、TP、TN</w:t>
            </w:r>
          </w:p>
        </w:tc>
        <w:tc>
          <w:tcPr>
            <w:tcW w:w="399" w:type="pct"/>
            <w:vMerge w:val="restart"/>
            <w:vAlign w:val="center"/>
          </w:tcPr>
          <w:p w14:paraId="3AA18BB3">
            <w:pPr>
              <w:pStyle w:val="196"/>
              <w:rPr>
                <w:szCs w:val="21"/>
              </w:rPr>
            </w:pPr>
            <w:r>
              <w:rPr>
                <w:rFonts w:hint="eastAsia"/>
                <w:szCs w:val="21"/>
              </w:rPr>
              <w:t>依托国能涟水一期热电联产项目污水处理设施处理</w:t>
            </w:r>
          </w:p>
        </w:tc>
        <w:tc>
          <w:tcPr>
            <w:tcW w:w="215" w:type="pct"/>
            <w:vMerge w:val="restart"/>
            <w:vAlign w:val="center"/>
          </w:tcPr>
          <w:p w14:paraId="62792B57">
            <w:pPr>
              <w:pStyle w:val="196"/>
              <w:rPr>
                <w:szCs w:val="21"/>
              </w:rPr>
            </w:pPr>
            <w:r>
              <w:rPr>
                <w:rFonts w:hint="eastAsia"/>
                <w:szCs w:val="21"/>
              </w:rPr>
              <w:t>-</w:t>
            </w:r>
          </w:p>
        </w:tc>
        <w:tc>
          <w:tcPr>
            <w:tcW w:w="461" w:type="pct"/>
            <w:vAlign w:val="center"/>
          </w:tcPr>
          <w:p w14:paraId="5D809639">
            <w:pPr>
              <w:pStyle w:val="196"/>
              <w:rPr>
                <w:szCs w:val="21"/>
              </w:rPr>
            </w:pPr>
            <w:r>
              <w:rPr>
                <w:rFonts w:hint="eastAsia"/>
                <w:szCs w:val="21"/>
              </w:rPr>
              <w:t>TW001</w:t>
            </w:r>
          </w:p>
        </w:tc>
        <w:tc>
          <w:tcPr>
            <w:tcW w:w="585" w:type="pct"/>
            <w:vAlign w:val="center"/>
          </w:tcPr>
          <w:p w14:paraId="290FFEF2">
            <w:pPr>
              <w:pStyle w:val="196"/>
              <w:rPr>
                <w:szCs w:val="21"/>
              </w:rPr>
            </w:pPr>
            <w:r>
              <w:rPr>
                <w:rFonts w:hint="eastAsia"/>
                <w:szCs w:val="21"/>
              </w:rPr>
              <w:t>接收装置</w:t>
            </w:r>
          </w:p>
        </w:tc>
        <w:tc>
          <w:tcPr>
            <w:tcW w:w="829" w:type="pct"/>
            <w:vMerge w:val="restart"/>
            <w:vAlign w:val="center"/>
          </w:tcPr>
          <w:p w14:paraId="65B45584">
            <w:pPr>
              <w:pStyle w:val="196"/>
              <w:rPr>
                <w:szCs w:val="21"/>
              </w:rPr>
            </w:pPr>
            <w:r>
              <w:rPr>
                <w:rFonts w:hint="eastAsia"/>
                <w:szCs w:val="21"/>
              </w:rPr>
              <w:t>化粪池</w:t>
            </w:r>
          </w:p>
        </w:tc>
        <w:tc>
          <w:tcPr>
            <w:tcW w:w="354" w:type="pct"/>
            <w:vAlign w:val="center"/>
          </w:tcPr>
          <w:p w14:paraId="52418D5B">
            <w:pPr>
              <w:pStyle w:val="196"/>
              <w:rPr>
                <w:szCs w:val="21"/>
              </w:rPr>
            </w:pPr>
            <w:r>
              <w:rPr>
                <w:rFonts w:hint="eastAsia"/>
                <w:szCs w:val="21"/>
              </w:rPr>
              <w:t>-</w:t>
            </w:r>
          </w:p>
        </w:tc>
        <w:tc>
          <w:tcPr>
            <w:tcW w:w="528" w:type="pct"/>
            <w:vAlign w:val="center"/>
          </w:tcPr>
          <w:p w14:paraId="37D8C52F">
            <w:pPr>
              <w:pStyle w:val="196"/>
              <w:rPr>
                <w:szCs w:val="21"/>
              </w:rPr>
            </w:pPr>
            <w:r>
              <w:rPr>
                <w:rFonts w:hint="eastAsia"/>
                <w:szCs w:val="21"/>
              </w:rPr>
              <w:t>-</w:t>
            </w:r>
          </w:p>
        </w:tc>
        <w:tc>
          <w:tcPr>
            <w:tcW w:w="333" w:type="pct"/>
            <w:vAlign w:val="center"/>
          </w:tcPr>
          <w:p w14:paraId="12116FD9">
            <w:pPr>
              <w:pStyle w:val="196"/>
              <w:rPr>
                <w:szCs w:val="21"/>
              </w:rPr>
            </w:pPr>
            <w:r>
              <w:rPr>
                <w:rFonts w:hint="eastAsia"/>
                <w:szCs w:val="21"/>
              </w:rPr>
              <w:t>-</w:t>
            </w:r>
          </w:p>
        </w:tc>
      </w:tr>
      <w:tr w14:paraId="0A4E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10E66276">
            <w:pPr>
              <w:pStyle w:val="196"/>
              <w:rPr>
                <w:szCs w:val="21"/>
              </w:rPr>
            </w:pPr>
            <w:r>
              <w:rPr>
                <w:rFonts w:hint="eastAsia"/>
                <w:szCs w:val="21"/>
              </w:rPr>
              <w:t>2</w:t>
            </w:r>
          </w:p>
        </w:tc>
        <w:tc>
          <w:tcPr>
            <w:tcW w:w="417" w:type="pct"/>
            <w:vAlign w:val="center"/>
          </w:tcPr>
          <w:p w14:paraId="715BF8BE">
            <w:pPr>
              <w:pStyle w:val="196"/>
              <w:rPr>
                <w:szCs w:val="21"/>
              </w:rPr>
            </w:pPr>
            <w:r>
              <w:rPr>
                <w:rFonts w:hint="eastAsia"/>
                <w:szCs w:val="21"/>
              </w:rPr>
              <w:t>陆域生活污水</w:t>
            </w:r>
          </w:p>
        </w:tc>
        <w:tc>
          <w:tcPr>
            <w:tcW w:w="667" w:type="pct"/>
            <w:vAlign w:val="center"/>
          </w:tcPr>
          <w:p w14:paraId="706293D8">
            <w:pPr>
              <w:pStyle w:val="196"/>
              <w:rPr>
                <w:szCs w:val="21"/>
              </w:rPr>
            </w:pPr>
            <w:r>
              <w:rPr>
                <w:rFonts w:hint="eastAsia"/>
                <w:szCs w:val="21"/>
              </w:rPr>
              <w:t>COD、SS、NH</w:t>
            </w:r>
            <w:r>
              <w:rPr>
                <w:rFonts w:hint="eastAsia"/>
                <w:szCs w:val="21"/>
                <w:vertAlign w:val="subscript"/>
              </w:rPr>
              <w:t>3</w:t>
            </w:r>
            <w:r>
              <w:rPr>
                <w:rFonts w:hint="eastAsia"/>
                <w:szCs w:val="21"/>
              </w:rPr>
              <w:t>-N、TP、TN</w:t>
            </w:r>
          </w:p>
        </w:tc>
        <w:tc>
          <w:tcPr>
            <w:tcW w:w="0" w:type="auto"/>
            <w:vMerge w:val="continue"/>
            <w:vAlign w:val="center"/>
          </w:tcPr>
          <w:p w14:paraId="10CECB5E">
            <w:pPr>
              <w:pStyle w:val="196"/>
              <w:rPr>
                <w:szCs w:val="21"/>
              </w:rPr>
            </w:pPr>
          </w:p>
        </w:tc>
        <w:tc>
          <w:tcPr>
            <w:tcW w:w="0" w:type="auto"/>
            <w:vMerge w:val="continue"/>
            <w:vAlign w:val="center"/>
          </w:tcPr>
          <w:p w14:paraId="685C9F66">
            <w:pPr>
              <w:pStyle w:val="196"/>
              <w:rPr>
                <w:szCs w:val="21"/>
              </w:rPr>
            </w:pPr>
          </w:p>
        </w:tc>
        <w:tc>
          <w:tcPr>
            <w:tcW w:w="461" w:type="pct"/>
            <w:vAlign w:val="center"/>
          </w:tcPr>
          <w:p w14:paraId="445C0C7B">
            <w:pPr>
              <w:pStyle w:val="196"/>
              <w:rPr>
                <w:szCs w:val="21"/>
              </w:rPr>
            </w:pPr>
            <w:r>
              <w:rPr>
                <w:rFonts w:hint="eastAsia"/>
                <w:szCs w:val="21"/>
              </w:rPr>
              <w:t>TW002</w:t>
            </w:r>
          </w:p>
        </w:tc>
        <w:tc>
          <w:tcPr>
            <w:tcW w:w="585" w:type="pct"/>
            <w:vAlign w:val="center"/>
          </w:tcPr>
          <w:p w14:paraId="1A57B143">
            <w:pPr>
              <w:pStyle w:val="196"/>
              <w:rPr>
                <w:szCs w:val="21"/>
              </w:rPr>
            </w:pPr>
            <w:r>
              <w:rPr>
                <w:rFonts w:hint="eastAsia"/>
                <w:szCs w:val="21"/>
              </w:rPr>
              <w:t>化粪池</w:t>
            </w:r>
          </w:p>
        </w:tc>
        <w:tc>
          <w:tcPr>
            <w:tcW w:w="829" w:type="pct"/>
            <w:vMerge w:val="continue"/>
            <w:vAlign w:val="center"/>
          </w:tcPr>
          <w:p w14:paraId="3138245E">
            <w:pPr>
              <w:pStyle w:val="196"/>
              <w:rPr>
                <w:szCs w:val="21"/>
              </w:rPr>
            </w:pPr>
          </w:p>
        </w:tc>
        <w:tc>
          <w:tcPr>
            <w:tcW w:w="354" w:type="pct"/>
            <w:vAlign w:val="center"/>
          </w:tcPr>
          <w:p w14:paraId="51D7F97F">
            <w:pPr>
              <w:pStyle w:val="196"/>
              <w:rPr>
                <w:szCs w:val="21"/>
              </w:rPr>
            </w:pPr>
            <w:r>
              <w:rPr>
                <w:rFonts w:hint="eastAsia"/>
                <w:szCs w:val="21"/>
              </w:rPr>
              <w:t>-</w:t>
            </w:r>
          </w:p>
        </w:tc>
        <w:tc>
          <w:tcPr>
            <w:tcW w:w="528" w:type="pct"/>
            <w:vAlign w:val="center"/>
          </w:tcPr>
          <w:p w14:paraId="658B64B0">
            <w:pPr>
              <w:pStyle w:val="196"/>
              <w:rPr>
                <w:szCs w:val="21"/>
              </w:rPr>
            </w:pPr>
            <w:r>
              <w:rPr>
                <w:rFonts w:hint="eastAsia"/>
                <w:szCs w:val="21"/>
              </w:rPr>
              <w:t>-</w:t>
            </w:r>
          </w:p>
        </w:tc>
        <w:tc>
          <w:tcPr>
            <w:tcW w:w="333" w:type="pct"/>
            <w:vAlign w:val="center"/>
          </w:tcPr>
          <w:p w14:paraId="2FA28ED4">
            <w:pPr>
              <w:pStyle w:val="196"/>
              <w:rPr>
                <w:szCs w:val="21"/>
              </w:rPr>
            </w:pPr>
            <w:r>
              <w:rPr>
                <w:rFonts w:hint="eastAsia"/>
                <w:szCs w:val="21"/>
              </w:rPr>
              <w:t>-</w:t>
            </w:r>
          </w:p>
        </w:tc>
      </w:tr>
      <w:tr w14:paraId="0094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71749396">
            <w:pPr>
              <w:pStyle w:val="196"/>
              <w:rPr>
                <w:szCs w:val="21"/>
              </w:rPr>
            </w:pPr>
            <w:r>
              <w:rPr>
                <w:rFonts w:hint="eastAsia"/>
                <w:szCs w:val="21"/>
              </w:rPr>
              <w:t>3</w:t>
            </w:r>
          </w:p>
        </w:tc>
        <w:tc>
          <w:tcPr>
            <w:tcW w:w="417" w:type="pct"/>
            <w:vAlign w:val="center"/>
          </w:tcPr>
          <w:p w14:paraId="204EDB54">
            <w:pPr>
              <w:pStyle w:val="196"/>
              <w:rPr>
                <w:szCs w:val="21"/>
              </w:rPr>
            </w:pPr>
            <w:r>
              <w:rPr>
                <w:rFonts w:hint="eastAsia"/>
                <w:szCs w:val="21"/>
              </w:rPr>
              <w:t>初期雨水</w:t>
            </w:r>
          </w:p>
        </w:tc>
        <w:tc>
          <w:tcPr>
            <w:tcW w:w="667" w:type="pct"/>
            <w:vAlign w:val="center"/>
          </w:tcPr>
          <w:p w14:paraId="0C40E67B">
            <w:pPr>
              <w:pStyle w:val="196"/>
              <w:rPr>
                <w:szCs w:val="21"/>
              </w:rPr>
            </w:pPr>
            <w:r>
              <w:rPr>
                <w:rFonts w:hint="eastAsia"/>
                <w:szCs w:val="21"/>
              </w:rPr>
              <w:t>SS</w:t>
            </w:r>
          </w:p>
        </w:tc>
        <w:tc>
          <w:tcPr>
            <w:tcW w:w="0" w:type="auto"/>
            <w:vMerge w:val="continue"/>
            <w:vAlign w:val="center"/>
          </w:tcPr>
          <w:p w14:paraId="30D6C2AB">
            <w:pPr>
              <w:pStyle w:val="196"/>
              <w:rPr>
                <w:szCs w:val="21"/>
              </w:rPr>
            </w:pPr>
          </w:p>
        </w:tc>
        <w:tc>
          <w:tcPr>
            <w:tcW w:w="0" w:type="auto"/>
            <w:vMerge w:val="continue"/>
            <w:vAlign w:val="center"/>
          </w:tcPr>
          <w:p w14:paraId="39F6E6A0">
            <w:pPr>
              <w:pStyle w:val="196"/>
              <w:rPr>
                <w:szCs w:val="21"/>
              </w:rPr>
            </w:pPr>
          </w:p>
        </w:tc>
        <w:tc>
          <w:tcPr>
            <w:tcW w:w="461" w:type="pct"/>
            <w:vAlign w:val="center"/>
          </w:tcPr>
          <w:p w14:paraId="4FFA4D0F">
            <w:pPr>
              <w:pStyle w:val="196"/>
              <w:rPr>
                <w:szCs w:val="21"/>
              </w:rPr>
            </w:pPr>
            <w:r>
              <w:rPr>
                <w:rFonts w:hint="eastAsia"/>
                <w:szCs w:val="21"/>
              </w:rPr>
              <w:t>TW003</w:t>
            </w:r>
          </w:p>
        </w:tc>
        <w:tc>
          <w:tcPr>
            <w:tcW w:w="585" w:type="pct"/>
            <w:vAlign w:val="center"/>
          </w:tcPr>
          <w:p w14:paraId="506B167C">
            <w:pPr>
              <w:pStyle w:val="196"/>
              <w:rPr>
                <w:szCs w:val="21"/>
              </w:rPr>
            </w:pPr>
            <w:r>
              <w:rPr>
                <w:rFonts w:hint="eastAsia"/>
                <w:szCs w:val="21"/>
              </w:rPr>
              <w:t>初期雨水收集池（兼沉淀池）</w:t>
            </w:r>
          </w:p>
        </w:tc>
        <w:tc>
          <w:tcPr>
            <w:tcW w:w="829" w:type="pct"/>
            <w:vAlign w:val="center"/>
          </w:tcPr>
          <w:p w14:paraId="374A6B50">
            <w:pPr>
              <w:pStyle w:val="196"/>
              <w:rPr>
                <w:szCs w:val="21"/>
              </w:rPr>
            </w:pPr>
            <w:r>
              <w:rPr>
                <w:rFonts w:hint="eastAsia"/>
                <w:szCs w:val="21"/>
              </w:rPr>
              <w:t>沉淀</w:t>
            </w:r>
          </w:p>
        </w:tc>
        <w:tc>
          <w:tcPr>
            <w:tcW w:w="354" w:type="pct"/>
            <w:vAlign w:val="center"/>
          </w:tcPr>
          <w:p w14:paraId="3D03B4DA">
            <w:pPr>
              <w:pStyle w:val="196"/>
              <w:rPr>
                <w:szCs w:val="21"/>
              </w:rPr>
            </w:pPr>
            <w:r>
              <w:rPr>
                <w:rFonts w:hint="eastAsia"/>
                <w:szCs w:val="21"/>
              </w:rPr>
              <w:t>-</w:t>
            </w:r>
          </w:p>
        </w:tc>
        <w:tc>
          <w:tcPr>
            <w:tcW w:w="528" w:type="pct"/>
            <w:vAlign w:val="center"/>
          </w:tcPr>
          <w:p w14:paraId="523DF266">
            <w:pPr>
              <w:pStyle w:val="196"/>
              <w:rPr>
                <w:szCs w:val="21"/>
              </w:rPr>
            </w:pPr>
            <w:r>
              <w:rPr>
                <w:rFonts w:hint="eastAsia"/>
                <w:szCs w:val="21"/>
              </w:rPr>
              <w:t>-</w:t>
            </w:r>
          </w:p>
        </w:tc>
        <w:tc>
          <w:tcPr>
            <w:tcW w:w="333" w:type="pct"/>
            <w:vAlign w:val="center"/>
          </w:tcPr>
          <w:p w14:paraId="2D891FC7">
            <w:pPr>
              <w:pStyle w:val="196"/>
              <w:rPr>
                <w:szCs w:val="21"/>
              </w:rPr>
            </w:pPr>
            <w:r>
              <w:rPr>
                <w:rFonts w:hint="eastAsia"/>
                <w:szCs w:val="21"/>
              </w:rPr>
              <w:t>-</w:t>
            </w:r>
          </w:p>
        </w:tc>
      </w:tr>
      <w:tr w14:paraId="0A0F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6A1FFA1F">
            <w:pPr>
              <w:pStyle w:val="196"/>
              <w:rPr>
                <w:szCs w:val="21"/>
              </w:rPr>
            </w:pPr>
            <w:r>
              <w:rPr>
                <w:rFonts w:hint="eastAsia"/>
                <w:szCs w:val="21"/>
              </w:rPr>
              <w:t>4</w:t>
            </w:r>
          </w:p>
        </w:tc>
        <w:tc>
          <w:tcPr>
            <w:tcW w:w="417" w:type="pct"/>
            <w:vAlign w:val="center"/>
          </w:tcPr>
          <w:p w14:paraId="67CB572B">
            <w:pPr>
              <w:pStyle w:val="196"/>
              <w:rPr>
                <w:szCs w:val="21"/>
              </w:rPr>
            </w:pPr>
            <w:r>
              <w:rPr>
                <w:rFonts w:hint="eastAsia"/>
                <w:szCs w:val="21"/>
              </w:rPr>
              <w:t>码头冲洗废水</w:t>
            </w:r>
          </w:p>
        </w:tc>
        <w:tc>
          <w:tcPr>
            <w:tcW w:w="667" w:type="pct"/>
            <w:vAlign w:val="center"/>
          </w:tcPr>
          <w:p w14:paraId="7EDC051A">
            <w:pPr>
              <w:pStyle w:val="196"/>
              <w:rPr>
                <w:szCs w:val="21"/>
              </w:rPr>
            </w:pPr>
            <w:r>
              <w:rPr>
                <w:rFonts w:hint="eastAsia"/>
                <w:szCs w:val="21"/>
              </w:rPr>
              <w:t>SS</w:t>
            </w:r>
          </w:p>
        </w:tc>
        <w:tc>
          <w:tcPr>
            <w:tcW w:w="0" w:type="auto"/>
            <w:vMerge w:val="continue"/>
            <w:vAlign w:val="center"/>
          </w:tcPr>
          <w:p w14:paraId="59BCB9A5">
            <w:pPr>
              <w:pStyle w:val="196"/>
              <w:rPr>
                <w:szCs w:val="21"/>
              </w:rPr>
            </w:pPr>
          </w:p>
        </w:tc>
        <w:tc>
          <w:tcPr>
            <w:tcW w:w="0" w:type="auto"/>
            <w:vMerge w:val="continue"/>
            <w:vAlign w:val="center"/>
          </w:tcPr>
          <w:p w14:paraId="382ACAE1">
            <w:pPr>
              <w:pStyle w:val="196"/>
              <w:rPr>
                <w:szCs w:val="21"/>
              </w:rPr>
            </w:pPr>
          </w:p>
        </w:tc>
        <w:tc>
          <w:tcPr>
            <w:tcW w:w="461" w:type="pct"/>
            <w:vAlign w:val="center"/>
          </w:tcPr>
          <w:p w14:paraId="5CB5EEB5">
            <w:pPr>
              <w:pStyle w:val="196"/>
              <w:rPr>
                <w:szCs w:val="21"/>
              </w:rPr>
            </w:pPr>
            <w:r>
              <w:rPr>
                <w:rFonts w:hint="eastAsia"/>
                <w:szCs w:val="21"/>
              </w:rPr>
              <w:t>TW004</w:t>
            </w:r>
          </w:p>
        </w:tc>
        <w:tc>
          <w:tcPr>
            <w:tcW w:w="585" w:type="pct"/>
            <w:vAlign w:val="center"/>
          </w:tcPr>
          <w:p w14:paraId="4A936ED8">
            <w:pPr>
              <w:pStyle w:val="196"/>
              <w:rPr>
                <w:szCs w:val="21"/>
              </w:rPr>
            </w:pPr>
            <w:r>
              <w:rPr>
                <w:rFonts w:hint="eastAsia"/>
                <w:szCs w:val="21"/>
              </w:rPr>
              <w:t>含煤废水处理站</w:t>
            </w:r>
          </w:p>
        </w:tc>
        <w:tc>
          <w:tcPr>
            <w:tcW w:w="829" w:type="pct"/>
            <w:vMerge w:val="restart"/>
            <w:vAlign w:val="center"/>
          </w:tcPr>
          <w:p w14:paraId="15102D30">
            <w:pPr>
              <w:pStyle w:val="196"/>
              <w:rPr>
                <w:szCs w:val="21"/>
              </w:rPr>
            </w:pPr>
            <w:r>
              <w:rPr>
                <w:rFonts w:hint="eastAsia"/>
                <w:szCs w:val="21"/>
              </w:rPr>
              <w:t>隔油池+调节沉淀池+气浮池。</w:t>
            </w:r>
          </w:p>
          <w:p w14:paraId="28A24050">
            <w:pPr>
              <w:pStyle w:val="196"/>
              <w:rPr>
                <w:szCs w:val="21"/>
              </w:rPr>
            </w:pPr>
            <w:r>
              <w:rPr>
                <w:rFonts w:hint="eastAsia"/>
                <w:szCs w:val="21"/>
              </w:rPr>
              <w:t>冲洗废水经排水沟收集排入热电项目含煤废水处理系统处理后用作厂区煤场喷淋和输煤栈桥冲洗，不外排</w:t>
            </w:r>
          </w:p>
        </w:tc>
        <w:tc>
          <w:tcPr>
            <w:tcW w:w="354" w:type="pct"/>
            <w:vAlign w:val="center"/>
          </w:tcPr>
          <w:p w14:paraId="738A078A">
            <w:pPr>
              <w:pStyle w:val="196"/>
              <w:rPr>
                <w:szCs w:val="21"/>
              </w:rPr>
            </w:pPr>
            <w:r>
              <w:rPr>
                <w:rFonts w:hint="eastAsia"/>
                <w:szCs w:val="21"/>
              </w:rPr>
              <w:t>-</w:t>
            </w:r>
          </w:p>
        </w:tc>
        <w:tc>
          <w:tcPr>
            <w:tcW w:w="528" w:type="pct"/>
            <w:vAlign w:val="center"/>
          </w:tcPr>
          <w:p w14:paraId="1150281B">
            <w:pPr>
              <w:pStyle w:val="196"/>
              <w:rPr>
                <w:szCs w:val="21"/>
              </w:rPr>
            </w:pPr>
            <w:r>
              <w:rPr>
                <w:rFonts w:hint="eastAsia"/>
                <w:szCs w:val="21"/>
              </w:rPr>
              <w:t>-</w:t>
            </w:r>
          </w:p>
        </w:tc>
        <w:tc>
          <w:tcPr>
            <w:tcW w:w="333" w:type="pct"/>
            <w:vAlign w:val="center"/>
          </w:tcPr>
          <w:p w14:paraId="4B1F47BC">
            <w:pPr>
              <w:pStyle w:val="196"/>
              <w:rPr>
                <w:szCs w:val="21"/>
              </w:rPr>
            </w:pPr>
            <w:r>
              <w:rPr>
                <w:rFonts w:hint="eastAsia"/>
                <w:szCs w:val="21"/>
              </w:rPr>
              <w:t>-</w:t>
            </w:r>
          </w:p>
        </w:tc>
      </w:tr>
      <w:tr w14:paraId="185D3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1B21E589">
            <w:pPr>
              <w:pStyle w:val="196"/>
              <w:rPr>
                <w:szCs w:val="21"/>
              </w:rPr>
            </w:pPr>
            <w:r>
              <w:rPr>
                <w:rFonts w:hint="eastAsia"/>
                <w:szCs w:val="21"/>
              </w:rPr>
              <w:t>5</w:t>
            </w:r>
          </w:p>
        </w:tc>
        <w:tc>
          <w:tcPr>
            <w:tcW w:w="417" w:type="pct"/>
            <w:vAlign w:val="center"/>
          </w:tcPr>
          <w:p w14:paraId="7E6F893D">
            <w:pPr>
              <w:pStyle w:val="196"/>
              <w:rPr>
                <w:szCs w:val="21"/>
              </w:rPr>
            </w:pPr>
            <w:r>
              <w:rPr>
                <w:rFonts w:hint="eastAsia"/>
                <w:szCs w:val="21"/>
              </w:rPr>
              <w:t>机械冲洗废水</w:t>
            </w:r>
          </w:p>
        </w:tc>
        <w:tc>
          <w:tcPr>
            <w:tcW w:w="667" w:type="pct"/>
            <w:vAlign w:val="center"/>
          </w:tcPr>
          <w:p w14:paraId="17F0EC83">
            <w:pPr>
              <w:pStyle w:val="196"/>
              <w:rPr>
                <w:szCs w:val="21"/>
              </w:rPr>
            </w:pPr>
            <w:r>
              <w:rPr>
                <w:rFonts w:hint="eastAsia"/>
                <w:szCs w:val="21"/>
              </w:rPr>
              <w:t>COD、SS、石油类</w:t>
            </w:r>
          </w:p>
        </w:tc>
        <w:tc>
          <w:tcPr>
            <w:tcW w:w="0" w:type="auto"/>
            <w:vMerge w:val="continue"/>
            <w:vAlign w:val="center"/>
          </w:tcPr>
          <w:p w14:paraId="10AE211A">
            <w:pPr>
              <w:pStyle w:val="196"/>
              <w:rPr>
                <w:szCs w:val="21"/>
              </w:rPr>
            </w:pPr>
          </w:p>
        </w:tc>
        <w:tc>
          <w:tcPr>
            <w:tcW w:w="0" w:type="auto"/>
            <w:vMerge w:val="continue"/>
            <w:vAlign w:val="center"/>
          </w:tcPr>
          <w:p w14:paraId="0338AF2D">
            <w:pPr>
              <w:pStyle w:val="196"/>
              <w:rPr>
                <w:szCs w:val="21"/>
              </w:rPr>
            </w:pPr>
          </w:p>
        </w:tc>
        <w:tc>
          <w:tcPr>
            <w:tcW w:w="461" w:type="pct"/>
            <w:vAlign w:val="center"/>
          </w:tcPr>
          <w:p w14:paraId="30A504D3">
            <w:pPr>
              <w:pStyle w:val="196"/>
              <w:rPr>
                <w:szCs w:val="21"/>
              </w:rPr>
            </w:pPr>
            <w:r>
              <w:rPr>
                <w:rFonts w:hint="eastAsia"/>
                <w:szCs w:val="21"/>
              </w:rPr>
              <w:t>TW005</w:t>
            </w:r>
          </w:p>
        </w:tc>
        <w:tc>
          <w:tcPr>
            <w:tcW w:w="585" w:type="pct"/>
            <w:vAlign w:val="center"/>
          </w:tcPr>
          <w:p w14:paraId="45B6E454">
            <w:pPr>
              <w:pStyle w:val="196"/>
              <w:rPr>
                <w:szCs w:val="21"/>
              </w:rPr>
            </w:pPr>
            <w:r>
              <w:rPr>
                <w:rFonts w:hint="eastAsia"/>
                <w:szCs w:val="21"/>
                <w:lang w:eastAsia="zh-CN"/>
              </w:rPr>
              <w:t>油气</w:t>
            </w:r>
            <w:r>
              <w:rPr>
                <w:rFonts w:hint="eastAsia"/>
                <w:szCs w:val="21"/>
              </w:rPr>
              <w:t>污水处理站</w:t>
            </w:r>
          </w:p>
        </w:tc>
        <w:tc>
          <w:tcPr>
            <w:tcW w:w="829" w:type="pct"/>
            <w:vMerge w:val="continue"/>
            <w:vAlign w:val="center"/>
          </w:tcPr>
          <w:p w14:paraId="1462348C">
            <w:pPr>
              <w:pStyle w:val="196"/>
              <w:rPr>
                <w:szCs w:val="21"/>
              </w:rPr>
            </w:pPr>
          </w:p>
        </w:tc>
        <w:tc>
          <w:tcPr>
            <w:tcW w:w="354" w:type="pct"/>
            <w:vAlign w:val="center"/>
          </w:tcPr>
          <w:p w14:paraId="1686A405">
            <w:pPr>
              <w:pStyle w:val="196"/>
              <w:rPr>
                <w:szCs w:val="21"/>
              </w:rPr>
            </w:pPr>
            <w:r>
              <w:rPr>
                <w:rFonts w:hint="eastAsia"/>
                <w:szCs w:val="21"/>
              </w:rPr>
              <w:t>-</w:t>
            </w:r>
          </w:p>
        </w:tc>
        <w:tc>
          <w:tcPr>
            <w:tcW w:w="528" w:type="pct"/>
            <w:vAlign w:val="center"/>
          </w:tcPr>
          <w:p w14:paraId="464F2065">
            <w:pPr>
              <w:pStyle w:val="196"/>
              <w:rPr>
                <w:szCs w:val="21"/>
              </w:rPr>
            </w:pPr>
            <w:r>
              <w:rPr>
                <w:rFonts w:hint="eastAsia"/>
                <w:szCs w:val="21"/>
              </w:rPr>
              <w:t>-</w:t>
            </w:r>
          </w:p>
        </w:tc>
        <w:tc>
          <w:tcPr>
            <w:tcW w:w="333" w:type="pct"/>
            <w:vAlign w:val="center"/>
          </w:tcPr>
          <w:p w14:paraId="649A8E98">
            <w:pPr>
              <w:pStyle w:val="196"/>
              <w:rPr>
                <w:szCs w:val="21"/>
              </w:rPr>
            </w:pPr>
            <w:r>
              <w:rPr>
                <w:rFonts w:hint="eastAsia"/>
                <w:szCs w:val="21"/>
              </w:rPr>
              <w:t>-</w:t>
            </w:r>
          </w:p>
        </w:tc>
      </w:tr>
      <w:tr w14:paraId="375C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2" w:type="pct"/>
            <w:vAlign w:val="center"/>
          </w:tcPr>
          <w:p w14:paraId="4B18EBFE">
            <w:pPr>
              <w:pStyle w:val="196"/>
              <w:rPr>
                <w:szCs w:val="21"/>
              </w:rPr>
            </w:pPr>
            <w:r>
              <w:rPr>
                <w:rFonts w:hint="eastAsia"/>
                <w:szCs w:val="21"/>
              </w:rPr>
              <w:t>6</w:t>
            </w:r>
          </w:p>
        </w:tc>
        <w:tc>
          <w:tcPr>
            <w:tcW w:w="417" w:type="pct"/>
            <w:vAlign w:val="center"/>
          </w:tcPr>
          <w:p w14:paraId="1622448B">
            <w:pPr>
              <w:pStyle w:val="196"/>
              <w:rPr>
                <w:szCs w:val="21"/>
              </w:rPr>
            </w:pPr>
            <w:r>
              <w:rPr>
                <w:rFonts w:hint="eastAsia"/>
                <w:szCs w:val="21"/>
              </w:rPr>
              <w:t>船舶舱底油污水</w:t>
            </w:r>
          </w:p>
        </w:tc>
        <w:tc>
          <w:tcPr>
            <w:tcW w:w="667" w:type="pct"/>
            <w:vAlign w:val="center"/>
          </w:tcPr>
          <w:p w14:paraId="3BAC5719">
            <w:pPr>
              <w:pStyle w:val="196"/>
              <w:rPr>
                <w:szCs w:val="21"/>
              </w:rPr>
            </w:pPr>
            <w:r>
              <w:rPr>
                <w:rFonts w:hint="eastAsia"/>
                <w:szCs w:val="21"/>
              </w:rPr>
              <w:t>COD、SS、石油类</w:t>
            </w:r>
          </w:p>
        </w:tc>
        <w:tc>
          <w:tcPr>
            <w:tcW w:w="399" w:type="pct"/>
            <w:vAlign w:val="center"/>
          </w:tcPr>
          <w:p w14:paraId="5D962250">
            <w:pPr>
              <w:pStyle w:val="196"/>
              <w:rPr>
                <w:szCs w:val="21"/>
              </w:rPr>
            </w:pPr>
          </w:p>
        </w:tc>
        <w:tc>
          <w:tcPr>
            <w:tcW w:w="0" w:type="auto"/>
            <w:vMerge w:val="continue"/>
            <w:vAlign w:val="center"/>
          </w:tcPr>
          <w:p w14:paraId="63AF34CC">
            <w:pPr>
              <w:pStyle w:val="196"/>
              <w:rPr>
                <w:szCs w:val="21"/>
              </w:rPr>
            </w:pPr>
          </w:p>
        </w:tc>
        <w:tc>
          <w:tcPr>
            <w:tcW w:w="461" w:type="pct"/>
            <w:vAlign w:val="center"/>
          </w:tcPr>
          <w:p w14:paraId="538958DD">
            <w:pPr>
              <w:pStyle w:val="196"/>
              <w:rPr>
                <w:szCs w:val="21"/>
              </w:rPr>
            </w:pPr>
            <w:r>
              <w:rPr>
                <w:rFonts w:hint="eastAsia"/>
                <w:szCs w:val="21"/>
              </w:rPr>
              <w:t>TW006-</w:t>
            </w:r>
          </w:p>
        </w:tc>
        <w:tc>
          <w:tcPr>
            <w:tcW w:w="585" w:type="pct"/>
            <w:vAlign w:val="center"/>
          </w:tcPr>
          <w:p w14:paraId="5722FF8F">
            <w:pPr>
              <w:pStyle w:val="196"/>
              <w:rPr>
                <w:szCs w:val="21"/>
              </w:rPr>
            </w:pPr>
            <w:r>
              <w:rPr>
                <w:rFonts w:hint="eastAsia"/>
                <w:szCs w:val="21"/>
              </w:rPr>
              <w:t>委托有资质单位处置</w:t>
            </w:r>
          </w:p>
        </w:tc>
        <w:tc>
          <w:tcPr>
            <w:tcW w:w="829" w:type="pct"/>
            <w:vAlign w:val="center"/>
          </w:tcPr>
          <w:p w14:paraId="74B2F2A7">
            <w:pPr>
              <w:pStyle w:val="196"/>
              <w:rPr>
                <w:szCs w:val="21"/>
              </w:rPr>
            </w:pPr>
            <w:r>
              <w:rPr>
                <w:rFonts w:hint="eastAsia"/>
                <w:szCs w:val="21"/>
              </w:rPr>
              <w:t>-</w:t>
            </w:r>
          </w:p>
        </w:tc>
        <w:tc>
          <w:tcPr>
            <w:tcW w:w="354" w:type="pct"/>
            <w:vAlign w:val="center"/>
          </w:tcPr>
          <w:p w14:paraId="1013EB7B">
            <w:pPr>
              <w:pStyle w:val="196"/>
              <w:rPr>
                <w:szCs w:val="21"/>
              </w:rPr>
            </w:pPr>
            <w:r>
              <w:rPr>
                <w:rFonts w:hint="eastAsia"/>
                <w:szCs w:val="21"/>
              </w:rPr>
              <w:t>-</w:t>
            </w:r>
          </w:p>
        </w:tc>
        <w:tc>
          <w:tcPr>
            <w:tcW w:w="528" w:type="pct"/>
            <w:vAlign w:val="center"/>
          </w:tcPr>
          <w:p w14:paraId="673D7611">
            <w:pPr>
              <w:pStyle w:val="196"/>
              <w:rPr>
                <w:szCs w:val="21"/>
              </w:rPr>
            </w:pPr>
            <w:r>
              <w:rPr>
                <w:rFonts w:hint="eastAsia"/>
                <w:szCs w:val="21"/>
              </w:rPr>
              <w:t>-</w:t>
            </w:r>
          </w:p>
        </w:tc>
        <w:tc>
          <w:tcPr>
            <w:tcW w:w="333" w:type="pct"/>
            <w:vAlign w:val="center"/>
          </w:tcPr>
          <w:p w14:paraId="3BE766B5">
            <w:pPr>
              <w:pStyle w:val="196"/>
              <w:rPr>
                <w:szCs w:val="21"/>
              </w:rPr>
            </w:pPr>
            <w:r>
              <w:rPr>
                <w:rFonts w:hint="eastAsia"/>
                <w:szCs w:val="21"/>
              </w:rPr>
              <w:t>-</w:t>
            </w:r>
          </w:p>
        </w:tc>
      </w:tr>
    </w:tbl>
    <w:p w14:paraId="27C15B19">
      <w:pPr>
        <w:pStyle w:val="84"/>
      </w:pPr>
      <w:bookmarkStart w:id="281" w:name="_Hlk181750744"/>
      <w:r>
        <w:rPr>
          <w:rFonts w:hint="eastAsia"/>
        </w:rPr>
        <w:t>地表水水文要素影响分析</w:t>
      </w:r>
    </w:p>
    <w:bookmarkEnd w:id="281"/>
    <w:p w14:paraId="71C39BB6">
      <w:pPr>
        <w:pStyle w:val="139"/>
        <w:ind w:firstLine="480"/>
        <w:rPr>
          <w:color w:val="auto"/>
        </w:rPr>
      </w:pPr>
      <w:bookmarkStart w:id="282" w:name="_Hlk181750764"/>
      <w:r>
        <w:rPr>
          <w:rFonts w:hint="eastAsia"/>
          <w:color w:val="auto"/>
        </w:rPr>
        <w:t>本项目为内河码头项目，码头港池为挖入式港池，码头结构为钢筋砼扶壁式，与高桩梁板结构型式不同，不会向水面外扩，垂直方向不占用水域，码头不占用盐河过水断面及水域面积。码头利用盐河现有航道，不对航道进行疏浚，不影响盐河水位和水深，对盐河水流影响较小。</w:t>
      </w:r>
    </w:p>
    <w:p w14:paraId="4FF7CC71">
      <w:pPr>
        <w:pStyle w:val="139"/>
        <w:ind w:firstLine="480"/>
        <w:rPr>
          <w:color w:val="auto"/>
        </w:rPr>
      </w:pPr>
      <w:r>
        <w:rPr>
          <w:rFonts w:hint="eastAsia"/>
          <w:color w:val="auto"/>
        </w:rPr>
        <w:t>本项目施工期设置施工围堰，占用少量水域，形成一定的阻水效应，对所在水域的水文动力环境产生一定程度的影响，致使水流减缓，进而引起泥沙</w:t>
      </w:r>
      <w:r>
        <w:rPr>
          <w:rFonts w:hint="eastAsia"/>
          <w:color w:val="auto"/>
          <w:lang w:eastAsia="zh-CN"/>
        </w:rPr>
        <w:t>地冲</w:t>
      </w:r>
      <w:r>
        <w:rPr>
          <w:rFonts w:hint="eastAsia"/>
          <w:color w:val="auto"/>
        </w:rPr>
        <w:t>淤变化，但由于本项目码头平面布置采用挖入式港池，随着施工结束，港池</w:t>
      </w:r>
      <w:r>
        <w:rPr>
          <w:rFonts w:hint="eastAsia"/>
          <w:color w:val="auto"/>
          <w:lang w:eastAsia="zh-CN"/>
        </w:rPr>
        <w:t>开放完成</w:t>
      </w:r>
      <w:r>
        <w:rPr>
          <w:rFonts w:hint="eastAsia"/>
          <w:color w:val="auto"/>
        </w:rPr>
        <w:t>，围堰拆除，不再占用水面。盐河本项目段地处徐淮平原的东南部，水位稳定，水流平缓，两岸护砌和植被绿化较好，地表</w:t>
      </w:r>
      <w:r>
        <w:rPr>
          <w:rFonts w:hint="eastAsia"/>
          <w:color w:val="auto"/>
          <w:lang w:eastAsia="zh-CN"/>
        </w:rPr>
        <w:t>水土流失</w:t>
      </w:r>
      <w:r>
        <w:rPr>
          <w:rFonts w:hint="eastAsia"/>
          <w:color w:val="auto"/>
        </w:rPr>
        <w:t>轻微，泥沙来源相对较少，河床淤积较小，除人为因素和船舶活动对</w:t>
      </w:r>
      <w:r>
        <w:rPr>
          <w:color w:val="auto"/>
          <w:lang w:val="en-US"/>
        </w:rPr>
        <w:t>河床演变影响外，工程建设总体对河床演变影响较小。因此，项目对</w:t>
      </w:r>
      <w:r>
        <w:rPr>
          <w:rFonts w:hint="eastAsia"/>
          <w:color w:val="auto"/>
          <w:lang w:val="en-US"/>
        </w:rPr>
        <w:t>盐</w:t>
      </w:r>
      <w:r>
        <w:rPr>
          <w:color w:val="auto"/>
          <w:lang w:val="en-US"/>
        </w:rPr>
        <w:t>河水动力及冲淤环境影响较小。</w:t>
      </w:r>
    </w:p>
    <w:bookmarkEnd w:id="282"/>
    <w:p w14:paraId="5FF56B64">
      <w:pPr>
        <w:pStyle w:val="84"/>
      </w:pPr>
      <w:r>
        <w:rPr>
          <w:rFonts w:hint="eastAsia"/>
        </w:rPr>
        <w:t>地表水环境影响评价自查情况</w:t>
      </w:r>
    </w:p>
    <w:p w14:paraId="6525BD8F">
      <w:pPr>
        <w:pStyle w:val="86"/>
      </w:pPr>
      <w:r>
        <w:rPr>
          <w:rFonts w:hint="eastAsia"/>
        </w:rPr>
        <w:t>地表水环境影响评价自查情况</w:t>
      </w:r>
    </w:p>
    <w:tbl>
      <w:tblPr>
        <w:tblStyle w:val="38"/>
        <w:tblW w:w="8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141"/>
        <w:gridCol w:w="1129"/>
        <w:gridCol w:w="275"/>
        <w:gridCol w:w="937"/>
        <w:gridCol w:w="468"/>
        <w:gridCol w:w="703"/>
        <w:gridCol w:w="315"/>
        <w:gridCol w:w="137"/>
        <w:gridCol w:w="250"/>
        <w:gridCol w:w="468"/>
        <w:gridCol w:w="558"/>
        <w:gridCol w:w="379"/>
        <w:gridCol w:w="51"/>
        <w:gridCol w:w="1354"/>
      </w:tblGrid>
      <w:tr w14:paraId="0D477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gridSpan w:val="2"/>
            <w:tcBorders>
              <w:top w:val="single" w:color="auto" w:sz="4" w:space="0"/>
              <w:left w:val="single" w:color="auto" w:sz="4" w:space="0"/>
              <w:bottom w:val="single" w:color="auto" w:sz="4" w:space="0"/>
              <w:right w:val="single" w:color="auto" w:sz="4" w:space="0"/>
            </w:tcBorders>
            <w:vAlign w:val="center"/>
          </w:tcPr>
          <w:p w14:paraId="73E5F5CE">
            <w:pPr>
              <w:pStyle w:val="196"/>
            </w:pPr>
            <w:r>
              <w:rPr>
                <w:rFonts w:hint="eastAsia"/>
              </w:rPr>
              <w:t>工作内容</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5813DE64">
            <w:pPr>
              <w:pStyle w:val="196"/>
            </w:pPr>
            <w:r>
              <w:rPr>
                <w:rFonts w:hint="eastAsia"/>
              </w:rPr>
              <w:t>自查项目</w:t>
            </w:r>
          </w:p>
        </w:tc>
      </w:tr>
      <w:tr w14:paraId="1EEC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vMerge w:val="restart"/>
            <w:tcBorders>
              <w:top w:val="nil"/>
              <w:left w:val="single" w:color="auto" w:sz="4" w:space="0"/>
              <w:bottom w:val="single" w:color="auto" w:sz="4" w:space="0"/>
              <w:right w:val="single" w:color="auto" w:sz="4" w:space="0"/>
            </w:tcBorders>
            <w:vAlign w:val="center"/>
          </w:tcPr>
          <w:p w14:paraId="09429D01">
            <w:pPr>
              <w:pStyle w:val="196"/>
              <w:rPr>
                <w:bCs/>
              </w:rPr>
            </w:pPr>
            <w:r>
              <w:rPr>
                <w:rFonts w:hint="eastAsia"/>
                <w:bCs/>
              </w:rPr>
              <w:t>影响识别</w:t>
            </w:r>
          </w:p>
        </w:tc>
        <w:tc>
          <w:tcPr>
            <w:tcW w:w="1141" w:type="dxa"/>
            <w:tcBorders>
              <w:top w:val="single" w:color="auto" w:sz="4" w:space="0"/>
              <w:left w:val="single" w:color="auto" w:sz="4" w:space="0"/>
              <w:bottom w:val="single" w:color="auto" w:sz="4" w:space="0"/>
              <w:right w:val="single" w:color="auto" w:sz="4" w:space="0"/>
            </w:tcBorders>
            <w:vAlign w:val="center"/>
          </w:tcPr>
          <w:p w14:paraId="5B8DF139">
            <w:pPr>
              <w:pStyle w:val="196"/>
              <w:rPr>
                <w:bCs/>
              </w:rPr>
            </w:pPr>
            <w:r>
              <w:rPr>
                <w:rFonts w:hint="eastAsia"/>
                <w:bCs/>
              </w:rPr>
              <w:t>影响类型</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6F6C0AF2">
            <w:pPr>
              <w:pStyle w:val="196"/>
              <w:rPr>
                <w:bCs/>
              </w:rPr>
            </w:pPr>
            <w:r>
              <w:rPr>
                <w:rFonts w:hint="eastAsia"/>
                <w:bCs/>
              </w:rPr>
              <w:t>水污染影响型</w:t>
            </w:r>
            <w:r>
              <w:rPr>
                <w:rFonts w:hint="eastAsia" w:ascii="Segoe UI Symbol" w:hAnsi="Segoe UI Symbol" w:cs="Segoe UI Symbol"/>
                <w:bCs/>
              </w:rPr>
              <w:t>☑</w:t>
            </w:r>
            <w:r>
              <w:rPr>
                <w:rFonts w:hint="eastAsia"/>
                <w:bCs/>
              </w:rPr>
              <w:t>；水文要素影响型</w:t>
            </w:r>
            <w:r>
              <w:rPr>
                <w:rFonts w:ascii="Segoe UI Symbol" w:hAnsi="Segoe UI Symbol" w:cs="Segoe UI Symbol"/>
                <w:bCs/>
              </w:rPr>
              <w:t>☑</w:t>
            </w:r>
          </w:p>
        </w:tc>
      </w:tr>
      <w:tr w14:paraId="658C4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7D9BC8CD">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5C7367F1">
            <w:pPr>
              <w:pStyle w:val="196"/>
              <w:rPr>
                <w:bCs/>
              </w:rPr>
            </w:pPr>
            <w:r>
              <w:rPr>
                <w:rFonts w:hint="eastAsia"/>
                <w:bCs/>
              </w:rPr>
              <w:t>水环境保护目标</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526771F9">
            <w:pPr>
              <w:pStyle w:val="196"/>
              <w:rPr>
                <w:bCs/>
              </w:rPr>
            </w:pPr>
            <w:r>
              <w:rPr>
                <w:rFonts w:hint="eastAsia"/>
                <w:bCs/>
              </w:rPr>
              <w:t>饮用水水源保护区□；饮用水取水口□；涉水的自然保护区□；重要湿地□；重点保护与珍稀水生生物的栖息地□；重要水生生物的自然产卵场及索饵场、越冬场和洄游通道、天然渔场等渔业水体□；涉水的风景名胜区□；其他□</w:t>
            </w:r>
          </w:p>
        </w:tc>
      </w:tr>
      <w:tr w14:paraId="06AD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276AAA6">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2D7D71BB">
            <w:pPr>
              <w:pStyle w:val="196"/>
              <w:rPr>
                <w:bCs/>
              </w:rPr>
            </w:pPr>
            <w:r>
              <w:rPr>
                <w:rFonts w:hint="eastAsia"/>
                <w:bCs/>
              </w:rPr>
              <w:t>影响途径</w:t>
            </w: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4080DB17">
            <w:pPr>
              <w:pStyle w:val="196"/>
              <w:rPr>
                <w:bCs/>
              </w:rPr>
            </w:pPr>
            <w:r>
              <w:rPr>
                <w:rFonts w:hint="eastAsia"/>
                <w:bCs/>
              </w:rPr>
              <w:t>水污染影响型</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2A61D820">
            <w:pPr>
              <w:pStyle w:val="196"/>
              <w:rPr>
                <w:bCs/>
              </w:rPr>
            </w:pPr>
            <w:r>
              <w:rPr>
                <w:rFonts w:hint="eastAsia"/>
                <w:bCs/>
              </w:rPr>
              <w:t>水文要素影响型</w:t>
            </w:r>
          </w:p>
        </w:tc>
      </w:tr>
      <w:tr w14:paraId="5421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6849B9E">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1852BB44">
            <w:pPr>
              <w:pStyle w:val="196"/>
              <w:rPr>
                <w:bCs/>
              </w:rPr>
            </w:pP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38E6E264">
            <w:pPr>
              <w:pStyle w:val="196"/>
              <w:rPr>
                <w:bCs/>
              </w:rPr>
            </w:pPr>
            <w:r>
              <w:rPr>
                <w:rFonts w:hint="eastAsia"/>
                <w:bCs/>
              </w:rPr>
              <w:t>直接排放□；间接排放</w:t>
            </w:r>
            <w:r>
              <w:rPr>
                <w:rFonts w:hint="eastAsia" w:ascii="Segoe UI Symbol" w:hAnsi="Segoe UI Symbol" w:cs="Segoe UI Symbol"/>
                <w:bCs/>
              </w:rPr>
              <w:t>☑</w:t>
            </w:r>
            <w:r>
              <w:rPr>
                <w:rFonts w:hint="eastAsia"/>
                <w:bCs/>
              </w:rPr>
              <w:t>；其他</w:t>
            </w:r>
            <w:r>
              <w:rPr>
                <w:rFonts w:hint="eastAsia" w:ascii="Segoe UI Symbol" w:hAnsi="Segoe UI Symbol" w:cs="Segoe UI Symbol"/>
                <w:bCs/>
              </w:rPr>
              <w:t>☑</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0C87E322">
            <w:pPr>
              <w:pStyle w:val="196"/>
              <w:rPr>
                <w:bCs/>
              </w:rPr>
            </w:pPr>
            <w:r>
              <w:rPr>
                <w:rFonts w:hint="eastAsia"/>
                <w:bCs/>
              </w:rPr>
              <w:t>水温□；径流□；水域面积□</w:t>
            </w:r>
          </w:p>
        </w:tc>
      </w:tr>
      <w:tr w14:paraId="3A78E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1C18E4AA">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0209012A">
            <w:pPr>
              <w:pStyle w:val="196"/>
              <w:rPr>
                <w:bCs/>
              </w:rPr>
            </w:pPr>
            <w:r>
              <w:rPr>
                <w:rFonts w:hint="eastAsia"/>
                <w:bCs/>
              </w:rPr>
              <w:t>影响因子</w:t>
            </w: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2E7E4C99">
            <w:pPr>
              <w:pStyle w:val="196"/>
              <w:rPr>
                <w:bCs/>
              </w:rPr>
            </w:pPr>
            <w:r>
              <w:rPr>
                <w:rFonts w:hint="eastAsia"/>
                <w:bCs/>
              </w:rPr>
              <w:t>持久性污染物</w:t>
            </w:r>
            <w:r>
              <w:rPr>
                <w:rFonts w:hint="eastAsia" w:ascii="Segoe UI Symbol" w:hAnsi="Segoe UI Symbol" w:cs="Segoe UI Symbol"/>
                <w:bCs/>
              </w:rPr>
              <w:t>☑</w:t>
            </w:r>
            <w:r>
              <w:rPr>
                <w:rFonts w:hint="eastAsia"/>
                <w:bCs/>
              </w:rPr>
              <w:t>；有毒有害污染物□；非持久性污染物</w:t>
            </w:r>
            <w:r>
              <w:rPr>
                <w:rFonts w:hint="eastAsia" w:ascii="Segoe UI Symbol" w:hAnsi="Segoe UI Symbol" w:cs="Segoe UI Symbol"/>
                <w:bCs/>
              </w:rPr>
              <w:t>☑</w:t>
            </w:r>
            <w:r>
              <w:rPr>
                <w:rFonts w:hint="eastAsia"/>
                <w:bCs/>
              </w:rPr>
              <w:t>；pH值□；热污染□；富营养化□；其他□</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3E4D6718">
            <w:pPr>
              <w:pStyle w:val="196"/>
              <w:rPr>
                <w:bCs/>
              </w:rPr>
            </w:pPr>
            <w:r>
              <w:rPr>
                <w:rFonts w:hint="eastAsia"/>
                <w:bCs/>
              </w:rPr>
              <w:t>水温□；水位（水深）□；流速□；流量□；其他□</w:t>
            </w:r>
          </w:p>
        </w:tc>
      </w:tr>
      <w:tr w14:paraId="2DE1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5" w:type="dxa"/>
            <w:gridSpan w:val="2"/>
            <w:vMerge w:val="restart"/>
            <w:tcBorders>
              <w:top w:val="nil"/>
              <w:left w:val="single" w:color="auto" w:sz="4" w:space="0"/>
              <w:bottom w:val="single" w:color="auto" w:sz="4" w:space="0"/>
              <w:right w:val="single" w:color="auto" w:sz="4" w:space="0"/>
            </w:tcBorders>
            <w:vAlign w:val="center"/>
          </w:tcPr>
          <w:p w14:paraId="4B7F159C">
            <w:pPr>
              <w:pStyle w:val="196"/>
              <w:rPr>
                <w:bCs/>
              </w:rPr>
            </w:pPr>
            <w:r>
              <w:rPr>
                <w:rFonts w:hint="eastAsia"/>
                <w:bCs/>
              </w:rPr>
              <w:t>评价等级</w:t>
            </w: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656CE314">
            <w:pPr>
              <w:pStyle w:val="196"/>
              <w:rPr>
                <w:bCs/>
              </w:rPr>
            </w:pPr>
            <w:r>
              <w:rPr>
                <w:rFonts w:hint="eastAsia"/>
                <w:bCs/>
              </w:rPr>
              <w:t>水污染影响型</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1D505534">
            <w:pPr>
              <w:pStyle w:val="196"/>
              <w:rPr>
                <w:bCs/>
              </w:rPr>
            </w:pPr>
            <w:r>
              <w:rPr>
                <w:rFonts w:hint="eastAsia"/>
                <w:bCs/>
              </w:rPr>
              <w:t>水文要素影响型</w:t>
            </w:r>
          </w:p>
        </w:tc>
      </w:tr>
      <w:tr w14:paraId="040D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0" w:type="dxa"/>
            <w:gridSpan w:val="2"/>
            <w:vMerge w:val="continue"/>
            <w:tcBorders>
              <w:top w:val="nil"/>
              <w:left w:val="single" w:color="auto" w:sz="4" w:space="0"/>
              <w:bottom w:val="single" w:color="auto" w:sz="4" w:space="0"/>
              <w:right w:val="single" w:color="auto" w:sz="4" w:space="0"/>
            </w:tcBorders>
            <w:vAlign w:val="center"/>
          </w:tcPr>
          <w:p w14:paraId="3AE081A4">
            <w:pPr>
              <w:pStyle w:val="196"/>
              <w:rPr>
                <w:bCs/>
              </w:rPr>
            </w:pP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51DA31EA">
            <w:pPr>
              <w:pStyle w:val="196"/>
              <w:rPr>
                <w:bCs/>
              </w:rPr>
            </w:pPr>
            <w:r>
              <w:rPr>
                <w:rFonts w:hint="eastAsia"/>
                <w:bCs/>
              </w:rPr>
              <w:t>一级□；二级□；三级A□；三级B</w:t>
            </w:r>
            <w:r>
              <w:rPr>
                <w:rFonts w:hint="eastAsia" w:ascii="Segoe UI Symbol" w:hAnsi="Segoe UI Symbol" w:cs="Segoe UI Symbol"/>
                <w:bCs/>
              </w:rPr>
              <w:t>☑</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3AB9C6D5">
            <w:pPr>
              <w:pStyle w:val="196"/>
              <w:rPr>
                <w:bCs/>
              </w:rPr>
            </w:pPr>
            <w:r>
              <w:rPr>
                <w:rFonts w:hint="eastAsia"/>
                <w:bCs/>
              </w:rPr>
              <w:t>一级□；二级□；三级</w:t>
            </w:r>
            <w:r>
              <w:rPr>
                <w:rFonts w:ascii="Segoe UI Symbol" w:hAnsi="Segoe UI Symbol" w:cs="Segoe UI Symbol"/>
                <w:bCs/>
              </w:rPr>
              <w:t>☑</w:t>
            </w:r>
          </w:p>
        </w:tc>
      </w:tr>
      <w:tr w14:paraId="6549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424" w:type="dxa"/>
            <w:vMerge w:val="restart"/>
            <w:tcBorders>
              <w:top w:val="nil"/>
              <w:left w:val="single" w:color="auto" w:sz="4" w:space="0"/>
              <w:bottom w:val="single" w:color="auto" w:sz="4" w:space="0"/>
              <w:right w:val="single" w:color="auto" w:sz="4" w:space="0"/>
            </w:tcBorders>
            <w:vAlign w:val="center"/>
          </w:tcPr>
          <w:p w14:paraId="1D4AD563">
            <w:pPr>
              <w:pStyle w:val="196"/>
              <w:rPr>
                <w:bCs/>
              </w:rPr>
            </w:pPr>
            <w:r>
              <w:rPr>
                <w:rFonts w:hint="eastAsia"/>
                <w:bCs/>
              </w:rPr>
              <w:t>现状调查</w:t>
            </w:r>
          </w:p>
        </w:tc>
        <w:tc>
          <w:tcPr>
            <w:tcW w:w="1141" w:type="dxa"/>
            <w:vMerge w:val="restart"/>
            <w:tcBorders>
              <w:top w:val="nil"/>
              <w:left w:val="single" w:color="auto" w:sz="4" w:space="0"/>
              <w:bottom w:val="single" w:color="auto" w:sz="4" w:space="0"/>
              <w:right w:val="single" w:color="auto" w:sz="4" w:space="0"/>
            </w:tcBorders>
            <w:vAlign w:val="center"/>
          </w:tcPr>
          <w:p w14:paraId="5AE90364">
            <w:pPr>
              <w:pStyle w:val="196"/>
              <w:rPr>
                <w:bCs/>
              </w:rPr>
            </w:pPr>
            <w:r>
              <w:rPr>
                <w:rFonts w:hint="eastAsia"/>
                <w:bCs/>
              </w:rPr>
              <w:t>区域污染源</w:t>
            </w: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3833F7A8">
            <w:pPr>
              <w:pStyle w:val="196"/>
              <w:rPr>
                <w:bCs/>
              </w:rPr>
            </w:pPr>
            <w:r>
              <w:rPr>
                <w:rFonts w:hint="eastAsia"/>
                <w:bCs/>
              </w:rPr>
              <w:t>调查项目</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3CB0CA30">
            <w:pPr>
              <w:pStyle w:val="196"/>
              <w:rPr>
                <w:bCs/>
              </w:rPr>
            </w:pPr>
            <w:r>
              <w:rPr>
                <w:rFonts w:hint="eastAsia"/>
                <w:bCs/>
              </w:rPr>
              <w:t>数据来源</w:t>
            </w:r>
          </w:p>
        </w:tc>
      </w:tr>
      <w:tr w14:paraId="128F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4CA751D4">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49FB0376">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3DC0B0B7">
            <w:pPr>
              <w:pStyle w:val="196"/>
              <w:rPr>
                <w:bCs/>
              </w:rPr>
            </w:pPr>
            <w:r>
              <w:rPr>
                <w:rFonts w:hint="eastAsia"/>
                <w:bCs/>
              </w:rPr>
              <w:t>已建□；在建□；拟建□；其他□</w:t>
            </w:r>
          </w:p>
        </w:tc>
        <w:tc>
          <w:tcPr>
            <w:tcW w:w="1486" w:type="dxa"/>
            <w:gridSpan w:val="3"/>
            <w:tcBorders>
              <w:top w:val="single" w:color="auto" w:sz="4" w:space="0"/>
              <w:left w:val="single" w:color="auto" w:sz="4" w:space="0"/>
              <w:bottom w:val="single" w:color="auto" w:sz="4" w:space="0"/>
              <w:right w:val="single" w:color="auto" w:sz="4" w:space="0"/>
            </w:tcBorders>
            <w:vAlign w:val="center"/>
          </w:tcPr>
          <w:p w14:paraId="24483712">
            <w:pPr>
              <w:pStyle w:val="196"/>
              <w:rPr>
                <w:bCs/>
              </w:rPr>
            </w:pPr>
            <w:r>
              <w:rPr>
                <w:rFonts w:hint="eastAsia"/>
                <w:bCs/>
              </w:rPr>
              <w:t>拟替代的污染源□</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0175782C">
            <w:pPr>
              <w:pStyle w:val="196"/>
              <w:rPr>
                <w:bCs/>
              </w:rPr>
            </w:pPr>
            <w:r>
              <w:rPr>
                <w:rFonts w:hint="eastAsia"/>
                <w:bCs/>
              </w:rPr>
              <w:t>排污许可证□；环评□；环保验收□；既有实测□；现场监测□；入河排放口数据□；其他□</w:t>
            </w:r>
          </w:p>
        </w:tc>
      </w:tr>
      <w:tr w14:paraId="107E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4977D3B">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32AC1AD6">
            <w:pPr>
              <w:pStyle w:val="196"/>
              <w:rPr>
                <w:bCs/>
              </w:rPr>
            </w:pPr>
            <w:r>
              <w:rPr>
                <w:rFonts w:hint="eastAsia"/>
                <w:bCs/>
              </w:rPr>
              <w:t>受影响水体水环境质量</w:t>
            </w: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0F8E5023">
            <w:pPr>
              <w:pStyle w:val="196"/>
              <w:rPr>
                <w:bCs/>
              </w:rPr>
            </w:pPr>
            <w:r>
              <w:rPr>
                <w:rFonts w:hint="eastAsia"/>
                <w:bCs/>
              </w:rPr>
              <w:t>调查时期</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61A4F603">
            <w:pPr>
              <w:pStyle w:val="196"/>
              <w:rPr>
                <w:bCs/>
              </w:rPr>
            </w:pPr>
            <w:r>
              <w:rPr>
                <w:rFonts w:hint="eastAsia"/>
                <w:bCs/>
              </w:rPr>
              <w:t>数据来源</w:t>
            </w:r>
          </w:p>
        </w:tc>
      </w:tr>
      <w:tr w14:paraId="334C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ADE3B13">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6A8D35AC">
            <w:pPr>
              <w:pStyle w:val="196"/>
              <w:rPr>
                <w:bCs/>
              </w:rPr>
            </w:pPr>
          </w:p>
        </w:tc>
        <w:tc>
          <w:tcPr>
            <w:tcW w:w="3827" w:type="dxa"/>
            <w:gridSpan w:val="6"/>
            <w:tcBorders>
              <w:top w:val="single" w:color="auto" w:sz="4" w:space="0"/>
              <w:left w:val="single" w:color="auto" w:sz="4" w:space="0"/>
              <w:bottom w:val="single" w:color="auto" w:sz="4" w:space="0"/>
              <w:right w:val="single" w:color="auto" w:sz="4" w:space="0"/>
            </w:tcBorders>
            <w:vAlign w:val="center"/>
          </w:tcPr>
          <w:p w14:paraId="4650E55F">
            <w:pPr>
              <w:pStyle w:val="196"/>
              <w:rPr>
                <w:bCs/>
              </w:rPr>
            </w:pPr>
            <w:r>
              <w:rPr>
                <w:rFonts w:hint="eastAsia"/>
                <w:bCs/>
              </w:rPr>
              <w:t>丰水期□；平水期□；枯水期□；冰封期□</w:t>
            </w:r>
          </w:p>
          <w:p w14:paraId="287C37D8">
            <w:pPr>
              <w:pStyle w:val="196"/>
              <w:rPr>
                <w:bCs/>
              </w:rPr>
            </w:pPr>
            <w:r>
              <w:rPr>
                <w:rFonts w:hint="eastAsia"/>
                <w:bCs/>
              </w:rPr>
              <w:t>春季□；夏季□；秋季□；冬季□</w:t>
            </w:r>
          </w:p>
        </w:tc>
        <w:tc>
          <w:tcPr>
            <w:tcW w:w="3197" w:type="dxa"/>
            <w:gridSpan w:val="7"/>
            <w:tcBorders>
              <w:top w:val="single" w:color="auto" w:sz="4" w:space="0"/>
              <w:left w:val="single" w:color="auto" w:sz="4" w:space="0"/>
              <w:bottom w:val="single" w:color="auto" w:sz="4" w:space="0"/>
              <w:right w:val="single" w:color="auto" w:sz="4" w:space="0"/>
            </w:tcBorders>
            <w:vAlign w:val="center"/>
          </w:tcPr>
          <w:p w14:paraId="40771423">
            <w:pPr>
              <w:pStyle w:val="196"/>
              <w:rPr>
                <w:bCs/>
              </w:rPr>
            </w:pPr>
            <w:r>
              <w:rPr>
                <w:rFonts w:hint="eastAsia"/>
                <w:bCs/>
              </w:rPr>
              <w:t>生态环境保护主管部门□；补充监测</w:t>
            </w:r>
            <w:r>
              <w:rPr>
                <w:rFonts w:hint="eastAsia" w:ascii="Segoe UI Symbol" w:hAnsi="Segoe UI Symbol" w:cs="Segoe UI Symbol"/>
                <w:bCs/>
              </w:rPr>
              <w:t>☑</w:t>
            </w:r>
            <w:r>
              <w:rPr>
                <w:rFonts w:hint="eastAsia"/>
                <w:bCs/>
              </w:rPr>
              <w:t>；其他□</w:t>
            </w:r>
          </w:p>
        </w:tc>
      </w:tr>
      <w:tr w14:paraId="5DE9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14D21663">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5AB19FCA">
            <w:pPr>
              <w:pStyle w:val="196"/>
              <w:rPr>
                <w:bCs/>
              </w:rPr>
            </w:pPr>
            <w:r>
              <w:rPr>
                <w:rFonts w:hint="eastAsia"/>
                <w:bCs/>
              </w:rPr>
              <w:t>区域水资源开发利用状况</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6B4C01B0">
            <w:pPr>
              <w:pStyle w:val="196"/>
              <w:rPr>
                <w:bCs/>
              </w:rPr>
            </w:pPr>
            <w:r>
              <w:rPr>
                <w:rFonts w:hint="eastAsia"/>
                <w:bCs/>
              </w:rPr>
              <w:t>未开发□；开发量40%以下□；开发量40%以上□</w:t>
            </w:r>
          </w:p>
        </w:tc>
      </w:tr>
      <w:tr w14:paraId="19813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B79FADB">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4199839E">
            <w:pPr>
              <w:pStyle w:val="196"/>
              <w:rPr>
                <w:bCs/>
              </w:rPr>
            </w:pPr>
            <w:r>
              <w:rPr>
                <w:rFonts w:hint="eastAsia"/>
                <w:bCs/>
              </w:rPr>
              <w:t>水文情势调查</w:t>
            </w:r>
          </w:p>
        </w:tc>
        <w:tc>
          <w:tcPr>
            <w:tcW w:w="3512" w:type="dxa"/>
            <w:gridSpan w:val="5"/>
            <w:tcBorders>
              <w:top w:val="single" w:color="auto" w:sz="4" w:space="0"/>
              <w:left w:val="single" w:color="auto" w:sz="4" w:space="0"/>
              <w:bottom w:val="single" w:color="auto" w:sz="4" w:space="0"/>
              <w:right w:val="single" w:color="auto" w:sz="4" w:space="0"/>
            </w:tcBorders>
            <w:vAlign w:val="center"/>
          </w:tcPr>
          <w:p w14:paraId="395B1925">
            <w:pPr>
              <w:pStyle w:val="196"/>
              <w:rPr>
                <w:bCs/>
              </w:rPr>
            </w:pPr>
            <w:r>
              <w:rPr>
                <w:rFonts w:hint="eastAsia"/>
                <w:bCs/>
              </w:rPr>
              <w:t>调查时期</w:t>
            </w:r>
          </w:p>
        </w:tc>
        <w:tc>
          <w:tcPr>
            <w:tcW w:w="3512" w:type="dxa"/>
            <w:gridSpan w:val="8"/>
            <w:tcBorders>
              <w:top w:val="single" w:color="auto" w:sz="4" w:space="0"/>
              <w:left w:val="single" w:color="auto" w:sz="4" w:space="0"/>
              <w:bottom w:val="single" w:color="auto" w:sz="4" w:space="0"/>
              <w:right w:val="single" w:color="auto" w:sz="4" w:space="0"/>
            </w:tcBorders>
            <w:vAlign w:val="center"/>
          </w:tcPr>
          <w:p w14:paraId="76E064A0">
            <w:pPr>
              <w:pStyle w:val="196"/>
              <w:rPr>
                <w:bCs/>
              </w:rPr>
            </w:pPr>
            <w:r>
              <w:rPr>
                <w:rFonts w:hint="eastAsia"/>
                <w:bCs/>
              </w:rPr>
              <w:t>数据来源</w:t>
            </w:r>
          </w:p>
        </w:tc>
      </w:tr>
      <w:tr w14:paraId="0610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0C962D15">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784C3446">
            <w:pPr>
              <w:pStyle w:val="196"/>
              <w:rPr>
                <w:bCs/>
              </w:rPr>
            </w:pPr>
          </w:p>
        </w:tc>
        <w:tc>
          <w:tcPr>
            <w:tcW w:w="3512" w:type="dxa"/>
            <w:gridSpan w:val="5"/>
            <w:tcBorders>
              <w:top w:val="single" w:color="auto" w:sz="4" w:space="0"/>
              <w:left w:val="single" w:color="auto" w:sz="4" w:space="0"/>
              <w:bottom w:val="single" w:color="auto" w:sz="4" w:space="0"/>
              <w:right w:val="single" w:color="auto" w:sz="4" w:space="0"/>
            </w:tcBorders>
            <w:vAlign w:val="center"/>
          </w:tcPr>
          <w:p w14:paraId="1E7E63BB">
            <w:pPr>
              <w:pStyle w:val="196"/>
              <w:rPr>
                <w:bCs/>
              </w:rPr>
            </w:pPr>
            <w:r>
              <w:rPr>
                <w:rFonts w:hint="eastAsia"/>
                <w:bCs/>
              </w:rPr>
              <w:t>丰水期□；平水期□；枯水期□；冰封期□</w:t>
            </w:r>
          </w:p>
          <w:p w14:paraId="71C4D1F9">
            <w:pPr>
              <w:pStyle w:val="196"/>
              <w:rPr>
                <w:bCs/>
              </w:rPr>
            </w:pPr>
            <w:r>
              <w:rPr>
                <w:rFonts w:hint="eastAsia"/>
                <w:bCs/>
              </w:rPr>
              <w:t>春季□；夏季□；秋季□；冬季□</w:t>
            </w:r>
          </w:p>
        </w:tc>
        <w:tc>
          <w:tcPr>
            <w:tcW w:w="3512" w:type="dxa"/>
            <w:gridSpan w:val="8"/>
            <w:tcBorders>
              <w:top w:val="single" w:color="auto" w:sz="4" w:space="0"/>
              <w:left w:val="single" w:color="auto" w:sz="4" w:space="0"/>
              <w:bottom w:val="single" w:color="auto" w:sz="4" w:space="0"/>
              <w:right w:val="single" w:color="auto" w:sz="4" w:space="0"/>
            </w:tcBorders>
            <w:vAlign w:val="center"/>
          </w:tcPr>
          <w:p w14:paraId="26B843E1">
            <w:pPr>
              <w:pStyle w:val="196"/>
              <w:rPr>
                <w:bCs/>
              </w:rPr>
            </w:pPr>
            <w:r>
              <w:rPr>
                <w:rFonts w:hint="eastAsia"/>
                <w:bCs/>
              </w:rPr>
              <w:t>水行政主管部门□；补充监测□；其他□</w:t>
            </w:r>
          </w:p>
        </w:tc>
      </w:tr>
      <w:tr w14:paraId="13D5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0F3D03B">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34884C83">
            <w:pPr>
              <w:pStyle w:val="196"/>
              <w:rPr>
                <w:bCs/>
              </w:rPr>
            </w:pPr>
            <w:r>
              <w:rPr>
                <w:rFonts w:hint="eastAsia"/>
                <w:bCs/>
              </w:rPr>
              <w:t>补充监测</w:t>
            </w: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6BEC18B3">
            <w:pPr>
              <w:pStyle w:val="196"/>
              <w:rPr>
                <w:bCs/>
              </w:rPr>
            </w:pPr>
            <w:r>
              <w:rPr>
                <w:rFonts w:hint="eastAsia"/>
                <w:bCs/>
              </w:rPr>
              <w:t>监测时期</w:t>
            </w:r>
          </w:p>
        </w:tc>
        <w:tc>
          <w:tcPr>
            <w:tcW w:w="2899" w:type="dxa"/>
            <w:gridSpan w:val="7"/>
            <w:tcBorders>
              <w:top w:val="single" w:color="auto" w:sz="4" w:space="0"/>
              <w:left w:val="single" w:color="auto" w:sz="4" w:space="0"/>
              <w:bottom w:val="single" w:color="auto" w:sz="4" w:space="0"/>
              <w:right w:val="single" w:color="auto" w:sz="4" w:space="0"/>
            </w:tcBorders>
            <w:vAlign w:val="center"/>
          </w:tcPr>
          <w:p w14:paraId="5B7C866F">
            <w:pPr>
              <w:pStyle w:val="196"/>
              <w:rPr>
                <w:bCs/>
              </w:rPr>
            </w:pPr>
            <w:r>
              <w:rPr>
                <w:rFonts w:hint="eastAsia"/>
                <w:bCs/>
              </w:rPr>
              <w:t>监测因子</w:t>
            </w:r>
          </w:p>
        </w:tc>
        <w:tc>
          <w:tcPr>
            <w:tcW w:w="1784" w:type="dxa"/>
            <w:gridSpan w:val="3"/>
            <w:tcBorders>
              <w:top w:val="single" w:color="auto" w:sz="4" w:space="0"/>
              <w:left w:val="single" w:color="auto" w:sz="4" w:space="0"/>
              <w:bottom w:val="single" w:color="auto" w:sz="4" w:space="0"/>
              <w:right w:val="single" w:color="auto" w:sz="4" w:space="0"/>
            </w:tcBorders>
            <w:vAlign w:val="center"/>
          </w:tcPr>
          <w:p w14:paraId="533E3075">
            <w:pPr>
              <w:pStyle w:val="196"/>
              <w:rPr>
                <w:bCs/>
              </w:rPr>
            </w:pPr>
            <w:r>
              <w:rPr>
                <w:rFonts w:hint="eastAsia"/>
                <w:bCs/>
              </w:rPr>
              <w:t>监测断面或点位</w:t>
            </w:r>
          </w:p>
        </w:tc>
      </w:tr>
      <w:tr w14:paraId="49EE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0D3568AB">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54FD2F74">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10124BFC">
            <w:pPr>
              <w:pStyle w:val="196"/>
              <w:rPr>
                <w:bCs/>
              </w:rPr>
            </w:pPr>
            <w:r>
              <w:rPr>
                <w:rFonts w:hint="eastAsia"/>
                <w:bCs/>
              </w:rPr>
              <w:t>丰水期□；平水期□；枯水期□；冰封期□</w:t>
            </w:r>
          </w:p>
          <w:p w14:paraId="28F9CA08">
            <w:pPr>
              <w:pStyle w:val="196"/>
              <w:rPr>
                <w:bCs/>
              </w:rPr>
            </w:pPr>
            <w:r>
              <w:rPr>
                <w:rFonts w:hint="eastAsia"/>
                <w:bCs/>
              </w:rPr>
              <w:t>春季□；夏季□；秋季R；冬季□</w:t>
            </w:r>
          </w:p>
        </w:tc>
        <w:tc>
          <w:tcPr>
            <w:tcW w:w="2899" w:type="dxa"/>
            <w:gridSpan w:val="7"/>
            <w:tcBorders>
              <w:top w:val="single" w:color="auto" w:sz="4" w:space="0"/>
              <w:left w:val="single" w:color="auto" w:sz="4" w:space="0"/>
              <w:bottom w:val="single" w:color="auto" w:sz="4" w:space="0"/>
              <w:right w:val="single" w:color="auto" w:sz="4" w:space="0"/>
            </w:tcBorders>
            <w:vAlign w:val="center"/>
          </w:tcPr>
          <w:p w14:paraId="11C85353">
            <w:pPr>
              <w:pStyle w:val="196"/>
              <w:rPr>
                <w:bCs/>
              </w:rPr>
            </w:pPr>
            <w:r>
              <w:rPr>
                <w:rFonts w:hint="eastAsia"/>
                <w:bCs/>
              </w:rPr>
              <w:t>（水温、pH、溶解氧、SS、高锰酸盐指数、COD、BOD</w:t>
            </w:r>
            <w:r>
              <w:rPr>
                <w:rFonts w:hint="eastAsia"/>
                <w:bCs/>
                <w:vertAlign w:val="subscript"/>
              </w:rPr>
              <w:t>5</w:t>
            </w:r>
            <w:r>
              <w:rPr>
                <w:rFonts w:hint="eastAsia"/>
                <w:bCs/>
              </w:rPr>
              <w:t>、氨氮、总磷、总氮、石油类）</w:t>
            </w:r>
          </w:p>
        </w:tc>
        <w:tc>
          <w:tcPr>
            <w:tcW w:w="1784" w:type="dxa"/>
            <w:gridSpan w:val="3"/>
            <w:tcBorders>
              <w:top w:val="single" w:color="auto" w:sz="4" w:space="0"/>
              <w:left w:val="single" w:color="auto" w:sz="4" w:space="0"/>
              <w:bottom w:val="single" w:color="auto" w:sz="4" w:space="0"/>
              <w:right w:val="single" w:color="auto" w:sz="4" w:space="0"/>
            </w:tcBorders>
            <w:vAlign w:val="center"/>
          </w:tcPr>
          <w:p w14:paraId="4D315664">
            <w:pPr>
              <w:pStyle w:val="196"/>
              <w:rPr>
                <w:bCs/>
              </w:rPr>
            </w:pPr>
            <w:r>
              <w:rPr>
                <w:rFonts w:hint="eastAsia"/>
                <w:bCs/>
              </w:rPr>
              <w:t>监测断面或点位个数</w:t>
            </w:r>
          </w:p>
          <w:p w14:paraId="78CC1FDA">
            <w:pPr>
              <w:pStyle w:val="196"/>
              <w:rPr>
                <w:bCs/>
              </w:rPr>
            </w:pPr>
            <w:r>
              <w:rPr>
                <w:rFonts w:hint="eastAsia"/>
                <w:bCs/>
              </w:rPr>
              <w:t>（3）个</w:t>
            </w:r>
          </w:p>
        </w:tc>
      </w:tr>
      <w:tr w14:paraId="5643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restart"/>
            <w:tcBorders>
              <w:top w:val="nil"/>
              <w:left w:val="single" w:color="auto" w:sz="4" w:space="0"/>
              <w:bottom w:val="single" w:color="auto" w:sz="4" w:space="0"/>
              <w:right w:val="single" w:color="auto" w:sz="4" w:space="0"/>
            </w:tcBorders>
            <w:vAlign w:val="center"/>
          </w:tcPr>
          <w:p w14:paraId="6EF1A8BA">
            <w:pPr>
              <w:pStyle w:val="196"/>
              <w:rPr>
                <w:bCs/>
              </w:rPr>
            </w:pPr>
            <w:r>
              <w:rPr>
                <w:rFonts w:hint="eastAsia"/>
                <w:bCs/>
              </w:rPr>
              <w:t>现状评价</w:t>
            </w:r>
          </w:p>
        </w:tc>
        <w:tc>
          <w:tcPr>
            <w:tcW w:w="1141" w:type="dxa"/>
            <w:tcBorders>
              <w:top w:val="single" w:color="auto" w:sz="4" w:space="0"/>
              <w:left w:val="single" w:color="auto" w:sz="4" w:space="0"/>
              <w:bottom w:val="single" w:color="auto" w:sz="4" w:space="0"/>
              <w:right w:val="single" w:color="auto" w:sz="4" w:space="0"/>
            </w:tcBorders>
            <w:vAlign w:val="center"/>
          </w:tcPr>
          <w:p w14:paraId="47E2D7D0">
            <w:pPr>
              <w:pStyle w:val="196"/>
              <w:rPr>
                <w:bCs/>
              </w:rPr>
            </w:pPr>
            <w:r>
              <w:rPr>
                <w:rFonts w:hint="eastAsia"/>
                <w:bCs/>
              </w:rPr>
              <w:t>评价范围</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647E244C">
            <w:pPr>
              <w:pStyle w:val="196"/>
              <w:rPr>
                <w:bCs/>
              </w:rPr>
            </w:pPr>
            <w:r>
              <w:rPr>
                <w:rFonts w:hint="eastAsia"/>
                <w:bCs/>
              </w:rPr>
              <w:t>河流：长度（4）km；湖库、河口及近岸海域：面积</w:t>
            </w:r>
            <w:r>
              <w:rPr>
                <w:rFonts w:hint="eastAsia"/>
                <w:bCs/>
                <w:lang w:eastAsia="zh-CN"/>
              </w:rPr>
              <w:t>（</w:t>
            </w:r>
            <w:r>
              <w:rPr>
                <w:rFonts w:hint="eastAsia"/>
                <w:bCs/>
              </w:rPr>
              <w:t>）km</w:t>
            </w:r>
            <w:r>
              <w:rPr>
                <w:rFonts w:hint="eastAsia"/>
                <w:bCs/>
                <w:vertAlign w:val="superscript"/>
              </w:rPr>
              <w:t>2</w:t>
            </w:r>
          </w:p>
        </w:tc>
      </w:tr>
      <w:tr w14:paraId="67B3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70EE8B0F">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0A59A029">
            <w:pPr>
              <w:pStyle w:val="196"/>
              <w:rPr>
                <w:bCs/>
              </w:rPr>
            </w:pPr>
            <w:r>
              <w:rPr>
                <w:rFonts w:hint="eastAsia"/>
                <w:bCs/>
              </w:rPr>
              <w:t>评价因子</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2B61F2FA">
            <w:pPr>
              <w:pStyle w:val="196"/>
              <w:rPr>
                <w:bCs/>
              </w:rPr>
            </w:pPr>
            <w:r>
              <w:rPr>
                <w:rFonts w:hint="eastAsia"/>
                <w:bCs/>
                <w:lang w:eastAsia="zh-CN"/>
              </w:rPr>
              <w:t>（</w:t>
            </w:r>
            <w:r>
              <w:rPr>
                <w:rFonts w:hint="eastAsia"/>
                <w:bCs/>
              </w:rPr>
              <w:t>）</w:t>
            </w:r>
          </w:p>
        </w:tc>
      </w:tr>
      <w:tr w14:paraId="5CFCA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031EA56">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75F7BEDA">
            <w:pPr>
              <w:pStyle w:val="196"/>
              <w:rPr>
                <w:bCs/>
              </w:rPr>
            </w:pPr>
            <w:r>
              <w:rPr>
                <w:rFonts w:hint="eastAsia"/>
                <w:bCs/>
              </w:rPr>
              <w:t>评价标准</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3C61BAB0">
            <w:pPr>
              <w:pStyle w:val="196"/>
              <w:rPr>
                <w:bCs/>
              </w:rPr>
            </w:pPr>
            <w:r>
              <w:rPr>
                <w:rFonts w:hint="eastAsia"/>
                <w:bCs/>
              </w:rPr>
              <w:t>河流、湖库、河口：Ⅰ类□；Ⅱ类□；Ⅲ类</w:t>
            </w:r>
            <w:r>
              <w:rPr>
                <w:rFonts w:hint="eastAsia" w:ascii="Segoe UI Symbol" w:hAnsi="Segoe UI Symbol" w:cs="Segoe UI Symbol"/>
                <w:bCs/>
              </w:rPr>
              <w:t>☑</w:t>
            </w:r>
            <w:r>
              <w:rPr>
                <w:rFonts w:hint="eastAsia"/>
                <w:bCs/>
              </w:rPr>
              <w:t>；ⅣR；Ⅴ类□</w:t>
            </w:r>
          </w:p>
          <w:p w14:paraId="0C43D7C5">
            <w:pPr>
              <w:pStyle w:val="196"/>
              <w:rPr>
                <w:bCs/>
              </w:rPr>
            </w:pPr>
            <w:r>
              <w:rPr>
                <w:rFonts w:hint="eastAsia"/>
                <w:bCs/>
              </w:rPr>
              <w:t>近岸海域：第一类□；第二类□；第三类□；第四类□</w:t>
            </w:r>
          </w:p>
          <w:p w14:paraId="21B94E46">
            <w:pPr>
              <w:pStyle w:val="196"/>
              <w:rPr>
                <w:bCs/>
              </w:rPr>
            </w:pPr>
            <w:r>
              <w:rPr>
                <w:rFonts w:hint="eastAsia"/>
                <w:bCs/>
              </w:rPr>
              <w:t>规划</w:t>
            </w:r>
            <w:r>
              <w:rPr>
                <w:rFonts w:hint="eastAsia"/>
                <w:bCs/>
                <w:lang w:eastAsia="zh-CN"/>
              </w:rPr>
              <w:t>年度</w:t>
            </w:r>
            <w:r>
              <w:rPr>
                <w:rFonts w:hint="eastAsia"/>
                <w:bCs/>
              </w:rPr>
              <w:t>评价标准</w:t>
            </w:r>
            <w:r>
              <w:rPr>
                <w:rFonts w:hint="eastAsia"/>
                <w:bCs/>
                <w:lang w:eastAsia="zh-CN"/>
              </w:rPr>
              <w:t>（</w:t>
            </w:r>
            <w:r>
              <w:rPr>
                <w:rFonts w:hint="eastAsia"/>
                <w:bCs/>
              </w:rPr>
              <w:t>）</w:t>
            </w:r>
          </w:p>
        </w:tc>
      </w:tr>
      <w:tr w14:paraId="73AE6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36ACEED">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13915834">
            <w:pPr>
              <w:pStyle w:val="196"/>
              <w:rPr>
                <w:bCs/>
              </w:rPr>
            </w:pPr>
            <w:r>
              <w:rPr>
                <w:rFonts w:hint="eastAsia"/>
                <w:bCs/>
              </w:rPr>
              <w:t>评价时期</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49F19144">
            <w:pPr>
              <w:pStyle w:val="196"/>
              <w:rPr>
                <w:bCs/>
              </w:rPr>
            </w:pPr>
            <w:r>
              <w:rPr>
                <w:rFonts w:hint="eastAsia"/>
                <w:bCs/>
              </w:rPr>
              <w:t>丰水期□；平水期□；枯水期□；冰封期□</w:t>
            </w:r>
          </w:p>
          <w:p w14:paraId="535EB764">
            <w:pPr>
              <w:pStyle w:val="196"/>
              <w:rPr>
                <w:bCs/>
              </w:rPr>
            </w:pPr>
            <w:r>
              <w:rPr>
                <w:rFonts w:hint="eastAsia"/>
                <w:bCs/>
              </w:rPr>
              <w:t>春季□；夏季□；秋季R；冬季□</w:t>
            </w:r>
          </w:p>
        </w:tc>
      </w:tr>
      <w:tr w14:paraId="16C1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03DC743C">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3B63C8FC">
            <w:pPr>
              <w:pStyle w:val="196"/>
              <w:rPr>
                <w:bCs/>
              </w:rPr>
            </w:pPr>
            <w:r>
              <w:rPr>
                <w:rFonts w:hint="eastAsia"/>
                <w:bCs/>
              </w:rPr>
              <w:t>评价结论</w:t>
            </w:r>
          </w:p>
        </w:tc>
        <w:tc>
          <w:tcPr>
            <w:tcW w:w="5670" w:type="dxa"/>
            <w:gridSpan w:val="12"/>
            <w:tcBorders>
              <w:top w:val="single" w:color="auto" w:sz="4" w:space="0"/>
              <w:left w:val="single" w:color="auto" w:sz="4" w:space="0"/>
              <w:bottom w:val="single" w:color="auto" w:sz="4" w:space="0"/>
              <w:right w:val="single" w:color="auto" w:sz="4" w:space="0"/>
            </w:tcBorders>
            <w:vAlign w:val="center"/>
          </w:tcPr>
          <w:p w14:paraId="7E22454F">
            <w:pPr>
              <w:pStyle w:val="196"/>
              <w:rPr>
                <w:bCs/>
              </w:rPr>
            </w:pPr>
            <w:r>
              <w:rPr>
                <w:rFonts w:hint="eastAsia"/>
                <w:bCs/>
              </w:rPr>
              <w:t>水环境功能区或水功能区、近岸海域环境功能区水质达标状况：达标R；不达标□</w:t>
            </w:r>
          </w:p>
          <w:p w14:paraId="03C9D8C5">
            <w:pPr>
              <w:pStyle w:val="196"/>
              <w:rPr>
                <w:bCs/>
              </w:rPr>
            </w:pPr>
            <w:r>
              <w:rPr>
                <w:rFonts w:hint="eastAsia"/>
                <w:bCs/>
              </w:rPr>
              <w:t>水环境控制单元或断面水质达标状况：达标□；不达标□</w:t>
            </w:r>
          </w:p>
          <w:p w14:paraId="718DB4C9">
            <w:pPr>
              <w:pStyle w:val="196"/>
              <w:rPr>
                <w:bCs/>
              </w:rPr>
            </w:pPr>
            <w:r>
              <w:rPr>
                <w:rFonts w:hint="eastAsia"/>
                <w:bCs/>
              </w:rPr>
              <w:t>水环境保护目标质量状况：达标□；不达标□</w:t>
            </w:r>
          </w:p>
          <w:p w14:paraId="645D7E33">
            <w:pPr>
              <w:pStyle w:val="196"/>
              <w:rPr>
                <w:bCs/>
              </w:rPr>
            </w:pPr>
            <w:r>
              <w:rPr>
                <w:rFonts w:hint="eastAsia"/>
                <w:bCs/>
              </w:rPr>
              <w:t>对照断面、控制断面等代表性断面的水质状况：达标□；不达标□</w:t>
            </w:r>
          </w:p>
          <w:p w14:paraId="71BF5C0A">
            <w:pPr>
              <w:pStyle w:val="196"/>
              <w:rPr>
                <w:bCs/>
              </w:rPr>
            </w:pPr>
            <w:r>
              <w:rPr>
                <w:rFonts w:hint="eastAsia"/>
                <w:bCs/>
              </w:rPr>
              <w:t>底泥污染评价□</w:t>
            </w:r>
          </w:p>
          <w:p w14:paraId="553AF2F4">
            <w:pPr>
              <w:pStyle w:val="196"/>
              <w:rPr>
                <w:bCs/>
              </w:rPr>
            </w:pPr>
            <w:r>
              <w:rPr>
                <w:rFonts w:hint="eastAsia"/>
                <w:bCs/>
              </w:rPr>
              <w:t>水资源与开发利用程度及其水文情势评价□</w:t>
            </w:r>
          </w:p>
          <w:p w14:paraId="51875647">
            <w:pPr>
              <w:pStyle w:val="196"/>
              <w:rPr>
                <w:bCs/>
              </w:rPr>
            </w:pPr>
            <w:r>
              <w:rPr>
                <w:rFonts w:hint="eastAsia"/>
                <w:bCs/>
              </w:rPr>
              <w:t>水环境质量回顾评价□</w:t>
            </w:r>
          </w:p>
          <w:p w14:paraId="5005C140">
            <w:pPr>
              <w:pStyle w:val="196"/>
              <w:rPr>
                <w:bCs/>
              </w:rPr>
            </w:pPr>
            <w:r>
              <w:rPr>
                <w:rFonts w:hint="eastAsia"/>
                <w:bCs/>
              </w:rPr>
              <w:t>流域（区域）水资源（包括水能资源）与开发利用总体状况、生态流量管理要求与现状满足程度、建设项目占用水域空间的水流状况与河湖演变状况□</w:t>
            </w:r>
          </w:p>
        </w:tc>
        <w:tc>
          <w:tcPr>
            <w:tcW w:w="1354" w:type="dxa"/>
            <w:tcBorders>
              <w:top w:val="single" w:color="auto" w:sz="4" w:space="0"/>
              <w:left w:val="single" w:color="auto" w:sz="4" w:space="0"/>
              <w:bottom w:val="single" w:color="auto" w:sz="4" w:space="0"/>
              <w:right w:val="single" w:color="auto" w:sz="4" w:space="0"/>
            </w:tcBorders>
            <w:vAlign w:val="center"/>
          </w:tcPr>
          <w:p w14:paraId="07D39DD4">
            <w:pPr>
              <w:pStyle w:val="196"/>
              <w:rPr>
                <w:bCs/>
              </w:rPr>
            </w:pPr>
            <w:r>
              <w:rPr>
                <w:rFonts w:hint="eastAsia"/>
                <w:bCs/>
              </w:rPr>
              <w:t>达标区</w:t>
            </w:r>
            <w:r>
              <w:rPr>
                <w:rFonts w:hint="eastAsia" w:ascii="Segoe UI Symbol" w:hAnsi="Segoe UI Symbol" w:cs="Segoe UI Symbol"/>
                <w:bCs/>
              </w:rPr>
              <w:t>☑</w:t>
            </w:r>
          </w:p>
          <w:p w14:paraId="5C5A7EDE">
            <w:pPr>
              <w:pStyle w:val="196"/>
              <w:rPr>
                <w:bCs/>
              </w:rPr>
            </w:pPr>
            <w:r>
              <w:rPr>
                <w:rFonts w:hint="eastAsia"/>
                <w:bCs/>
              </w:rPr>
              <w:t>不达标区□</w:t>
            </w:r>
          </w:p>
        </w:tc>
      </w:tr>
      <w:tr w14:paraId="6FE7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restart"/>
            <w:tcBorders>
              <w:top w:val="nil"/>
              <w:left w:val="single" w:color="auto" w:sz="4" w:space="0"/>
              <w:bottom w:val="single" w:color="auto" w:sz="4" w:space="0"/>
              <w:right w:val="single" w:color="auto" w:sz="4" w:space="0"/>
            </w:tcBorders>
            <w:vAlign w:val="center"/>
          </w:tcPr>
          <w:p w14:paraId="29DFC4A2">
            <w:pPr>
              <w:pStyle w:val="196"/>
              <w:rPr>
                <w:bCs/>
              </w:rPr>
            </w:pPr>
            <w:r>
              <w:rPr>
                <w:rFonts w:hint="eastAsia"/>
                <w:bCs/>
              </w:rPr>
              <w:t>影响预测</w:t>
            </w:r>
          </w:p>
        </w:tc>
        <w:tc>
          <w:tcPr>
            <w:tcW w:w="1141" w:type="dxa"/>
            <w:tcBorders>
              <w:top w:val="single" w:color="auto" w:sz="4" w:space="0"/>
              <w:left w:val="single" w:color="auto" w:sz="4" w:space="0"/>
              <w:bottom w:val="single" w:color="auto" w:sz="4" w:space="0"/>
              <w:right w:val="single" w:color="auto" w:sz="4" w:space="0"/>
            </w:tcBorders>
            <w:vAlign w:val="center"/>
          </w:tcPr>
          <w:p w14:paraId="08873BF8">
            <w:pPr>
              <w:pStyle w:val="196"/>
              <w:rPr>
                <w:bCs/>
              </w:rPr>
            </w:pPr>
            <w:r>
              <w:rPr>
                <w:rFonts w:hint="eastAsia"/>
                <w:bCs/>
              </w:rPr>
              <w:t>预测范围</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471446A6">
            <w:pPr>
              <w:pStyle w:val="196"/>
              <w:rPr>
                <w:bCs/>
              </w:rPr>
            </w:pPr>
            <w:r>
              <w:rPr>
                <w:rFonts w:hint="eastAsia"/>
                <w:bCs/>
              </w:rPr>
              <w:t>河流：长度</w:t>
            </w:r>
            <w:r>
              <w:rPr>
                <w:rFonts w:hint="eastAsia"/>
                <w:bCs/>
                <w:lang w:eastAsia="zh-CN"/>
              </w:rPr>
              <w:t>（</w:t>
            </w:r>
            <w:r>
              <w:rPr>
                <w:rFonts w:hint="eastAsia"/>
                <w:bCs/>
              </w:rPr>
              <w:t>）km；湖库、河口及近岸海域：面积</w:t>
            </w:r>
            <w:r>
              <w:rPr>
                <w:rFonts w:hint="eastAsia"/>
                <w:bCs/>
                <w:lang w:eastAsia="zh-CN"/>
              </w:rPr>
              <w:t>（</w:t>
            </w:r>
            <w:r>
              <w:rPr>
                <w:rFonts w:hint="eastAsia"/>
                <w:bCs/>
              </w:rPr>
              <w:t>）km</w:t>
            </w:r>
            <w:r>
              <w:rPr>
                <w:rFonts w:hint="eastAsia"/>
                <w:bCs/>
                <w:vertAlign w:val="superscript"/>
              </w:rPr>
              <w:t>2</w:t>
            </w:r>
          </w:p>
        </w:tc>
      </w:tr>
      <w:tr w14:paraId="359C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147FC826">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052E0A96">
            <w:pPr>
              <w:pStyle w:val="196"/>
              <w:rPr>
                <w:bCs/>
              </w:rPr>
            </w:pPr>
            <w:r>
              <w:rPr>
                <w:rFonts w:hint="eastAsia"/>
                <w:bCs/>
              </w:rPr>
              <w:t>预测因子</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5258D97C">
            <w:pPr>
              <w:pStyle w:val="196"/>
              <w:rPr>
                <w:bCs/>
              </w:rPr>
            </w:pPr>
            <w:r>
              <w:rPr>
                <w:rFonts w:hint="eastAsia"/>
                <w:bCs/>
                <w:lang w:eastAsia="zh-CN"/>
              </w:rPr>
              <w:t>（</w:t>
            </w:r>
            <w:r>
              <w:rPr>
                <w:rFonts w:hint="eastAsia"/>
                <w:bCs/>
              </w:rPr>
              <w:t>）</w:t>
            </w:r>
          </w:p>
        </w:tc>
      </w:tr>
      <w:tr w14:paraId="75E6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461076B5">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00A6D533">
            <w:pPr>
              <w:pStyle w:val="196"/>
              <w:rPr>
                <w:bCs/>
              </w:rPr>
            </w:pPr>
            <w:r>
              <w:rPr>
                <w:rFonts w:hint="eastAsia"/>
                <w:bCs/>
              </w:rPr>
              <w:t>预测时期</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1B4DB808">
            <w:pPr>
              <w:pStyle w:val="196"/>
              <w:rPr>
                <w:bCs/>
              </w:rPr>
            </w:pPr>
            <w:r>
              <w:rPr>
                <w:rFonts w:hint="eastAsia"/>
                <w:bCs/>
              </w:rPr>
              <w:t>丰水期□；平水期□；枯水期□；冰封期□</w:t>
            </w:r>
          </w:p>
          <w:p w14:paraId="0F99CEB9">
            <w:pPr>
              <w:pStyle w:val="196"/>
              <w:rPr>
                <w:bCs/>
              </w:rPr>
            </w:pPr>
            <w:r>
              <w:rPr>
                <w:rFonts w:hint="eastAsia"/>
                <w:bCs/>
              </w:rPr>
              <w:t>春季□；夏季□；秋季□；冬季□</w:t>
            </w:r>
          </w:p>
          <w:p w14:paraId="1A9C3696">
            <w:pPr>
              <w:pStyle w:val="196"/>
              <w:rPr>
                <w:bCs/>
              </w:rPr>
            </w:pPr>
            <w:r>
              <w:rPr>
                <w:rFonts w:hint="eastAsia"/>
                <w:bCs/>
              </w:rPr>
              <w:t>设计水文条件□</w:t>
            </w:r>
          </w:p>
        </w:tc>
      </w:tr>
      <w:tr w14:paraId="2803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1E54DEF">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44EBA84F">
            <w:pPr>
              <w:pStyle w:val="196"/>
              <w:rPr>
                <w:bCs/>
              </w:rPr>
            </w:pPr>
            <w:r>
              <w:rPr>
                <w:rFonts w:hint="eastAsia"/>
                <w:bCs/>
              </w:rPr>
              <w:t>预测情景</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1FA4BA6A">
            <w:pPr>
              <w:pStyle w:val="196"/>
              <w:rPr>
                <w:bCs/>
              </w:rPr>
            </w:pPr>
            <w:r>
              <w:rPr>
                <w:rFonts w:hint="eastAsia"/>
                <w:bCs/>
              </w:rPr>
              <w:t>建设期□；生产运行期□；服务期满后□</w:t>
            </w:r>
          </w:p>
          <w:p w14:paraId="0D903493">
            <w:pPr>
              <w:pStyle w:val="196"/>
              <w:rPr>
                <w:bCs/>
              </w:rPr>
            </w:pPr>
            <w:r>
              <w:rPr>
                <w:rFonts w:hint="eastAsia"/>
                <w:bCs/>
              </w:rPr>
              <w:t>正常工况□；非正常工况□</w:t>
            </w:r>
          </w:p>
          <w:p w14:paraId="703DAA7D">
            <w:pPr>
              <w:pStyle w:val="196"/>
              <w:rPr>
                <w:bCs/>
              </w:rPr>
            </w:pPr>
            <w:r>
              <w:rPr>
                <w:rFonts w:hint="eastAsia"/>
                <w:bCs/>
              </w:rPr>
              <w:t>污染控制和减缓措施方案□</w:t>
            </w:r>
          </w:p>
          <w:p w14:paraId="08C27B5E">
            <w:pPr>
              <w:pStyle w:val="196"/>
              <w:rPr>
                <w:bCs/>
              </w:rPr>
            </w:pPr>
            <w:r>
              <w:rPr>
                <w:rFonts w:hint="eastAsia"/>
                <w:bCs/>
              </w:rPr>
              <w:t>区（流）域环境质量改善目标要求情景□</w:t>
            </w:r>
          </w:p>
        </w:tc>
      </w:tr>
      <w:tr w14:paraId="4769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2A2B8D4C">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63D85B79">
            <w:pPr>
              <w:pStyle w:val="196"/>
              <w:rPr>
                <w:bCs/>
              </w:rPr>
            </w:pPr>
            <w:r>
              <w:rPr>
                <w:rFonts w:hint="eastAsia"/>
                <w:bCs/>
              </w:rPr>
              <w:t>预测方法</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7E3A1A01">
            <w:pPr>
              <w:pStyle w:val="196"/>
              <w:rPr>
                <w:bCs/>
              </w:rPr>
            </w:pPr>
            <w:r>
              <w:rPr>
                <w:rFonts w:hint="eastAsia"/>
                <w:bCs/>
              </w:rPr>
              <w:t>数值解□；解析解□；其他□</w:t>
            </w:r>
          </w:p>
          <w:p w14:paraId="16048B88">
            <w:pPr>
              <w:pStyle w:val="196"/>
              <w:rPr>
                <w:bCs/>
              </w:rPr>
            </w:pPr>
            <w:r>
              <w:rPr>
                <w:rFonts w:hint="eastAsia"/>
                <w:bCs/>
              </w:rPr>
              <w:t>导则推荐模式□；其他□</w:t>
            </w:r>
          </w:p>
        </w:tc>
      </w:tr>
      <w:tr w14:paraId="74550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Merge w:val="restart"/>
            <w:tcBorders>
              <w:top w:val="nil"/>
              <w:left w:val="single" w:color="auto" w:sz="4" w:space="0"/>
              <w:bottom w:val="single" w:color="auto" w:sz="4" w:space="0"/>
              <w:right w:val="single" w:color="auto" w:sz="4" w:space="0"/>
            </w:tcBorders>
            <w:vAlign w:val="center"/>
          </w:tcPr>
          <w:p w14:paraId="39694A9E">
            <w:pPr>
              <w:pStyle w:val="196"/>
              <w:rPr>
                <w:bCs/>
              </w:rPr>
            </w:pPr>
            <w:r>
              <w:rPr>
                <w:rFonts w:hint="eastAsia"/>
                <w:bCs/>
              </w:rPr>
              <w:t>影响评价</w:t>
            </w:r>
          </w:p>
        </w:tc>
        <w:tc>
          <w:tcPr>
            <w:tcW w:w="1141" w:type="dxa"/>
            <w:tcBorders>
              <w:top w:val="single" w:color="auto" w:sz="4" w:space="0"/>
              <w:left w:val="single" w:color="auto" w:sz="4" w:space="0"/>
              <w:bottom w:val="single" w:color="auto" w:sz="4" w:space="0"/>
              <w:right w:val="single" w:color="auto" w:sz="4" w:space="0"/>
            </w:tcBorders>
            <w:vAlign w:val="center"/>
          </w:tcPr>
          <w:p w14:paraId="1760650B">
            <w:pPr>
              <w:pStyle w:val="196"/>
              <w:rPr>
                <w:bCs/>
              </w:rPr>
            </w:pPr>
            <w:r>
              <w:rPr>
                <w:rFonts w:hint="eastAsia"/>
                <w:bCs/>
              </w:rPr>
              <w:t>水污染控制和水环境影响减缓措施有效性评价</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68112212">
            <w:pPr>
              <w:pStyle w:val="196"/>
              <w:rPr>
                <w:bCs/>
              </w:rPr>
            </w:pPr>
            <w:r>
              <w:rPr>
                <w:rFonts w:hint="eastAsia"/>
                <w:bCs/>
              </w:rPr>
              <w:t>区（流）域水环境质量改善目标□；替代削减源□</w:t>
            </w:r>
          </w:p>
        </w:tc>
      </w:tr>
      <w:tr w14:paraId="57C9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7DDC666F">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0B52A7D7">
            <w:pPr>
              <w:pStyle w:val="196"/>
              <w:rPr>
                <w:bCs/>
              </w:rPr>
            </w:pPr>
            <w:r>
              <w:rPr>
                <w:rFonts w:hint="eastAsia"/>
                <w:bCs/>
              </w:rPr>
              <w:t>水环境影响评价</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7CFD8BCA">
            <w:pPr>
              <w:pStyle w:val="196"/>
              <w:rPr>
                <w:bCs/>
              </w:rPr>
            </w:pPr>
            <w:r>
              <w:rPr>
                <w:rFonts w:hint="eastAsia"/>
                <w:bCs/>
              </w:rPr>
              <w:t>排放口混合区外满足水环境管理要求□</w:t>
            </w:r>
          </w:p>
          <w:p w14:paraId="25E8B66D">
            <w:pPr>
              <w:pStyle w:val="196"/>
              <w:rPr>
                <w:bCs/>
              </w:rPr>
            </w:pPr>
            <w:r>
              <w:rPr>
                <w:rFonts w:hint="eastAsia"/>
                <w:bCs/>
              </w:rPr>
              <w:t>水环境功能区或水功能区、近岸海域环境功能区水质达标□</w:t>
            </w:r>
          </w:p>
          <w:p w14:paraId="6BAB38C1">
            <w:pPr>
              <w:pStyle w:val="196"/>
              <w:rPr>
                <w:bCs/>
              </w:rPr>
            </w:pPr>
            <w:r>
              <w:rPr>
                <w:rFonts w:hint="eastAsia"/>
                <w:bCs/>
              </w:rPr>
              <w:t>满足水环境保护目标水域水环境质量要求□</w:t>
            </w:r>
          </w:p>
          <w:p w14:paraId="22AD370E">
            <w:pPr>
              <w:pStyle w:val="196"/>
              <w:rPr>
                <w:bCs/>
              </w:rPr>
            </w:pPr>
            <w:r>
              <w:rPr>
                <w:rFonts w:hint="eastAsia"/>
                <w:bCs/>
              </w:rPr>
              <w:t>水环境控制单元或断面水质达标□</w:t>
            </w:r>
          </w:p>
          <w:p w14:paraId="6A25E023">
            <w:pPr>
              <w:pStyle w:val="196"/>
              <w:rPr>
                <w:bCs/>
              </w:rPr>
            </w:pPr>
            <w:r>
              <w:rPr>
                <w:rFonts w:hint="eastAsia"/>
                <w:bCs/>
              </w:rPr>
              <w:t>满足重点水污染物排放总量控制指标要求，重点行业建设项目，主要污染物排放满足等量或减量替代要求□</w:t>
            </w:r>
          </w:p>
          <w:p w14:paraId="4A148691">
            <w:pPr>
              <w:pStyle w:val="196"/>
              <w:rPr>
                <w:bCs/>
              </w:rPr>
            </w:pPr>
            <w:r>
              <w:rPr>
                <w:rFonts w:hint="eastAsia"/>
                <w:bCs/>
              </w:rPr>
              <w:t>满足区（流）域水环境质量改善目标要求□</w:t>
            </w:r>
          </w:p>
          <w:p w14:paraId="107B3914">
            <w:pPr>
              <w:pStyle w:val="196"/>
              <w:rPr>
                <w:bCs/>
              </w:rPr>
            </w:pPr>
            <w:r>
              <w:rPr>
                <w:rFonts w:hint="eastAsia"/>
                <w:bCs/>
              </w:rPr>
              <w:t>水文要素影响型建设项目同时应包括水文情势变化评价、主要水文特征值影响评价、生态流量符合性评价□</w:t>
            </w:r>
          </w:p>
          <w:p w14:paraId="624963EB">
            <w:pPr>
              <w:pStyle w:val="196"/>
              <w:rPr>
                <w:bCs/>
              </w:rPr>
            </w:pPr>
            <w:r>
              <w:rPr>
                <w:rFonts w:hint="eastAsia"/>
                <w:bCs/>
              </w:rPr>
              <w:t>对于新设或调整入河（湖库、近岸海域）排放口的建设项目，应包括排放口设置的环境合理性评价□</w:t>
            </w:r>
          </w:p>
          <w:p w14:paraId="348B1C4B">
            <w:pPr>
              <w:pStyle w:val="196"/>
              <w:rPr>
                <w:bCs/>
              </w:rPr>
            </w:pPr>
            <w:r>
              <w:rPr>
                <w:rFonts w:hint="eastAsia"/>
                <w:bCs/>
              </w:rPr>
              <w:t>满足生态保护红线、水环境质量底线、资源利用上线和环境准入清单管理要求□</w:t>
            </w:r>
          </w:p>
        </w:tc>
      </w:tr>
      <w:tr w14:paraId="6649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C0EB7F8">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3BB48AFF">
            <w:pPr>
              <w:pStyle w:val="196"/>
              <w:rPr>
                <w:bCs/>
              </w:rPr>
            </w:pPr>
            <w:r>
              <w:rPr>
                <w:rFonts w:hint="eastAsia"/>
                <w:bCs/>
              </w:rPr>
              <w:t>污染源排放量核算（外排环境量）</w:t>
            </w: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184533AD">
            <w:pPr>
              <w:pStyle w:val="196"/>
              <w:rPr>
                <w:bCs/>
              </w:rPr>
            </w:pPr>
            <w:r>
              <w:rPr>
                <w:rFonts w:hint="eastAsia"/>
                <w:bCs/>
              </w:rPr>
              <w:t>污染物名称</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31DC41ED">
            <w:pPr>
              <w:pStyle w:val="196"/>
              <w:rPr>
                <w:bCs/>
              </w:rPr>
            </w:pPr>
            <w:r>
              <w:rPr>
                <w:rFonts w:hint="eastAsia"/>
                <w:bCs/>
              </w:rPr>
              <w:t>排放量/（t/a）</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69D9DEE9">
            <w:pPr>
              <w:pStyle w:val="196"/>
              <w:rPr>
                <w:bCs/>
              </w:rPr>
            </w:pPr>
            <w:r>
              <w:rPr>
                <w:rFonts w:hint="eastAsia"/>
                <w:bCs/>
              </w:rPr>
              <w:t>排放浓度/（mg/L）</w:t>
            </w:r>
          </w:p>
        </w:tc>
      </w:tr>
      <w:tr w14:paraId="7AA1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2E6F1034">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75CD7673">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664618A1">
            <w:pPr>
              <w:pStyle w:val="196"/>
            </w:pPr>
            <w:r>
              <w:rPr>
                <w:rFonts w:hint="eastAsia"/>
              </w:rPr>
              <w:t>污水量</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2A2BC643">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6C61AFC9">
            <w:pPr>
              <w:pStyle w:val="196"/>
              <w:rPr>
                <w:bCs/>
              </w:rPr>
            </w:pPr>
            <w:r>
              <w:rPr>
                <w:rFonts w:hint="eastAsia"/>
                <w:bCs/>
              </w:rPr>
              <w:t>0</w:t>
            </w:r>
          </w:p>
        </w:tc>
      </w:tr>
      <w:tr w14:paraId="1CBE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24E0AD41">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5A635960">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30688BA5">
            <w:pPr>
              <w:pStyle w:val="196"/>
            </w:pPr>
            <w:r>
              <w:rPr>
                <w:rFonts w:hint="eastAsia"/>
              </w:rPr>
              <w:t>COD</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35C215A1">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71C48F69">
            <w:pPr>
              <w:pStyle w:val="196"/>
              <w:rPr>
                <w:bCs/>
              </w:rPr>
            </w:pPr>
            <w:r>
              <w:rPr>
                <w:rFonts w:hint="eastAsia"/>
              </w:rPr>
              <w:t>0</w:t>
            </w:r>
          </w:p>
        </w:tc>
      </w:tr>
      <w:tr w14:paraId="22A9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9CFC149">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1236F3E0">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6136907F">
            <w:pPr>
              <w:pStyle w:val="196"/>
            </w:pPr>
            <w:r>
              <w:rPr>
                <w:rFonts w:hint="eastAsia"/>
              </w:rPr>
              <w:t>SS</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055233DA">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3D9BF242">
            <w:pPr>
              <w:pStyle w:val="196"/>
              <w:rPr>
                <w:bCs/>
              </w:rPr>
            </w:pPr>
            <w:r>
              <w:rPr>
                <w:rFonts w:hint="eastAsia"/>
              </w:rPr>
              <w:t>0</w:t>
            </w:r>
          </w:p>
        </w:tc>
      </w:tr>
      <w:tr w14:paraId="27E3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3555A8D">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5C7FBA06">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2B105A1D">
            <w:pPr>
              <w:pStyle w:val="196"/>
              <w:rPr>
                <w:bCs/>
              </w:rPr>
            </w:pPr>
            <w:r>
              <w:rPr>
                <w:rFonts w:hint="eastAsia"/>
              </w:rPr>
              <w:t>氨氮</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2D5DCD86">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02A24FFF">
            <w:pPr>
              <w:pStyle w:val="196"/>
              <w:rPr>
                <w:bCs/>
              </w:rPr>
            </w:pPr>
            <w:r>
              <w:rPr>
                <w:rFonts w:hint="eastAsia"/>
              </w:rPr>
              <w:t>0</w:t>
            </w:r>
          </w:p>
        </w:tc>
      </w:tr>
      <w:tr w14:paraId="205C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0A223A2">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473DE088">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2BDBA3B7">
            <w:pPr>
              <w:pStyle w:val="196"/>
              <w:rPr>
                <w:bCs/>
              </w:rPr>
            </w:pPr>
            <w:r>
              <w:rPr>
                <w:rFonts w:hint="eastAsia"/>
              </w:rPr>
              <w:t>总氮</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242462F2">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22F4B1FC">
            <w:pPr>
              <w:pStyle w:val="196"/>
              <w:rPr>
                <w:bCs/>
              </w:rPr>
            </w:pPr>
            <w:r>
              <w:rPr>
                <w:rFonts w:hint="eastAsia"/>
              </w:rPr>
              <w:t>0</w:t>
            </w:r>
          </w:p>
        </w:tc>
      </w:tr>
      <w:tr w14:paraId="7280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267376D4">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36A27AC2">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124C32DB">
            <w:pPr>
              <w:pStyle w:val="196"/>
            </w:pPr>
            <w:r>
              <w:rPr>
                <w:rFonts w:hint="eastAsia"/>
              </w:rPr>
              <w:t>总磷</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1047AEE3">
            <w:pPr>
              <w:pStyle w:val="196"/>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290CFE34">
            <w:pPr>
              <w:pStyle w:val="196"/>
            </w:pPr>
            <w:r>
              <w:rPr>
                <w:rFonts w:hint="eastAsia"/>
              </w:rPr>
              <w:t>0</w:t>
            </w:r>
          </w:p>
        </w:tc>
      </w:tr>
      <w:tr w14:paraId="51052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2250E5F">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72A52574">
            <w:pPr>
              <w:pStyle w:val="196"/>
              <w:rPr>
                <w:bCs/>
              </w:rPr>
            </w:pPr>
          </w:p>
        </w:tc>
        <w:tc>
          <w:tcPr>
            <w:tcW w:w="2341" w:type="dxa"/>
            <w:gridSpan w:val="3"/>
            <w:tcBorders>
              <w:top w:val="single" w:color="auto" w:sz="4" w:space="0"/>
              <w:left w:val="single" w:color="auto" w:sz="4" w:space="0"/>
              <w:bottom w:val="single" w:color="auto" w:sz="4" w:space="0"/>
              <w:right w:val="single" w:color="auto" w:sz="4" w:space="0"/>
            </w:tcBorders>
            <w:vAlign w:val="center"/>
          </w:tcPr>
          <w:p w14:paraId="449AD644">
            <w:pPr>
              <w:pStyle w:val="196"/>
              <w:rPr>
                <w:bCs/>
              </w:rPr>
            </w:pPr>
            <w:r>
              <w:rPr>
                <w:rFonts w:hint="eastAsia"/>
                <w:bCs/>
              </w:rPr>
              <w:t>石油类</w:t>
            </w:r>
          </w:p>
        </w:tc>
        <w:tc>
          <w:tcPr>
            <w:tcW w:w="2341" w:type="dxa"/>
            <w:gridSpan w:val="6"/>
            <w:tcBorders>
              <w:top w:val="single" w:color="auto" w:sz="4" w:space="0"/>
              <w:left w:val="single" w:color="auto" w:sz="4" w:space="0"/>
              <w:bottom w:val="single" w:color="auto" w:sz="4" w:space="0"/>
              <w:right w:val="single" w:color="auto" w:sz="4" w:space="0"/>
            </w:tcBorders>
            <w:vAlign w:val="center"/>
          </w:tcPr>
          <w:p w14:paraId="031AC3C0">
            <w:pPr>
              <w:pStyle w:val="196"/>
              <w:rPr>
                <w:bCs/>
              </w:rPr>
            </w:pPr>
            <w:r>
              <w:rPr>
                <w:rFonts w:hint="eastAsia"/>
              </w:rPr>
              <w:t>0</w:t>
            </w:r>
          </w:p>
        </w:tc>
        <w:tc>
          <w:tcPr>
            <w:tcW w:w="2342" w:type="dxa"/>
            <w:gridSpan w:val="4"/>
            <w:tcBorders>
              <w:top w:val="single" w:color="auto" w:sz="4" w:space="0"/>
              <w:left w:val="single" w:color="auto" w:sz="4" w:space="0"/>
              <w:bottom w:val="single" w:color="auto" w:sz="4" w:space="0"/>
              <w:right w:val="single" w:color="auto" w:sz="4" w:space="0"/>
            </w:tcBorders>
            <w:vAlign w:val="center"/>
          </w:tcPr>
          <w:p w14:paraId="34D45672">
            <w:pPr>
              <w:pStyle w:val="196"/>
              <w:rPr>
                <w:bCs/>
              </w:rPr>
            </w:pPr>
            <w:r>
              <w:rPr>
                <w:rFonts w:hint="eastAsia"/>
              </w:rPr>
              <w:t>0</w:t>
            </w:r>
          </w:p>
        </w:tc>
      </w:tr>
      <w:tr w14:paraId="3579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4DDCC857">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29FE95DC">
            <w:pPr>
              <w:pStyle w:val="196"/>
              <w:rPr>
                <w:bCs/>
              </w:rPr>
            </w:pPr>
            <w:r>
              <w:rPr>
                <w:rFonts w:hint="eastAsia"/>
                <w:bCs/>
              </w:rPr>
              <w:t>替代源排放情况</w:t>
            </w:r>
          </w:p>
        </w:tc>
        <w:tc>
          <w:tcPr>
            <w:tcW w:w="1404" w:type="dxa"/>
            <w:gridSpan w:val="2"/>
            <w:tcBorders>
              <w:top w:val="single" w:color="auto" w:sz="4" w:space="0"/>
              <w:left w:val="single" w:color="auto" w:sz="4" w:space="0"/>
              <w:bottom w:val="single" w:color="auto" w:sz="4" w:space="0"/>
              <w:right w:val="single" w:color="auto" w:sz="4" w:space="0"/>
            </w:tcBorders>
            <w:vAlign w:val="center"/>
          </w:tcPr>
          <w:p w14:paraId="26C7F41D">
            <w:pPr>
              <w:pStyle w:val="196"/>
              <w:rPr>
                <w:bCs/>
              </w:rPr>
            </w:pPr>
            <w:r>
              <w:rPr>
                <w:rFonts w:hint="eastAsia"/>
                <w:bCs/>
              </w:rPr>
              <w:t>污染源名称</w:t>
            </w:r>
          </w:p>
        </w:tc>
        <w:tc>
          <w:tcPr>
            <w:tcW w:w="1405" w:type="dxa"/>
            <w:gridSpan w:val="2"/>
            <w:tcBorders>
              <w:top w:val="single" w:color="auto" w:sz="4" w:space="0"/>
              <w:left w:val="single" w:color="auto" w:sz="4" w:space="0"/>
              <w:bottom w:val="single" w:color="auto" w:sz="4" w:space="0"/>
              <w:right w:val="single" w:color="auto" w:sz="4" w:space="0"/>
            </w:tcBorders>
            <w:vAlign w:val="center"/>
          </w:tcPr>
          <w:p w14:paraId="5FECB22F">
            <w:pPr>
              <w:pStyle w:val="196"/>
              <w:rPr>
                <w:bCs/>
              </w:rPr>
            </w:pPr>
            <w:r>
              <w:rPr>
                <w:rFonts w:hint="eastAsia"/>
                <w:bCs/>
              </w:rPr>
              <w:t>排污许可证编号</w:t>
            </w:r>
          </w:p>
        </w:tc>
        <w:tc>
          <w:tcPr>
            <w:tcW w:w="1405" w:type="dxa"/>
            <w:gridSpan w:val="4"/>
            <w:tcBorders>
              <w:top w:val="single" w:color="auto" w:sz="4" w:space="0"/>
              <w:left w:val="single" w:color="auto" w:sz="4" w:space="0"/>
              <w:bottom w:val="single" w:color="auto" w:sz="4" w:space="0"/>
              <w:right w:val="single" w:color="auto" w:sz="4" w:space="0"/>
            </w:tcBorders>
            <w:vAlign w:val="center"/>
          </w:tcPr>
          <w:p w14:paraId="167C9104">
            <w:pPr>
              <w:pStyle w:val="196"/>
              <w:rPr>
                <w:bCs/>
              </w:rPr>
            </w:pPr>
            <w:r>
              <w:rPr>
                <w:rFonts w:hint="eastAsia"/>
                <w:bCs/>
              </w:rPr>
              <w:t>污染物名称</w:t>
            </w:r>
          </w:p>
        </w:tc>
        <w:tc>
          <w:tcPr>
            <w:tcW w:w="1405" w:type="dxa"/>
            <w:gridSpan w:val="3"/>
            <w:tcBorders>
              <w:top w:val="single" w:color="auto" w:sz="4" w:space="0"/>
              <w:left w:val="single" w:color="auto" w:sz="4" w:space="0"/>
              <w:bottom w:val="single" w:color="auto" w:sz="4" w:space="0"/>
              <w:right w:val="single" w:color="auto" w:sz="4" w:space="0"/>
            </w:tcBorders>
            <w:vAlign w:val="center"/>
          </w:tcPr>
          <w:p w14:paraId="43D3F50F">
            <w:pPr>
              <w:pStyle w:val="196"/>
              <w:rPr>
                <w:bCs/>
              </w:rPr>
            </w:pPr>
            <w:r>
              <w:rPr>
                <w:rFonts w:hint="eastAsia"/>
                <w:bCs/>
              </w:rPr>
              <w:t>排放量（t/a）</w:t>
            </w:r>
          </w:p>
        </w:tc>
        <w:tc>
          <w:tcPr>
            <w:tcW w:w="1405" w:type="dxa"/>
            <w:gridSpan w:val="2"/>
            <w:tcBorders>
              <w:top w:val="single" w:color="auto" w:sz="4" w:space="0"/>
              <w:left w:val="single" w:color="auto" w:sz="4" w:space="0"/>
              <w:bottom w:val="single" w:color="auto" w:sz="4" w:space="0"/>
              <w:right w:val="single" w:color="auto" w:sz="4" w:space="0"/>
            </w:tcBorders>
            <w:vAlign w:val="center"/>
          </w:tcPr>
          <w:p w14:paraId="356D198A">
            <w:pPr>
              <w:pStyle w:val="196"/>
              <w:rPr>
                <w:bCs/>
              </w:rPr>
            </w:pPr>
            <w:r>
              <w:rPr>
                <w:rFonts w:hint="eastAsia"/>
                <w:bCs/>
              </w:rPr>
              <w:t>排放浓度（mg/L）</w:t>
            </w:r>
          </w:p>
        </w:tc>
      </w:tr>
      <w:tr w14:paraId="7818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155CB012">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1FDB6D05">
            <w:pPr>
              <w:pStyle w:val="196"/>
              <w:rPr>
                <w:bCs/>
              </w:rPr>
            </w:pPr>
          </w:p>
        </w:tc>
        <w:tc>
          <w:tcPr>
            <w:tcW w:w="1404" w:type="dxa"/>
            <w:gridSpan w:val="2"/>
            <w:tcBorders>
              <w:top w:val="single" w:color="auto" w:sz="4" w:space="0"/>
              <w:left w:val="single" w:color="auto" w:sz="4" w:space="0"/>
              <w:bottom w:val="single" w:color="auto" w:sz="4" w:space="0"/>
              <w:right w:val="single" w:color="auto" w:sz="4" w:space="0"/>
            </w:tcBorders>
            <w:vAlign w:val="center"/>
          </w:tcPr>
          <w:p w14:paraId="3FF2216C">
            <w:pPr>
              <w:pStyle w:val="196"/>
              <w:rPr>
                <w:bCs/>
              </w:rPr>
            </w:pPr>
            <w:r>
              <w:rPr>
                <w:rFonts w:hint="eastAsia"/>
                <w:bCs/>
                <w:lang w:eastAsia="zh-CN"/>
              </w:rPr>
              <w:t>（</w:t>
            </w:r>
            <w:r>
              <w:rPr>
                <w:rFonts w:hint="eastAsia"/>
                <w:bCs/>
              </w:rPr>
              <w:t>）</w:t>
            </w:r>
          </w:p>
        </w:tc>
        <w:tc>
          <w:tcPr>
            <w:tcW w:w="1405" w:type="dxa"/>
            <w:gridSpan w:val="2"/>
            <w:tcBorders>
              <w:top w:val="single" w:color="auto" w:sz="4" w:space="0"/>
              <w:left w:val="single" w:color="auto" w:sz="4" w:space="0"/>
              <w:bottom w:val="single" w:color="auto" w:sz="4" w:space="0"/>
              <w:right w:val="single" w:color="auto" w:sz="4" w:space="0"/>
            </w:tcBorders>
            <w:vAlign w:val="center"/>
          </w:tcPr>
          <w:p w14:paraId="46F90673">
            <w:pPr>
              <w:pStyle w:val="196"/>
              <w:rPr>
                <w:bCs/>
              </w:rPr>
            </w:pPr>
            <w:r>
              <w:rPr>
                <w:rFonts w:hint="eastAsia"/>
                <w:bCs/>
                <w:lang w:eastAsia="zh-CN"/>
              </w:rPr>
              <w:t>（</w:t>
            </w:r>
            <w:r>
              <w:rPr>
                <w:rFonts w:hint="eastAsia"/>
                <w:bCs/>
              </w:rPr>
              <w:t>）</w:t>
            </w:r>
          </w:p>
        </w:tc>
        <w:tc>
          <w:tcPr>
            <w:tcW w:w="1405" w:type="dxa"/>
            <w:gridSpan w:val="4"/>
            <w:tcBorders>
              <w:top w:val="single" w:color="auto" w:sz="4" w:space="0"/>
              <w:left w:val="single" w:color="auto" w:sz="4" w:space="0"/>
              <w:bottom w:val="single" w:color="auto" w:sz="4" w:space="0"/>
              <w:right w:val="single" w:color="auto" w:sz="4" w:space="0"/>
            </w:tcBorders>
            <w:vAlign w:val="center"/>
          </w:tcPr>
          <w:p w14:paraId="5A7937ED">
            <w:pPr>
              <w:pStyle w:val="196"/>
              <w:rPr>
                <w:bCs/>
              </w:rPr>
            </w:pPr>
            <w:r>
              <w:rPr>
                <w:rFonts w:hint="eastAsia"/>
                <w:bCs/>
                <w:lang w:eastAsia="zh-CN"/>
              </w:rPr>
              <w:t>（</w:t>
            </w:r>
            <w:r>
              <w:rPr>
                <w:rFonts w:hint="eastAsia"/>
                <w:bCs/>
              </w:rPr>
              <w:t>）</w:t>
            </w:r>
          </w:p>
        </w:tc>
        <w:tc>
          <w:tcPr>
            <w:tcW w:w="1405" w:type="dxa"/>
            <w:gridSpan w:val="3"/>
            <w:tcBorders>
              <w:top w:val="single" w:color="auto" w:sz="4" w:space="0"/>
              <w:left w:val="single" w:color="auto" w:sz="4" w:space="0"/>
              <w:bottom w:val="single" w:color="auto" w:sz="4" w:space="0"/>
              <w:right w:val="single" w:color="auto" w:sz="4" w:space="0"/>
            </w:tcBorders>
            <w:vAlign w:val="center"/>
          </w:tcPr>
          <w:p w14:paraId="77636A3E">
            <w:pPr>
              <w:pStyle w:val="196"/>
              <w:rPr>
                <w:bCs/>
              </w:rPr>
            </w:pPr>
            <w:r>
              <w:rPr>
                <w:rFonts w:hint="eastAsia"/>
                <w:bCs/>
                <w:lang w:eastAsia="zh-CN"/>
              </w:rPr>
              <w:t>（</w:t>
            </w:r>
            <w:r>
              <w:rPr>
                <w:rFonts w:hint="eastAsia"/>
                <w:bCs/>
              </w:rPr>
              <w:t>）</w:t>
            </w:r>
          </w:p>
        </w:tc>
        <w:tc>
          <w:tcPr>
            <w:tcW w:w="1405" w:type="dxa"/>
            <w:gridSpan w:val="2"/>
            <w:tcBorders>
              <w:top w:val="single" w:color="auto" w:sz="4" w:space="0"/>
              <w:left w:val="single" w:color="auto" w:sz="4" w:space="0"/>
              <w:bottom w:val="single" w:color="auto" w:sz="4" w:space="0"/>
              <w:right w:val="single" w:color="auto" w:sz="4" w:space="0"/>
            </w:tcBorders>
            <w:vAlign w:val="center"/>
          </w:tcPr>
          <w:p w14:paraId="3BEFC2FC">
            <w:pPr>
              <w:pStyle w:val="196"/>
              <w:rPr>
                <w:bCs/>
              </w:rPr>
            </w:pPr>
            <w:r>
              <w:rPr>
                <w:rFonts w:hint="eastAsia"/>
                <w:bCs/>
                <w:lang w:eastAsia="zh-CN"/>
              </w:rPr>
              <w:t>（</w:t>
            </w:r>
            <w:r>
              <w:rPr>
                <w:rFonts w:hint="eastAsia"/>
                <w:bCs/>
              </w:rPr>
              <w:t>）</w:t>
            </w:r>
          </w:p>
        </w:tc>
      </w:tr>
      <w:tr w14:paraId="3913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048B6FF">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10A13AC4">
            <w:pPr>
              <w:pStyle w:val="196"/>
              <w:rPr>
                <w:bCs/>
              </w:rPr>
            </w:pPr>
            <w:r>
              <w:rPr>
                <w:rFonts w:hint="eastAsia"/>
                <w:bCs/>
              </w:rPr>
              <w:t>生态流量确定</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14583AC9">
            <w:pPr>
              <w:pStyle w:val="196"/>
              <w:rPr>
                <w:bCs/>
              </w:rPr>
            </w:pPr>
            <w:r>
              <w:rPr>
                <w:rFonts w:hint="eastAsia"/>
                <w:bCs/>
              </w:rPr>
              <w:t>生态流量：一般水期（）m</w:t>
            </w:r>
            <w:r>
              <w:rPr>
                <w:rFonts w:hint="eastAsia"/>
                <w:bCs/>
                <w:vertAlign w:val="superscript"/>
              </w:rPr>
              <w:t>3</w:t>
            </w:r>
            <w:r>
              <w:rPr>
                <w:rFonts w:hint="eastAsia"/>
                <w:bCs/>
              </w:rPr>
              <w:t>/s；鱼类繁殖期（）m</w:t>
            </w:r>
            <w:r>
              <w:rPr>
                <w:rFonts w:hint="eastAsia"/>
                <w:bCs/>
                <w:vertAlign w:val="superscript"/>
              </w:rPr>
              <w:t>3</w:t>
            </w:r>
            <w:r>
              <w:rPr>
                <w:rFonts w:hint="eastAsia"/>
                <w:bCs/>
              </w:rPr>
              <w:t>/s；其他（）m</w:t>
            </w:r>
            <w:r>
              <w:rPr>
                <w:rFonts w:hint="eastAsia"/>
                <w:bCs/>
                <w:vertAlign w:val="superscript"/>
              </w:rPr>
              <w:t>3</w:t>
            </w:r>
            <w:r>
              <w:rPr>
                <w:rFonts w:hint="eastAsia"/>
                <w:bCs/>
              </w:rPr>
              <w:t>/s</w:t>
            </w:r>
          </w:p>
          <w:p w14:paraId="17D3F2BC">
            <w:pPr>
              <w:pStyle w:val="196"/>
              <w:rPr>
                <w:bCs/>
              </w:rPr>
            </w:pPr>
            <w:r>
              <w:rPr>
                <w:rFonts w:hint="eastAsia"/>
                <w:bCs/>
              </w:rPr>
              <w:t>生态水位：一般水期（）m；鱼类繁殖期（）m；其他（）</w:t>
            </w:r>
          </w:p>
        </w:tc>
      </w:tr>
      <w:tr w14:paraId="518B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24" w:type="dxa"/>
            <w:vMerge w:val="restart"/>
            <w:tcBorders>
              <w:top w:val="nil"/>
              <w:left w:val="single" w:color="auto" w:sz="4" w:space="0"/>
              <w:bottom w:val="single" w:color="auto" w:sz="4" w:space="0"/>
              <w:right w:val="single" w:color="auto" w:sz="4" w:space="0"/>
            </w:tcBorders>
            <w:vAlign w:val="center"/>
          </w:tcPr>
          <w:p w14:paraId="48E84ED0">
            <w:pPr>
              <w:pStyle w:val="196"/>
              <w:rPr>
                <w:bCs/>
              </w:rPr>
            </w:pPr>
            <w:r>
              <w:rPr>
                <w:rFonts w:hint="eastAsia"/>
                <w:bCs/>
              </w:rPr>
              <w:t>防治措施</w:t>
            </w:r>
          </w:p>
        </w:tc>
        <w:tc>
          <w:tcPr>
            <w:tcW w:w="1141" w:type="dxa"/>
            <w:tcBorders>
              <w:top w:val="single" w:color="auto" w:sz="4" w:space="0"/>
              <w:left w:val="single" w:color="auto" w:sz="4" w:space="0"/>
              <w:bottom w:val="single" w:color="auto" w:sz="4" w:space="0"/>
              <w:right w:val="single" w:color="auto" w:sz="4" w:space="0"/>
            </w:tcBorders>
            <w:vAlign w:val="center"/>
          </w:tcPr>
          <w:p w14:paraId="1324709C">
            <w:pPr>
              <w:pStyle w:val="196"/>
              <w:rPr>
                <w:bCs/>
              </w:rPr>
            </w:pPr>
            <w:r>
              <w:rPr>
                <w:rFonts w:hint="eastAsia"/>
                <w:bCs/>
              </w:rPr>
              <w:t>环保措施</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7800CB7D">
            <w:pPr>
              <w:pStyle w:val="196"/>
              <w:rPr>
                <w:bCs/>
              </w:rPr>
            </w:pPr>
            <w:r>
              <w:rPr>
                <w:rFonts w:hint="eastAsia"/>
                <w:bCs/>
              </w:rPr>
              <w:t>污水处理设施□；水文减缓设施□；生态流量保障设施□；区域削减□；依托其他工程措施□；其他□</w:t>
            </w:r>
          </w:p>
        </w:tc>
      </w:tr>
      <w:tr w14:paraId="4867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6C8D25FE">
            <w:pPr>
              <w:pStyle w:val="196"/>
              <w:rPr>
                <w:bCs/>
              </w:rPr>
            </w:pPr>
          </w:p>
        </w:tc>
        <w:tc>
          <w:tcPr>
            <w:tcW w:w="1141" w:type="dxa"/>
            <w:vMerge w:val="restart"/>
            <w:tcBorders>
              <w:top w:val="nil"/>
              <w:left w:val="single" w:color="auto" w:sz="4" w:space="0"/>
              <w:bottom w:val="single" w:color="auto" w:sz="4" w:space="0"/>
              <w:right w:val="single" w:color="auto" w:sz="4" w:space="0"/>
            </w:tcBorders>
            <w:vAlign w:val="center"/>
          </w:tcPr>
          <w:p w14:paraId="7DF77436">
            <w:pPr>
              <w:pStyle w:val="196"/>
              <w:rPr>
                <w:bCs/>
              </w:rPr>
            </w:pPr>
            <w:r>
              <w:rPr>
                <w:rFonts w:hint="eastAsia"/>
                <w:bCs/>
              </w:rPr>
              <w:t>监测计划</w:t>
            </w:r>
          </w:p>
        </w:tc>
        <w:tc>
          <w:tcPr>
            <w:tcW w:w="1129" w:type="dxa"/>
            <w:tcBorders>
              <w:top w:val="single" w:color="auto" w:sz="4" w:space="0"/>
              <w:left w:val="single" w:color="auto" w:sz="4" w:space="0"/>
              <w:bottom w:val="single" w:color="auto" w:sz="4" w:space="0"/>
              <w:right w:val="single" w:color="auto" w:sz="4" w:space="0"/>
            </w:tcBorders>
            <w:vAlign w:val="center"/>
          </w:tcPr>
          <w:p w14:paraId="19322E09">
            <w:pPr>
              <w:pStyle w:val="196"/>
              <w:rPr>
                <w:bCs/>
              </w:rPr>
            </w:pPr>
          </w:p>
        </w:tc>
        <w:tc>
          <w:tcPr>
            <w:tcW w:w="2835" w:type="dxa"/>
            <w:gridSpan w:val="6"/>
            <w:tcBorders>
              <w:top w:val="single" w:color="auto" w:sz="4" w:space="0"/>
              <w:left w:val="single" w:color="auto" w:sz="4" w:space="0"/>
              <w:bottom w:val="single" w:color="auto" w:sz="4" w:space="0"/>
              <w:right w:val="single" w:color="auto" w:sz="4" w:space="0"/>
            </w:tcBorders>
            <w:vAlign w:val="center"/>
          </w:tcPr>
          <w:p w14:paraId="351CD0D5">
            <w:pPr>
              <w:pStyle w:val="196"/>
              <w:rPr>
                <w:bCs/>
              </w:rPr>
            </w:pPr>
            <w:r>
              <w:rPr>
                <w:rFonts w:hint="eastAsia"/>
                <w:bCs/>
              </w:rPr>
              <w:t>环境质量</w:t>
            </w:r>
          </w:p>
        </w:tc>
        <w:tc>
          <w:tcPr>
            <w:tcW w:w="3060" w:type="dxa"/>
            <w:gridSpan w:val="6"/>
            <w:tcBorders>
              <w:top w:val="single" w:color="auto" w:sz="4" w:space="0"/>
              <w:left w:val="single" w:color="auto" w:sz="4" w:space="0"/>
              <w:bottom w:val="single" w:color="auto" w:sz="4" w:space="0"/>
              <w:right w:val="single" w:color="auto" w:sz="4" w:space="0"/>
            </w:tcBorders>
            <w:vAlign w:val="center"/>
          </w:tcPr>
          <w:p w14:paraId="2D8452BF">
            <w:pPr>
              <w:pStyle w:val="196"/>
              <w:rPr>
                <w:bCs/>
              </w:rPr>
            </w:pPr>
            <w:r>
              <w:rPr>
                <w:rFonts w:hint="eastAsia"/>
                <w:bCs/>
              </w:rPr>
              <w:t>污染源</w:t>
            </w:r>
          </w:p>
        </w:tc>
      </w:tr>
      <w:tr w14:paraId="5312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B5A2774">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0CA84F02">
            <w:pPr>
              <w:pStyle w:val="196"/>
              <w:rPr>
                <w:bCs/>
              </w:rPr>
            </w:pPr>
          </w:p>
        </w:tc>
        <w:tc>
          <w:tcPr>
            <w:tcW w:w="1129" w:type="dxa"/>
            <w:tcBorders>
              <w:top w:val="single" w:color="auto" w:sz="4" w:space="0"/>
              <w:left w:val="single" w:color="auto" w:sz="4" w:space="0"/>
              <w:bottom w:val="single" w:color="auto" w:sz="4" w:space="0"/>
              <w:right w:val="single" w:color="auto" w:sz="4" w:space="0"/>
            </w:tcBorders>
            <w:vAlign w:val="center"/>
          </w:tcPr>
          <w:p w14:paraId="2FEBA63E">
            <w:pPr>
              <w:pStyle w:val="196"/>
              <w:rPr>
                <w:bCs/>
              </w:rPr>
            </w:pPr>
            <w:r>
              <w:rPr>
                <w:rFonts w:hint="eastAsia"/>
                <w:bCs/>
              </w:rPr>
              <w:t>监测方式</w:t>
            </w:r>
          </w:p>
        </w:tc>
        <w:tc>
          <w:tcPr>
            <w:tcW w:w="2835" w:type="dxa"/>
            <w:gridSpan w:val="6"/>
            <w:tcBorders>
              <w:top w:val="single" w:color="auto" w:sz="4" w:space="0"/>
              <w:left w:val="single" w:color="auto" w:sz="4" w:space="0"/>
              <w:bottom w:val="single" w:color="auto" w:sz="4" w:space="0"/>
              <w:right w:val="single" w:color="auto" w:sz="4" w:space="0"/>
            </w:tcBorders>
            <w:vAlign w:val="center"/>
          </w:tcPr>
          <w:p w14:paraId="7E5559EF">
            <w:pPr>
              <w:pStyle w:val="196"/>
              <w:rPr>
                <w:bCs/>
              </w:rPr>
            </w:pPr>
            <w:r>
              <w:rPr>
                <w:rFonts w:hint="eastAsia"/>
                <w:bCs/>
              </w:rPr>
              <w:t>手动</w:t>
            </w:r>
            <w:r>
              <w:rPr>
                <w:rFonts w:hint="eastAsia" w:ascii="Segoe UI Symbol" w:hAnsi="Segoe UI Symbol" w:cs="Segoe UI Symbol"/>
                <w:bCs/>
              </w:rPr>
              <w:t>☑</w:t>
            </w:r>
            <w:r>
              <w:rPr>
                <w:rFonts w:hint="eastAsia"/>
                <w:bCs/>
              </w:rPr>
              <w:t>；自动□；无监测□；</w:t>
            </w:r>
          </w:p>
        </w:tc>
        <w:tc>
          <w:tcPr>
            <w:tcW w:w="3060" w:type="dxa"/>
            <w:gridSpan w:val="6"/>
            <w:tcBorders>
              <w:top w:val="single" w:color="auto" w:sz="4" w:space="0"/>
              <w:left w:val="single" w:color="auto" w:sz="4" w:space="0"/>
              <w:bottom w:val="single" w:color="auto" w:sz="4" w:space="0"/>
              <w:right w:val="single" w:color="auto" w:sz="4" w:space="0"/>
            </w:tcBorders>
            <w:vAlign w:val="center"/>
          </w:tcPr>
          <w:p w14:paraId="2B68159E">
            <w:pPr>
              <w:pStyle w:val="196"/>
              <w:rPr>
                <w:bCs/>
              </w:rPr>
            </w:pPr>
            <w:r>
              <w:rPr>
                <w:rFonts w:hint="eastAsia"/>
                <w:bCs/>
              </w:rPr>
              <w:t>手动</w:t>
            </w:r>
            <w:r>
              <w:rPr>
                <w:rFonts w:hint="eastAsia" w:ascii="Segoe UI Symbol" w:hAnsi="Segoe UI Symbol" w:cs="Segoe UI Symbol"/>
                <w:bCs/>
              </w:rPr>
              <w:t>☑</w:t>
            </w:r>
            <w:r>
              <w:rPr>
                <w:rFonts w:hint="eastAsia"/>
                <w:bCs/>
              </w:rPr>
              <w:t>；自动□；无监测□；</w:t>
            </w:r>
          </w:p>
        </w:tc>
      </w:tr>
      <w:tr w14:paraId="7C9A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7AA9FD50">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6667D554">
            <w:pPr>
              <w:pStyle w:val="196"/>
              <w:rPr>
                <w:bCs/>
              </w:rPr>
            </w:pPr>
          </w:p>
        </w:tc>
        <w:tc>
          <w:tcPr>
            <w:tcW w:w="1129" w:type="dxa"/>
            <w:tcBorders>
              <w:top w:val="single" w:color="auto" w:sz="4" w:space="0"/>
              <w:left w:val="single" w:color="auto" w:sz="4" w:space="0"/>
              <w:bottom w:val="single" w:color="auto" w:sz="4" w:space="0"/>
              <w:right w:val="single" w:color="auto" w:sz="4" w:space="0"/>
            </w:tcBorders>
            <w:vAlign w:val="center"/>
          </w:tcPr>
          <w:p w14:paraId="386FEDAE">
            <w:pPr>
              <w:pStyle w:val="196"/>
              <w:rPr>
                <w:bCs/>
              </w:rPr>
            </w:pPr>
            <w:r>
              <w:rPr>
                <w:rFonts w:hint="eastAsia"/>
                <w:bCs/>
              </w:rPr>
              <w:t>监测点位</w:t>
            </w:r>
          </w:p>
        </w:tc>
        <w:tc>
          <w:tcPr>
            <w:tcW w:w="2835" w:type="dxa"/>
            <w:gridSpan w:val="6"/>
            <w:tcBorders>
              <w:top w:val="single" w:color="auto" w:sz="4" w:space="0"/>
              <w:left w:val="single" w:color="auto" w:sz="4" w:space="0"/>
              <w:bottom w:val="single" w:color="auto" w:sz="4" w:space="0"/>
              <w:right w:val="single" w:color="auto" w:sz="4" w:space="0"/>
            </w:tcBorders>
            <w:vAlign w:val="center"/>
          </w:tcPr>
          <w:p w14:paraId="38FDF0D9">
            <w:pPr>
              <w:pStyle w:val="196"/>
              <w:rPr>
                <w:bCs/>
              </w:rPr>
            </w:pPr>
            <w:r>
              <w:rPr>
                <w:rFonts w:hint="eastAsia"/>
                <w:bCs/>
              </w:rPr>
              <w:t>（码头上下游0.5km处）</w:t>
            </w:r>
          </w:p>
        </w:tc>
        <w:tc>
          <w:tcPr>
            <w:tcW w:w="3060" w:type="dxa"/>
            <w:gridSpan w:val="6"/>
            <w:tcBorders>
              <w:top w:val="single" w:color="auto" w:sz="4" w:space="0"/>
              <w:left w:val="single" w:color="auto" w:sz="4" w:space="0"/>
              <w:bottom w:val="single" w:color="auto" w:sz="4" w:space="0"/>
              <w:right w:val="single" w:color="auto" w:sz="4" w:space="0"/>
            </w:tcBorders>
            <w:vAlign w:val="center"/>
          </w:tcPr>
          <w:p w14:paraId="010D76FF">
            <w:pPr>
              <w:pStyle w:val="196"/>
              <w:rPr>
                <w:bCs/>
              </w:rPr>
            </w:pPr>
            <w:r>
              <w:rPr>
                <w:rFonts w:hint="eastAsia"/>
                <w:bCs/>
              </w:rPr>
              <w:t>（雨水排口）</w:t>
            </w:r>
          </w:p>
        </w:tc>
      </w:tr>
      <w:tr w14:paraId="5D1C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5B37D879">
            <w:pPr>
              <w:pStyle w:val="196"/>
              <w:rPr>
                <w:bCs/>
              </w:rPr>
            </w:pPr>
          </w:p>
        </w:tc>
        <w:tc>
          <w:tcPr>
            <w:tcW w:w="300" w:type="dxa"/>
            <w:vMerge w:val="continue"/>
            <w:tcBorders>
              <w:top w:val="nil"/>
              <w:left w:val="single" w:color="auto" w:sz="4" w:space="0"/>
              <w:bottom w:val="single" w:color="auto" w:sz="4" w:space="0"/>
              <w:right w:val="single" w:color="auto" w:sz="4" w:space="0"/>
            </w:tcBorders>
            <w:vAlign w:val="center"/>
          </w:tcPr>
          <w:p w14:paraId="08787081">
            <w:pPr>
              <w:pStyle w:val="196"/>
              <w:rPr>
                <w:bCs/>
              </w:rPr>
            </w:pPr>
          </w:p>
        </w:tc>
        <w:tc>
          <w:tcPr>
            <w:tcW w:w="1129" w:type="dxa"/>
            <w:tcBorders>
              <w:top w:val="single" w:color="auto" w:sz="4" w:space="0"/>
              <w:left w:val="single" w:color="auto" w:sz="4" w:space="0"/>
              <w:bottom w:val="single" w:color="auto" w:sz="4" w:space="0"/>
              <w:right w:val="single" w:color="auto" w:sz="4" w:space="0"/>
            </w:tcBorders>
            <w:vAlign w:val="center"/>
          </w:tcPr>
          <w:p w14:paraId="0F80B07A">
            <w:pPr>
              <w:pStyle w:val="196"/>
              <w:rPr>
                <w:bCs/>
              </w:rPr>
            </w:pPr>
            <w:r>
              <w:rPr>
                <w:rFonts w:hint="eastAsia"/>
                <w:bCs/>
              </w:rPr>
              <w:t>监测因子</w:t>
            </w:r>
          </w:p>
        </w:tc>
        <w:tc>
          <w:tcPr>
            <w:tcW w:w="2835" w:type="dxa"/>
            <w:gridSpan w:val="6"/>
            <w:tcBorders>
              <w:top w:val="single" w:color="auto" w:sz="4" w:space="0"/>
              <w:left w:val="single" w:color="auto" w:sz="4" w:space="0"/>
              <w:bottom w:val="single" w:color="auto" w:sz="4" w:space="0"/>
              <w:right w:val="single" w:color="auto" w:sz="4" w:space="0"/>
            </w:tcBorders>
            <w:vAlign w:val="center"/>
          </w:tcPr>
          <w:p w14:paraId="56FEE0DB">
            <w:pPr>
              <w:pStyle w:val="196"/>
              <w:rPr>
                <w:bCs/>
              </w:rPr>
            </w:pPr>
            <w:r>
              <w:rPr>
                <w:rFonts w:hint="eastAsia"/>
                <w:bCs/>
              </w:rPr>
              <w:t>（pH、COD、SS、氨氮、总磷、总氮、石油类）</w:t>
            </w:r>
          </w:p>
        </w:tc>
        <w:tc>
          <w:tcPr>
            <w:tcW w:w="3060" w:type="dxa"/>
            <w:gridSpan w:val="6"/>
            <w:tcBorders>
              <w:top w:val="single" w:color="auto" w:sz="4" w:space="0"/>
              <w:left w:val="single" w:color="auto" w:sz="4" w:space="0"/>
              <w:bottom w:val="single" w:color="auto" w:sz="4" w:space="0"/>
              <w:right w:val="single" w:color="auto" w:sz="4" w:space="0"/>
            </w:tcBorders>
            <w:vAlign w:val="center"/>
          </w:tcPr>
          <w:p w14:paraId="0B0515AB">
            <w:pPr>
              <w:pStyle w:val="196"/>
              <w:rPr>
                <w:bCs/>
              </w:rPr>
            </w:pPr>
            <w:r>
              <w:rPr>
                <w:rFonts w:hint="eastAsia"/>
                <w:bCs/>
              </w:rPr>
              <w:t>雨水排口：pH、COD、SS、氨氮、总磷、总氮、石油类</w:t>
            </w:r>
          </w:p>
        </w:tc>
      </w:tr>
      <w:tr w14:paraId="2974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8FD78FB">
            <w:pPr>
              <w:pStyle w:val="196"/>
              <w:rPr>
                <w:bCs/>
              </w:rPr>
            </w:pPr>
          </w:p>
        </w:tc>
        <w:tc>
          <w:tcPr>
            <w:tcW w:w="1141" w:type="dxa"/>
            <w:tcBorders>
              <w:top w:val="single" w:color="auto" w:sz="4" w:space="0"/>
              <w:left w:val="single" w:color="auto" w:sz="4" w:space="0"/>
              <w:bottom w:val="single" w:color="auto" w:sz="4" w:space="0"/>
              <w:right w:val="single" w:color="auto" w:sz="4" w:space="0"/>
            </w:tcBorders>
            <w:vAlign w:val="center"/>
          </w:tcPr>
          <w:p w14:paraId="6F17105E">
            <w:pPr>
              <w:pStyle w:val="196"/>
              <w:rPr>
                <w:bCs/>
              </w:rPr>
            </w:pPr>
            <w:r>
              <w:rPr>
                <w:rFonts w:hint="eastAsia"/>
                <w:bCs/>
              </w:rPr>
              <w:t>污染物排放清单</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62DBE886">
            <w:pPr>
              <w:pStyle w:val="196"/>
              <w:rPr>
                <w:bCs/>
              </w:rPr>
            </w:pPr>
            <w:r>
              <w:rPr>
                <w:rFonts w:hint="eastAsia" w:ascii="Segoe UI Symbol" w:hAnsi="Segoe UI Symbol" w:cs="Segoe UI Symbol"/>
                <w:bCs/>
              </w:rPr>
              <w:t>☑</w:t>
            </w:r>
          </w:p>
        </w:tc>
      </w:tr>
      <w:tr w14:paraId="7801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 w:hRule="atLeast"/>
          <w:jc w:val="center"/>
        </w:trPr>
        <w:tc>
          <w:tcPr>
            <w:tcW w:w="1565" w:type="dxa"/>
            <w:gridSpan w:val="2"/>
            <w:tcBorders>
              <w:top w:val="single" w:color="auto" w:sz="4" w:space="0"/>
              <w:left w:val="single" w:color="auto" w:sz="4" w:space="0"/>
              <w:bottom w:val="single" w:color="auto" w:sz="4" w:space="0"/>
              <w:right w:val="single" w:color="auto" w:sz="4" w:space="0"/>
            </w:tcBorders>
            <w:vAlign w:val="center"/>
          </w:tcPr>
          <w:p w14:paraId="6AACDA5D">
            <w:pPr>
              <w:pStyle w:val="196"/>
              <w:rPr>
                <w:bCs/>
              </w:rPr>
            </w:pPr>
            <w:r>
              <w:rPr>
                <w:rFonts w:hint="eastAsia"/>
                <w:bCs/>
              </w:rPr>
              <w:t>评价结论</w:t>
            </w:r>
          </w:p>
        </w:tc>
        <w:tc>
          <w:tcPr>
            <w:tcW w:w="7024" w:type="dxa"/>
            <w:gridSpan w:val="13"/>
            <w:tcBorders>
              <w:top w:val="single" w:color="auto" w:sz="4" w:space="0"/>
              <w:left w:val="single" w:color="auto" w:sz="4" w:space="0"/>
              <w:bottom w:val="single" w:color="auto" w:sz="4" w:space="0"/>
              <w:right w:val="single" w:color="auto" w:sz="4" w:space="0"/>
            </w:tcBorders>
            <w:vAlign w:val="center"/>
          </w:tcPr>
          <w:p w14:paraId="0442213E">
            <w:pPr>
              <w:pStyle w:val="196"/>
              <w:rPr>
                <w:bCs/>
              </w:rPr>
            </w:pPr>
            <w:r>
              <w:rPr>
                <w:rFonts w:hint="eastAsia"/>
                <w:bCs/>
              </w:rPr>
              <w:t>可以接受</w:t>
            </w:r>
            <w:r>
              <w:rPr>
                <w:rFonts w:hint="eastAsia" w:ascii="Segoe UI Symbol" w:hAnsi="Segoe UI Symbol" w:cs="Segoe UI Symbol"/>
                <w:bCs/>
              </w:rPr>
              <w:t>☑</w:t>
            </w:r>
            <w:r>
              <w:rPr>
                <w:rFonts w:hint="eastAsia"/>
                <w:bCs/>
              </w:rPr>
              <w:t>；不可以接受□</w:t>
            </w:r>
          </w:p>
        </w:tc>
      </w:tr>
    </w:tbl>
    <w:p w14:paraId="7EDBE29C">
      <w:pPr>
        <w:pStyle w:val="82"/>
      </w:pPr>
      <w:r>
        <w:rPr>
          <w:rFonts w:hint="eastAsia"/>
        </w:rPr>
        <w:t>声环境影响预测与评价</w:t>
      </w:r>
    </w:p>
    <w:p w14:paraId="54916B96">
      <w:pPr>
        <w:pStyle w:val="84"/>
      </w:pPr>
      <w:r>
        <w:rPr>
          <w:rFonts w:hint="eastAsia"/>
        </w:rPr>
        <w:t>噪声源</w:t>
      </w:r>
    </w:p>
    <w:p w14:paraId="69D94F81">
      <w:pPr>
        <w:pStyle w:val="93"/>
      </w:pPr>
      <w:r>
        <w:rPr>
          <w:rFonts w:hint="eastAsia"/>
        </w:rPr>
        <w:t>营运期的噪声污染主要来源于码头装卸机械噪声和船舶鸣笛产生的交通噪声等。具体见表</w:t>
      </w:r>
      <w:r>
        <w:t>3.8-18</w:t>
      </w:r>
      <w:r>
        <w:rPr>
          <w:rFonts w:hint="eastAsia"/>
        </w:rPr>
        <w:t>。</w:t>
      </w:r>
    </w:p>
    <w:p w14:paraId="50CBE4EC">
      <w:pPr>
        <w:pStyle w:val="84"/>
      </w:pPr>
      <w:r>
        <w:rPr>
          <w:rFonts w:hint="eastAsia"/>
        </w:rPr>
        <w:t>预测模型</w:t>
      </w:r>
    </w:p>
    <w:p w14:paraId="391A2281">
      <w:pPr>
        <w:pStyle w:val="93"/>
      </w:pPr>
      <w:r>
        <w:rPr>
          <w:rFonts w:hint="eastAsia"/>
        </w:rPr>
        <w:t>预测采用等距离衰减模式，并参照最为不利时气象条件等修正值进行计算，噪声从声源传播到受声点，受传播距离、空气吸收、阻挡物的反射与屏蔽等因素的影响，声能逐渐衰减，根据《环境影响评价技术导则 声环境》（HJ2.4-2021），</w:t>
      </w:r>
    </w:p>
    <w:p w14:paraId="3AAA7080">
      <w:pPr>
        <w:pStyle w:val="93"/>
      </w:pPr>
      <w:r>
        <w:rPr>
          <w:rFonts w:hint="eastAsia"/>
        </w:rPr>
        <w:t>室外点声源在预测点产生的声级计算公式：</w:t>
      </w:r>
    </w:p>
    <w:p w14:paraId="37AABCD6">
      <w:pPr>
        <w:numPr>
          <w:ilvl w:val="0"/>
          <w:numId w:val="9"/>
        </w:numPr>
        <w:ind w:firstLine="480"/>
      </w:pPr>
      <w:r>
        <w:rPr>
          <w:rFonts w:hint="eastAsia"/>
        </w:rPr>
        <w:t>已知声源倍频带声功率级时，预测点位置的倍频带声压级L</w:t>
      </w:r>
      <w:r>
        <w:rPr>
          <w:rFonts w:hint="eastAsia"/>
          <w:vertAlign w:val="subscript"/>
        </w:rPr>
        <w:t>p（r）</w:t>
      </w:r>
      <w:r>
        <w:rPr>
          <w:rFonts w:hint="eastAsia"/>
        </w:rPr>
        <w:t>计算公式为：</w:t>
      </w:r>
    </w:p>
    <w:p w14:paraId="2C1B2B85">
      <w:pPr>
        <w:ind w:firstLine="480"/>
      </w:pPr>
      <w:r>
        <w:rPr>
          <w:rFonts w:hint="eastAsia"/>
        </w:rPr>
        <w:drawing>
          <wp:inline distT="0" distB="0" distL="0" distR="0">
            <wp:extent cx="4216400" cy="423545"/>
            <wp:effectExtent l="0" t="0" r="0" b="0"/>
            <wp:docPr id="1244022855"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22855" name="图片 1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216400" cy="423545"/>
                    </a:xfrm>
                    <a:prstGeom prst="rect">
                      <a:avLst/>
                    </a:prstGeom>
                    <a:noFill/>
                    <a:ln>
                      <a:noFill/>
                    </a:ln>
                  </pic:spPr>
                </pic:pic>
              </a:graphicData>
            </a:graphic>
          </wp:inline>
        </w:drawing>
      </w:r>
      <w:r>
        <w:rPr>
          <w:rFonts w:hint="eastAsia"/>
        </w:rPr>
        <w:t xml:space="preserve"> </w:t>
      </w:r>
    </w:p>
    <w:p w14:paraId="296155A0">
      <w:pPr>
        <w:ind w:firstLine="480"/>
      </w:pPr>
      <w:r>
        <w:rPr>
          <w:rFonts w:hint="eastAsia"/>
        </w:rPr>
        <w:t>式中：L</w:t>
      </w:r>
      <w:r>
        <w:rPr>
          <w:rFonts w:hint="eastAsia"/>
          <w:vertAlign w:val="subscript"/>
        </w:rPr>
        <w:t>p（r）</w:t>
      </w:r>
      <w:r>
        <w:rPr>
          <w:rFonts w:hint="eastAsia"/>
        </w:rPr>
        <w:t>——预测点处声压级，dB；</w:t>
      </w:r>
    </w:p>
    <w:p w14:paraId="161E9978">
      <w:pPr>
        <w:ind w:firstLine="480"/>
      </w:pPr>
      <w:r>
        <w:rPr>
          <w:rFonts w:hint="eastAsia"/>
        </w:rPr>
        <w:t>L</w:t>
      </w:r>
      <w:r>
        <w:rPr>
          <w:rFonts w:hint="eastAsia"/>
          <w:vertAlign w:val="subscript"/>
        </w:rPr>
        <w:t>w</w:t>
      </w:r>
      <w:r>
        <w:rPr>
          <w:rFonts w:hint="eastAsia"/>
        </w:rPr>
        <w:t>——声源的倍频带声功率级，dB；</w:t>
      </w:r>
    </w:p>
    <w:p w14:paraId="2EF248DE">
      <w:pPr>
        <w:ind w:firstLine="480"/>
      </w:pPr>
      <w:r>
        <w:rPr>
          <w:rFonts w:hint="eastAsia"/>
        </w:rPr>
        <w:t>D</w:t>
      </w:r>
      <w:r>
        <w:rPr>
          <w:rFonts w:hint="eastAsia"/>
          <w:vertAlign w:val="subscript"/>
        </w:rPr>
        <w:t>c</w:t>
      </w:r>
      <w:r>
        <w:rPr>
          <w:rFonts w:hint="eastAsia"/>
        </w:rPr>
        <w:t>——指向性校正，dB；对辐射到自由空间的全向点声源Dc=0dB；</w:t>
      </w:r>
    </w:p>
    <w:p w14:paraId="1FE22FF0">
      <w:pPr>
        <w:ind w:firstLine="480"/>
      </w:pPr>
      <w:r>
        <w:rPr>
          <w:rFonts w:hint="eastAsia"/>
        </w:rPr>
        <w:t>A</w:t>
      </w:r>
      <w:r>
        <w:rPr>
          <w:rFonts w:hint="eastAsia"/>
          <w:vertAlign w:val="subscript"/>
        </w:rPr>
        <w:t>div</w:t>
      </w:r>
      <w:r>
        <w:rPr>
          <w:rFonts w:hint="eastAsia"/>
        </w:rPr>
        <w:t>——几何发散引起的倍频带衰减，dB；</w:t>
      </w:r>
    </w:p>
    <w:p w14:paraId="4355C202">
      <w:pPr>
        <w:ind w:firstLine="480"/>
      </w:pPr>
      <w:r>
        <w:rPr>
          <w:rFonts w:hint="eastAsia"/>
        </w:rPr>
        <w:t>A</w:t>
      </w:r>
      <w:r>
        <w:rPr>
          <w:rFonts w:hint="eastAsia"/>
          <w:vertAlign w:val="subscript"/>
        </w:rPr>
        <w:t>atm</w:t>
      </w:r>
      <w:r>
        <w:rPr>
          <w:rFonts w:hint="eastAsia"/>
        </w:rPr>
        <w:t>——大气吸收引起的倍频带衰减，dB；</w:t>
      </w:r>
    </w:p>
    <w:p w14:paraId="4C00ACEE">
      <w:pPr>
        <w:ind w:firstLine="480"/>
      </w:pPr>
      <w:r>
        <w:rPr>
          <w:rFonts w:hint="eastAsia"/>
        </w:rPr>
        <w:t>A</w:t>
      </w:r>
      <w:r>
        <w:rPr>
          <w:rFonts w:hint="eastAsia"/>
          <w:vertAlign w:val="subscript"/>
        </w:rPr>
        <w:t>gr</w:t>
      </w:r>
      <w:r>
        <w:rPr>
          <w:rFonts w:hint="eastAsia"/>
        </w:rPr>
        <w:t>——地面效应引起的倍频带衰减，dB；</w:t>
      </w:r>
    </w:p>
    <w:p w14:paraId="50F6F702">
      <w:pPr>
        <w:ind w:firstLine="480"/>
      </w:pPr>
      <w:r>
        <w:rPr>
          <w:rFonts w:hint="eastAsia"/>
        </w:rPr>
        <w:t>A</w:t>
      </w:r>
      <w:r>
        <w:rPr>
          <w:rFonts w:hint="eastAsia"/>
          <w:vertAlign w:val="subscript"/>
        </w:rPr>
        <w:t>bar</w:t>
      </w:r>
      <w:r>
        <w:rPr>
          <w:rFonts w:hint="eastAsia"/>
        </w:rPr>
        <w:t>——声屏障引起的倍频带衰减，dB；</w:t>
      </w:r>
    </w:p>
    <w:p w14:paraId="2D6EEBAF">
      <w:pPr>
        <w:ind w:firstLine="480"/>
      </w:pPr>
      <w:r>
        <w:rPr>
          <w:rFonts w:hint="eastAsia"/>
        </w:rPr>
        <w:t>A</w:t>
      </w:r>
      <w:r>
        <w:rPr>
          <w:rFonts w:hint="eastAsia"/>
          <w:vertAlign w:val="subscript"/>
        </w:rPr>
        <w:t>misc</w:t>
      </w:r>
      <w:r>
        <w:rPr>
          <w:rFonts w:hint="eastAsia"/>
        </w:rPr>
        <w:t>——其他多方面效应引起的倍频带衰减，dB。</w:t>
      </w:r>
    </w:p>
    <w:p w14:paraId="135457E4">
      <w:pPr>
        <w:ind w:firstLine="480"/>
      </w:pPr>
      <w:r>
        <w:rPr>
          <w:rFonts w:hint="eastAsia"/>
        </w:rPr>
        <w:t>B</w:t>
      </w:r>
      <w:r>
        <w:rPr>
          <w:rFonts w:hint="eastAsia"/>
          <w:lang w:eastAsia="zh-CN"/>
        </w:rPr>
        <w:t>.</w:t>
      </w:r>
      <w:r>
        <w:rPr>
          <w:rFonts w:hint="eastAsia"/>
        </w:rPr>
        <w:t>已知靠近声源处某点的倍频带声压级Lp（r</w:t>
      </w:r>
      <w:r>
        <w:rPr>
          <w:rFonts w:hint="eastAsia"/>
          <w:vertAlign w:val="subscript"/>
        </w:rPr>
        <w:t>0</w:t>
      </w:r>
      <w:r>
        <w:rPr>
          <w:rFonts w:hint="eastAsia"/>
        </w:rPr>
        <w:t>）时，预测点位置的倍频带声压级Lp（r）计算公式为：</w:t>
      </w:r>
    </w:p>
    <w:p w14:paraId="25BC8BF7">
      <w:pPr>
        <w:ind w:firstLine="480"/>
      </w:pPr>
      <w:r>
        <w:rPr>
          <w:rFonts w:hint="eastAsia"/>
        </w:rPr>
        <w:t>Lp（r）=Lp（r</w:t>
      </w:r>
      <w:r>
        <w:rPr>
          <w:rFonts w:hint="eastAsia"/>
          <w:vertAlign w:val="subscript"/>
        </w:rPr>
        <w:t>0</w:t>
      </w:r>
      <w:r>
        <w:rPr>
          <w:rFonts w:hint="eastAsia"/>
        </w:rPr>
        <w:t>）－A或Lp（r）=Lw－A－8</w:t>
      </w:r>
    </w:p>
    <w:p w14:paraId="4D5236CE">
      <w:pPr>
        <w:ind w:firstLine="480"/>
      </w:pPr>
      <w:r>
        <w:rPr>
          <w:rFonts w:hint="eastAsia"/>
        </w:rPr>
        <w:t>预测点的A声级LA（r），可用8个倍频带的声压级按如下公式计算：</w:t>
      </w:r>
    </w:p>
    <w:p w14:paraId="660D5FE4">
      <w:pPr>
        <w:ind w:firstLine="480"/>
      </w:pPr>
      <w:r>
        <w:rPr>
          <w:rFonts w:hint="eastAsia"/>
        </w:rPr>
        <w:drawing>
          <wp:anchor distT="0" distB="0" distL="114300" distR="114300" simplePos="0" relativeHeight="251659264" behindDoc="0" locked="0" layoutInCell="1" allowOverlap="1">
            <wp:simplePos x="0" y="0"/>
            <wp:positionH relativeFrom="column">
              <wp:posOffset>1496060</wp:posOffset>
            </wp:positionH>
            <wp:positionV relativeFrom="paragraph">
              <wp:posOffset>53340</wp:posOffset>
            </wp:positionV>
            <wp:extent cx="1515745" cy="558800"/>
            <wp:effectExtent l="0" t="0" r="8255" b="0"/>
            <wp:wrapNone/>
            <wp:docPr id="796556981" name="图片 177"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6981" name="图片 177" descr="形状&#10;&#10;中度可信度描述已自动生成"/>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515745" cy="558800"/>
                    </a:xfrm>
                    <a:prstGeom prst="rect">
                      <a:avLst/>
                    </a:prstGeom>
                    <a:noFill/>
                    <a:ln>
                      <a:noFill/>
                    </a:ln>
                  </pic:spPr>
                </pic:pic>
              </a:graphicData>
            </a:graphic>
          </wp:anchor>
        </w:drawing>
      </w:r>
      <w:r>
        <w:rPr>
          <w:rFonts w:hint="eastAsia"/>
        </w:rPr>
        <w:drawing>
          <wp:inline distT="0" distB="0" distL="0" distR="0">
            <wp:extent cx="2489200" cy="626745"/>
            <wp:effectExtent l="0" t="0" r="6350" b="1905"/>
            <wp:docPr id="1448573618" name="图片 176"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73618" name="图片 176" descr="图片包含 文本&#10;&#10;描述已自动生成"/>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489200" cy="626745"/>
                    </a:xfrm>
                    <a:prstGeom prst="rect">
                      <a:avLst/>
                    </a:prstGeom>
                    <a:noFill/>
                    <a:ln>
                      <a:noFill/>
                    </a:ln>
                  </pic:spPr>
                </pic:pic>
              </a:graphicData>
            </a:graphic>
          </wp:inline>
        </w:drawing>
      </w:r>
      <w:r>
        <w:rPr>
          <w:rFonts w:hint="eastAsia"/>
        </w:rPr>
        <w:t xml:space="preserve"> </w:t>
      </w:r>
    </w:p>
    <w:p w14:paraId="2A248C9D">
      <w:pPr>
        <w:ind w:firstLine="480"/>
      </w:pPr>
      <w:r>
        <w:rPr>
          <w:rFonts w:hint="eastAsia"/>
        </w:rPr>
        <w:t>式中：L</w:t>
      </w:r>
      <w:r>
        <w:rPr>
          <w:rFonts w:hint="eastAsia"/>
          <w:vertAlign w:val="subscript"/>
        </w:rPr>
        <w:t>pi(r)</w:t>
      </w:r>
      <w:r>
        <w:rPr>
          <w:rFonts w:hint="eastAsia"/>
        </w:rPr>
        <w:t>——预测点r处，第i倍频带声压级，dB；</w:t>
      </w:r>
    </w:p>
    <w:p w14:paraId="57333442">
      <w:pPr>
        <w:ind w:firstLine="480"/>
      </w:pPr>
      <w:r>
        <w:rPr>
          <w:rFonts w:hint="eastAsia" w:ascii="宋体" w:hAnsi="宋体" w:eastAsia="宋体" w:cs="宋体"/>
        </w:rPr>
        <w:t>△</w:t>
      </w:r>
      <w:r>
        <w:rPr>
          <w:rFonts w:hint="eastAsia"/>
        </w:rPr>
        <w:t>L</w:t>
      </w:r>
      <w:r>
        <w:rPr>
          <w:rFonts w:hint="eastAsia"/>
          <w:vertAlign w:val="subscript"/>
        </w:rPr>
        <w:t>i</w:t>
      </w:r>
      <w:r>
        <w:rPr>
          <w:rFonts w:hint="eastAsia"/>
        </w:rPr>
        <w:t>——i倍频带A计权网络修正值，dB。</w:t>
      </w:r>
    </w:p>
    <w:p w14:paraId="62689DEB">
      <w:pPr>
        <w:ind w:firstLine="480"/>
      </w:pPr>
      <w:r>
        <w:rPr>
          <w:rFonts w:hint="eastAsia"/>
        </w:rPr>
        <w:t>C</w:t>
      </w:r>
      <w:r>
        <w:rPr>
          <w:rFonts w:hint="eastAsia"/>
          <w:lang w:eastAsia="zh-CN"/>
        </w:rPr>
        <w:t>.</w:t>
      </w:r>
      <w:r>
        <w:rPr>
          <w:rFonts w:hint="eastAsia"/>
        </w:rPr>
        <w:t>在只能获得A声功率级或某点的A声级时，可做如下近似计算：</w:t>
      </w:r>
    </w:p>
    <w:p w14:paraId="627F2752">
      <w:pPr>
        <w:ind w:firstLine="480"/>
      </w:pPr>
      <w:r>
        <w:rPr>
          <w:rFonts w:hint="eastAsia"/>
        </w:rPr>
        <w:t>LA（r）=LAw+Dc－A或：LA（r）= LA（r</w:t>
      </w:r>
      <w:r>
        <w:rPr>
          <w:rFonts w:hint="eastAsia"/>
          <w:vertAlign w:val="subscript"/>
        </w:rPr>
        <w:t>0</w:t>
      </w:r>
      <w:r>
        <w:rPr>
          <w:rFonts w:hint="eastAsia"/>
        </w:rPr>
        <w:t>）－A</w:t>
      </w:r>
    </w:p>
    <w:p w14:paraId="431464A8">
      <w:pPr>
        <w:ind w:firstLine="480"/>
      </w:pPr>
      <w:r>
        <w:rPr>
          <w:rFonts w:hint="eastAsia"/>
        </w:rPr>
        <w:t>A可选择对A声级影响最大的倍频带计算，一般可选中心频率为500Hz的倍频带进行估算。</w:t>
      </w:r>
    </w:p>
    <w:p w14:paraId="00666224">
      <w:pPr>
        <w:ind w:firstLine="480"/>
      </w:pPr>
      <w:r>
        <w:rPr>
          <w:rFonts w:hint="eastAsia"/>
        </w:rPr>
        <w:t>本项目营运期装卸设备噪声采用点声源衰减模式预测。点声源的几何发散衰减计算模式为：Adiv＝20lg（r/r</w:t>
      </w:r>
      <w:r>
        <w:rPr>
          <w:rFonts w:hint="eastAsia"/>
          <w:vertAlign w:val="subscript"/>
        </w:rPr>
        <w:t>0</w:t>
      </w:r>
      <w:r>
        <w:rPr>
          <w:rFonts w:hint="eastAsia"/>
        </w:rPr>
        <w:t>）；</w:t>
      </w:r>
      <w:r>
        <w:rPr>
          <w:rFonts w:hint="eastAsia"/>
          <w:lang w:eastAsia="zh-CN"/>
        </w:rPr>
        <w:t>其他</w:t>
      </w:r>
      <w:r>
        <w:rPr>
          <w:rFonts w:hint="eastAsia"/>
        </w:rPr>
        <w:t xml:space="preserve">各种因素（包括声屏障、遮挡物、空气吸收、地面效应）引起的衰减计算详见导则。 </w:t>
      </w:r>
    </w:p>
    <w:p w14:paraId="72CFC223">
      <w:pPr>
        <w:ind w:firstLine="480"/>
      </w:pPr>
      <w:r>
        <w:rPr>
          <w:rFonts w:hint="eastAsia"/>
        </w:rPr>
        <w:t>建设项目声源对预测点产生的贡献值（Leqg）为：</w:t>
      </w:r>
    </w:p>
    <w:p w14:paraId="2757A85C">
      <w:pPr>
        <w:ind w:firstLine="480"/>
      </w:pPr>
      <w:r>
        <w:rPr>
          <w:rFonts w:hint="eastAsia"/>
        </w:rPr>
        <w:drawing>
          <wp:inline distT="0" distB="0" distL="0" distR="0">
            <wp:extent cx="2971800" cy="626745"/>
            <wp:effectExtent l="0" t="0" r="0" b="1905"/>
            <wp:docPr id="1897368467" name="图片 17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68467" name="图片 175" descr="图示&#10;&#10;描述已自动生成"/>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971800" cy="626745"/>
                    </a:xfrm>
                    <a:prstGeom prst="rect">
                      <a:avLst/>
                    </a:prstGeom>
                    <a:noFill/>
                    <a:ln>
                      <a:noFill/>
                    </a:ln>
                  </pic:spPr>
                </pic:pic>
              </a:graphicData>
            </a:graphic>
          </wp:inline>
        </w:drawing>
      </w:r>
      <w:r>
        <w:rPr>
          <w:rFonts w:hint="eastAsia"/>
        </w:rPr>
        <w:t xml:space="preserve"> </w:t>
      </w:r>
    </w:p>
    <w:p w14:paraId="68E2AC02">
      <w:pPr>
        <w:ind w:firstLine="480"/>
      </w:pPr>
      <w:r>
        <w:rPr>
          <w:rFonts w:hint="eastAsia"/>
        </w:rPr>
        <w:t>式中：t</w:t>
      </w:r>
      <w:r>
        <w:rPr>
          <w:rFonts w:hint="eastAsia"/>
          <w:vertAlign w:val="subscript"/>
        </w:rPr>
        <w:t>i</w:t>
      </w:r>
      <w:r>
        <w:rPr>
          <w:rFonts w:hint="eastAsia"/>
        </w:rPr>
        <w:t>——在T时间内j声源工作时间，s；</w:t>
      </w:r>
    </w:p>
    <w:p w14:paraId="5AEDB9B8">
      <w:pPr>
        <w:ind w:firstLine="480"/>
      </w:pPr>
      <w:r>
        <w:rPr>
          <w:rFonts w:hint="eastAsia"/>
        </w:rPr>
        <w:t>t</w:t>
      </w:r>
      <w:r>
        <w:rPr>
          <w:rFonts w:hint="eastAsia"/>
          <w:vertAlign w:val="subscript"/>
        </w:rPr>
        <w:t>j</w:t>
      </w:r>
      <w:r>
        <w:rPr>
          <w:rFonts w:hint="eastAsia"/>
        </w:rPr>
        <w:t>——在T时间内i声源工作时间，s；</w:t>
      </w:r>
    </w:p>
    <w:p w14:paraId="6CFA9E62">
      <w:pPr>
        <w:ind w:firstLine="480"/>
      </w:pPr>
      <w:r>
        <w:rPr>
          <w:rFonts w:hint="eastAsia"/>
        </w:rPr>
        <w:t>T——用于计算等效声级的时间，s；</w:t>
      </w:r>
    </w:p>
    <w:p w14:paraId="659B0DEF">
      <w:pPr>
        <w:ind w:firstLine="480"/>
      </w:pPr>
      <w:r>
        <w:rPr>
          <w:rFonts w:hint="eastAsia"/>
        </w:rPr>
        <w:t>N——室外声源个数；</w:t>
      </w:r>
    </w:p>
    <w:p w14:paraId="08727F3E">
      <w:pPr>
        <w:ind w:firstLine="480"/>
      </w:pPr>
      <w:r>
        <w:rPr>
          <w:rFonts w:hint="eastAsia"/>
        </w:rPr>
        <w:t>M——等效室外声源个数。</w:t>
      </w:r>
    </w:p>
    <w:p w14:paraId="2B8812D7">
      <w:pPr>
        <w:ind w:firstLine="480"/>
      </w:pPr>
      <w:r>
        <w:rPr>
          <w:rFonts w:hint="eastAsia"/>
        </w:rPr>
        <w:t>拟建项目声源对预测点等效声级为：</w:t>
      </w:r>
    </w:p>
    <w:p w14:paraId="1E47871E">
      <w:pPr>
        <w:ind w:firstLine="480"/>
      </w:pPr>
      <w:r>
        <w:rPr>
          <w:rFonts w:hint="eastAsia"/>
        </w:rPr>
        <w:t>Leq=10lg</w:t>
      </w:r>
      <w:r>
        <w:rPr>
          <w:rFonts w:hint="eastAsia"/>
          <w:lang w:eastAsia="zh-CN"/>
        </w:rPr>
        <w:t>(</w:t>
      </w:r>
      <w:r>
        <w:rPr>
          <w:rFonts w:hint="eastAsia"/>
        </w:rPr>
        <w:t>10</w:t>
      </w:r>
      <w:r>
        <w:rPr>
          <w:rFonts w:hint="eastAsia"/>
          <w:vertAlign w:val="superscript"/>
        </w:rPr>
        <w:t>0.1Leqg</w:t>
      </w:r>
      <w:r>
        <w:rPr>
          <w:rFonts w:hint="eastAsia"/>
        </w:rPr>
        <w:t>+10</w:t>
      </w:r>
      <w:r>
        <w:rPr>
          <w:rFonts w:hint="eastAsia"/>
          <w:vertAlign w:val="superscript"/>
        </w:rPr>
        <w:t>0.1Leqb</w:t>
      </w:r>
      <w:r>
        <w:rPr>
          <w:rFonts w:hint="eastAsia"/>
          <w:vertAlign w:val="superscript"/>
          <w:lang w:eastAsia="zh-CN"/>
        </w:rPr>
        <w:t>)</w:t>
      </w:r>
    </w:p>
    <w:p w14:paraId="3917488A">
      <w:pPr>
        <w:ind w:firstLine="480"/>
      </w:pPr>
      <w:r>
        <w:rPr>
          <w:rFonts w:hint="eastAsia"/>
        </w:rPr>
        <w:t>式中：Leqg——建设项目声源在预测点的等效声级贡献值，dB(A)；</w:t>
      </w:r>
    </w:p>
    <w:p w14:paraId="4D46AA47">
      <w:pPr>
        <w:ind w:firstLine="480"/>
      </w:pPr>
      <w:r>
        <w:rPr>
          <w:rFonts w:hint="eastAsia"/>
        </w:rPr>
        <w:t>Leqb——预测点的背景值，dB(A)。</w:t>
      </w:r>
    </w:p>
    <w:p w14:paraId="2AFF3EF6">
      <w:pPr>
        <w:pStyle w:val="84"/>
      </w:pPr>
      <w:r>
        <w:rPr>
          <w:rFonts w:hint="eastAsia"/>
        </w:rPr>
        <w:t>预测条件</w:t>
      </w:r>
    </w:p>
    <w:p w14:paraId="1D1F1CB1">
      <w:pPr>
        <w:ind w:firstLine="480"/>
      </w:pPr>
      <w:r>
        <w:rPr>
          <w:rFonts w:hint="eastAsia"/>
        </w:rPr>
        <w:t>（1）声源数量：按全部露天机械同时运转的最不利条件计。</w:t>
      </w:r>
    </w:p>
    <w:p w14:paraId="4D9C640D">
      <w:pPr>
        <w:ind w:firstLine="480"/>
      </w:pPr>
      <w:r>
        <w:rPr>
          <w:rFonts w:hint="eastAsia"/>
        </w:rPr>
        <w:t>（2）噪声源强：噪声源声级取调查统计结果的平均值计算。</w:t>
      </w:r>
    </w:p>
    <w:p w14:paraId="03B737F1">
      <w:pPr>
        <w:ind w:firstLine="480"/>
      </w:pPr>
      <w:r>
        <w:rPr>
          <w:rFonts w:hint="eastAsia"/>
        </w:rPr>
        <w:t>（3）声源位置：根据作业区装卸工艺平面布置确定，假设所有声源位置不变。</w:t>
      </w:r>
    </w:p>
    <w:p w14:paraId="26E9DDA3">
      <w:pPr>
        <w:ind w:firstLine="480"/>
      </w:pPr>
      <w:r>
        <w:rPr>
          <w:rFonts w:hint="eastAsia"/>
        </w:rPr>
        <w:t>（4）声源类别：噪点声源均按点声源考虑。</w:t>
      </w:r>
    </w:p>
    <w:p w14:paraId="74E87BD2">
      <w:pPr>
        <w:ind w:firstLine="480"/>
      </w:pPr>
      <w:r>
        <w:rPr>
          <w:rFonts w:hint="eastAsia"/>
        </w:rPr>
        <w:t>（5）地形因素：本项目地形平缓，对于噪声传播没有干扰。</w:t>
      </w:r>
    </w:p>
    <w:p w14:paraId="1C2436CD">
      <w:pPr>
        <w:ind w:firstLine="482"/>
        <w:rPr>
          <w:b/>
        </w:rPr>
        <w:sectPr>
          <w:pgSz w:w="11905" w:h="16838"/>
          <w:pgMar w:top="1440" w:right="1800" w:bottom="1440" w:left="1800" w:header="851" w:footer="992" w:gutter="0"/>
          <w:cols w:space="720" w:num="1"/>
          <w:docGrid w:type="lines" w:linePitch="332" w:charSpace="0"/>
        </w:sectPr>
      </w:pPr>
    </w:p>
    <w:p w14:paraId="44F64F63">
      <w:pPr>
        <w:pStyle w:val="86"/>
      </w:pPr>
      <w:r>
        <w:rPr>
          <w:rFonts w:hint="eastAsia"/>
        </w:rPr>
        <w:t>噪声源强调查清单（室外声源）</w:t>
      </w:r>
    </w:p>
    <w:tbl>
      <w:tblPr>
        <w:tblStyle w:val="38"/>
        <w:tblW w:w="5000" w:type="pct"/>
        <w:tblInd w:w="0" w:type="dxa"/>
        <w:tblLayout w:type="autofit"/>
        <w:tblCellMar>
          <w:top w:w="0" w:type="dxa"/>
          <w:left w:w="108" w:type="dxa"/>
          <w:bottom w:w="0" w:type="dxa"/>
          <w:right w:w="108" w:type="dxa"/>
        </w:tblCellMar>
      </w:tblPr>
      <w:tblGrid>
        <w:gridCol w:w="1119"/>
        <w:gridCol w:w="2075"/>
        <w:gridCol w:w="1120"/>
        <w:gridCol w:w="2472"/>
        <w:gridCol w:w="1120"/>
        <w:gridCol w:w="1120"/>
        <w:gridCol w:w="1120"/>
        <w:gridCol w:w="1120"/>
        <w:gridCol w:w="1794"/>
        <w:gridCol w:w="1114"/>
      </w:tblGrid>
      <w:tr w14:paraId="71756314">
        <w:tblPrEx>
          <w:tblCellMar>
            <w:top w:w="0" w:type="dxa"/>
            <w:left w:w="108" w:type="dxa"/>
            <w:bottom w:w="0" w:type="dxa"/>
            <w:right w:w="108" w:type="dxa"/>
          </w:tblCellMar>
        </w:tblPrEx>
        <w:trPr>
          <w:trHeight w:val="576" w:hRule="atLeast"/>
        </w:trPr>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506521">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序号</w:t>
            </w:r>
          </w:p>
        </w:tc>
        <w:tc>
          <w:tcPr>
            <w:tcW w:w="73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44667F">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设备名称</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1D093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数量（台</w:t>
            </w:r>
            <w:r>
              <w:rPr>
                <w:rFonts w:eastAsia="宋体" w:cs="Times New Roman"/>
                <w:b/>
                <w:bCs/>
                <w:kern w:val="0"/>
                <w:sz w:val="21"/>
              </w:rPr>
              <w:t>/</w:t>
            </w:r>
            <w:r>
              <w:rPr>
                <w:rFonts w:hint="eastAsia" w:ascii="宋体" w:hAnsi="宋体" w:eastAsia="宋体" w:cs="宋体"/>
                <w:b/>
                <w:bCs/>
                <w:kern w:val="0"/>
                <w:sz w:val="21"/>
              </w:rPr>
              <w:t>套）</w:t>
            </w:r>
          </w:p>
        </w:tc>
        <w:tc>
          <w:tcPr>
            <w:tcW w:w="87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AF7CFE9">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型号</w:t>
            </w:r>
          </w:p>
        </w:tc>
        <w:tc>
          <w:tcPr>
            <w:tcW w:w="1184" w:type="pct"/>
            <w:gridSpan w:val="3"/>
            <w:tcBorders>
              <w:top w:val="single" w:color="auto" w:sz="4" w:space="0"/>
              <w:left w:val="nil"/>
              <w:bottom w:val="single" w:color="auto" w:sz="4" w:space="0"/>
              <w:right w:val="single" w:color="auto" w:sz="4" w:space="0"/>
            </w:tcBorders>
            <w:shd w:val="clear" w:color="auto" w:fill="auto"/>
            <w:vAlign w:val="center"/>
          </w:tcPr>
          <w:p w14:paraId="4FEFEF64">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空间相对位置（</w:t>
            </w:r>
            <w:r>
              <w:rPr>
                <w:rFonts w:eastAsia="宋体" w:cs="Times New Roman"/>
                <w:b/>
                <w:bCs/>
                <w:kern w:val="0"/>
                <w:sz w:val="21"/>
              </w:rPr>
              <w:t>m</w:t>
            </w:r>
            <w:r>
              <w:rPr>
                <w:rFonts w:hint="eastAsia" w:ascii="宋体" w:hAnsi="宋体" w:eastAsia="宋体" w:cs="宋体"/>
                <w:b/>
                <w:bCs/>
                <w:kern w:val="0"/>
                <w:sz w:val="21"/>
              </w:rPr>
              <w:t>）</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BFAFB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声功率级</w:t>
            </w:r>
            <w:r>
              <w:rPr>
                <w:rFonts w:eastAsia="宋体" w:cs="Times New Roman"/>
                <w:b/>
                <w:bCs/>
                <w:kern w:val="0"/>
                <w:sz w:val="21"/>
              </w:rPr>
              <w:t>dB</w:t>
            </w:r>
            <w:r>
              <w:rPr>
                <w:rFonts w:hint="eastAsia" w:ascii="宋体" w:hAnsi="宋体" w:eastAsia="宋体" w:cs="宋体"/>
                <w:b/>
                <w:bCs/>
                <w:kern w:val="0"/>
                <w:sz w:val="21"/>
              </w:rPr>
              <w:t>（</w:t>
            </w:r>
            <w:r>
              <w:rPr>
                <w:rFonts w:eastAsia="宋体" w:cs="Times New Roman"/>
                <w:b/>
                <w:bCs/>
                <w:kern w:val="0"/>
                <w:sz w:val="21"/>
              </w:rPr>
              <w:t>A</w:t>
            </w:r>
            <w:r>
              <w:rPr>
                <w:rFonts w:hint="eastAsia" w:ascii="宋体" w:hAnsi="宋体" w:eastAsia="宋体" w:cs="宋体"/>
                <w:b/>
                <w:bCs/>
                <w:kern w:val="0"/>
                <w:sz w:val="21"/>
              </w:rPr>
              <w:t>）</w:t>
            </w:r>
          </w:p>
        </w:tc>
        <w:tc>
          <w:tcPr>
            <w:tcW w:w="6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C3BD0A">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治理措施</w:t>
            </w:r>
          </w:p>
        </w:tc>
        <w:tc>
          <w:tcPr>
            <w:tcW w:w="39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381B20">
            <w:pPr>
              <w:spacing w:line="240" w:lineRule="auto"/>
              <w:ind w:firstLine="0" w:firstLineChars="0"/>
              <w:jc w:val="center"/>
              <w:rPr>
                <w:rFonts w:hint="eastAsia" w:ascii="宋体" w:hAnsi="宋体" w:eastAsia="宋体" w:cs="宋体"/>
                <w:b/>
                <w:bCs/>
                <w:kern w:val="0"/>
                <w:sz w:val="21"/>
              </w:rPr>
            </w:pPr>
            <w:r>
              <w:rPr>
                <w:rFonts w:hint="eastAsia" w:ascii="宋体" w:hAnsi="宋体" w:eastAsia="宋体" w:cs="宋体"/>
                <w:b/>
                <w:bCs/>
                <w:kern w:val="0"/>
                <w:sz w:val="21"/>
              </w:rPr>
              <w:t>运行时段</w:t>
            </w:r>
          </w:p>
        </w:tc>
      </w:tr>
      <w:tr w14:paraId="501CCC43">
        <w:tblPrEx>
          <w:tblCellMar>
            <w:top w:w="0" w:type="dxa"/>
            <w:left w:w="108" w:type="dxa"/>
            <w:bottom w:w="0" w:type="dxa"/>
            <w:right w:w="108" w:type="dxa"/>
          </w:tblCellMar>
        </w:tblPrEx>
        <w:trPr>
          <w:trHeight w:val="276" w:hRule="atLeast"/>
        </w:trPr>
        <w:tc>
          <w:tcPr>
            <w:tcW w:w="395" w:type="pct"/>
            <w:vMerge w:val="continue"/>
            <w:tcBorders>
              <w:top w:val="single" w:color="auto" w:sz="4" w:space="0"/>
              <w:left w:val="single" w:color="auto" w:sz="4" w:space="0"/>
              <w:bottom w:val="single" w:color="auto" w:sz="4" w:space="0"/>
              <w:right w:val="single" w:color="auto" w:sz="4" w:space="0"/>
            </w:tcBorders>
            <w:vAlign w:val="center"/>
          </w:tcPr>
          <w:p w14:paraId="3F66E8E8">
            <w:pPr>
              <w:spacing w:line="240" w:lineRule="auto"/>
              <w:ind w:firstLine="0" w:firstLineChars="0"/>
              <w:rPr>
                <w:rFonts w:hint="eastAsia" w:ascii="宋体" w:hAnsi="宋体" w:eastAsia="宋体" w:cs="宋体"/>
                <w:b/>
                <w:bCs/>
                <w:kern w:val="0"/>
                <w:sz w:val="21"/>
              </w:rPr>
            </w:pPr>
          </w:p>
        </w:tc>
        <w:tc>
          <w:tcPr>
            <w:tcW w:w="732" w:type="pct"/>
            <w:vMerge w:val="continue"/>
            <w:tcBorders>
              <w:top w:val="single" w:color="auto" w:sz="4" w:space="0"/>
              <w:left w:val="single" w:color="auto" w:sz="4" w:space="0"/>
              <w:bottom w:val="single" w:color="auto" w:sz="4" w:space="0"/>
              <w:right w:val="single" w:color="auto" w:sz="4" w:space="0"/>
            </w:tcBorders>
            <w:vAlign w:val="center"/>
          </w:tcPr>
          <w:p w14:paraId="6A01E2D2">
            <w:pPr>
              <w:spacing w:line="240" w:lineRule="auto"/>
              <w:ind w:firstLine="0" w:firstLineChars="0"/>
              <w:rPr>
                <w:rFonts w:hint="eastAsia" w:ascii="宋体" w:hAnsi="宋体" w:eastAsia="宋体" w:cs="宋体"/>
                <w:b/>
                <w:bCs/>
                <w:kern w:val="0"/>
                <w:sz w:val="21"/>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65678A9F">
            <w:pPr>
              <w:spacing w:line="240" w:lineRule="auto"/>
              <w:ind w:firstLine="0" w:firstLineChars="0"/>
              <w:rPr>
                <w:rFonts w:hint="eastAsia" w:ascii="宋体" w:hAnsi="宋体" w:eastAsia="宋体" w:cs="宋体"/>
                <w:b/>
                <w:bCs/>
                <w:kern w:val="0"/>
                <w:sz w:val="21"/>
              </w:rPr>
            </w:pPr>
          </w:p>
        </w:tc>
        <w:tc>
          <w:tcPr>
            <w:tcW w:w="872" w:type="pct"/>
            <w:vMerge w:val="continue"/>
            <w:tcBorders>
              <w:top w:val="single" w:color="auto" w:sz="4" w:space="0"/>
              <w:left w:val="single" w:color="auto" w:sz="4" w:space="0"/>
              <w:bottom w:val="single" w:color="auto" w:sz="4" w:space="0"/>
              <w:right w:val="single" w:color="auto" w:sz="4" w:space="0"/>
            </w:tcBorders>
            <w:vAlign w:val="center"/>
          </w:tcPr>
          <w:p w14:paraId="503DEB06">
            <w:pPr>
              <w:spacing w:line="240" w:lineRule="auto"/>
              <w:ind w:firstLine="0" w:firstLineChars="0"/>
              <w:rPr>
                <w:rFonts w:hint="eastAsia" w:ascii="宋体" w:hAnsi="宋体" w:eastAsia="宋体" w:cs="宋体"/>
                <w:b/>
                <w:bCs/>
                <w:kern w:val="0"/>
                <w:sz w:val="21"/>
              </w:rPr>
            </w:pPr>
          </w:p>
        </w:tc>
        <w:tc>
          <w:tcPr>
            <w:tcW w:w="395" w:type="pct"/>
            <w:tcBorders>
              <w:top w:val="nil"/>
              <w:left w:val="nil"/>
              <w:bottom w:val="single" w:color="auto" w:sz="4" w:space="0"/>
              <w:right w:val="single" w:color="auto" w:sz="4" w:space="0"/>
            </w:tcBorders>
            <w:shd w:val="clear" w:color="auto" w:fill="auto"/>
            <w:vAlign w:val="center"/>
          </w:tcPr>
          <w:p w14:paraId="726E2948">
            <w:pPr>
              <w:spacing w:line="240" w:lineRule="auto"/>
              <w:ind w:firstLine="0" w:firstLineChars="0"/>
              <w:jc w:val="center"/>
              <w:rPr>
                <w:rFonts w:eastAsia="等线" w:cs="Times New Roman"/>
                <w:b/>
                <w:bCs/>
                <w:kern w:val="0"/>
                <w:sz w:val="21"/>
              </w:rPr>
            </w:pPr>
            <w:r>
              <w:rPr>
                <w:rFonts w:eastAsia="等线" w:cs="Times New Roman"/>
                <w:b/>
                <w:bCs/>
                <w:kern w:val="0"/>
                <w:sz w:val="21"/>
              </w:rPr>
              <w:t>X</w:t>
            </w:r>
          </w:p>
        </w:tc>
        <w:tc>
          <w:tcPr>
            <w:tcW w:w="395" w:type="pct"/>
            <w:tcBorders>
              <w:top w:val="nil"/>
              <w:left w:val="nil"/>
              <w:bottom w:val="single" w:color="auto" w:sz="4" w:space="0"/>
              <w:right w:val="single" w:color="auto" w:sz="4" w:space="0"/>
            </w:tcBorders>
            <w:shd w:val="clear" w:color="auto" w:fill="auto"/>
            <w:vAlign w:val="center"/>
          </w:tcPr>
          <w:p w14:paraId="0732A2C6">
            <w:pPr>
              <w:spacing w:line="240" w:lineRule="auto"/>
              <w:ind w:firstLine="0" w:firstLineChars="0"/>
              <w:jc w:val="center"/>
              <w:rPr>
                <w:rFonts w:eastAsia="等线" w:cs="Times New Roman"/>
                <w:b/>
                <w:bCs/>
                <w:kern w:val="0"/>
                <w:sz w:val="21"/>
              </w:rPr>
            </w:pPr>
            <w:r>
              <w:rPr>
                <w:rFonts w:eastAsia="等线" w:cs="Times New Roman"/>
                <w:b/>
                <w:bCs/>
                <w:kern w:val="0"/>
                <w:sz w:val="21"/>
              </w:rPr>
              <w:t>Y</w:t>
            </w:r>
          </w:p>
        </w:tc>
        <w:tc>
          <w:tcPr>
            <w:tcW w:w="395" w:type="pct"/>
            <w:tcBorders>
              <w:top w:val="nil"/>
              <w:left w:val="nil"/>
              <w:bottom w:val="single" w:color="auto" w:sz="4" w:space="0"/>
              <w:right w:val="single" w:color="auto" w:sz="4" w:space="0"/>
            </w:tcBorders>
            <w:shd w:val="clear" w:color="auto" w:fill="auto"/>
            <w:vAlign w:val="center"/>
          </w:tcPr>
          <w:p w14:paraId="3C9B43E5">
            <w:pPr>
              <w:spacing w:line="240" w:lineRule="auto"/>
              <w:ind w:firstLine="0" w:firstLineChars="0"/>
              <w:jc w:val="center"/>
              <w:rPr>
                <w:rFonts w:eastAsia="等线" w:cs="Times New Roman"/>
                <w:b/>
                <w:bCs/>
                <w:kern w:val="0"/>
                <w:sz w:val="21"/>
              </w:rPr>
            </w:pPr>
            <w:r>
              <w:rPr>
                <w:rFonts w:eastAsia="等线" w:cs="Times New Roman"/>
                <w:b/>
                <w:bCs/>
                <w:kern w:val="0"/>
                <w:sz w:val="21"/>
              </w:rPr>
              <w:t>Z</w:t>
            </w: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2B888A59">
            <w:pPr>
              <w:spacing w:line="240" w:lineRule="auto"/>
              <w:ind w:firstLine="0" w:firstLineChars="0"/>
              <w:rPr>
                <w:rFonts w:hint="eastAsia" w:ascii="宋体" w:hAnsi="宋体" w:eastAsia="宋体" w:cs="宋体"/>
                <w:b/>
                <w:bCs/>
                <w:kern w:val="0"/>
                <w:sz w:val="21"/>
              </w:rPr>
            </w:pPr>
          </w:p>
        </w:tc>
        <w:tc>
          <w:tcPr>
            <w:tcW w:w="633" w:type="pct"/>
            <w:vMerge w:val="continue"/>
            <w:tcBorders>
              <w:top w:val="single" w:color="auto" w:sz="4" w:space="0"/>
              <w:left w:val="single" w:color="auto" w:sz="4" w:space="0"/>
              <w:bottom w:val="single" w:color="auto" w:sz="4" w:space="0"/>
              <w:right w:val="single" w:color="auto" w:sz="4" w:space="0"/>
            </w:tcBorders>
            <w:vAlign w:val="center"/>
          </w:tcPr>
          <w:p w14:paraId="30305039">
            <w:pPr>
              <w:spacing w:line="240" w:lineRule="auto"/>
              <w:ind w:firstLine="0" w:firstLineChars="0"/>
              <w:rPr>
                <w:rFonts w:hint="eastAsia" w:ascii="宋体" w:hAnsi="宋体" w:eastAsia="宋体" w:cs="宋体"/>
                <w:b/>
                <w:bCs/>
                <w:kern w:val="0"/>
                <w:sz w:val="21"/>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48827705">
            <w:pPr>
              <w:spacing w:line="240" w:lineRule="auto"/>
              <w:ind w:firstLine="0" w:firstLineChars="0"/>
              <w:rPr>
                <w:rFonts w:hint="eastAsia" w:ascii="宋体" w:hAnsi="宋体" w:eastAsia="宋体" w:cs="宋体"/>
                <w:b/>
                <w:bCs/>
                <w:kern w:val="0"/>
                <w:sz w:val="21"/>
              </w:rPr>
            </w:pPr>
          </w:p>
        </w:tc>
      </w:tr>
      <w:tr w14:paraId="31AD2A1A">
        <w:tblPrEx>
          <w:tblCellMar>
            <w:top w:w="0" w:type="dxa"/>
            <w:left w:w="108" w:type="dxa"/>
            <w:bottom w:w="0" w:type="dxa"/>
            <w:right w:w="108" w:type="dxa"/>
          </w:tblCellMar>
        </w:tblPrEx>
        <w:trPr>
          <w:trHeight w:val="576"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7BD5112F">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732" w:type="pct"/>
            <w:tcBorders>
              <w:top w:val="nil"/>
              <w:left w:val="nil"/>
              <w:bottom w:val="single" w:color="auto" w:sz="4" w:space="0"/>
              <w:right w:val="single" w:color="auto" w:sz="4" w:space="0"/>
            </w:tcBorders>
            <w:shd w:val="clear" w:color="auto" w:fill="auto"/>
            <w:vAlign w:val="center"/>
          </w:tcPr>
          <w:p w14:paraId="38013907">
            <w:pPr>
              <w:pStyle w:val="196"/>
            </w:pPr>
            <w:r>
              <w:rPr>
                <w:rFonts w:hint="eastAsia"/>
              </w:rPr>
              <w:t>1#桥式抓斗卸船机</w:t>
            </w:r>
          </w:p>
        </w:tc>
        <w:tc>
          <w:tcPr>
            <w:tcW w:w="395" w:type="pct"/>
            <w:tcBorders>
              <w:top w:val="nil"/>
              <w:left w:val="nil"/>
              <w:bottom w:val="single" w:color="auto" w:sz="4" w:space="0"/>
              <w:right w:val="single" w:color="auto" w:sz="4" w:space="0"/>
            </w:tcBorders>
            <w:shd w:val="clear" w:color="auto" w:fill="auto"/>
            <w:vAlign w:val="center"/>
          </w:tcPr>
          <w:p w14:paraId="21F58C40">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72" w:type="pct"/>
            <w:tcBorders>
              <w:top w:val="nil"/>
              <w:left w:val="nil"/>
              <w:bottom w:val="single" w:color="auto" w:sz="4" w:space="0"/>
              <w:right w:val="single" w:color="auto" w:sz="4" w:space="0"/>
            </w:tcBorders>
            <w:shd w:val="clear" w:color="auto" w:fill="auto"/>
            <w:vAlign w:val="center"/>
          </w:tcPr>
          <w:p w14:paraId="64122A65">
            <w:pPr>
              <w:spacing w:line="240" w:lineRule="auto"/>
              <w:ind w:firstLine="0" w:firstLineChars="0"/>
              <w:jc w:val="center"/>
              <w:rPr>
                <w:rFonts w:eastAsia="等线" w:cs="Times New Roman"/>
                <w:kern w:val="0"/>
                <w:sz w:val="21"/>
              </w:rPr>
            </w:pPr>
            <w:r>
              <w:rPr>
                <w:rFonts w:eastAsia="等线" w:cs="Times New Roman"/>
                <w:kern w:val="0"/>
                <w:sz w:val="21"/>
              </w:rPr>
              <w:t>400t/h</w:t>
            </w:r>
            <w:r>
              <w:rPr>
                <w:rFonts w:hint="eastAsia" w:eastAsia="等线" w:cs="Times New Roman"/>
                <w:kern w:val="0"/>
                <w:sz w:val="21"/>
                <w:lang w:eastAsia="zh-CN"/>
              </w:rPr>
              <w:t>,</w:t>
            </w:r>
            <w:r>
              <w:rPr>
                <w:rFonts w:eastAsia="等线" w:cs="Times New Roman"/>
                <w:kern w:val="0"/>
                <w:sz w:val="21"/>
              </w:rPr>
              <w:t>400kW</w:t>
            </w:r>
          </w:p>
        </w:tc>
        <w:tc>
          <w:tcPr>
            <w:tcW w:w="395" w:type="pct"/>
            <w:tcBorders>
              <w:top w:val="nil"/>
              <w:left w:val="nil"/>
              <w:bottom w:val="single" w:color="auto" w:sz="4" w:space="0"/>
              <w:right w:val="single" w:color="auto" w:sz="4" w:space="0"/>
            </w:tcBorders>
            <w:shd w:val="clear" w:color="auto" w:fill="auto"/>
            <w:vAlign w:val="center"/>
          </w:tcPr>
          <w:p w14:paraId="27F158E8">
            <w:pPr>
              <w:spacing w:line="240" w:lineRule="auto"/>
              <w:ind w:firstLine="0" w:firstLineChars="0"/>
              <w:jc w:val="center"/>
              <w:rPr>
                <w:rFonts w:eastAsia="等线" w:cs="Times New Roman"/>
                <w:kern w:val="0"/>
                <w:sz w:val="21"/>
              </w:rPr>
            </w:pPr>
            <w:r>
              <w:rPr>
                <w:rFonts w:eastAsia="等线" w:cs="Times New Roman"/>
                <w:kern w:val="0"/>
                <w:sz w:val="21"/>
              </w:rPr>
              <w:t>-20</w:t>
            </w:r>
          </w:p>
        </w:tc>
        <w:tc>
          <w:tcPr>
            <w:tcW w:w="395" w:type="pct"/>
            <w:tcBorders>
              <w:top w:val="nil"/>
              <w:left w:val="nil"/>
              <w:bottom w:val="single" w:color="auto" w:sz="4" w:space="0"/>
              <w:right w:val="single" w:color="auto" w:sz="4" w:space="0"/>
            </w:tcBorders>
            <w:shd w:val="clear" w:color="auto" w:fill="auto"/>
            <w:vAlign w:val="center"/>
          </w:tcPr>
          <w:p w14:paraId="70EC8B8D">
            <w:pPr>
              <w:spacing w:line="240" w:lineRule="auto"/>
              <w:ind w:firstLine="0" w:firstLineChars="0"/>
              <w:jc w:val="center"/>
              <w:rPr>
                <w:rFonts w:eastAsia="等线" w:cs="Times New Roman"/>
                <w:kern w:val="0"/>
                <w:sz w:val="21"/>
              </w:rPr>
            </w:pPr>
            <w:r>
              <w:rPr>
                <w:rFonts w:eastAsia="等线" w:cs="Times New Roman"/>
                <w:kern w:val="0"/>
                <w:sz w:val="21"/>
              </w:rPr>
              <w:t>110</w:t>
            </w:r>
          </w:p>
        </w:tc>
        <w:tc>
          <w:tcPr>
            <w:tcW w:w="395" w:type="pct"/>
            <w:tcBorders>
              <w:top w:val="nil"/>
              <w:left w:val="nil"/>
              <w:bottom w:val="single" w:color="auto" w:sz="4" w:space="0"/>
              <w:right w:val="single" w:color="auto" w:sz="4" w:space="0"/>
            </w:tcBorders>
            <w:shd w:val="clear" w:color="auto" w:fill="auto"/>
            <w:vAlign w:val="center"/>
          </w:tcPr>
          <w:p w14:paraId="3DB2A72B">
            <w:pPr>
              <w:spacing w:line="240" w:lineRule="auto"/>
              <w:ind w:firstLine="0" w:firstLineChars="0"/>
              <w:jc w:val="center"/>
              <w:rPr>
                <w:rFonts w:eastAsia="等线" w:cs="Times New Roman"/>
                <w:kern w:val="0"/>
                <w:sz w:val="21"/>
              </w:rPr>
            </w:pPr>
            <w:r>
              <w:rPr>
                <w:rFonts w:eastAsia="等线" w:cs="Times New Roman"/>
                <w:kern w:val="0"/>
                <w:sz w:val="21"/>
              </w:rPr>
              <w:t>18</w:t>
            </w:r>
          </w:p>
        </w:tc>
        <w:tc>
          <w:tcPr>
            <w:tcW w:w="395" w:type="pct"/>
            <w:tcBorders>
              <w:top w:val="nil"/>
              <w:left w:val="nil"/>
              <w:bottom w:val="single" w:color="auto" w:sz="4" w:space="0"/>
              <w:right w:val="single" w:color="auto" w:sz="4" w:space="0"/>
            </w:tcBorders>
            <w:shd w:val="clear" w:color="auto" w:fill="auto"/>
            <w:vAlign w:val="center"/>
          </w:tcPr>
          <w:p w14:paraId="09C3FBB5">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633" w:type="pct"/>
            <w:tcBorders>
              <w:top w:val="nil"/>
              <w:left w:val="nil"/>
              <w:bottom w:val="single" w:color="auto" w:sz="4" w:space="0"/>
              <w:right w:val="single" w:color="auto" w:sz="4" w:space="0"/>
            </w:tcBorders>
            <w:shd w:val="clear" w:color="auto" w:fill="auto"/>
            <w:vAlign w:val="center"/>
          </w:tcPr>
          <w:p w14:paraId="3E9C157D">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减振</w:t>
            </w:r>
          </w:p>
        </w:tc>
        <w:tc>
          <w:tcPr>
            <w:tcW w:w="395" w:type="pct"/>
            <w:vMerge w:val="restart"/>
            <w:tcBorders>
              <w:top w:val="nil"/>
              <w:left w:val="single" w:color="auto" w:sz="4" w:space="0"/>
              <w:bottom w:val="single" w:color="auto" w:sz="4" w:space="0"/>
              <w:right w:val="single" w:color="auto" w:sz="4" w:space="0"/>
            </w:tcBorders>
            <w:shd w:val="clear" w:color="auto" w:fill="auto"/>
            <w:vAlign w:val="center"/>
          </w:tcPr>
          <w:p w14:paraId="04F121DF">
            <w:pPr>
              <w:spacing w:line="240" w:lineRule="auto"/>
              <w:ind w:firstLine="0" w:firstLineChars="0"/>
              <w:jc w:val="center"/>
              <w:rPr>
                <w:rFonts w:eastAsia="等线" w:cs="Times New Roman"/>
                <w:kern w:val="0"/>
                <w:sz w:val="21"/>
              </w:rPr>
            </w:pPr>
            <w:r>
              <w:rPr>
                <w:rFonts w:eastAsia="等线" w:cs="Times New Roman"/>
                <w:kern w:val="0"/>
                <w:sz w:val="21"/>
              </w:rPr>
              <w:t>24h</w:t>
            </w:r>
            <w:r>
              <w:rPr>
                <w:rFonts w:hint="eastAsia" w:ascii="宋体" w:hAnsi="宋体" w:eastAsia="宋体" w:cs="Times New Roman"/>
                <w:kern w:val="0"/>
                <w:sz w:val="21"/>
              </w:rPr>
              <w:t>，间断</w:t>
            </w:r>
          </w:p>
        </w:tc>
      </w:tr>
      <w:tr w14:paraId="5C84D427">
        <w:tblPrEx>
          <w:tblCellMar>
            <w:top w:w="0" w:type="dxa"/>
            <w:left w:w="108" w:type="dxa"/>
            <w:bottom w:w="0" w:type="dxa"/>
            <w:right w:w="108" w:type="dxa"/>
          </w:tblCellMar>
        </w:tblPrEx>
        <w:trPr>
          <w:trHeight w:val="576"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5B34E2DD">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732" w:type="pct"/>
            <w:tcBorders>
              <w:top w:val="nil"/>
              <w:left w:val="nil"/>
              <w:bottom w:val="single" w:color="auto" w:sz="4" w:space="0"/>
              <w:right w:val="single" w:color="auto" w:sz="4" w:space="0"/>
            </w:tcBorders>
            <w:shd w:val="clear" w:color="auto" w:fill="auto"/>
            <w:vAlign w:val="center"/>
          </w:tcPr>
          <w:p w14:paraId="16F013B3">
            <w:pPr>
              <w:pStyle w:val="196"/>
            </w:pPr>
            <w:r>
              <w:rPr>
                <w:rFonts w:hint="eastAsia"/>
              </w:rPr>
              <w:t>2#桥式抓斗卸船机</w:t>
            </w:r>
          </w:p>
        </w:tc>
        <w:tc>
          <w:tcPr>
            <w:tcW w:w="395" w:type="pct"/>
            <w:tcBorders>
              <w:top w:val="nil"/>
              <w:left w:val="nil"/>
              <w:bottom w:val="single" w:color="auto" w:sz="4" w:space="0"/>
              <w:right w:val="single" w:color="auto" w:sz="4" w:space="0"/>
            </w:tcBorders>
            <w:shd w:val="clear" w:color="auto" w:fill="auto"/>
            <w:vAlign w:val="center"/>
          </w:tcPr>
          <w:p w14:paraId="13308496">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72" w:type="pct"/>
            <w:tcBorders>
              <w:top w:val="nil"/>
              <w:left w:val="nil"/>
              <w:bottom w:val="single" w:color="auto" w:sz="4" w:space="0"/>
              <w:right w:val="single" w:color="auto" w:sz="4" w:space="0"/>
            </w:tcBorders>
            <w:shd w:val="clear" w:color="auto" w:fill="auto"/>
            <w:vAlign w:val="center"/>
          </w:tcPr>
          <w:p w14:paraId="475B17B4">
            <w:pPr>
              <w:spacing w:line="240" w:lineRule="auto"/>
              <w:ind w:firstLine="0" w:firstLineChars="0"/>
              <w:jc w:val="center"/>
              <w:rPr>
                <w:rFonts w:eastAsia="等线" w:cs="Times New Roman"/>
                <w:kern w:val="0"/>
                <w:sz w:val="21"/>
              </w:rPr>
            </w:pPr>
            <w:r>
              <w:rPr>
                <w:rFonts w:eastAsia="等线" w:cs="Times New Roman"/>
                <w:kern w:val="0"/>
                <w:sz w:val="21"/>
              </w:rPr>
              <w:t>400t/h</w:t>
            </w:r>
            <w:r>
              <w:rPr>
                <w:rFonts w:hint="eastAsia" w:eastAsia="等线" w:cs="Times New Roman"/>
                <w:kern w:val="0"/>
                <w:sz w:val="21"/>
                <w:lang w:eastAsia="zh-CN"/>
              </w:rPr>
              <w:t>,</w:t>
            </w:r>
            <w:r>
              <w:rPr>
                <w:rFonts w:eastAsia="等线" w:cs="Times New Roman"/>
                <w:kern w:val="0"/>
                <w:sz w:val="21"/>
              </w:rPr>
              <w:t>400kW</w:t>
            </w:r>
          </w:p>
        </w:tc>
        <w:tc>
          <w:tcPr>
            <w:tcW w:w="395" w:type="pct"/>
            <w:tcBorders>
              <w:top w:val="nil"/>
              <w:left w:val="nil"/>
              <w:bottom w:val="single" w:color="auto" w:sz="4" w:space="0"/>
              <w:right w:val="single" w:color="auto" w:sz="4" w:space="0"/>
            </w:tcBorders>
            <w:shd w:val="clear" w:color="auto" w:fill="auto"/>
            <w:vAlign w:val="center"/>
          </w:tcPr>
          <w:p w14:paraId="0CA92A7D">
            <w:pPr>
              <w:spacing w:line="240" w:lineRule="auto"/>
              <w:ind w:firstLine="0" w:firstLineChars="0"/>
              <w:jc w:val="center"/>
              <w:rPr>
                <w:rFonts w:eastAsia="等线" w:cs="Times New Roman"/>
                <w:kern w:val="0"/>
                <w:sz w:val="21"/>
              </w:rPr>
            </w:pPr>
            <w:r>
              <w:rPr>
                <w:rFonts w:eastAsia="等线" w:cs="Times New Roman"/>
                <w:kern w:val="0"/>
                <w:sz w:val="21"/>
              </w:rPr>
              <w:t>20</w:t>
            </w:r>
          </w:p>
        </w:tc>
        <w:tc>
          <w:tcPr>
            <w:tcW w:w="395" w:type="pct"/>
            <w:tcBorders>
              <w:top w:val="nil"/>
              <w:left w:val="nil"/>
              <w:bottom w:val="single" w:color="auto" w:sz="4" w:space="0"/>
              <w:right w:val="single" w:color="auto" w:sz="4" w:space="0"/>
            </w:tcBorders>
            <w:shd w:val="clear" w:color="auto" w:fill="auto"/>
            <w:vAlign w:val="center"/>
          </w:tcPr>
          <w:p w14:paraId="50CFA592">
            <w:pPr>
              <w:spacing w:line="240" w:lineRule="auto"/>
              <w:ind w:firstLine="0" w:firstLineChars="0"/>
              <w:jc w:val="center"/>
              <w:rPr>
                <w:rFonts w:eastAsia="等线" w:cs="Times New Roman"/>
                <w:kern w:val="0"/>
                <w:sz w:val="21"/>
              </w:rPr>
            </w:pPr>
            <w:r>
              <w:rPr>
                <w:rFonts w:eastAsia="等线" w:cs="Times New Roman"/>
                <w:kern w:val="0"/>
                <w:sz w:val="21"/>
              </w:rPr>
              <w:t>172</w:t>
            </w:r>
          </w:p>
        </w:tc>
        <w:tc>
          <w:tcPr>
            <w:tcW w:w="395" w:type="pct"/>
            <w:tcBorders>
              <w:top w:val="nil"/>
              <w:left w:val="nil"/>
              <w:bottom w:val="single" w:color="auto" w:sz="4" w:space="0"/>
              <w:right w:val="single" w:color="auto" w:sz="4" w:space="0"/>
            </w:tcBorders>
            <w:shd w:val="clear" w:color="auto" w:fill="auto"/>
            <w:vAlign w:val="center"/>
          </w:tcPr>
          <w:p w14:paraId="490FB9AA">
            <w:pPr>
              <w:spacing w:line="240" w:lineRule="auto"/>
              <w:ind w:firstLine="0" w:firstLineChars="0"/>
              <w:jc w:val="center"/>
              <w:rPr>
                <w:rFonts w:eastAsia="等线" w:cs="Times New Roman"/>
                <w:kern w:val="0"/>
                <w:sz w:val="21"/>
              </w:rPr>
            </w:pPr>
            <w:r>
              <w:rPr>
                <w:rFonts w:eastAsia="等线" w:cs="Times New Roman"/>
                <w:kern w:val="0"/>
                <w:sz w:val="21"/>
              </w:rPr>
              <w:t>18</w:t>
            </w:r>
          </w:p>
        </w:tc>
        <w:tc>
          <w:tcPr>
            <w:tcW w:w="395" w:type="pct"/>
            <w:tcBorders>
              <w:top w:val="nil"/>
              <w:left w:val="nil"/>
              <w:bottom w:val="single" w:color="auto" w:sz="4" w:space="0"/>
              <w:right w:val="single" w:color="auto" w:sz="4" w:space="0"/>
            </w:tcBorders>
            <w:shd w:val="clear" w:color="auto" w:fill="auto"/>
            <w:vAlign w:val="center"/>
          </w:tcPr>
          <w:p w14:paraId="7B52909C">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633" w:type="pct"/>
            <w:tcBorders>
              <w:top w:val="nil"/>
              <w:left w:val="nil"/>
              <w:bottom w:val="single" w:color="auto" w:sz="4" w:space="0"/>
              <w:right w:val="single" w:color="auto" w:sz="4" w:space="0"/>
            </w:tcBorders>
            <w:shd w:val="clear" w:color="auto" w:fill="auto"/>
            <w:vAlign w:val="center"/>
          </w:tcPr>
          <w:p w14:paraId="2982B96B">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减振</w:t>
            </w:r>
          </w:p>
        </w:tc>
        <w:tc>
          <w:tcPr>
            <w:tcW w:w="395" w:type="pct"/>
            <w:vMerge w:val="continue"/>
            <w:tcBorders>
              <w:top w:val="nil"/>
              <w:left w:val="single" w:color="auto" w:sz="4" w:space="0"/>
              <w:bottom w:val="single" w:color="auto" w:sz="4" w:space="0"/>
              <w:right w:val="single" w:color="auto" w:sz="4" w:space="0"/>
            </w:tcBorders>
            <w:vAlign w:val="center"/>
          </w:tcPr>
          <w:p w14:paraId="17100462">
            <w:pPr>
              <w:spacing w:line="240" w:lineRule="auto"/>
              <w:ind w:firstLine="0" w:firstLineChars="0"/>
              <w:rPr>
                <w:rFonts w:eastAsia="等线" w:cs="Times New Roman"/>
                <w:kern w:val="0"/>
                <w:sz w:val="21"/>
              </w:rPr>
            </w:pPr>
          </w:p>
        </w:tc>
      </w:tr>
      <w:tr w14:paraId="7C13CD76">
        <w:tblPrEx>
          <w:tblCellMar>
            <w:top w:w="0" w:type="dxa"/>
            <w:left w:w="108" w:type="dxa"/>
            <w:bottom w:w="0" w:type="dxa"/>
            <w:right w:w="108" w:type="dxa"/>
          </w:tblCellMar>
        </w:tblPrEx>
        <w:trPr>
          <w:trHeight w:val="288"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6ECBD0FB">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732" w:type="pct"/>
            <w:tcBorders>
              <w:top w:val="nil"/>
              <w:left w:val="nil"/>
              <w:bottom w:val="single" w:color="auto" w:sz="4" w:space="0"/>
              <w:right w:val="single" w:color="auto" w:sz="4" w:space="0"/>
            </w:tcBorders>
            <w:shd w:val="clear" w:color="auto" w:fill="auto"/>
            <w:vAlign w:val="center"/>
          </w:tcPr>
          <w:p w14:paraId="1C1D0DD8">
            <w:pPr>
              <w:pStyle w:val="196"/>
            </w:pPr>
            <w:r>
              <w:rPr>
                <w:rFonts w:hint="eastAsia"/>
              </w:rPr>
              <w:t>皮带输送机</w:t>
            </w:r>
          </w:p>
        </w:tc>
        <w:tc>
          <w:tcPr>
            <w:tcW w:w="395" w:type="pct"/>
            <w:tcBorders>
              <w:top w:val="nil"/>
              <w:left w:val="nil"/>
              <w:bottom w:val="single" w:color="auto" w:sz="4" w:space="0"/>
              <w:right w:val="single" w:color="auto" w:sz="4" w:space="0"/>
            </w:tcBorders>
            <w:shd w:val="clear" w:color="auto" w:fill="auto"/>
            <w:vAlign w:val="center"/>
          </w:tcPr>
          <w:p w14:paraId="21A8D73C">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72" w:type="pct"/>
            <w:tcBorders>
              <w:top w:val="nil"/>
              <w:left w:val="nil"/>
              <w:bottom w:val="single" w:color="auto" w:sz="4" w:space="0"/>
              <w:right w:val="single" w:color="auto" w:sz="4" w:space="0"/>
            </w:tcBorders>
            <w:shd w:val="clear" w:color="auto" w:fill="auto"/>
            <w:vAlign w:val="center"/>
          </w:tcPr>
          <w:p w14:paraId="6555E260">
            <w:pPr>
              <w:spacing w:line="240" w:lineRule="auto"/>
              <w:ind w:firstLine="0" w:firstLineChars="0"/>
              <w:jc w:val="center"/>
              <w:rPr>
                <w:rFonts w:eastAsia="等线" w:cs="Times New Roman"/>
                <w:kern w:val="0"/>
                <w:sz w:val="21"/>
              </w:rPr>
            </w:pPr>
            <w:r>
              <w:rPr>
                <w:rFonts w:eastAsia="等线" w:cs="Times New Roman"/>
                <w:kern w:val="0"/>
                <w:sz w:val="21"/>
              </w:rPr>
              <w:t>B=1.2m</w:t>
            </w:r>
            <w:r>
              <w:rPr>
                <w:rFonts w:hint="eastAsia" w:eastAsia="等线" w:cs="Times New Roman"/>
                <w:kern w:val="0"/>
                <w:sz w:val="21"/>
                <w:lang w:eastAsia="zh-CN"/>
              </w:rPr>
              <w:t>,</w:t>
            </w:r>
            <w:r>
              <w:rPr>
                <w:rFonts w:eastAsia="等线" w:cs="Times New Roman"/>
                <w:kern w:val="0"/>
                <w:sz w:val="21"/>
              </w:rPr>
              <w:t>V=2.5m/s</w:t>
            </w:r>
          </w:p>
        </w:tc>
        <w:tc>
          <w:tcPr>
            <w:tcW w:w="395" w:type="pct"/>
            <w:tcBorders>
              <w:top w:val="nil"/>
              <w:left w:val="nil"/>
              <w:bottom w:val="single" w:color="auto" w:sz="4" w:space="0"/>
              <w:right w:val="single" w:color="auto" w:sz="4" w:space="0"/>
            </w:tcBorders>
            <w:shd w:val="clear" w:color="auto" w:fill="auto"/>
            <w:vAlign w:val="center"/>
          </w:tcPr>
          <w:p w14:paraId="2ADA64F4">
            <w:pPr>
              <w:spacing w:line="240" w:lineRule="auto"/>
              <w:ind w:firstLine="0" w:firstLineChars="0"/>
              <w:jc w:val="center"/>
              <w:rPr>
                <w:rFonts w:eastAsia="等线" w:cs="Times New Roman"/>
                <w:kern w:val="0"/>
                <w:sz w:val="21"/>
              </w:rPr>
            </w:pPr>
            <w:r>
              <w:rPr>
                <w:rFonts w:eastAsia="等线" w:cs="Times New Roman"/>
                <w:kern w:val="0"/>
                <w:sz w:val="21"/>
              </w:rPr>
              <w:t>-50</w:t>
            </w:r>
          </w:p>
        </w:tc>
        <w:tc>
          <w:tcPr>
            <w:tcW w:w="395" w:type="pct"/>
            <w:tcBorders>
              <w:top w:val="nil"/>
              <w:left w:val="nil"/>
              <w:bottom w:val="single" w:color="auto" w:sz="4" w:space="0"/>
              <w:right w:val="single" w:color="auto" w:sz="4" w:space="0"/>
            </w:tcBorders>
            <w:shd w:val="clear" w:color="auto" w:fill="auto"/>
            <w:vAlign w:val="center"/>
          </w:tcPr>
          <w:p w14:paraId="175FA395">
            <w:pPr>
              <w:spacing w:line="240" w:lineRule="auto"/>
              <w:ind w:firstLine="0" w:firstLineChars="0"/>
              <w:jc w:val="center"/>
              <w:rPr>
                <w:rFonts w:eastAsia="等线" w:cs="Times New Roman"/>
                <w:kern w:val="0"/>
                <w:sz w:val="21"/>
              </w:rPr>
            </w:pPr>
            <w:r>
              <w:rPr>
                <w:rFonts w:eastAsia="等线" w:cs="Times New Roman"/>
                <w:kern w:val="0"/>
                <w:sz w:val="21"/>
              </w:rPr>
              <w:t>60</w:t>
            </w:r>
          </w:p>
        </w:tc>
        <w:tc>
          <w:tcPr>
            <w:tcW w:w="395" w:type="pct"/>
            <w:tcBorders>
              <w:top w:val="nil"/>
              <w:left w:val="nil"/>
              <w:bottom w:val="single" w:color="auto" w:sz="4" w:space="0"/>
              <w:right w:val="single" w:color="auto" w:sz="4" w:space="0"/>
            </w:tcBorders>
            <w:shd w:val="clear" w:color="auto" w:fill="auto"/>
            <w:vAlign w:val="center"/>
          </w:tcPr>
          <w:p w14:paraId="4B1354C8">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395" w:type="pct"/>
            <w:tcBorders>
              <w:top w:val="nil"/>
              <w:left w:val="nil"/>
              <w:bottom w:val="single" w:color="auto" w:sz="4" w:space="0"/>
              <w:right w:val="single" w:color="auto" w:sz="4" w:space="0"/>
            </w:tcBorders>
            <w:shd w:val="clear" w:color="auto" w:fill="auto"/>
            <w:vAlign w:val="center"/>
          </w:tcPr>
          <w:p w14:paraId="3FA86BB3">
            <w:pPr>
              <w:spacing w:line="240" w:lineRule="auto"/>
              <w:ind w:firstLine="0" w:firstLineChars="0"/>
              <w:jc w:val="center"/>
              <w:rPr>
                <w:rFonts w:eastAsia="等线" w:cs="Times New Roman"/>
                <w:kern w:val="0"/>
                <w:sz w:val="21"/>
              </w:rPr>
            </w:pPr>
            <w:r>
              <w:rPr>
                <w:rFonts w:eastAsia="等线" w:cs="Times New Roman"/>
                <w:kern w:val="0"/>
                <w:sz w:val="21"/>
              </w:rPr>
              <w:t>75</w:t>
            </w:r>
          </w:p>
        </w:tc>
        <w:tc>
          <w:tcPr>
            <w:tcW w:w="633" w:type="pct"/>
            <w:tcBorders>
              <w:top w:val="nil"/>
              <w:left w:val="nil"/>
              <w:bottom w:val="single" w:color="auto" w:sz="4" w:space="0"/>
              <w:right w:val="single" w:color="auto" w:sz="4" w:space="0"/>
            </w:tcBorders>
            <w:shd w:val="clear" w:color="auto" w:fill="auto"/>
            <w:vAlign w:val="center"/>
          </w:tcPr>
          <w:p w14:paraId="3B389336">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隔声、减振</w:t>
            </w:r>
          </w:p>
        </w:tc>
        <w:tc>
          <w:tcPr>
            <w:tcW w:w="395" w:type="pct"/>
            <w:vMerge w:val="continue"/>
            <w:tcBorders>
              <w:top w:val="nil"/>
              <w:left w:val="single" w:color="auto" w:sz="4" w:space="0"/>
              <w:bottom w:val="single" w:color="auto" w:sz="4" w:space="0"/>
              <w:right w:val="single" w:color="auto" w:sz="4" w:space="0"/>
            </w:tcBorders>
            <w:vAlign w:val="center"/>
          </w:tcPr>
          <w:p w14:paraId="047448A6">
            <w:pPr>
              <w:spacing w:line="240" w:lineRule="auto"/>
              <w:ind w:firstLine="0" w:firstLineChars="0"/>
              <w:rPr>
                <w:rFonts w:eastAsia="等线" w:cs="Times New Roman"/>
                <w:kern w:val="0"/>
                <w:sz w:val="21"/>
              </w:rPr>
            </w:pPr>
          </w:p>
        </w:tc>
      </w:tr>
      <w:tr w14:paraId="757DBEBD">
        <w:tblPrEx>
          <w:tblCellMar>
            <w:top w:w="0" w:type="dxa"/>
            <w:left w:w="108" w:type="dxa"/>
            <w:bottom w:w="0" w:type="dxa"/>
            <w:right w:w="108" w:type="dxa"/>
          </w:tblCellMar>
        </w:tblPrEx>
        <w:trPr>
          <w:trHeight w:val="288"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1EBE1ACF">
            <w:pPr>
              <w:spacing w:line="240" w:lineRule="auto"/>
              <w:ind w:firstLine="0" w:firstLineChars="0"/>
              <w:jc w:val="center"/>
              <w:rPr>
                <w:rFonts w:eastAsia="等线" w:cs="Times New Roman"/>
                <w:kern w:val="0"/>
                <w:sz w:val="21"/>
              </w:rPr>
            </w:pPr>
            <w:r>
              <w:rPr>
                <w:rFonts w:eastAsia="等线" w:cs="Times New Roman"/>
                <w:kern w:val="0"/>
                <w:sz w:val="21"/>
              </w:rPr>
              <w:t>4</w:t>
            </w:r>
          </w:p>
        </w:tc>
        <w:tc>
          <w:tcPr>
            <w:tcW w:w="732" w:type="pct"/>
            <w:tcBorders>
              <w:top w:val="nil"/>
              <w:left w:val="nil"/>
              <w:bottom w:val="single" w:color="auto" w:sz="4" w:space="0"/>
              <w:right w:val="single" w:color="auto" w:sz="4" w:space="0"/>
            </w:tcBorders>
            <w:shd w:val="clear" w:color="auto" w:fill="auto"/>
            <w:vAlign w:val="center"/>
          </w:tcPr>
          <w:p w14:paraId="7E17433F">
            <w:pPr>
              <w:pStyle w:val="196"/>
            </w:pPr>
            <w:r>
              <w:rPr>
                <w:rFonts w:hint="eastAsia"/>
              </w:rPr>
              <w:t>T0转运站</w:t>
            </w:r>
          </w:p>
        </w:tc>
        <w:tc>
          <w:tcPr>
            <w:tcW w:w="395" w:type="pct"/>
            <w:tcBorders>
              <w:top w:val="nil"/>
              <w:left w:val="nil"/>
              <w:bottom w:val="single" w:color="auto" w:sz="4" w:space="0"/>
              <w:right w:val="single" w:color="auto" w:sz="4" w:space="0"/>
            </w:tcBorders>
            <w:shd w:val="clear" w:color="auto" w:fill="auto"/>
            <w:vAlign w:val="center"/>
          </w:tcPr>
          <w:p w14:paraId="5D7BD619">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72" w:type="pct"/>
            <w:tcBorders>
              <w:top w:val="nil"/>
              <w:left w:val="nil"/>
              <w:bottom w:val="single" w:color="auto" w:sz="4" w:space="0"/>
              <w:right w:val="single" w:color="auto" w:sz="4" w:space="0"/>
            </w:tcBorders>
            <w:shd w:val="clear" w:color="auto" w:fill="auto"/>
            <w:vAlign w:val="center"/>
          </w:tcPr>
          <w:p w14:paraId="72D173FE">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95" w:type="pct"/>
            <w:tcBorders>
              <w:top w:val="nil"/>
              <w:left w:val="nil"/>
              <w:bottom w:val="single" w:color="auto" w:sz="4" w:space="0"/>
              <w:right w:val="single" w:color="auto" w:sz="4" w:space="0"/>
            </w:tcBorders>
            <w:shd w:val="clear" w:color="auto" w:fill="auto"/>
            <w:vAlign w:val="center"/>
          </w:tcPr>
          <w:p w14:paraId="685BBB3A">
            <w:pPr>
              <w:spacing w:line="240" w:lineRule="auto"/>
              <w:ind w:firstLine="0" w:firstLineChars="0"/>
              <w:jc w:val="center"/>
              <w:rPr>
                <w:rFonts w:eastAsia="等线" w:cs="Times New Roman"/>
                <w:kern w:val="0"/>
                <w:sz w:val="21"/>
              </w:rPr>
            </w:pPr>
            <w:r>
              <w:rPr>
                <w:rFonts w:eastAsia="等线" w:cs="Times New Roman"/>
                <w:kern w:val="0"/>
                <w:sz w:val="21"/>
              </w:rPr>
              <w:t>-140</w:t>
            </w:r>
          </w:p>
        </w:tc>
        <w:tc>
          <w:tcPr>
            <w:tcW w:w="395" w:type="pct"/>
            <w:tcBorders>
              <w:top w:val="nil"/>
              <w:left w:val="nil"/>
              <w:bottom w:val="single" w:color="auto" w:sz="4" w:space="0"/>
              <w:right w:val="single" w:color="auto" w:sz="4" w:space="0"/>
            </w:tcBorders>
            <w:shd w:val="clear" w:color="auto" w:fill="auto"/>
            <w:vAlign w:val="center"/>
          </w:tcPr>
          <w:p w14:paraId="222A85E6">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395" w:type="pct"/>
            <w:tcBorders>
              <w:top w:val="nil"/>
              <w:left w:val="nil"/>
              <w:bottom w:val="single" w:color="auto" w:sz="4" w:space="0"/>
              <w:right w:val="single" w:color="auto" w:sz="4" w:space="0"/>
            </w:tcBorders>
            <w:shd w:val="clear" w:color="auto" w:fill="auto"/>
            <w:vAlign w:val="center"/>
          </w:tcPr>
          <w:p w14:paraId="545F9CA0">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395" w:type="pct"/>
            <w:tcBorders>
              <w:top w:val="nil"/>
              <w:left w:val="nil"/>
              <w:bottom w:val="single" w:color="auto" w:sz="4" w:space="0"/>
              <w:right w:val="single" w:color="auto" w:sz="4" w:space="0"/>
            </w:tcBorders>
            <w:shd w:val="clear" w:color="auto" w:fill="auto"/>
            <w:vAlign w:val="center"/>
          </w:tcPr>
          <w:p w14:paraId="73087852">
            <w:pPr>
              <w:spacing w:line="240" w:lineRule="auto"/>
              <w:ind w:firstLine="0" w:firstLineChars="0"/>
              <w:jc w:val="center"/>
              <w:rPr>
                <w:rFonts w:eastAsia="等线" w:cs="Times New Roman"/>
                <w:kern w:val="0"/>
                <w:sz w:val="21"/>
              </w:rPr>
            </w:pPr>
            <w:r>
              <w:rPr>
                <w:rFonts w:eastAsia="等线" w:cs="Times New Roman"/>
                <w:kern w:val="0"/>
                <w:sz w:val="21"/>
              </w:rPr>
              <w:t>75</w:t>
            </w:r>
          </w:p>
        </w:tc>
        <w:tc>
          <w:tcPr>
            <w:tcW w:w="633" w:type="pct"/>
            <w:tcBorders>
              <w:top w:val="nil"/>
              <w:left w:val="nil"/>
              <w:bottom w:val="single" w:color="auto" w:sz="4" w:space="0"/>
              <w:right w:val="single" w:color="auto" w:sz="4" w:space="0"/>
            </w:tcBorders>
            <w:shd w:val="clear" w:color="auto" w:fill="auto"/>
            <w:vAlign w:val="center"/>
          </w:tcPr>
          <w:p w14:paraId="26FCC598">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95" w:type="pct"/>
            <w:vMerge w:val="continue"/>
            <w:tcBorders>
              <w:top w:val="nil"/>
              <w:left w:val="single" w:color="auto" w:sz="4" w:space="0"/>
              <w:bottom w:val="single" w:color="auto" w:sz="4" w:space="0"/>
              <w:right w:val="single" w:color="auto" w:sz="4" w:space="0"/>
            </w:tcBorders>
            <w:vAlign w:val="center"/>
          </w:tcPr>
          <w:p w14:paraId="4A352FF6">
            <w:pPr>
              <w:spacing w:line="240" w:lineRule="auto"/>
              <w:ind w:firstLine="0" w:firstLineChars="0"/>
              <w:rPr>
                <w:rFonts w:eastAsia="等线" w:cs="Times New Roman"/>
                <w:kern w:val="0"/>
                <w:sz w:val="21"/>
              </w:rPr>
            </w:pPr>
          </w:p>
        </w:tc>
      </w:tr>
      <w:tr w14:paraId="31BE31AB">
        <w:tblPrEx>
          <w:tblCellMar>
            <w:top w:w="0" w:type="dxa"/>
            <w:left w:w="108" w:type="dxa"/>
            <w:bottom w:w="0" w:type="dxa"/>
            <w:right w:w="108" w:type="dxa"/>
          </w:tblCellMar>
        </w:tblPrEx>
        <w:trPr>
          <w:trHeight w:val="336"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740B58B6">
            <w:pPr>
              <w:spacing w:line="240" w:lineRule="auto"/>
              <w:ind w:firstLine="0" w:firstLineChars="0"/>
              <w:jc w:val="center"/>
              <w:rPr>
                <w:rFonts w:eastAsia="等线" w:cs="Times New Roman"/>
                <w:kern w:val="0"/>
                <w:sz w:val="21"/>
              </w:rPr>
            </w:pPr>
            <w:r>
              <w:rPr>
                <w:rFonts w:eastAsia="等线" w:cs="Times New Roman"/>
                <w:kern w:val="0"/>
                <w:sz w:val="21"/>
              </w:rPr>
              <w:t>5</w:t>
            </w:r>
          </w:p>
        </w:tc>
        <w:tc>
          <w:tcPr>
            <w:tcW w:w="732" w:type="pct"/>
            <w:tcBorders>
              <w:top w:val="nil"/>
              <w:left w:val="nil"/>
              <w:bottom w:val="single" w:color="auto" w:sz="4" w:space="0"/>
              <w:right w:val="single" w:color="auto" w:sz="4" w:space="0"/>
            </w:tcBorders>
            <w:shd w:val="clear" w:color="auto" w:fill="auto"/>
            <w:vAlign w:val="center"/>
          </w:tcPr>
          <w:p w14:paraId="7257284A">
            <w:pPr>
              <w:pStyle w:val="196"/>
            </w:pPr>
            <w:r>
              <w:rPr>
                <w:rFonts w:hint="eastAsia"/>
              </w:rPr>
              <w:t>T0转运站风机</w:t>
            </w:r>
          </w:p>
        </w:tc>
        <w:tc>
          <w:tcPr>
            <w:tcW w:w="395" w:type="pct"/>
            <w:tcBorders>
              <w:top w:val="nil"/>
              <w:left w:val="nil"/>
              <w:bottom w:val="single" w:color="auto" w:sz="4" w:space="0"/>
              <w:right w:val="single" w:color="auto" w:sz="4" w:space="0"/>
            </w:tcBorders>
            <w:shd w:val="clear" w:color="auto" w:fill="auto"/>
            <w:vAlign w:val="center"/>
          </w:tcPr>
          <w:p w14:paraId="14B18790">
            <w:pPr>
              <w:spacing w:line="240" w:lineRule="auto"/>
              <w:ind w:firstLine="0" w:firstLineChars="0"/>
              <w:jc w:val="center"/>
              <w:rPr>
                <w:rFonts w:eastAsia="等线" w:cs="Times New Roman"/>
                <w:kern w:val="0"/>
                <w:sz w:val="21"/>
              </w:rPr>
            </w:pPr>
            <w:r>
              <w:rPr>
                <w:rFonts w:eastAsia="等线" w:cs="Times New Roman"/>
                <w:kern w:val="0"/>
                <w:sz w:val="21"/>
              </w:rPr>
              <w:t>1</w:t>
            </w:r>
          </w:p>
        </w:tc>
        <w:tc>
          <w:tcPr>
            <w:tcW w:w="872" w:type="pct"/>
            <w:tcBorders>
              <w:top w:val="nil"/>
              <w:left w:val="nil"/>
              <w:bottom w:val="single" w:color="auto" w:sz="4" w:space="0"/>
              <w:right w:val="single" w:color="auto" w:sz="4" w:space="0"/>
            </w:tcBorders>
            <w:shd w:val="clear" w:color="auto" w:fill="auto"/>
            <w:vAlign w:val="center"/>
          </w:tcPr>
          <w:p w14:paraId="79AA4958">
            <w:pPr>
              <w:spacing w:line="240" w:lineRule="auto"/>
              <w:ind w:firstLine="0" w:firstLineChars="0"/>
              <w:jc w:val="center"/>
              <w:rPr>
                <w:rFonts w:eastAsia="等线" w:cs="Times New Roman"/>
                <w:kern w:val="0"/>
                <w:sz w:val="21"/>
              </w:rPr>
            </w:pPr>
            <w:r>
              <w:rPr>
                <w:rFonts w:eastAsia="等线" w:cs="Times New Roman"/>
                <w:kern w:val="0"/>
                <w:sz w:val="21"/>
              </w:rPr>
              <w:t>5000m</w:t>
            </w:r>
            <w:r>
              <w:rPr>
                <w:rFonts w:eastAsia="等线" w:cs="Times New Roman"/>
                <w:kern w:val="0"/>
                <w:sz w:val="21"/>
                <w:vertAlign w:val="superscript"/>
              </w:rPr>
              <w:t>3</w:t>
            </w:r>
            <w:r>
              <w:rPr>
                <w:rFonts w:eastAsia="等线" w:cs="Times New Roman"/>
                <w:kern w:val="0"/>
                <w:sz w:val="21"/>
              </w:rPr>
              <w:t>/h</w:t>
            </w:r>
            <w:r>
              <w:rPr>
                <w:rFonts w:hint="eastAsia" w:eastAsia="等线" w:cs="Times New Roman"/>
                <w:kern w:val="0"/>
                <w:sz w:val="21"/>
                <w:lang w:eastAsia="zh-CN"/>
              </w:rPr>
              <w:t>,</w:t>
            </w:r>
            <w:r>
              <w:rPr>
                <w:rFonts w:eastAsia="等线" w:cs="Times New Roman"/>
                <w:kern w:val="0"/>
                <w:sz w:val="21"/>
              </w:rPr>
              <w:t>75kW</w:t>
            </w:r>
          </w:p>
        </w:tc>
        <w:tc>
          <w:tcPr>
            <w:tcW w:w="395" w:type="pct"/>
            <w:tcBorders>
              <w:top w:val="nil"/>
              <w:left w:val="nil"/>
              <w:bottom w:val="single" w:color="auto" w:sz="4" w:space="0"/>
              <w:right w:val="single" w:color="auto" w:sz="4" w:space="0"/>
            </w:tcBorders>
            <w:shd w:val="clear" w:color="auto" w:fill="auto"/>
            <w:vAlign w:val="center"/>
          </w:tcPr>
          <w:p w14:paraId="14CCB15A">
            <w:pPr>
              <w:spacing w:line="240" w:lineRule="auto"/>
              <w:ind w:firstLine="0" w:firstLineChars="0"/>
              <w:jc w:val="center"/>
              <w:rPr>
                <w:rFonts w:eastAsia="等线" w:cs="Times New Roman"/>
                <w:kern w:val="0"/>
                <w:sz w:val="21"/>
              </w:rPr>
            </w:pPr>
            <w:r>
              <w:rPr>
                <w:rFonts w:eastAsia="等线" w:cs="Times New Roman"/>
                <w:kern w:val="0"/>
                <w:sz w:val="21"/>
              </w:rPr>
              <w:t>-140</w:t>
            </w:r>
          </w:p>
        </w:tc>
        <w:tc>
          <w:tcPr>
            <w:tcW w:w="395" w:type="pct"/>
            <w:tcBorders>
              <w:top w:val="nil"/>
              <w:left w:val="nil"/>
              <w:bottom w:val="single" w:color="auto" w:sz="4" w:space="0"/>
              <w:right w:val="single" w:color="auto" w:sz="4" w:space="0"/>
            </w:tcBorders>
            <w:shd w:val="clear" w:color="auto" w:fill="auto"/>
            <w:vAlign w:val="center"/>
          </w:tcPr>
          <w:p w14:paraId="0BBC9141">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395" w:type="pct"/>
            <w:tcBorders>
              <w:top w:val="nil"/>
              <w:left w:val="nil"/>
              <w:bottom w:val="single" w:color="auto" w:sz="4" w:space="0"/>
              <w:right w:val="single" w:color="auto" w:sz="4" w:space="0"/>
            </w:tcBorders>
            <w:shd w:val="clear" w:color="auto" w:fill="auto"/>
            <w:vAlign w:val="center"/>
          </w:tcPr>
          <w:p w14:paraId="5C1D2FFF">
            <w:pPr>
              <w:spacing w:line="240" w:lineRule="auto"/>
              <w:ind w:firstLine="0" w:firstLineChars="0"/>
              <w:jc w:val="center"/>
              <w:rPr>
                <w:rFonts w:eastAsia="等线" w:cs="Times New Roman"/>
                <w:kern w:val="0"/>
                <w:sz w:val="21"/>
              </w:rPr>
            </w:pPr>
            <w:r>
              <w:rPr>
                <w:rFonts w:eastAsia="等线" w:cs="Times New Roman"/>
                <w:kern w:val="0"/>
                <w:sz w:val="21"/>
              </w:rPr>
              <w:t>3</w:t>
            </w:r>
          </w:p>
        </w:tc>
        <w:tc>
          <w:tcPr>
            <w:tcW w:w="395" w:type="pct"/>
            <w:tcBorders>
              <w:top w:val="nil"/>
              <w:left w:val="nil"/>
              <w:bottom w:val="single" w:color="auto" w:sz="4" w:space="0"/>
              <w:right w:val="single" w:color="auto" w:sz="4" w:space="0"/>
            </w:tcBorders>
            <w:shd w:val="clear" w:color="auto" w:fill="auto"/>
            <w:vAlign w:val="center"/>
          </w:tcPr>
          <w:p w14:paraId="66C72B1E">
            <w:pPr>
              <w:spacing w:line="240" w:lineRule="auto"/>
              <w:ind w:firstLine="0" w:firstLineChars="0"/>
              <w:jc w:val="center"/>
              <w:rPr>
                <w:rFonts w:eastAsia="等线" w:cs="Times New Roman"/>
                <w:kern w:val="0"/>
                <w:sz w:val="21"/>
              </w:rPr>
            </w:pPr>
            <w:r>
              <w:rPr>
                <w:rFonts w:eastAsia="等线" w:cs="Times New Roman"/>
                <w:kern w:val="0"/>
                <w:sz w:val="21"/>
              </w:rPr>
              <w:t>80</w:t>
            </w:r>
          </w:p>
        </w:tc>
        <w:tc>
          <w:tcPr>
            <w:tcW w:w="633" w:type="pct"/>
            <w:tcBorders>
              <w:top w:val="nil"/>
              <w:left w:val="nil"/>
              <w:bottom w:val="single" w:color="auto" w:sz="4" w:space="0"/>
              <w:right w:val="single" w:color="auto" w:sz="4" w:space="0"/>
            </w:tcBorders>
            <w:shd w:val="clear" w:color="auto" w:fill="auto"/>
            <w:vAlign w:val="center"/>
          </w:tcPr>
          <w:p w14:paraId="01CE03CE">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95" w:type="pct"/>
            <w:vMerge w:val="continue"/>
            <w:tcBorders>
              <w:top w:val="nil"/>
              <w:left w:val="single" w:color="auto" w:sz="4" w:space="0"/>
              <w:bottom w:val="single" w:color="auto" w:sz="4" w:space="0"/>
              <w:right w:val="single" w:color="auto" w:sz="4" w:space="0"/>
            </w:tcBorders>
            <w:vAlign w:val="center"/>
          </w:tcPr>
          <w:p w14:paraId="5774AA82">
            <w:pPr>
              <w:spacing w:line="240" w:lineRule="auto"/>
              <w:ind w:firstLine="0" w:firstLineChars="0"/>
              <w:rPr>
                <w:rFonts w:eastAsia="等线" w:cs="Times New Roman"/>
                <w:kern w:val="0"/>
                <w:sz w:val="21"/>
              </w:rPr>
            </w:pPr>
          </w:p>
        </w:tc>
      </w:tr>
      <w:tr w14:paraId="2BAEA2AD">
        <w:tblPrEx>
          <w:tblCellMar>
            <w:top w:w="0" w:type="dxa"/>
            <w:left w:w="108" w:type="dxa"/>
            <w:bottom w:w="0" w:type="dxa"/>
            <w:right w:w="108" w:type="dxa"/>
          </w:tblCellMar>
        </w:tblPrEx>
        <w:trPr>
          <w:trHeight w:val="288"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688441F0">
            <w:pPr>
              <w:spacing w:line="240" w:lineRule="auto"/>
              <w:ind w:firstLine="0" w:firstLineChars="0"/>
              <w:jc w:val="center"/>
              <w:rPr>
                <w:rFonts w:eastAsia="等线" w:cs="Times New Roman"/>
                <w:kern w:val="0"/>
                <w:sz w:val="21"/>
              </w:rPr>
            </w:pPr>
            <w:r>
              <w:rPr>
                <w:rFonts w:eastAsia="等线" w:cs="Times New Roman"/>
                <w:kern w:val="0"/>
                <w:sz w:val="21"/>
              </w:rPr>
              <w:t>6</w:t>
            </w:r>
          </w:p>
        </w:tc>
        <w:tc>
          <w:tcPr>
            <w:tcW w:w="732" w:type="pct"/>
            <w:tcBorders>
              <w:top w:val="nil"/>
              <w:left w:val="nil"/>
              <w:bottom w:val="single" w:color="auto" w:sz="4" w:space="0"/>
              <w:right w:val="single" w:color="auto" w:sz="4" w:space="0"/>
            </w:tcBorders>
            <w:shd w:val="clear" w:color="auto" w:fill="auto"/>
            <w:vAlign w:val="center"/>
          </w:tcPr>
          <w:p w14:paraId="34E285B4">
            <w:pPr>
              <w:pStyle w:val="196"/>
            </w:pPr>
            <w:r>
              <w:rPr>
                <w:rFonts w:hint="eastAsia"/>
              </w:rPr>
              <w:t>电磁除铁</w:t>
            </w:r>
          </w:p>
        </w:tc>
        <w:tc>
          <w:tcPr>
            <w:tcW w:w="395" w:type="pct"/>
            <w:tcBorders>
              <w:top w:val="nil"/>
              <w:left w:val="nil"/>
              <w:bottom w:val="single" w:color="auto" w:sz="4" w:space="0"/>
              <w:right w:val="single" w:color="auto" w:sz="4" w:space="0"/>
            </w:tcBorders>
            <w:shd w:val="clear" w:color="auto" w:fill="auto"/>
            <w:vAlign w:val="center"/>
          </w:tcPr>
          <w:p w14:paraId="71302B58">
            <w:pPr>
              <w:spacing w:line="240" w:lineRule="auto"/>
              <w:ind w:firstLine="0" w:firstLineChars="0"/>
              <w:jc w:val="center"/>
              <w:rPr>
                <w:rFonts w:eastAsia="等线" w:cs="Times New Roman"/>
                <w:kern w:val="0"/>
                <w:sz w:val="21"/>
              </w:rPr>
            </w:pPr>
            <w:r>
              <w:rPr>
                <w:rFonts w:eastAsia="等线" w:cs="Times New Roman"/>
                <w:kern w:val="0"/>
                <w:sz w:val="21"/>
              </w:rPr>
              <w:t>2</w:t>
            </w:r>
          </w:p>
        </w:tc>
        <w:tc>
          <w:tcPr>
            <w:tcW w:w="872" w:type="pct"/>
            <w:tcBorders>
              <w:top w:val="nil"/>
              <w:left w:val="nil"/>
              <w:bottom w:val="single" w:color="auto" w:sz="4" w:space="0"/>
              <w:right w:val="single" w:color="auto" w:sz="4" w:space="0"/>
            </w:tcBorders>
            <w:shd w:val="clear" w:color="auto" w:fill="auto"/>
            <w:vAlign w:val="center"/>
          </w:tcPr>
          <w:p w14:paraId="5FFBD0D1">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95" w:type="pct"/>
            <w:tcBorders>
              <w:top w:val="nil"/>
              <w:left w:val="nil"/>
              <w:bottom w:val="single" w:color="auto" w:sz="4" w:space="0"/>
              <w:right w:val="single" w:color="auto" w:sz="4" w:space="0"/>
            </w:tcBorders>
            <w:shd w:val="clear" w:color="auto" w:fill="auto"/>
            <w:vAlign w:val="center"/>
          </w:tcPr>
          <w:p w14:paraId="5A86D9E2">
            <w:pPr>
              <w:spacing w:line="240" w:lineRule="auto"/>
              <w:ind w:firstLine="0" w:firstLineChars="0"/>
              <w:jc w:val="center"/>
              <w:rPr>
                <w:rFonts w:eastAsia="等线" w:cs="Times New Roman"/>
                <w:kern w:val="0"/>
                <w:sz w:val="21"/>
              </w:rPr>
            </w:pPr>
            <w:r>
              <w:rPr>
                <w:rFonts w:eastAsia="等线" w:cs="Times New Roman"/>
                <w:kern w:val="0"/>
                <w:sz w:val="21"/>
              </w:rPr>
              <w:t>-30</w:t>
            </w:r>
          </w:p>
        </w:tc>
        <w:tc>
          <w:tcPr>
            <w:tcW w:w="395" w:type="pct"/>
            <w:tcBorders>
              <w:top w:val="nil"/>
              <w:left w:val="nil"/>
              <w:bottom w:val="single" w:color="auto" w:sz="4" w:space="0"/>
              <w:right w:val="single" w:color="auto" w:sz="4" w:space="0"/>
            </w:tcBorders>
            <w:shd w:val="clear" w:color="auto" w:fill="auto"/>
            <w:vAlign w:val="center"/>
          </w:tcPr>
          <w:p w14:paraId="0261ABE4">
            <w:pPr>
              <w:spacing w:line="240" w:lineRule="auto"/>
              <w:ind w:firstLine="0" w:firstLineChars="0"/>
              <w:jc w:val="center"/>
              <w:rPr>
                <w:rFonts w:eastAsia="等线" w:cs="Times New Roman"/>
                <w:kern w:val="0"/>
                <w:sz w:val="21"/>
              </w:rPr>
            </w:pPr>
            <w:r>
              <w:rPr>
                <w:rFonts w:eastAsia="等线" w:cs="Times New Roman"/>
                <w:kern w:val="0"/>
                <w:sz w:val="21"/>
              </w:rPr>
              <w:t>90</w:t>
            </w:r>
          </w:p>
        </w:tc>
        <w:tc>
          <w:tcPr>
            <w:tcW w:w="395" w:type="pct"/>
            <w:tcBorders>
              <w:top w:val="nil"/>
              <w:left w:val="nil"/>
              <w:bottom w:val="single" w:color="auto" w:sz="4" w:space="0"/>
              <w:right w:val="single" w:color="auto" w:sz="4" w:space="0"/>
            </w:tcBorders>
            <w:shd w:val="clear" w:color="auto" w:fill="auto"/>
            <w:vAlign w:val="center"/>
          </w:tcPr>
          <w:p w14:paraId="780BF5CF">
            <w:pPr>
              <w:spacing w:line="240" w:lineRule="auto"/>
              <w:ind w:firstLine="0" w:firstLineChars="0"/>
              <w:jc w:val="center"/>
              <w:rPr>
                <w:rFonts w:eastAsia="等线" w:cs="Times New Roman"/>
                <w:kern w:val="0"/>
                <w:sz w:val="21"/>
              </w:rPr>
            </w:pPr>
            <w:r>
              <w:rPr>
                <w:rFonts w:eastAsia="等线" w:cs="Times New Roman"/>
                <w:kern w:val="0"/>
                <w:sz w:val="21"/>
              </w:rPr>
              <w:t>1.5</w:t>
            </w:r>
          </w:p>
        </w:tc>
        <w:tc>
          <w:tcPr>
            <w:tcW w:w="395" w:type="pct"/>
            <w:tcBorders>
              <w:top w:val="nil"/>
              <w:left w:val="nil"/>
              <w:bottom w:val="single" w:color="auto" w:sz="4" w:space="0"/>
              <w:right w:val="single" w:color="auto" w:sz="4" w:space="0"/>
            </w:tcBorders>
            <w:shd w:val="clear" w:color="auto" w:fill="auto"/>
            <w:vAlign w:val="center"/>
          </w:tcPr>
          <w:p w14:paraId="7DE1F7F0">
            <w:pPr>
              <w:spacing w:line="240" w:lineRule="auto"/>
              <w:ind w:firstLine="0" w:firstLineChars="0"/>
              <w:jc w:val="center"/>
              <w:rPr>
                <w:rFonts w:eastAsia="等线" w:cs="Times New Roman"/>
                <w:kern w:val="0"/>
                <w:sz w:val="21"/>
              </w:rPr>
            </w:pPr>
            <w:r>
              <w:rPr>
                <w:rFonts w:eastAsia="等线" w:cs="Times New Roman"/>
                <w:kern w:val="0"/>
                <w:sz w:val="21"/>
              </w:rPr>
              <w:t>75</w:t>
            </w:r>
          </w:p>
        </w:tc>
        <w:tc>
          <w:tcPr>
            <w:tcW w:w="633" w:type="pct"/>
            <w:tcBorders>
              <w:top w:val="nil"/>
              <w:left w:val="nil"/>
              <w:bottom w:val="single" w:color="auto" w:sz="4" w:space="0"/>
              <w:right w:val="single" w:color="auto" w:sz="4" w:space="0"/>
            </w:tcBorders>
            <w:shd w:val="clear" w:color="auto" w:fill="auto"/>
            <w:vAlign w:val="center"/>
          </w:tcPr>
          <w:p w14:paraId="60F1BF20">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95" w:type="pct"/>
            <w:vMerge w:val="continue"/>
            <w:tcBorders>
              <w:top w:val="nil"/>
              <w:left w:val="single" w:color="auto" w:sz="4" w:space="0"/>
              <w:bottom w:val="single" w:color="auto" w:sz="4" w:space="0"/>
              <w:right w:val="single" w:color="auto" w:sz="4" w:space="0"/>
            </w:tcBorders>
            <w:vAlign w:val="center"/>
          </w:tcPr>
          <w:p w14:paraId="353E2217">
            <w:pPr>
              <w:spacing w:line="240" w:lineRule="auto"/>
              <w:ind w:firstLine="0" w:firstLineChars="0"/>
              <w:rPr>
                <w:rFonts w:eastAsia="等线" w:cs="Times New Roman"/>
                <w:kern w:val="0"/>
                <w:sz w:val="21"/>
              </w:rPr>
            </w:pPr>
          </w:p>
        </w:tc>
      </w:tr>
      <w:tr w14:paraId="5A4FBF9B">
        <w:tblPrEx>
          <w:tblCellMar>
            <w:top w:w="0" w:type="dxa"/>
            <w:left w:w="108" w:type="dxa"/>
            <w:bottom w:w="0" w:type="dxa"/>
            <w:right w:w="108" w:type="dxa"/>
          </w:tblCellMar>
        </w:tblPrEx>
        <w:trPr>
          <w:trHeight w:val="288" w:hRule="atLeast"/>
        </w:trPr>
        <w:tc>
          <w:tcPr>
            <w:tcW w:w="395" w:type="pct"/>
            <w:tcBorders>
              <w:top w:val="nil"/>
              <w:left w:val="single" w:color="auto" w:sz="4" w:space="0"/>
              <w:bottom w:val="single" w:color="auto" w:sz="4" w:space="0"/>
              <w:right w:val="single" w:color="auto" w:sz="4" w:space="0"/>
            </w:tcBorders>
            <w:shd w:val="clear" w:color="auto" w:fill="auto"/>
            <w:vAlign w:val="center"/>
          </w:tcPr>
          <w:p w14:paraId="65A383EA">
            <w:pPr>
              <w:spacing w:line="240" w:lineRule="auto"/>
              <w:ind w:firstLine="0" w:firstLineChars="0"/>
              <w:jc w:val="center"/>
              <w:rPr>
                <w:rFonts w:eastAsia="等线" w:cs="Times New Roman"/>
                <w:kern w:val="0"/>
                <w:sz w:val="21"/>
              </w:rPr>
            </w:pPr>
            <w:r>
              <w:rPr>
                <w:rFonts w:eastAsia="等线" w:cs="Times New Roman"/>
                <w:kern w:val="0"/>
                <w:sz w:val="21"/>
              </w:rPr>
              <w:t>7</w:t>
            </w:r>
          </w:p>
        </w:tc>
        <w:tc>
          <w:tcPr>
            <w:tcW w:w="732" w:type="pct"/>
            <w:tcBorders>
              <w:top w:val="nil"/>
              <w:left w:val="nil"/>
              <w:bottom w:val="single" w:color="auto" w:sz="4" w:space="0"/>
              <w:right w:val="single" w:color="auto" w:sz="4" w:space="0"/>
            </w:tcBorders>
            <w:shd w:val="clear" w:color="auto" w:fill="auto"/>
            <w:vAlign w:val="center"/>
          </w:tcPr>
          <w:p w14:paraId="4D088345">
            <w:pPr>
              <w:pStyle w:val="196"/>
            </w:pPr>
            <w:r>
              <w:rPr>
                <w:rFonts w:hint="eastAsia"/>
              </w:rPr>
              <w:t>船舶发动机</w:t>
            </w:r>
          </w:p>
        </w:tc>
        <w:tc>
          <w:tcPr>
            <w:tcW w:w="395" w:type="pct"/>
            <w:tcBorders>
              <w:top w:val="nil"/>
              <w:left w:val="nil"/>
              <w:bottom w:val="single" w:color="auto" w:sz="4" w:space="0"/>
              <w:right w:val="single" w:color="auto" w:sz="4" w:space="0"/>
            </w:tcBorders>
            <w:shd w:val="clear" w:color="auto" w:fill="auto"/>
            <w:vAlign w:val="center"/>
          </w:tcPr>
          <w:p w14:paraId="5AA0D10C">
            <w:pPr>
              <w:spacing w:line="240" w:lineRule="auto"/>
              <w:ind w:firstLine="0" w:firstLineChars="0"/>
              <w:jc w:val="center"/>
              <w:rPr>
                <w:rFonts w:eastAsia="等线" w:cs="Times New Roman"/>
                <w:kern w:val="0"/>
                <w:sz w:val="21"/>
              </w:rPr>
            </w:pPr>
            <w:r>
              <w:rPr>
                <w:rFonts w:eastAsia="等线" w:cs="Times New Roman"/>
                <w:kern w:val="0"/>
                <w:sz w:val="21"/>
              </w:rPr>
              <w:t>/</w:t>
            </w:r>
          </w:p>
        </w:tc>
        <w:tc>
          <w:tcPr>
            <w:tcW w:w="872" w:type="pct"/>
            <w:tcBorders>
              <w:top w:val="nil"/>
              <w:left w:val="nil"/>
              <w:bottom w:val="single" w:color="auto" w:sz="4" w:space="0"/>
              <w:right w:val="single" w:color="auto" w:sz="4" w:space="0"/>
            </w:tcBorders>
            <w:shd w:val="clear" w:color="auto" w:fill="auto"/>
            <w:vAlign w:val="center"/>
          </w:tcPr>
          <w:p w14:paraId="6680912C">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95" w:type="pct"/>
            <w:tcBorders>
              <w:top w:val="nil"/>
              <w:left w:val="nil"/>
              <w:bottom w:val="single" w:color="auto" w:sz="4" w:space="0"/>
              <w:right w:val="single" w:color="auto" w:sz="4" w:space="0"/>
            </w:tcBorders>
            <w:shd w:val="clear" w:color="auto" w:fill="auto"/>
            <w:vAlign w:val="center"/>
          </w:tcPr>
          <w:p w14:paraId="6D4E40B0">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95" w:type="pct"/>
            <w:tcBorders>
              <w:top w:val="nil"/>
              <w:left w:val="nil"/>
              <w:bottom w:val="single" w:color="auto" w:sz="4" w:space="0"/>
              <w:right w:val="single" w:color="auto" w:sz="4" w:space="0"/>
            </w:tcBorders>
            <w:shd w:val="clear" w:color="auto" w:fill="auto"/>
            <w:vAlign w:val="center"/>
          </w:tcPr>
          <w:p w14:paraId="6E149BDE">
            <w:pPr>
              <w:spacing w:line="240" w:lineRule="auto"/>
              <w:ind w:firstLine="0" w:firstLineChars="0"/>
              <w:jc w:val="center"/>
              <w:rPr>
                <w:rFonts w:eastAsia="等线" w:cs="Times New Roman"/>
                <w:kern w:val="0"/>
                <w:sz w:val="21"/>
              </w:rPr>
            </w:pPr>
            <w:r>
              <w:rPr>
                <w:rFonts w:eastAsia="等线" w:cs="Times New Roman"/>
                <w:kern w:val="0"/>
                <w:sz w:val="21"/>
              </w:rPr>
              <w:t>/</w:t>
            </w:r>
          </w:p>
        </w:tc>
        <w:tc>
          <w:tcPr>
            <w:tcW w:w="395" w:type="pct"/>
            <w:tcBorders>
              <w:top w:val="nil"/>
              <w:left w:val="nil"/>
              <w:bottom w:val="single" w:color="auto" w:sz="4" w:space="0"/>
              <w:right w:val="single" w:color="auto" w:sz="4" w:space="0"/>
            </w:tcBorders>
            <w:shd w:val="clear" w:color="auto" w:fill="auto"/>
            <w:vAlign w:val="center"/>
          </w:tcPr>
          <w:p w14:paraId="27AC7E46">
            <w:pPr>
              <w:spacing w:line="240" w:lineRule="auto"/>
              <w:ind w:firstLine="0" w:firstLineChars="0"/>
              <w:jc w:val="center"/>
              <w:rPr>
                <w:rFonts w:eastAsia="等线" w:cs="Times New Roman"/>
                <w:kern w:val="0"/>
                <w:sz w:val="21"/>
              </w:rPr>
            </w:pPr>
            <w:r>
              <w:rPr>
                <w:rFonts w:eastAsia="等线" w:cs="Times New Roman"/>
                <w:kern w:val="0"/>
                <w:sz w:val="21"/>
              </w:rPr>
              <w:t>0</w:t>
            </w:r>
          </w:p>
        </w:tc>
        <w:tc>
          <w:tcPr>
            <w:tcW w:w="395" w:type="pct"/>
            <w:tcBorders>
              <w:top w:val="nil"/>
              <w:left w:val="nil"/>
              <w:bottom w:val="single" w:color="auto" w:sz="4" w:space="0"/>
              <w:right w:val="single" w:color="auto" w:sz="4" w:space="0"/>
            </w:tcBorders>
            <w:shd w:val="clear" w:color="auto" w:fill="auto"/>
            <w:vAlign w:val="center"/>
          </w:tcPr>
          <w:p w14:paraId="1F750931">
            <w:pPr>
              <w:spacing w:line="240" w:lineRule="auto"/>
              <w:ind w:firstLine="0" w:firstLineChars="0"/>
              <w:jc w:val="center"/>
              <w:rPr>
                <w:rFonts w:eastAsia="等线" w:cs="Times New Roman"/>
                <w:kern w:val="0"/>
                <w:sz w:val="21"/>
              </w:rPr>
            </w:pPr>
            <w:r>
              <w:rPr>
                <w:rFonts w:eastAsia="等线" w:cs="Times New Roman"/>
                <w:kern w:val="0"/>
                <w:sz w:val="21"/>
              </w:rPr>
              <w:t>72</w:t>
            </w:r>
          </w:p>
        </w:tc>
        <w:tc>
          <w:tcPr>
            <w:tcW w:w="633" w:type="pct"/>
            <w:tcBorders>
              <w:top w:val="nil"/>
              <w:left w:val="nil"/>
              <w:bottom w:val="single" w:color="auto" w:sz="4" w:space="0"/>
              <w:right w:val="single" w:color="auto" w:sz="4" w:space="0"/>
            </w:tcBorders>
            <w:shd w:val="clear" w:color="auto" w:fill="auto"/>
            <w:vAlign w:val="center"/>
          </w:tcPr>
          <w:p w14:paraId="67EE5465">
            <w:pPr>
              <w:spacing w:line="240" w:lineRule="auto"/>
              <w:ind w:firstLine="0" w:firstLineChars="0"/>
              <w:jc w:val="center"/>
              <w:rPr>
                <w:rFonts w:hint="eastAsia" w:ascii="宋体" w:hAnsi="宋体" w:eastAsia="宋体" w:cs="宋体"/>
                <w:kern w:val="0"/>
                <w:sz w:val="21"/>
              </w:rPr>
            </w:pPr>
            <w:r>
              <w:rPr>
                <w:rFonts w:hint="eastAsia" w:ascii="宋体" w:hAnsi="宋体" w:eastAsia="宋体" w:cs="宋体"/>
                <w:kern w:val="0"/>
                <w:sz w:val="21"/>
              </w:rPr>
              <w:t>隔声</w:t>
            </w:r>
          </w:p>
        </w:tc>
        <w:tc>
          <w:tcPr>
            <w:tcW w:w="395" w:type="pct"/>
            <w:vMerge w:val="continue"/>
            <w:tcBorders>
              <w:top w:val="nil"/>
              <w:left w:val="single" w:color="auto" w:sz="4" w:space="0"/>
              <w:bottom w:val="single" w:color="auto" w:sz="4" w:space="0"/>
              <w:right w:val="single" w:color="auto" w:sz="4" w:space="0"/>
            </w:tcBorders>
            <w:vAlign w:val="center"/>
          </w:tcPr>
          <w:p w14:paraId="3D289E5A">
            <w:pPr>
              <w:spacing w:line="240" w:lineRule="auto"/>
              <w:ind w:firstLine="0" w:firstLineChars="0"/>
              <w:rPr>
                <w:rFonts w:eastAsia="等线" w:cs="Times New Roman"/>
                <w:kern w:val="0"/>
                <w:sz w:val="21"/>
              </w:rPr>
            </w:pPr>
          </w:p>
        </w:tc>
      </w:tr>
    </w:tbl>
    <w:p w14:paraId="40768024">
      <w:pPr>
        <w:pStyle w:val="196"/>
      </w:pPr>
    </w:p>
    <w:p w14:paraId="32ADE3E0">
      <w:pPr>
        <w:ind w:firstLine="482"/>
        <w:rPr>
          <w:b/>
          <w:bCs/>
        </w:rPr>
        <w:sectPr>
          <w:pgSz w:w="16838" w:h="11905" w:orient="landscape"/>
          <w:pgMar w:top="1800" w:right="1440" w:bottom="1800" w:left="1440" w:header="851" w:footer="992" w:gutter="0"/>
          <w:cols w:space="720" w:num="1"/>
          <w:docGrid w:type="lines" w:linePitch="332" w:charSpace="0"/>
        </w:sectPr>
      </w:pPr>
    </w:p>
    <w:p w14:paraId="3D2ACA97">
      <w:pPr>
        <w:pStyle w:val="84"/>
      </w:pPr>
      <w:r>
        <w:rPr>
          <w:rFonts w:hint="eastAsia"/>
        </w:rPr>
        <w:t>噪声预测结果与评价</w:t>
      </w:r>
    </w:p>
    <w:p w14:paraId="2DAAD7AD">
      <w:pPr>
        <w:ind w:firstLine="480"/>
      </w:pPr>
      <w:r>
        <w:rPr>
          <w:rFonts w:ascii="宋体" w:hAnsi="宋体"/>
          <w:kern w:val="0"/>
          <w:szCs w:val="24"/>
        </w:rPr>
        <w:t>本项目</w:t>
      </w:r>
      <w:r>
        <w:rPr>
          <w:rFonts w:hint="eastAsia" w:ascii="宋体" w:hAnsi="宋体"/>
          <w:kern w:val="0"/>
          <w:szCs w:val="24"/>
        </w:rPr>
        <w:t>与最近的敏感目标距离超过</w:t>
      </w:r>
      <w:r>
        <w:rPr>
          <w:kern w:val="0"/>
          <w:szCs w:val="24"/>
        </w:rPr>
        <w:t>5</w:t>
      </w:r>
      <w:r>
        <w:rPr>
          <w:rFonts w:hint="eastAsia"/>
          <w:kern w:val="0"/>
          <w:szCs w:val="24"/>
        </w:rPr>
        <w:t>00m</w:t>
      </w:r>
      <w:r>
        <w:rPr>
          <w:rFonts w:ascii="宋体" w:hAnsi="宋体"/>
          <w:kern w:val="0"/>
          <w:szCs w:val="24"/>
        </w:rPr>
        <w:t>，因此本次评价不对敏感点噪声进行分析。</w:t>
      </w:r>
      <w:r>
        <w:rPr>
          <w:rFonts w:hint="eastAsia"/>
        </w:rPr>
        <w:t>通过预测模式计算，昼、夜厂界噪声预测结果，见表5.2-11。</w:t>
      </w:r>
    </w:p>
    <w:p w14:paraId="0E20D301">
      <w:pPr>
        <w:pStyle w:val="86"/>
      </w:pPr>
      <w:r>
        <w:rPr>
          <w:rFonts w:hint="eastAsia"/>
        </w:rPr>
        <w:t>噪声预测结果   单位：dB(A)</w:t>
      </w:r>
    </w:p>
    <w:tbl>
      <w:tblPr>
        <w:tblStyle w:val="38"/>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2"/>
        <w:gridCol w:w="561"/>
        <w:gridCol w:w="566"/>
        <w:gridCol w:w="557"/>
        <w:gridCol w:w="567"/>
        <w:gridCol w:w="554"/>
        <w:gridCol w:w="568"/>
        <w:gridCol w:w="552"/>
        <w:gridCol w:w="570"/>
        <w:gridCol w:w="550"/>
        <w:gridCol w:w="572"/>
        <w:gridCol w:w="548"/>
        <w:gridCol w:w="574"/>
        <w:gridCol w:w="546"/>
        <w:gridCol w:w="579"/>
      </w:tblGrid>
      <w:tr w14:paraId="4C74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vMerge w:val="restart"/>
            <w:tcBorders>
              <w:top w:val="single" w:color="auto" w:sz="4" w:space="0"/>
              <w:left w:val="single" w:color="auto" w:sz="4" w:space="0"/>
              <w:bottom w:val="single" w:color="auto" w:sz="4" w:space="0"/>
              <w:right w:val="single" w:color="auto" w:sz="4" w:space="0"/>
            </w:tcBorders>
            <w:vAlign w:val="center"/>
          </w:tcPr>
          <w:p w14:paraId="1C4B87F6">
            <w:pPr>
              <w:pStyle w:val="196"/>
            </w:pPr>
            <w:r>
              <w:t>测点编号</w:t>
            </w:r>
          </w:p>
        </w:tc>
        <w:tc>
          <w:tcPr>
            <w:tcW w:w="1125" w:type="dxa"/>
            <w:gridSpan w:val="2"/>
            <w:tcBorders>
              <w:top w:val="single" w:color="auto" w:sz="4" w:space="0"/>
              <w:left w:val="single" w:color="auto" w:sz="4" w:space="0"/>
              <w:bottom w:val="single" w:color="auto" w:sz="4" w:space="0"/>
              <w:right w:val="single" w:color="auto" w:sz="4" w:space="0"/>
            </w:tcBorders>
          </w:tcPr>
          <w:p w14:paraId="18AB9D7E">
            <w:pPr>
              <w:pStyle w:val="196"/>
            </w:pPr>
            <w:r>
              <w:t>噪声背景值（dB（A））</w:t>
            </w:r>
          </w:p>
        </w:tc>
        <w:tc>
          <w:tcPr>
            <w:tcW w:w="1122" w:type="dxa"/>
            <w:gridSpan w:val="2"/>
            <w:tcBorders>
              <w:top w:val="single" w:color="auto" w:sz="4" w:space="0"/>
              <w:left w:val="single" w:color="auto" w:sz="4" w:space="0"/>
              <w:bottom w:val="single" w:color="auto" w:sz="4" w:space="0"/>
              <w:right w:val="single" w:color="auto" w:sz="4" w:space="0"/>
            </w:tcBorders>
          </w:tcPr>
          <w:p w14:paraId="0AC5BC4D">
            <w:pPr>
              <w:pStyle w:val="196"/>
            </w:pPr>
            <w:r>
              <w:t>噪声现状值（dB（A））</w:t>
            </w:r>
          </w:p>
        </w:tc>
        <w:tc>
          <w:tcPr>
            <w:tcW w:w="1120" w:type="dxa"/>
            <w:gridSpan w:val="2"/>
            <w:tcBorders>
              <w:top w:val="single" w:color="auto" w:sz="4" w:space="0"/>
              <w:left w:val="single" w:color="auto" w:sz="4" w:space="0"/>
              <w:bottom w:val="single" w:color="auto" w:sz="4" w:space="0"/>
              <w:right w:val="single" w:color="auto" w:sz="4" w:space="0"/>
            </w:tcBorders>
          </w:tcPr>
          <w:p w14:paraId="5ED57B10">
            <w:pPr>
              <w:pStyle w:val="196"/>
            </w:pPr>
            <w:r>
              <w:t>噪声标准（dB（A））</w:t>
            </w:r>
          </w:p>
        </w:tc>
        <w:tc>
          <w:tcPr>
            <w:tcW w:w="1120" w:type="dxa"/>
            <w:gridSpan w:val="2"/>
            <w:tcBorders>
              <w:top w:val="single" w:color="auto" w:sz="4" w:space="0"/>
              <w:left w:val="single" w:color="auto" w:sz="4" w:space="0"/>
              <w:bottom w:val="single" w:color="auto" w:sz="4" w:space="0"/>
              <w:right w:val="single" w:color="auto" w:sz="4" w:space="0"/>
            </w:tcBorders>
          </w:tcPr>
          <w:p w14:paraId="3EDEEB48">
            <w:pPr>
              <w:pStyle w:val="196"/>
            </w:pPr>
            <w:r>
              <w:t>噪声贡献值</w:t>
            </w:r>
            <w:r>
              <w:rPr>
                <w:rFonts w:hint="eastAsia"/>
                <w:vertAlign w:val="superscript"/>
              </w:rPr>
              <w:t>①</w:t>
            </w:r>
            <w:r>
              <w:t>（dB（A））</w:t>
            </w:r>
          </w:p>
        </w:tc>
        <w:tc>
          <w:tcPr>
            <w:tcW w:w="1120" w:type="dxa"/>
            <w:gridSpan w:val="2"/>
            <w:tcBorders>
              <w:top w:val="single" w:color="auto" w:sz="4" w:space="0"/>
              <w:left w:val="single" w:color="auto" w:sz="4" w:space="0"/>
              <w:bottom w:val="single" w:color="auto" w:sz="4" w:space="0"/>
              <w:right w:val="single" w:color="auto" w:sz="4" w:space="0"/>
            </w:tcBorders>
          </w:tcPr>
          <w:p w14:paraId="08F4F42A">
            <w:pPr>
              <w:pStyle w:val="196"/>
            </w:pPr>
            <w:r>
              <w:t>噪声预测值（dB（A））</w:t>
            </w:r>
          </w:p>
        </w:tc>
        <w:tc>
          <w:tcPr>
            <w:tcW w:w="1120" w:type="dxa"/>
            <w:gridSpan w:val="2"/>
            <w:tcBorders>
              <w:top w:val="single" w:color="auto" w:sz="4" w:space="0"/>
              <w:left w:val="single" w:color="auto" w:sz="4" w:space="0"/>
              <w:bottom w:val="single" w:color="auto" w:sz="4" w:space="0"/>
              <w:right w:val="single" w:color="auto" w:sz="4" w:space="0"/>
            </w:tcBorders>
          </w:tcPr>
          <w:p w14:paraId="38479BEA">
            <w:pPr>
              <w:pStyle w:val="196"/>
            </w:pPr>
            <w:r>
              <w:t>较现状增量（dB（A））</w:t>
            </w:r>
          </w:p>
        </w:tc>
        <w:tc>
          <w:tcPr>
            <w:tcW w:w="1123" w:type="dxa"/>
            <w:gridSpan w:val="2"/>
            <w:tcBorders>
              <w:top w:val="single" w:color="auto" w:sz="4" w:space="0"/>
              <w:left w:val="single" w:color="auto" w:sz="4" w:space="0"/>
              <w:bottom w:val="single" w:color="auto" w:sz="4" w:space="0"/>
              <w:right w:val="single" w:color="auto" w:sz="4" w:space="0"/>
            </w:tcBorders>
          </w:tcPr>
          <w:p w14:paraId="2E3543BD">
            <w:pPr>
              <w:pStyle w:val="196"/>
            </w:pPr>
            <w:r>
              <w:t>达标情况（dB（A））</w:t>
            </w:r>
          </w:p>
        </w:tc>
      </w:tr>
      <w:tr w14:paraId="16FBC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vMerge w:val="continue"/>
            <w:tcBorders>
              <w:top w:val="single" w:color="auto" w:sz="4" w:space="0"/>
              <w:left w:val="single" w:color="auto" w:sz="4" w:space="0"/>
              <w:bottom w:val="single" w:color="auto" w:sz="4" w:space="0"/>
              <w:right w:val="single" w:color="auto" w:sz="4" w:space="0"/>
            </w:tcBorders>
            <w:vAlign w:val="center"/>
          </w:tcPr>
          <w:p w14:paraId="2B89C6D2">
            <w:pPr>
              <w:pStyle w:val="196"/>
            </w:pPr>
          </w:p>
        </w:tc>
        <w:tc>
          <w:tcPr>
            <w:tcW w:w="560" w:type="dxa"/>
            <w:tcBorders>
              <w:top w:val="single" w:color="auto" w:sz="4" w:space="0"/>
              <w:left w:val="single" w:color="auto" w:sz="4" w:space="0"/>
              <w:bottom w:val="single" w:color="auto" w:sz="4" w:space="0"/>
              <w:right w:val="single" w:color="auto" w:sz="4" w:space="0"/>
            </w:tcBorders>
          </w:tcPr>
          <w:p w14:paraId="5F9D3F9A">
            <w:pPr>
              <w:pStyle w:val="196"/>
            </w:pPr>
            <w:r>
              <w:t>昼间</w:t>
            </w:r>
          </w:p>
        </w:tc>
        <w:tc>
          <w:tcPr>
            <w:tcW w:w="565" w:type="dxa"/>
            <w:tcBorders>
              <w:top w:val="single" w:color="auto" w:sz="4" w:space="0"/>
              <w:left w:val="single" w:color="auto" w:sz="4" w:space="0"/>
              <w:bottom w:val="single" w:color="auto" w:sz="4" w:space="0"/>
              <w:right w:val="single" w:color="auto" w:sz="4" w:space="0"/>
            </w:tcBorders>
          </w:tcPr>
          <w:p w14:paraId="2E9DE491">
            <w:pPr>
              <w:pStyle w:val="196"/>
            </w:pPr>
            <w:r>
              <w:t>夜间</w:t>
            </w:r>
          </w:p>
        </w:tc>
        <w:tc>
          <w:tcPr>
            <w:tcW w:w="556" w:type="dxa"/>
            <w:tcBorders>
              <w:top w:val="single" w:color="auto" w:sz="4" w:space="0"/>
              <w:left w:val="single" w:color="auto" w:sz="4" w:space="0"/>
              <w:bottom w:val="single" w:color="auto" w:sz="4" w:space="0"/>
              <w:right w:val="single" w:color="auto" w:sz="4" w:space="0"/>
            </w:tcBorders>
          </w:tcPr>
          <w:p w14:paraId="7A565E8C">
            <w:pPr>
              <w:pStyle w:val="196"/>
            </w:pPr>
            <w:r>
              <w:t>昼间</w:t>
            </w:r>
          </w:p>
        </w:tc>
        <w:tc>
          <w:tcPr>
            <w:tcW w:w="566" w:type="dxa"/>
            <w:tcBorders>
              <w:top w:val="single" w:color="auto" w:sz="4" w:space="0"/>
              <w:left w:val="single" w:color="auto" w:sz="4" w:space="0"/>
              <w:bottom w:val="single" w:color="auto" w:sz="4" w:space="0"/>
              <w:right w:val="single" w:color="auto" w:sz="4" w:space="0"/>
            </w:tcBorders>
          </w:tcPr>
          <w:p w14:paraId="5E7612D3">
            <w:pPr>
              <w:pStyle w:val="196"/>
            </w:pPr>
            <w:r>
              <w:t>夜间</w:t>
            </w:r>
          </w:p>
        </w:tc>
        <w:tc>
          <w:tcPr>
            <w:tcW w:w="553" w:type="dxa"/>
            <w:tcBorders>
              <w:top w:val="single" w:color="auto" w:sz="4" w:space="0"/>
              <w:left w:val="single" w:color="auto" w:sz="4" w:space="0"/>
              <w:bottom w:val="single" w:color="auto" w:sz="4" w:space="0"/>
              <w:right w:val="single" w:color="auto" w:sz="4" w:space="0"/>
            </w:tcBorders>
          </w:tcPr>
          <w:p w14:paraId="72BD0D21">
            <w:pPr>
              <w:pStyle w:val="196"/>
            </w:pPr>
            <w:r>
              <w:t>昼间</w:t>
            </w:r>
          </w:p>
        </w:tc>
        <w:tc>
          <w:tcPr>
            <w:tcW w:w="567" w:type="dxa"/>
            <w:tcBorders>
              <w:top w:val="single" w:color="auto" w:sz="4" w:space="0"/>
              <w:left w:val="single" w:color="auto" w:sz="4" w:space="0"/>
              <w:bottom w:val="single" w:color="auto" w:sz="4" w:space="0"/>
              <w:right w:val="single" w:color="auto" w:sz="4" w:space="0"/>
            </w:tcBorders>
          </w:tcPr>
          <w:p w14:paraId="59AD9B14">
            <w:pPr>
              <w:pStyle w:val="196"/>
            </w:pPr>
            <w:r>
              <w:t>夜间</w:t>
            </w:r>
          </w:p>
        </w:tc>
        <w:tc>
          <w:tcPr>
            <w:tcW w:w="551" w:type="dxa"/>
            <w:tcBorders>
              <w:top w:val="single" w:color="auto" w:sz="4" w:space="0"/>
              <w:left w:val="single" w:color="auto" w:sz="4" w:space="0"/>
              <w:bottom w:val="single" w:color="auto" w:sz="4" w:space="0"/>
              <w:right w:val="single" w:color="auto" w:sz="4" w:space="0"/>
            </w:tcBorders>
          </w:tcPr>
          <w:p w14:paraId="74234446">
            <w:pPr>
              <w:pStyle w:val="196"/>
            </w:pPr>
            <w:r>
              <w:t>昼间</w:t>
            </w:r>
          </w:p>
        </w:tc>
        <w:tc>
          <w:tcPr>
            <w:tcW w:w="569" w:type="dxa"/>
            <w:tcBorders>
              <w:top w:val="single" w:color="auto" w:sz="4" w:space="0"/>
              <w:left w:val="single" w:color="auto" w:sz="4" w:space="0"/>
              <w:bottom w:val="single" w:color="auto" w:sz="4" w:space="0"/>
              <w:right w:val="single" w:color="auto" w:sz="4" w:space="0"/>
            </w:tcBorders>
          </w:tcPr>
          <w:p w14:paraId="07FF34DC">
            <w:pPr>
              <w:pStyle w:val="196"/>
            </w:pPr>
            <w:r>
              <w:t>夜间</w:t>
            </w:r>
          </w:p>
        </w:tc>
        <w:tc>
          <w:tcPr>
            <w:tcW w:w="549" w:type="dxa"/>
            <w:tcBorders>
              <w:top w:val="single" w:color="auto" w:sz="4" w:space="0"/>
              <w:left w:val="single" w:color="auto" w:sz="4" w:space="0"/>
              <w:bottom w:val="single" w:color="auto" w:sz="4" w:space="0"/>
              <w:right w:val="single" w:color="auto" w:sz="4" w:space="0"/>
            </w:tcBorders>
          </w:tcPr>
          <w:p w14:paraId="649B801C">
            <w:pPr>
              <w:pStyle w:val="196"/>
            </w:pPr>
            <w:r>
              <w:t>昼间</w:t>
            </w:r>
          </w:p>
        </w:tc>
        <w:tc>
          <w:tcPr>
            <w:tcW w:w="571" w:type="dxa"/>
            <w:tcBorders>
              <w:top w:val="single" w:color="auto" w:sz="4" w:space="0"/>
              <w:left w:val="single" w:color="auto" w:sz="4" w:space="0"/>
              <w:bottom w:val="single" w:color="auto" w:sz="4" w:space="0"/>
              <w:right w:val="single" w:color="auto" w:sz="4" w:space="0"/>
            </w:tcBorders>
          </w:tcPr>
          <w:p w14:paraId="3C8EA81C">
            <w:pPr>
              <w:pStyle w:val="196"/>
            </w:pPr>
            <w:r>
              <w:t>夜间</w:t>
            </w:r>
          </w:p>
        </w:tc>
        <w:tc>
          <w:tcPr>
            <w:tcW w:w="547" w:type="dxa"/>
            <w:tcBorders>
              <w:top w:val="single" w:color="auto" w:sz="4" w:space="0"/>
              <w:left w:val="single" w:color="auto" w:sz="4" w:space="0"/>
              <w:bottom w:val="single" w:color="auto" w:sz="4" w:space="0"/>
              <w:right w:val="single" w:color="auto" w:sz="4" w:space="0"/>
            </w:tcBorders>
          </w:tcPr>
          <w:p w14:paraId="47D41044">
            <w:pPr>
              <w:pStyle w:val="196"/>
            </w:pPr>
            <w:r>
              <w:t>昼间</w:t>
            </w:r>
          </w:p>
        </w:tc>
        <w:tc>
          <w:tcPr>
            <w:tcW w:w="573" w:type="dxa"/>
            <w:tcBorders>
              <w:top w:val="single" w:color="auto" w:sz="4" w:space="0"/>
              <w:left w:val="single" w:color="auto" w:sz="4" w:space="0"/>
              <w:bottom w:val="single" w:color="auto" w:sz="4" w:space="0"/>
              <w:right w:val="single" w:color="auto" w:sz="4" w:space="0"/>
            </w:tcBorders>
          </w:tcPr>
          <w:p w14:paraId="2D80CF3B">
            <w:pPr>
              <w:pStyle w:val="196"/>
            </w:pPr>
            <w:r>
              <w:t>夜间</w:t>
            </w:r>
          </w:p>
        </w:tc>
        <w:tc>
          <w:tcPr>
            <w:tcW w:w="545" w:type="dxa"/>
            <w:tcBorders>
              <w:top w:val="single" w:color="auto" w:sz="4" w:space="0"/>
              <w:left w:val="single" w:color="auto" w:sz="4" w:space="0"/>
              <w:bottom w:val="single" w:color="auto" w:sz="4" w:space="0"/>
              <w:right w:val="single" w:color="auto" w:sz="4" w:space="0"/>
            </w:tcBorders>
          </w:tcPr>
          <w:p w14:paraId="419ACBB2">
            <w:pPr>
              <w:pStyle w:val="196"/>
            </w:pPr>
            <w:r>
              <w:t>昼间</w:t>
            </w:r>
          </w:p>
        </w:tc>
        <w:tc>
          <w:tcPr>
            <w:tcW w:w="578" w:type="dxa"/>
            <w:tcBorders>
              <w:top w:val="single" w:color="auto" w:sz="4" w:space="0"/>
              <w:left w:val="single" w:color="auto" w:sz="4" w:space="0"/>
              <w:bottom w:val="single" w:color="auto" w:sz="4" w:space="0"/>
              <w:right w:val="single" w:color="auto" w:sz="4" w:space="0"/>
            </w:tcBorders>
          </w:tcPr>
          <w:p w14:paraId="6A854D85">
            <w:pPr>
              <w:pStyle w:val="196"/>
            </w:pPr>
            <w:r>
              <w:t>夜间</w:t>
            </w:r>
          </w:p>
        </w:tc>
      </w:tr>
      <w:tr w14:paraId="2840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4759E76">
            <w:pPr>
              <w:pStyle w:val="196"/>
            </w:pPr>
            <w:r>
              <w:t>N1</w:t>
            </w:r>
          </w:p>
        </w:tc>
        <w:tc>
          <w:tcPr>
            <w:tcW w:w="560" w:type="dxa"/>
            <w:tcBorders>
              <w:top w:val="single" w:color="auto" w:sz="4" w:space="0"/>
              <w:left w:val="single" w:color="auto" w:sz="4" w:space="0"/>
              <w:bottom w:val="single" w:color="auto" w:sz="4" w:space="0"/>
              <w:right w:val="single" w:color="auto" w:sz="4" w:space="0"/>
            </w:tcBorders>
            <w:vAlign w:val="center"/>
          </w:tcPr>
          <w:p w14:paraId="3F4CE4D1">
            <w:pPr>
              <w:pStyle w:val="196"/>
            </w:pPr>
            <w:r>
              <w:rPr>
                <w:rFonts w:eastAsia="等线"/>
              </w:rPr>
              <w:t>53</w:t>
            </w:r>
          </w:p>
        </w:tc>
        <w:tc>
          <w:tcPr>
            <w:tcW w:w="565" w:type="dxa"/>
            <w:tcBorders>
              <w:top w:val="single" w:color="auto" w:sz="4" w:space="0"/>
              <w:left w:val="single" w:color="auto" w:sz="4" w:space="0"/>
              <w:bottom w:val="single" w:color="auto" w:sz="4" w:space="0"/>
              <w:right w:val="single" w:color="auto" w:sz="4" w:space="0"/>
            </w:tcBorders>
            <w:vAlign w:val="center"/>
          </w:tcPr>
          <w:p w14:paraId="03F2F880">
            <w:pPr>
              <w:pStyle w:val="196"/>
            </w:pPr>
            <w:r>
              <w:rPr>
                <w:rFonts w:eastAsia="等线"/>
              </w:rPr>
              <w:t>43</w:t>
            </w:r>
          </w:p>
        </w:tc>
        <w:tc>
          <w:tcPr>
            <w:tcW w:w="556" w:type="dxa"/>
            <w:tcBorders>
              <w:top w:val="single" w:color="auto" w:sz="4" w:space="0"/>
              <w:left w:val="single" w:color="auto" w:sz="4" w:space="0"/>
              <w:bottom w:val="single" w:color="auto" w:sz="4" w:space="0"/>
              <w:right w:val="single" w:color="auto" w:sz="4" w:space="0"/>
            </w:tcBorders>
            <w:vAlign w:val="center"/>
          </w:tcPr>
          <w:p w14:paraId="1B34006C">
            <w:pPr>
              <w:pStyle w:val="196"/>
            </w:pPr>
            <w:r>
              <w:rPr>
                <w:rFonts w:eastAsia="等线"/>
              </w:rPr>
              <w:t>53</w:t>
            </w:r>
          </w:p>
        </w:tc>
        <w:tc>
          <w:tcPr>
            <w:tcW w:w="566" w:type="dxa"/>
            <w:tcBorders>
              <w:top w:val="single" w:color="auto" w:sz="4" w:space="0"/>
              <w:left w:val="single" w:color="auto" w:sz="4" w:space="0"/>
              <w:bottom w:val="single" w:color="auto" w:sz="4" w:space="0"/>
              <w:right w:val="single" w:color="auto" w:sz="4" w:space="0"/>
            </w:tcBorders>
            <w:vAlign w:val="center"/>
          </w:tcPr>
          <w:p w14:paraId="3500F25F">
            <w:pPr>
              <w:pStyle w:val="196"/>
            </w:pPr>
            <w:r>
              <w:rPr>
                <w:rFonts w:eastAsia="等线"/>
              </w:rPr>
              <w:t>43</w:t>
            </w:r>
          </w:p>
        </w:tc>
        <w:tc>
          <w:tcPr>
            <w:tcW w:w="553" w:type="dxa"/>
            <w:tcBorders>
              <w:top w:val="single" w:color="auto" w:sz="4" w:space="0"/>
              <w:left w:val="single" w:color="auto" w:sz="4" w:space="0"/>
              <w:bottom w:val="single" w:color="auto" w:sz="4" w:space="0"/>
              <w:right w:val="single" w:color="auto" w:sz="4" w:space="0"/>
            </w:tcBorders>
            <w:vAlign w:val="center"/>
          </w:tcPr>
          <w:p w14:paraId="005EF6C4">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562D5EEB">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259F5389">
            <w:pPr>
              <w:pStyle w:val="196"/>
            </w:pPr>
            <w:r>
              <w:rPr>
                <w:rFonts w:hint="eastAsia"/>
                <w:lang w:val="en-US"/>
              </w:rPr>
              <w:t>53.9</w:t>
            </w:r>
          </w:p>
        </w:tc>
        <w:tc>
          <w:tcPr>
            <w:tcW w:w="569" w:type="dxa"/>
            <w:tcBorders>
              <w:top w:val="single" w:color="auto" w:sz="4" w:space="0"/>
              <w:left w:val="single" w:color="auto" w:sz="4" w:space="0"/>
              <w:bottom w:val="single" w:color="auto" w:sz="4" w:space="0"/>
              <w:right w:val="single" w:color="auto" w:sz="4" w:space="0"/>
            </w:tcBorders>
            <w:vAlign w:val="center"/>
          </w:tcPr>
          <w:p w14:paraId="6C5481CA">
            <w:pPr>
              <w:pStyle w:val="196"/>
            </w:pPr>
            <w:r>
              <w:rPr>
                <w:rFonts w:hint="eastAsia"/>
                <w:lang w:val="en-US"/>
              </w:rPr>
              <w:t>53.9</w:t>
            </w:r>
          </w:p>
        </w:tc>
        <w:tc>
          <w:tcPr>
            <w:tcW w:w="549" w:type="dxa"/>
            <w:tcBorders>
              <w:top w:val="single" w:color="auto" w:sz="4" w:space="0"/>
              <w:left w:val="single" w:color="auto" w:sz="4" w:space="0"/>
              <w:bottom w:val="single" w:color="auto" w:sz="4" w:space="0"/>
              <w:right w:val="single" w:color="auto" w:sz="4" w:space="0"/>
            </w:tcBorders>
            <w:vAlign w:val="center"/>
          </w:tcPr>
          <w:p w14:paraId="0104061E">
            <w:pPr>
              <w:pStyle w:val="196"/>
            </w:pPr>
            <w:r>
              <w:rPr>
                <w:lang w:val="en-US"/>
              </w:rPr>
              <w:t xml:space="preserve">56.5 </w:t>
            </w:r>
          </w:p>
        </w:tc>
        <w:tc>
          <w:tcPr>
            <w:tcW w:w="571" w:type="dxa"/>
            <w:tcBorders>
              <w:top w:val="single" w:color="auto" w:sz="4" w:space="0"/>
              <w:left w:val="single" w:color="auto" w:sz="4" w:space="0"/>
              <w:bottom w:val="single" w:color="auto" w:sz="4" w:space="0"/>
              <w:right w:val="single" w:color="auto" w:sz="4" w:space="0"/>
            </w:tcBorders>
            <w:vAlign w:val="center"/>
          </w:tcPr>
          <w:p w14:paraId="126B5763">
            <w:pPr>
              <w:pStyle w:val="196"/>
            </w:pPr>
            <w:r>
              <w:rPr>
                <w:lang w:val="en-US"/>
              </w:rPr>
              <w:t xml:space="preserve">54.2 </w:t>
            </w:r>
          </w:p>
        </w:tc>
        <w:tc>
          <w:tcPr>
            <w:tcW w:w="547" w:type="dxa"/>
            <w:tcBorders>
              <w:top w:val="single" w:color="auto" w:sz="4" w:space="0"/>
              <w:left w:val="single" w:color="auto" w:sz="4" w:space="0"/>
              <w:bottom w:val="single" w:color="auto" w:sz="4" w:space="0"/>
              <w:right w:val="single" w:color="auto" w:sz="4" w:space="0"/>
            </w:tcBorders>
            <w:vAlign w:val="center"/>
          </w:tcPr>
          <w:p w14:paraId="3B042411">
            <w:pPr>
              <w:pStyle w:val="196"/>
            </w:pPr>
            <w:r>
              <w:rPr>
                <w:lang w:val="en-US"/>
              </w:rPr>
              <w:t xml:space="preserve">3.48 </w:t>
            </w:r>
          </w:p>
        </w:tc>
        <w:tc>
          <w:tcPr>
            <w:tcW w:w="573" w:type="dxa"/>
            <w:tcBorders>
              <w:top w:val="single" w:color="auto" w:sz="4" w:space="0"/>
              <w:left w:val="single" w:color="auto" w:sz="4" w:space="0"/>
              <w:bottom w:val="single" w:color="auto" w:sz="4" w:space="0"/>
              <w:right w:val="single" w:color="auto" w:sz="4" w:space="0"/>
            </w:tcBorders>
            <w:vAlign w:val="center"/>
          </w:tcPr>
          <w:p w14:paraId="28E880DF">
            <w:pPr>
              <w:pStyle w:val="196"/>
            </w:pPr>
            <w:r>
              <w:rPr>
                <w:lang w:val="en-US"/>
              </w:rPr>
              <w:t xml:space="preserve">11.24 </w:t>
            </w:r>
          </w:p>
        </w:tc>
        <w:tc>
          <w:tcPr>
            <w:tcW w:w="545" w:type="dxa"/>
            <w:tcBorders>
              <w:top w:val="single" w:color="auto" w:sz="4" w:space="0"/>
              <w:left w:val="single" w:color="auto" w:sz="4" w:space="0"/>
              <w:bottom w:val="single" w:color="auto" w:sz="4" w:space="0"/>
              <w:right w:val="single" w:color="auto" w:sz="4" w:space="0"/>
            </w:tcBorders>
          </w:tcPr>
          <w:p w14:paraId="7AA4C153">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1D9996F3">
            <w:pPr>
              <w:pStyle w:val="196"/>
            </w:pPr>
            <w:r>
              <w:t>达标</w:t>
            </w:r>
          </w:p>
        </w:tc>
      </w:tr>
      <w:tr w14:paraId="5384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1DD8A33">
            <w:pPr>
              <w:pStyle w:val="196"/>
            </w:pPr>
            <w:r>
              <w:t>N2</w:t>
            </w:r>
          </w:p>
        </w:tc>
        <w:tc>
          <w:tcPr>
            <w:tcW w:w="560" w:type="dxa"/>
            <w:tcBorders>
              <w:top w:val="single" w:color="auto" w:sz="4" w:space="0"/>
              <w:left w:val="single" w:color="auto" w:sz="4" w:space="0"/>
              <w:bottom w:val="single" w:color="auto" w:sz="4" w:space="0"/>
              <w:right w:val="single" w:color="auto" w:sz="4" w:space="0"/>
            </w:tcBorders>
            <w:vAlign w:val="center"/>
          </w:tcPr>
          <w:p w14:paraId="3B0B9A39">
            <w:pPr>
              <w:pStyle w:val="196"/>
            </w:pPr>
            <w:r>
              <w:rPr>
                <w:rFonts w:eastAsia="等线"/>
              </w:rPr>
              <w:t>54</w:t>
            </w:r>
          </w:p>
        </w:tc>
        <w:tc>
          <w:tcPr>
            <w:tcW w:w="565" w:type="dxa"/>
            <w:tcBorders>
              <w:top w:val="single" w:color="auto" w:sz="4" w:space="0"/>
              <w:left w:val="single" w:color="auto" w:sz="4" w:space="0"/>
              <w:bottom w:val="single" w:color="auto" w:sz="4" w:space="0"/>
              <w:right w:val="single" w:color="auto" w:sz="4" w:space="0"/>
            </w:tcBorders>
            <w:vAlign w:val="center"/>
          </w:tcPr>
          <w:p w14:paraId="4728526D">
            <w:pPr>
              <w:pStyle w:val="196"/>
            </w:pPr>
            <w:r>
              <w:rPr>
                <w:rFonts w:eastAsia="等线"/>
              </w:rPr>
              <w:t>42</w:t>
            </w:r>
          </w:p>
        </w:tc>
        <w:tc>
          <w:tcPr>
            <w:tcW w:w="556" w:type="dxa"/>
            <w:tcBorders>
              <w:top w:val="single" w:color="auto" w:sz="4" w:space="0"/>
              <w:left w:val="single" w:color="auto" w:sz="4" w:space="0"/>
              <w:bottom w:val="single" w:color="auto" w:sz="4" w:space="0"/>
              <w:right w:val="single" w:color="auto" w:sz="4" w:space="0"/>
            </w:tcBorders>
            <w:vAlign w:val="center"/>
          </w:tcPr>
          <w:p w14:paraId="70EEF1A4">
            <w:pPr>
              <w:pStyle w:val="196"/>
            </w:pPr>
            <w:r>
              <w:rPr>
                <w:rFonts w:eastAsia="等线"/>
              </w:rPr>
              <w:t>54</w:t>
            </w:r>
          </w:p>
        </w:tc>
        <w:tc>
          <w:tcPr>
            <w:tcW w:w="566" w:type="dxa"/>
            <w:tcBorders>
              <w:top w:val="single" w:color="auto" w:sz="4" w:space="0"/>
              <w:left w:val="single" w:color="auto" w:sz="4" w:space="0"/>
              <w:bottom w:val="single" w:color="auto" w:sz="4" w:space="0"/>
              <w:right w:val="single" w:color="auto" w:sz="4" w:space="0"/>
            </w:tcBorders>
            <w:vAlign w:val="center"/>
          </w:tcPr>
          <w:p w14:paraId="19B91CD0">
            <w:pPr>
              <w:pStyle w:val="196"/>
            </w:pPr>
            <w:r>
              <w:rPr>
                <w:rFonts w:eastAsia="等线"/>
              </w:rPr>
              <w:t>42</w:t>
            </w:r>
          </w:p>
        </w:tc>
        <w:tc>
          <w:tcPr>
            <w:tcW w:w="553" w:type="dxa"/>
            <w:tcBorders>
              <w:top w:val="single" w:color="auto" w:sz="4" w:space="0"/>
              <w:left w:val="single" w:color="auto" w:sz="4" w:space="0"/>
              <w:bottom w:val="single" w:color="auto" w:sz="4" w:space="0"/>
              <w:right w:val="single" w:color="auto" w:sz="4" w:space="0"/>
            </w:tcBorders>
            <w:vAlign w:val="center"/>
          </w:tcPr>
          <w:p w14:paraId="6D931154">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3E0CC571">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0AFF58B2">
            <w:pPr>
              <w:pStyle w:val="196"/>
            </w:pPr>
            <w:r>
              <w:rPr>
                <w:rFonts w:hint="eastAsia"/>
                <w:lang w:val="en-US"/>
              </w:rPr>
              <w:t>33.7</w:t>
            </w:r>
          </w:p>
        </w:tc>
        <w:tc>
          <w:tcPr>
            <w:tcW w:w="569" w:type="dxa"/>
            <w:tcBorders>
              <w:top w:val="single" w:color="auto" w:sz="4" w:space="0"/>
              <w:left w:val="single" w:color="auto" w:sz="4" w:space="0"/>
              <w:bottom w:val="single" w:color="auto" w:sz="4" w:space="0"/>
              <w:right w:val="single" w:color="auto" w:sz="4" w:space="0"/>
            </w:tcBorders>
            <w:vAlign w:val="center"/>
          </w:tcPr>
          <w:p w14:paraId="00FA5393">
            <w:pPr>
              <w:pStyle w:val="196"/>
            </w:pPr>
            <w:r>
              <w:rPr>
                <w:rFonts w:hint="eastAsia"/>
                <w:lang w:val="en-US"/>
              </w:rPr>
              <w:t>33.7</w:t>
            </w:r>
          </w:p>
        </w:tc>
        <w:tc>
          <w:tcPr>
            <w:tcW w:w="549" w:type="dxa"/>
            <w:tcBorders>
              <w:top w:val="single" w:color="auto" w:sz="4" w:space="0"/>
              <w:left w:val="single" w:color="auto" w:sz="4" w:space="0"/>
              <w:bottom w:val="single" w:color="auto" w:sz="4" w:space="0"/>
              <w:right w:val="single" w:color="auto" w:sz="4" w:space="0"/>
            </w:tcBorders>
            <w:vAlign w:val="center"/>
          </w:tcPr>
          <w:p w14:paraId="1E64D6A4">
            <w:pPr>
              <w:pStyle w:val="196"/>
            </w:pPr>
            <w:r>
              <w:rPr>
                <w:lang w:val="en-US"/>
              </w:rPr>
              <w:t xml:space="preserve">54.0 </w:t>
            </w:r>
          </w:p>
        </w:tc>
        <w:tc>
          <w:tcPr>
            <w:tcW w:w="571" w:type="dxa"/>
            <w:tcBorders>
              <w:top w:val="single" w:color="auto" w:sz="4" w:space="0"/>
              <w:left w:val="single" w:color="auto" w:sz="4" w:space="0"/>
              <w:bottom w:val="single" w:color="auto" w:sz="4" w:space="0"/>
              <w:right w:val="single" w:color="auto" w:sz="4" w:space="0"/>
            </w:tcBorders>
            <w:vAlign w:val="center"/>
          </w:tcPr>
          <w:p w14:paraId="1D8B19D0">
            <w:pPr>
              <w:pStyle w:val="196"/>
            </w:pPr>
            <w:r>
              <w:rPr>
                <w:lang w:val="en-US"/>
              </w:rPr>
              <w:t xml:space="preserve">42.6 </w:t>
            </w:r>
          </w:p>
        </w:tc>
        <w:tc>
          <w:tcPr>
            <w:tcW w:w="547" w:type="dxa"/>
            <w:tcBorders>
              <w:top w:val="single" w:color="auto" w:sz="4" w:space="0"/>
              <w:left w:val="single" w:color="auto" w:sz="4" w:space="0"/>
              <w:bottom w:val="single" w:color="auto" w:sz="4" w:space="0"/>
              <w:right w:val="single" w:color="auto" w:sz="4" w:space="0"/>
            </w:tcBorders>
            <w:vAlign w:val="center"/>
          </w:tcPr>
          <w:p w14:paraId="7C6A036F">
            <w:pPr>
              <w:pStyle w:val="196"/>
            </w:pPr>
            <w:r>
              <w:rPr>
                <w:lang w:val="en-US"/>
              </w:rPr>
              <w:t xml:space="preserve">0.04 </w:t>
            </w:r>
          </w:p>
        </w:tc>
        <w:tc>
          <w:tcPr>
            <w:tcW w:w="573" w:type="dxa"/>
            <w:tcBorders>
              <w:top w:val="single" w:color="auto" w:sz="4" w:space="0"/>
              <w:left w:val="single" w:color="auto" w:sz="4" w:space="0"/>
              <w:bottom w:val="single" w:color="auto" w:sz="4" w:space="0"/>
              <w:right w:val="single" w:color="auto" w:sz="4" w:space="0"/>
            </w:tcBorders>
            <w:vAlign w:val="center"/>
          </w:tcPr>
          <w:p w14:paraId="0A12AABB">
            <w:pPr>
              <w:pStyle w:val="196"/>
            </w:pPr>
            <w:r>
              <w:rPr>
                <w:lang w:val="en-US"/>
              </w:rPr>
              <w:t xml:space="preserve">0.60 </w:t>
            </w:r>
          </w:p>
        </w:tc>
        <w:tc>
          <w:tcPr>
            <w:tcW w:w="545" w:type="dxa"/>
            <w:tcBorders>
              <w:top w:val="single" w:color="auto" w:sz="4" w:space="0"/>
              <w:left w:val="single" w:color="auto" w:sz="4" w:space="0"/>
              <w:bottom w:val="single" w:color="auto" w:sz="4" w:space="0"/>
              <w:right w:val="single" w:color="auto" w:sz="4" w:space="0"/>
            </w:tcBorders>
          </w:tcPr>
          <w:p w14:paraId="092C8B4C">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0CE8A167">
            <w:pPr>
              <w:pStyle w:val="196"/>
            </w:pPr>
            <w:r>
              <w:t>达标</w:t>
            </w:r>
          </w:p>
        </w:tc>
      </w:tr>
      <w:tr w14:paraId="749D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233317A4">
            <w:pPr>
              <w:pStyle w:val="196"/>
            </w:pPr>
            <w:r>
              <w:t>N3</w:t>
            </w:r>
          </w:p>
        </w:tc>
        <w:tc>
          <w:tcPr>
            <w:tcW w:w="560" w:type="dxa"/>
            <w:tcBorders>
              <w:top w:val="single" w:color="auto" w:sz="4" w:space="0"/>
              <w:left w:val="single" w:color="auto" w:sz="4" w:space="0"/>
              <w:bottom w:val="single" w:color="auto" w:sz="4" w:space="0"/>
              <w:right w:val="single" w:color="auto" w:sz="4" w:space="0"/>
            </w:tcBorders>
            <w:vAlign w:val="center"/>
          </w:tcPr>
          <w:p w14:paraId="7A1EA8A5">
            <w:pPr>
              <w:pStyle w:val="196"/>
            </w:pPr>
            <w:r>
              <w:rPr>
                <w:rFonts w:eastAsia="等线"/>
              </w:rPr>
              <w:t>53</w:t>
            </w:r>
          </w:p>
        </w:tc>
        <w:tc>
          <w:tcPr>
            <w:tcW w:w="565" w:type="dxa"/>
            <w:tcBorders>
              <w:top w:val="single" w:color="auto" w:sz="4" w:space="0"/>
              <w:left w:val="single" w:color="auto" w:sz="4" w:space="0"/>
              <w:bottom w:val="single" w:color="auto" w:sz="4" w:space="0"/>
              <w:right w:val="single" w:color="auto" w:sz="4" w:space="0"/>
            </w:tcBorders>
            <w:vAlign w:val="center"/>
          </w:tcPr>
          <w:p w14:paraId="0538B962">
            <w:pPr>
              <w:pStyle w:val="196"/>
            </w:pPr>
            <w:r>
              <w:rPr>
                <w:rFonts w:eastAsia="等线"/>
              </w:rPr>
              <w:t>43</w:t>
            </w:r>
          </w:p>
        </w:tc>
        <w:tc>
          <w:tcPr>
            <w:tcW w:w="556" w:type="dxa"/>
            <w:tcBorders>
              <w:top w:val="single" w:color="auto" w:sz="4" w:space="0"/>
              <w:left w:val="single" w:color="auto" w:sz="4" w:space="0"/>
              <w:bottom w:val="single" w:color="auto" w:sz="4" w:space="0"/>
              <w:right w:val="single" w:color="auto" w:sz="4" w:space="0"/>
            </w:tcBorders>
            <w:vAlign w:val="center"/>
          </w:tcPr>
          <w:p w14:paraId="6C2C8664">
            <w:pPr>
              <w:pStyle w:val="196"/>
            </w:pPr>
            <w:r>
              <w:rPr>
                <w:rFonts w:eastAsia="等线"/>
              </w:rPr>
              <w:t>53</w:t>
            </w:r>
          </w:p>
        </w:tc>
        <w:tc>
          <w:tcPr>
            <w:tcW w:w="566" w:type="dxa"/>
            <w:tcBorders>
              <w:top w:val="single" w:color="auto" w:sz="4" w:space="0"/>
              <w:left w:val="single" w:color="auto" w:sz="4" w:space="0"/>
              <w:bottom w:val="single" w:color="auto" w:sz="4" w:space="0"/>
              <w:right w:val="single" w:color="auto" w:sz="4" w:space="0"/>
            </w:tcBorders>
            <w:vAlign w:val="center"/>
          </w:tcPr>
          <w:p w14:paraId="032CA776">
            <w:pPr>
              <w:pStyle w:val="196"/>
            </w:pPr>
            <w:r>
              <w:rPr>
                <w:rFonts w:eastAsia="等线"/>
              </w:rPr>
              <w:t>43</w:t>
            </w:r>
          </w:p>
        </w:tc>
        <w:tc>
          <w:tcPr>
            <w:tcW w:w="553" w:type="dxa"/>
            <w:tcBorders>
              <w:top w:val="single" w:color="auto" w:sz="4" w:space="0"/>
              <w:left w:val="single" w:color="auto" w:sz="4" w:space="0"/>
              <w:bottom w:val="single" w:color="auto" w:sz="4" w:space="0"/>
              <w:right w:val="single" w:color="auto" w:sz="4" w:space="0"/>
            </w:tcBorders>
            <w:vAlign w:val="center"/>
          </w:tcPr>
          <w:p w14:paraId="63211A87">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0803A3E3">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0EB2E2BB">
            <w:pPr>
              <w:pStyle w:val="196"/>
            </w:pPr>
            <w:r>
              <w:rPr>
                <w:rFonts w:hint="eastAsia"/>
                <w:lang w:val="en-US"/>
              </w:rPr>
              <w:t>33.8</w:t>
            </w:r>
          </w:p>
        </w:tc>
        <w:tc>
          <w:tcPr>
            <w:tcW w:w="569" w:type="dxa"/>
            <w:tcBorders>
              <w:top w:val="single" w:color="auto" w:sz="4" w:space="0"/>
              <w:left w:val="single" w:color="auto" w:sz="4" w:space="0"/>
              <w:bottom w:val="single" w:color="auto" w:sz="4" w:space="0"/>
              <w:right w:val="single" w:color="auto" w:sz="4" w:space="0"/>
            </w:tcBorders>
            <w:vAlign w:val="center"/>
          </w:tcPr>
          <w:p w14:paraId="7FB0DA4D">
            <w:pPr>
              <w:pStyle w:val="196"/>
            </w:pPr>
            <w:r>
              <w:rPr>
                <w:rFonts w:hint="eastAsia"/>
                <w:lang w:val="en-US"/>
              </w:rPr>
              <w:t>33.8</w:t>
            </w:r>
          </w:p>
        </w:tc>
        <w:tc>
          <w:tcPr>
            <w:tcW w:w="549" w:type="dxa"/>
            <w:tcBorders>
              <w:top w:val="single" w:color="auto" w:sz="4" w:space="0"/>
              <w:left w:val="single" w:color="auto" w:sz="4" w:space="0"/>
              <w:bottom w:val="single" w:color="auto" w:sz="4" w:space="0"/>
              <w:right w:val="single" w:color="auto" w:sz="4" w:space="0"/>
            </w:tcBorders>
            <w:vAlign w:val="center"/>
          </w:tcPr>
          <w:p w14:paraId="3EB3A8EB">
            <w:pPr>
              <w:pStyle w:val="196"/>
            </w:pPr>
            <w:r>
              <w:rPr>
                <w:lang w:val="en-US"/>
              </w:rPr>
              <w:t xml:space="preserve">53.1 </w:t>
            </w:r>
          </w:p>
        </w:tc>
        <w:tc>
          <w:tcPr>
            <w:tcW w:w="571" w:type="dxa"/>
            <w:tcBorders>
              <w:top w:val="single" w:color="auto" w:sz="4" w:space="0"/>
              <w:left w:val="single" w:color="auto" w:sz="4" w:space="0"/>
              <w:bottom w:val="single" w:color="auto" w:sz="4" w:space="0"/>
              <w:right w:val="single" w:color="auto" w:sz="4" w:space="0"/>
            </w:tcBorders>
            <w:vAlign w:val="center"/>
          </w:tcPr>
          <w:p w14:paraId="0D641D69">
            <w:pPr>
              <w:pStyle w:val="196"/>
            </w:pPr>
            <w:r>
              <w:rPr>
                <w:lang w:val="en-US"/>
              </w:rPr>
              <w:t xml:space="preserve">43.5 </w:t>
            </w:r>
          </w:p>
        </w:tc>
        <w:tc>
          <w:tcPr>
            <w:tcW w:w="547" w:type="dxa"/>
            <w:tcBorders>
              <w:top w:val="single" w:color="auto" w:sz="4" w:space="0"/>
              <w:left w:val="single" w:color="auto" w:sz="4" w:space="0"/>
              <w:bottom w:val="single" w:color="auto" w:sz="4" w:space="0"/>
              <w:right w:val="single" w:color="auto" w:sz="4" w:space="0"/>
            </w:tcBorders>
            <w:vAlign w:val="center"/>
          </w:tcPr>
          <w:p w14:paraId="54C8F70C">
            <w:pPr>
              <w:pStyle w:val="196"/>
            </w:pPr>
            <w:r>
              <w:rPr>
                <w:lang w:val="en-US"/>
              </w:rPr>
              <w:t xml:space="preserve">0.05 </w:t>
            </w:r>
          </w:p>
        </w:tc>
        <w:tc>
          <w:tcPr>
            <w:tcW w:w="573" w:type="dxa"/>
            <w:tcBorders>
              <w:top w:val="single" w:color="auto" w:sz="4" w:space="0"/>
              <w:left w:val="single" w:color="auto" w:sz="4" w:space="0"/>
              <w:bottom w:val="single" w:color="auto" w:sz="4" w:space="0"/>
              <w:right w:val="single" w:color="auto" w:sz="4" w:space="0"/>
            </w:tcBorders>
            <w:vAlign w:val="center"/>
          </w:tcPr>
          <w:p w14:paraId="3CBA6026">
            <w:pPr>
              <w:pStyle w:val="196"/>
            </w:pPr>
            <w:r>
              <w:rPr>
                <w:lang w:val="en-US"/>
              </w:rPr>
              <w:t xml:space="preserve">0.49 </w:t>
            </w:r>
          </w:p>
        </w:tc>
        <w:tc>
          <w:tcPr>
            <w:tcW w:w="545" w:type="dxa"/>
            <w:tcBorders>
              <w:top w:val="single" w:color="auto" w:sz="4" w:space="0"/>
              <w:left w:val="single" w:color="auto" w:sz="4" w:space="0"/>
              <w:bottom w:val="single" w:color="auto" w:sz="4" w:space="0"/>
              <w:right w:val="single" w:color="auto" w:sz="4" w:space="0"/>
            </w:tcBorders>
          </w:tcPr>
          <w:p w14:paraId="55077502">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1A20BA73">
            <w:pPr>
              <w:pStyle w:val="196"/>
            </w:pPr>
            <w:r>
              <w:t>达标</w:t>
            </w:r>
          </w:p>
        </w:tc>
      </w:tr>
      <w:tr w14:paraId="4DA8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CAD672B">
            <w:pPr>
              <w:pStyle w:val="196"/>
            </w:pPr>
            <w:r>
              <w:t>N4</w:t>
            </w:r>
          </w:p>
        </w:tc>
        <w:tc>
          <w:tcPr>
            <w:tcW w:w="560" w:type="dxa"/>
            <w:tcBorders>
              <w:top w:val="single" w:color="auto" w:sz="4" w:space="0"/>
              <w:left w:val="single" w:color="auto" w:sz="4" w:space="0"/>
              <w:bottom w:val="single" w:color="auto" w:sz="4" w:space="0"/>
              <w:right w:val="single" w:color="auto" w:sz="4" w:space="0"/>
            </w:tcBorders>
            <w:vAlign w:val="center"/>
          </w:tcPr>
          <w:p w14:paraId="035BBC9C">
            <w:pPr>
              <w:pStyle w:val="196"/>
            </w:pPr>
            <w:r>
              <w:rPr>
                <w:rFonts w:eastAsia="等线"/>
              </w:rPr>
              <w:t>55</w:t>
            </w:r>
          </w:p>
        </w:tc>
        <w:tc>
          <w:tcPr>
            <w:tcW w:w="565" w:type="dxa"/>
            <w:tcBorders>
              <w:top w:val="single" w:color="auto" w:sz="4" w:space="0"/>
              <w:left w:val="single" w:color="auto" w:sz="4" w:space="0"/>
              <w:bottom w:val="single" w:color="auto" w:sz="4" w:space="0"/>
              <w:right w:val="single" w:color="auto" w:sz="4" w:space="0"/>
            </w:tcBorders>
            <w:vAlign w:val="center"/>
          </w:tcPr>
          <w:p w14:paraId="715F53EE">
            <w:pPr>
              <w:pStyle w:val="196"/>
            </w:pPr>
            <w:r>
              <w:rPr>
                <w:rFonts w:eastAsia="等线"/>
              </w:rPr>
              <w:t>42</w:t>
            </w:r>
          </w:p>
        </w:tc>
        <w:tc>
          <w:tcPr>
            <w:tcW w:w="556" w:type="dxa"/>
            <w:tcBorders>
              <w:top w:val="single" w:color="auto" w:sz="4" w:space="0"/>
              <w:left w:val="single" w:color="auto" w:sz="4" w:space="0"/>
              <w:bottom w:val="single" w:color="auto" w:sz="4" w:space="0"/>
              <w:right w:val="single" w:color="auto" w:sz="4" w:space="0"/>
            </w:tcBorders>
            <w:vAlign w:val="center"/>
          </w:tcPr>
          <w:p w14:paraId="7123D88E">
            <w:pPr>
              <w:pStyle w:val="196"/>
            </w:pPr>
            <w:r>
              <w:rPr>
                <w:rFonts w:eastAsia="等线"/>
              </w:rPr>
              <w:t>55</w:t>
            </w:r>
          </w:p>
        </w:tc>
        <w:tc>
          <w:tcPr>
            <w:tcW w:w="566" w:type="dxa"/>
            <w:tcBorders>
              <w:top w:val="single" w:color="auto" w:sz="4" w:space="0"/>
              <w:left w:val="single" w:color="auto" w:sz="4" w:space="0"/>
              <w:bottom w:val="single" w:color="auto" w:sz="4" w:space="0"/>
              <w:right w:val="single" w:color="auto" w:sz="4" w:space="0"/>
            </w:tcBorders>
            <w:vAlign w:val="center"/>
          </w:tcPr>
          <w:p w14:paraId="0737AC9C">
            <w:pPr>
              <w:pStyle w:val="196"/>
            </w:pPr>
            <w:r>
              <w:rPr>
                <w:rFonts w:eastAsia="等线"/>
              </w:rPr>
              <w:t>42</w:t>
            </w:r>
          </w:p>
        </w:tc>
        <w:tc>
          <w:tcPr>
            <w:tcW w:w="553" w:type="dxa"/>
            <w:tcBorders>
              <w:top w:val="single" w:color="auto" w:sz="4" w:space="0"/>
              <w:left w:val="single" w:color="auto" w:sz="4" w:space="0"/>
              <w:bottom w:val="single" w:color="auto" w:sz="4" w:space="0"/>
              <w:right w:val="single" w:color="auto" w:sz="4" w:space="0"/>
            </w:tcBorders>
            <w:vAlign w:val="center"/>
          </w:tcPr>
          <w:p w14:paraId="7DE59B3C">
            <w:pPr>
              <w:pStyle w:val="196"/>
            </w:pPr>
            <w:r>
              <w:t>70</w:t>
            </w:r>
          </w:p>
        </w:tc>
        <w:tc>
          <w:tcPr>
            <w:tcW w:w="567" w:type="dxa"/>
            <w:tcBorders>
              <w:top w:val="single" w:color="auto" w:sz="4" w:space="0"/>
              <w:left w:val="single" w:color="auto" w:sz="4" w:space="0"/>
              <w:bottom w:val="single" w:color="auto" w:sz="4" w:space="0"/>
              <w:right w:val="single" w:color="auto" w:sz="4" w:space="0"/>
            </w:tcBorders>
            <w:vAlign w:val="center"/>
          </w:tcPr>
          <w:p w14:paraId="6C814055">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358E00AE">
            <w:pPr>
              <w:pStyle w:val="196"/>
            </w:pPr>
            <w:r>
              <w:rPr>
                <w:rFonts w:hint="eastAsia"/>
                <w:lang w:val="en-US"/>
              </w:rPr>
              <w:t>48.0</w:t>
            </w:r>
          </w:p>
        </w:tc>
        <w:tc>
          <w:tcPr>
            <w:tcW w:w="569" w:type="dxa"/>
            <w:tcBorders>
              <w:top w:val="single" w:color="auto" w:sz="4" w:space="0"/>
              <w:left w:val="single" w:color="auto" w:sz="4" w:space="0"/>
              <w:bottom w:val="single" w:color="auto" w:sz="4" w:space="0"/>
              <w:right w:val="single" w:color="auto" w:sz="4" w:space="0"/>
            </w:tcBorders>
            <w:vAlign w:val="center"/>
          </w:tcPr>
          <w:p w14:paraId="23BCDA2C">
            <w:pPr>
              <w:pStyle w:val="196"/>
            </w:pPr>
            <w:r>
              <w:rPr>
                <w:rFonts w:hint="eastAsia"/>
                <w:lang w:val="en-US"/>
              </w:rPr>
              <w:t>48.0</w:t>
            </w:r>
          </w:p>
        </w:tc>
        <w:tc>
          <w:tcPr>
            <w:tcW w:w="549" w:type="dxa"/>
            <w:tcBorders>
              <w:top w:val="single" w:color="auto" w:sz="4" w:space="0"/>
              <w:left w:val="single" w:color="auto" w:sz="4" w:space="0"/>
              <w:bottom w:val="single" w:color="auto" w:sz="4" w:space="0"/>
              <w:right w:val="single" w:color="auto" w:sz="4" w:space="0"/>
            </w:tcBorders>
            <w:vAlign w:val="center"/>
          </w:tcPr>
          <w:p w14:paraId="1F0A7DFD">
            <w:pPr>
              <w:pStyle w:val="196"/>
            </w:pPr>
            <w:r>
              <w:rPr>
                <w:lang w:val="en-US"/>
              </w:rPr>
              <w:t xml:space="preserve">55.8 </w:t>
            </w:r>
          </w:p>
        </w:tc>
        <w:tc>
          <w:tcPr>
            <w:tcW w:w="571" w:type="dxa"/>
            <w:tcBorders>
              <w:top w:val="single" w:color="auto" w:sz="4" w:space="0"/>
              <w:left w:val="single" w:color="auto" w:sz="4" w:space="0"/>
              <w:bottom w:val="single" w:color="auto" w:sz="4" w:space="0"/>
              <w:right w:val="single" w:color="auto" w:sz="4" w:space="0"/>
            </w:tcBorders>
            <w:vAlign w:val="center"/>
          </w:tcPr>
          <w:p w14:paraId="709008A2">
            <w:pPr>
              <w:pStyle w:val="196"/>
            </w:pPr>
            <w:r>
              <w:rPr>
                <w:lang w:val="en-US"/>
              </w:rPr>
              <w:t xml:space="preserve">49.0 </w:t>
            </w:r>
          </w:p>
        </w:tc>
        <w:tc>
          <w:tcPr>
            <w:tcW w:w="547" w:type="dxa"/>
            <w:tcBorders>
              <w:top w:val="single" w:color="auto" w:sz="4" w:space="0"/>
              <w:left w:val="single" w:color="auto" w:sz="4" w:space="0"/>
              <w:bottom w:val="single" w:color="auto" w:sz="4" w:space="0"/>
              <w:right w:val="single" w:color="auto" w:sz="4" w:space="0"/>
            </w:tcBorders>
            <w:vAlign w:val="center"/>
          </w:tcPr>
          <w:p w14:paraId="60A811C1">
            <w:pPr>
              <w:pStyle w:val="196"/>
            </w:pPr>
            <w:r>
              <w:rPr>
                <w:lang w:val="en-US"/>
              </w:rPr>
              <w:t xml:space="preserve">0.79 </w:t>
            </w:r>
          </w:p>
        </w:tc>
        <w:tc>
          <w:tcPr>
            <w:tcW w:w="573" w:type="dxa"/>
            <w:tcBorders>
              <w:top w:val="single" w:color="auto" w:sz="4" w:space="0"/>
              <w:left w:val="single" w:color="auto" w:sz="4" w:space="0"/>
              <w:bottom w:val="single" w:color="auto" w:sz="4" w:space="0"/>
              <w:right w:val="single" w:color="auto" w:sz="4" w:space="0"/>
            </w:tcBorders>
            <w:vAlign w:val="center"/>
          </w:tcPr>
          <w:p w14:paraId="2ABE1053">
            <w:pPr>
              <w:pStyle w:val="196"/>
            </w:pPr>
            <w:r>
              <w:rPr>
                <w:lang w:val="en-US"/>
              </w:rPr>
              <w:t xml:space="preserve">6.97 </w:t>
            </w:r>
          </w:p>
        </w:tc>
        <w:tc>
          <w:tcPr>
            <w:tcW w:w="545" w:type="dxa"/>
            <w:tcBorders>
              <w:top w:val="single" w:color="auto" w:sz="4" w:space="0"/>
              <w:left w:val="single" w:color="auto" w:sz="4" w:space="0"/>
              <w:bottom w:val="single" w:color="auto" w:sz="4" w:space="0"/>
              <w:right w:val="single" w:color="auto" w:sz="4" w:space="0"/>
            </w:tcBorders>
          </w:tcPr>
          <w:p w14:paraId="5885199E">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05349799">
            <w:pPr>
              <w:pStyle w:val="196"/>
            </w:pPr>
            <w:r>
              <w:t>达标</w:t>
            </w:r>
          </w:p>
        </w:tc>
      </w:tr>
      <w:tr w14:paraId="0194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0F19C8C">
            <w:pPr>
              <w:pStyle w:val="196"/>
            </w:pPr>
            <w:r>
              <w:t>N5</w:t>
            </w:r>
          </w:p>
        </w:tc>
        <w:tc>
          <w:tcPr>
            <w:tcW w:w="560" w:type="dxa"/>
            <w:tcBorders>
              <w:top w:val="single" w:color="auto" w:sz="4" w:space="0"/>
              <w:left w:val="single" w:color="auto" w:sz="4" w:space="0"/>
              <w:bottom w:val="single" w:color="auto" w:sz="4" w:space="0"/>
              <w:right w:val="single" w:color="auto" w:sz="4" w:space="0"/>
            </w:tcBorders>
            <w:vAlign w:val="center"/>
          </w:tcPr>
          <w:p w14:paraId="600F8438">
            <w:pPr>
              <w:pStyle w:val="196"/>
            </w:pPr>
            <w:r>
              <w:rPr>
                <w:rFonts w:eastAsia="等线"/>
              </w:rPr>
              <w:t>54</w:t>
            </w:r>
          </w:p>
        </w:tc>
        <w:tc>
          <w:tcPr>
            <w:tcW w:w="565" w:type="dxa"/>
            <w:tcBorders>
              <w:top w:val="single" w:color="auto" w:sz="4" w:space="0"/>
              <w:left w:val="single" w:color="auto" w:sz="4" w:space="0"/>
              <w:bottom w:val="single" w:color="auto" w:sz="4" w:space="0"/>
              <w:right w:val="single" w:color="auto" w:sz="4" w:space="0"/>
            </w:tcBorders>
            <w:vAlign w:val="center"/>
          </w:tcPr>
          <w:p w14:paraId="4E503E9F">
            <w:pPr>
              <w:pStyle w:val="196"/>
            </w:pPr>
            <w:r>
              <w:rPr>
                <w:rFonts w:eastAsia="等线"/>
              </w:rPr>
              <w:t>41</w:t>
            </w:r>
          </w:p>
        </w:tc>
        <w:tc>
          <w:tcPr>
            <w:tcW w:w="556" w:type="dxa"/>
            <w:tcBorders>
              <w:top w:val="single" w:color="auto" w:sz="4" w:space="0"/>
              <w:left w:val="single" w:color="auto" w:sz="4" w:space="0"/>
              <w:bottom w:val="single" w:color="auto" w:sz="4" w:space="0"/>
              <w:right w:val="single" w:color="auto" w:sz="4" w:space="0"/>
            </w:tcBorders>
            <w:vAlign w:val="center"/>
          </w:tcPr>
          <w:p w14:paraId="777F3146">
            <w:pPr>
              <w:pStyle w:val="196"/>
            </w:pPr>
            <w:r>
              <w:rPr>
                <w:rFonts w:eastAsia="等线"/>
              </w:rPr>
              <w:t>54</w:t>
            </w:r>
          </w:p>
        </w:tc>
        <w:tc>
          <w:tcPr>
            <w:tcW w:w="566" w:type="dxa"/>
            <w:tcBorders>
              <w:top w:val="single" w:color="auto" w:sz="4" w:space="0"/>
              <w:left w:val="single" w:color="auto" w:sz="4" w:space="0"/>
              <w:bottom w:val="single" w:color="auto" w:sz="4" w:space="0"/>
              <w:right w:val="single" w:color="auto" w:sz="4" w:space="0"/>
            </w:tcBorders>
            <w:vAlign w:val="center"/>
          </w:tcPr>
          <w:p w14:paraId="659250A0">
            <w:pPr>
              <w:pStyle w:val="196"/>
            </w:pPr>
            <w:r>
              <w:rPr>
                <w:rFonts w:eastAsia="等线"/>
              </w:rPr>
              <w:t>41</w:t>
            </w:r>
          </w:p>
        </w:tc>
        <w:tc>
          <w:tcPr>
            <w:tcW w:w="553" w:type="dxa"/>
            <w:tcBorders>
              <w:top w:val="single" w:color="auto" w:sz="4" w:space="0"/>
              <w:left w:val="single" w:color="auto" w:sz="4" w:space="0"/>
              <w:bottom w:val="single" w:color="auto" w:sz="4" w:space="0"/>
              <w:right w:val="single" w:color="auto" w:sz="4" w:space="0"/>
            </w:tcBorders>
            <w:vAlign w:val="center"/>
          </w:tcPr>
          <w:p w14:paraId="392BF041">
            <w:pPr>
              <w:pStyle w:val="196"/>
            </w:pPr>
            <w:r>
              <w:t>70</w:t>
            </w:r>
          </w:p>
        </w:tc>
        <w:tc>
          <w:tcPr>
            <w:tcW w:w="567" w:type="dxa"/>
            <w:tcBorders>
              <w:top w:val="single" w:color="auto" w:sz="4" w:space="0"/>
              <w:left w:val="single" w:color="auto" w:sz="4" w:space="0"/>
              <w:bottom w:val="single" w:color="auto" w:sz="4" w:space="0"/>
              <w:right w:val="single" w:color="auto" w:sz="4" w:space="0"/>
            </w:tcBorders>
            <w:vAlign w:val="center"/>
          </w:tcPr>
          <w:p w14:paraId="65ACB731">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2DFCBAE1">
            <w:pPr>
              <w:pStyle w:val="196"/>
            </w:pPr>
            <w:r>
              <w:rPr>
                <w:rFonts w:hint="eastAsia"/>
                <w:lang w:val="en-US"/>
              </w:rPr>
              <w:t>35.8</w:t>
            </w:r>
          </w:p>
        </w:tc>
        <w:tc>
          <w:tcPr>
            <w:tcW w:w="569" w:type="dxa"/>
            <w:tcBorders>
              <w:top w:val="single" w:color="auto" w:sz="4" w:space="0"/>
              <w:left w:val="single" w:color="auto" w:sz="4" w:space="0"/>
              <w:bottom w:val="single" w:color="auto" w:sz="4" w:space="0"/>
              <w:right w:val="single" w:color="auto" w:sz="4" w:space="0"/>
            </w:tcBorders>
            <w:vAlign w:val="center"/>
          </w:tcPr>
          <w:p w14:paraId="539A08AD">
            <w:pPr>
              <w:pStyle w:val="196"/>
            </w:pPr>
            <w:r>
              <w:rPr>
                <w:rFonts w:hint="eastAsia"/>
                <w:lang w:val="en-US"/>
              </w:rPr>
              <w:t>35.8</w:t>
            </w:r>
          </w:p>
        </w:tc>
        <w:tc>
          <w:tcPr>
            <w:tcW w:w="549" w:type="dxa"/>
            <w:tcBorders>
              <w:top w:val="single" w:color="auto" w:sz="4" w:space="0"/>
              <w:left w:val="single" w:color="auto" w:sz="4" w:space="0"/>
              <w:bottom w:val="single" w:color="auto" w:sz="4" w:space="0"/>
              <w:right w:val="single" w:color="auto" w:sz="4" w:space="0"/>
            </w:tcBorders>
            <w:vAlign w:val="center"/>
          </w:tcPr>
          <w:p w14:paraId="574BC4DD">
            <w:pPr>
              <w:pStyle w:val="196"/>
            </w:pPr>
            <w:r>
              <w:rPr>
                <w:lang w:val="en-US"/>
              </w:rPr>
              <w:t xml:space="preserve">54.1 </w:t>
            </w:r>
          </w:p>
        </w:tc>
        <w:tc>
          <w:tcPr>
            <w:tcW w:w="571" w:type="dxa"/>
            <w:tcBorders>
              <w:top w:val="single" w:color="auto" w:sz="4" w:space="0"/>
              <w:left w:val="single" w:color="auto" w:sz="4" w:space="0"/>
              <w:bottom w:val="single" w:color="auto" w:sz="4" w:space="0"/>
              <w:right w:val="single" w:color="auto" w:sz="4" w:space="0"/>
            </w:tcBorders>
            <w:vAlign w:val="center"/>
          </w:tcPr>
          <w:p w14:paraId="10CC4155">
            <w:pPr>
              <w:pStyle w:val="196"/>
            </w:pPr>
            <w:r>
              <w:rPr>
                <w:lang w:val="en-US"/>
              </w:rPr>
              <w:t xml:space="preserve">42.1 </w:t>
            </w:r>
          </w:p>
        </w:tc>
        <w:tc>
          <w:tcPr>
            <w:tcW w:w="547" w:type="dxa"/>
            <w:tcBorders>
              <w:top w:val="single" w:color="auto" w:sz="4" w:space="0"/>
              <w:left w:val="single" w:color="auto" w:sz="4" w:space="0"/>
              <w:bottom w:val="single" w:color="auto" w:sz="4" w:space="0"/>
              <w:right w:val="single" w:color="auto" w:sz="4" w:space="0"/>
            </w:tcBorders>
            <w:vAlign w:val="center"/>
          </w:tcPr>
          <w:p w14:paraId="06F314B4">
            <w:pPr>
              <w:pStyle w:val="196"/>
            </w:pPr>
            <w:r>
              <w:rPr>
                <w:lang w:val="en-US"/>
              </w:rPr>
              <w:t xml:space="preserve">0.07 </w:t>
            </w:r>
          </w:p>
        </w:tc>
        <w:tc>
          <w:tcPr>
            <w:tcW w:w="573" w:type="dxa"/>
            <w:tcBorders>
              <w:top w:val="single" w:color="auto" w:sz="4" w:space="0"/>
              <w:left w:val="single" w:color="auto" w:sz="4" w:space="0"/>
              <w:bottom w:val="single" w:color="auto" w:sz="4" w:space="0"/>
              <w:right w:val="single" w:color="auto" w:sz="4" w:space="0"/>
            </w:tcBorders>
            <w:vAlign w:val="center"/>
          </w:tcPr>
          <w:p w14:paraId="366DE10F">
            <w:pPr>
              <w:pStyle w:val="196"/>
            </w:pPr>
            <w:r>
              <w:rPr>
                <w:lang w:val="en-US"/>
              </w:rPr>
              <w:t xml:space="preserve">1.15 </w:t>
            </w:r>
          </w:p>
        </w:tc>
        <w:tc>
          <w:tcPr>
            <w:tcW w:w="545" w:type="dxa"/>
            <w:tcBorders>
              <w:top w:val="single" w:color="auto" w:sz="4" w:space="0"/>
              <w:left w:val="single" w:color="auto" w:sz="4" w:space="0"/>
              <w:bottom w:val="single" w:color="auto" w:sz="4" w:space="0"/>
              <w:right w:val="single" w:color="auto" w:sz="4" w:space="0"/>
            </w:tcBorders>
          </w:tcPr>
          <w:p w14:paraId="305FC19C">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64934A3F">
            <w:pPr>
              <w:pStyle w:val="196"/>
            </w:pPr>
            <w:r>
              <w:t>达标</w:t>
            </w:r>
          </w:p>
        </w:tc>
      </w:tr>
      <w:tr w14:paraId="0FB5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302DC315">
            <w:pPr>
              <w:pStyle w:val="196"/>
            </w:pPr>
            <w:r>
              <w:t>N6</w:t>
            </w:r>
          </w:p>
        </w:tc>
        <w:tc>
          <w:tcPr>
            <w:tcW w:w="560" w:type="dxa"/>
            <w:tcBorders>
              <w:top w:val="single" w:color="auto" w:sz="4" w:space="0"/>
              <w:left w:val="single" w:color="auto" w:sz="4" w:space="0"/>
              <w:bottom w:val="single" w:color="auto" w:sz="4" w:space="0"/>
              <w:right w:val="single" w:color="auto" w:sz="4" w:space="0"/>
            </w:tcBorders>
            <w:vAlign w:val="center"/>
          </w:tcPr>
          <w:p w14:paraId="66A1D545">
            <w:pPr>
              <w:pStyle w:val="196"/>
            </w:pPr>
            <w:r>
              <w:rPr>
                <w:rFonts w:eastAsia="等线"/>
              </w:rPr>
              <w:t>53</w:t>
            </w:r>
          </w:p>
        </w:tc>
        <w:tc>
          <w:tcPr>
            <w:tcW w:w="565" w:type="dxa"/>
            <w:tcBorders>
              <w:top w:val="single" w:color="auto" w:sz="4" w:space="0"/>
              <w:left w:val="single" w:color="auto" w:sz="4" w:space="0"/>
              <w:bottom w:val="single" w:color="auto" w:sz="4" w:space="0"/>
              <w:right w:val="single" w:color="auto" w:sz="4" w:space="0"/>
            </w:tcBorders>
            <w:vAlign w:val="center"/>
          </w:tcPr>
          <w:p w14:paraId="697F98D6">
            <w:pPr>
              <w:pStyle w:val="196"/>
            </w:pPr>
            <w:r>
              <w:rPr>
                <w:rFonts w:eastAsia="等线"/>
              </w:rPr>
              <w:t>43</w:t>
            </w:r>
          </w:p>
        </w:tc>
        <w:tc>
          <w:tcPr>
            <w:tcW w:w="556" w:type="dxa"/>
            <w:tcBorders>
              <w:top w:val="single" w:color="auto" w:sz="4" w:space="0"/>
              <w:left w:val="single" w:color="auto" w:sz="4" w:space="0"/>
              <w:bottom w:val="single" w:color="auto" w:sz="4" w:space="0"/>
              <w:right w:val="single" w:color="auto" w:sz="4" w:space="0"/>
            </w:tcBorders>
            <w:vAlign w:val="center"/>
          </w:tcPr>
          <w:p w14:paraId="5F1726F4">
            <w:pPr>
              <w:pStyle w:val="196"/>
            </w:pPr>
            <w:r>
              <w:rPr>
                <w:rFonts w:eastAsia="等线"/>
              </w:rPr>
              <w:t>53</w:t>
            </w:r>
          </w:p>
        </w:tc>
        <w:tc>
          <w:tcPr>
            <w:tcW w:w="566" w:type="dxa"/>
            <w:tcBorders>
              <w:top w:val="single" w:color="auto" w:sz="4" w:space="0"/>
              <w:left w:val="single" w:color="auto" w:sz="4" w:space="0"/>
              <w:bottom w:val="single" w:color="auto" w:sz="4" w:space="0"/>
              <w:right w:val="single" w:color="auto" w:sz="4" w:space="0"/>
            </w:tcBorders>
            <w:vAlign w:val="center"/>
          </w:tcPr>
          <w:p w14:paraId="163E36FC">
            <w:pPr>
              <w:pStyle w:val="196"/>
            </w:pPr>
            <w:r>
              <w:rPr>
                <w:rFonts w:eastAsia="等线"/>
              </w:rPr>
              <w:t>43</w:t>
            </w:r>
          </w:p>
        </w:tc>
        <w:tc>
          <w:tcPr>
            <w:tcW w:w="553" w:type="dxa"/>
            <w:tcBorders>
              <w:top w:val="single" w:color="auto" w:sz="4" w:space="0"/>
              <w:left w:val="single" w:color="auto" w:sz="4" w:space="0"/>
              <w:bottom w:val="single" w:color="auto" w:sz="4" w:space="0"/>
              <w:right w:val="single" w:color="auto" w:sz="4" w:space="0"/>
            </w:tcBorders>
            <w:vAlign w:val="center"/>
          </w:tcPr>
          <w:p w14:paraId="6BD01AF1">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29A66EA3">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70EF2A05">
            <w:pPr>
              <w:pStyle w:val="196"/>
            </w:pPr>
            <w:r>
              <w:rPr>
                <w:rFonts w:hint="eastAsia"/>
                <w:lang w:val="en-US"/>
              </w:rPr>
              <w:t>34.5</w:t>
            </w:r>
          </w:p>
        </w:tc>
        <w:tc>
          <w:tcPr>
            <w:tcW w:w="569" w:type="dxa"/>
            <w:tcBorders>
              <w:top w:val="single" w:color="auto" w:sz="4" w:space="0"/>
              <w:left w:val="single" w:color="auto" w:sz="4" w:space="0"/>
              <w:bottom w:val="single" w:color="auto" w:sz="4" w:space="0"/>
              <w:right w:val="single" w:color="auto" w:sz="4" w:space="0"/>
            </w:tcBorders>
            <w:vAlign w:val="center"/>
          </w:tcPr>
          <w:p w14:paraId="222BF49C">
            <w:pPr>
              <w:pStyle w:val="196"/>
            </w:pPr>
            <w:r>
              <w:rPr>
                <w:rFonts w:hint="eastAsia"/>
                <w:lang w:val="en-US"/>
              </w:rPr>
              <w:t>34.5</w:t>
            </w:r>
          </w:p>
        </w:tc>
        <w:tc>
          <w:tcPr>
            <w:tcW w:w="549" w:type="dxa"/>
            <w:tcBorders>
              <w:top w:val="single" w:color="auto" w:sz="4" w:space="0"/>
              <w:left w:val="single" w:color="auto" w:sz="4" w:space="0"/>
              <w:bottom w:val="single" w:color="auto" w:sz="4" w:space="0"/>
              <w:right w:val="single" w:color="auto" w:sz="4" w:space="0"/>
            </w:tcBorders>
            <w:vAlign w:val="center"/>
          </w:tcPr>
          <w:p w14:paraId="0B53C2A4">
            <w:pPr>
              <w:pStyle w:val="196"/>
            </w:pPr>
            <w:r>
              <w:rPr>
                <w:lang w:val="en-US"/>
              </w:rPr>
              <w:t xml:space="preserve">53.1 </w:t>
            </w:r>
          </w:p>
        </w:tc>
        <w:tc>
          <w:tcPr>
            <w:tcW w:w="571" w:type="dxa"/>
            <w:tcBorders>
              <w:top w:val="single" w:color="auto" w:sz="4" w:space="0"/>
              <w:left w:val="single" w:color="auto" w:sz="4" w:space="0"/>
              <w:bottom w:val="single" w:color="auto" w:sz="4" w:space="0"/>
              <w:right w:val="single" w:color="auto" w:sz="4" w:space="0"/>
            </w:tcBorders>
            <w:vAlign w:val="center"/>
          </w:tcPr>
          <w:p w14:paraId="275EC95F">
            <w:pPr>
              <w:pStyle w:val="196"/>
            </w:pPr>
            <w:r>
              <w:rPr>
                <w:lang w:val="en-US"/>
              </w:rPr>
              <w:t xml:space="preserve">43.6 </w:t>
            </w:r>
          </w:p>
        </w:tc>
        <w:tc>
          <w:tcPr>
            <w:tcW w:w="547" w:type="dxa"/>
            <w:tcBorders>
              <w:top w:val="single" w:color="auto" w:sz="4" w:space="0"/>
              <w:left w:val="single" w:color="auto" w:sz="4" w:space="0"/>
              <w:bottom w:val="single" w:color="auto" w:sz="4" w:space="0"/>
              <w:right w:val="single" w:color="auto" w:sz="4" w:space="0"/>
            </w:tcBorders>
            <w:vAlign w:val="center"/>
          </w:tcPr>
          <w:p w14:paraId="7A601966">
            <w:pPr>
              <w:pStyle w:val="196"/>
            </w:pPr>
            <w:r>
              <w:rPr>
                <w:lang w:val="en-US"/>
              </w:rPr>
              <w:t xml:space="preserve">0.06 </w:t>
            </w:r>
          </w:p>
        </w:tc>
        <w:tc>
          <w:tcPr>
            <w:tcW w:w="573" w:type="dxa"/>
            <w:tcBorders>
              <w:top w:val="single" w:color="auto" w:sz="4" w:space="0"/>
              <w:left w:val="single" w:color="auto" w:sz="4" w:space="0"/>
              <w:bottom w:val="single" w:color="auto" w:sz="4" w:space="0"/>
              <w:right w:val="single" w:color="auto" w:sz="4" w:space="0"/>
            </w:tcBorders>
            <w:vAlign w:val="center"/>
          </w:tcPr>
          <w:p w14:paraId="53BB60BB">
            <w:pPr>
              <w:pStyle w:val="196"/>
            </w:pPr>
            <w:r>
              <w:rPr>
                <w:lang w:val="en-US"/>
              </w:rPr>
              <w:t xml:space="preserve">0.57 </w:t>
            </w:r>
          </w:p>
        </w:tc>
        <w:tc>
          <w:tcPr>
            <w:tcW w:w="545" w:type="dxa"/>
            <w:tcBorders>
              <w:top w:val="single" w:color="auto" w:sz="4" w:space="0"/>
              <w:left w:val="single" w:color="auto" w:sz="4" w:space="0"/>
              <w:bottom w:val="single" w:color="auto" w:sz="4" w:space="0"/>
              <w:right w:val="single" w:color="auto" w:sz="4" w:space="0"/>
            </w:tcBorders>
          </w:tcPr>
          <w:p w14:paraId="567AB761">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3CD9EF16">
            <w:pPr>
              <w:pStyle w:val="196"/>
            </w:pPr>
            <w:r>
              <w:t>达标</w:t>
            </w:r>
          </w:p>
        </w:tc>
      </w:tr>
      <w:tr w14:paraId="2F7E4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533493C2">
            <w:pPr>
              <w:pStyle w:val="196"/>
            </w:pPr>
            <w:r>
              <w:t>N7</w:t>
            </w:r>
          </w:p>
        </w:tc>
        <w:tc>
          <w:tcPr>
            <w:tcW w:w="560" w:type="dxa"/>
            <w:tcBorders>
              <w:top w:val="single" w:color="auto" w:sz="4" w:space="0"/>
              <w:left w:val="single" w:color="auto" w:sz="4" w:space="0"/>
              <w:bottom w:val="single" w:color="auto" w:sz="4" w:space="0"/>
              <w:right w:val="single" w:color="auto" w:sz="4" w:space="0"/>
            </w:tcBorders>
            <w:vAlign w:val="center"/>
          </w:tcPr>
          <w:p w14:paraId="23155005">
            <w:pPr>
              <w:pStyle w:val="196"/>
            </w:pPr>
            <w:r>
              <w:rPr>
                <w:rFonts w:eastAsia="等线"/>
              </w:rPr>
              <w:t>53</w:t>
            </w:r>
          </w:p>
        </w:tc>
        <w:tc>
          <w:tcPr>
            <w:tcW w:w="565" w:type="dxa"/>
            <w:tcBorders>
              <w:top w:val="single" w:color="auto" w:sz="4" w:space="0"/>
              <w:left w:val="single" w:color="auto" w:sz="4" w:space="0"/>
              <w:bottom w:val="single" w:color="auto" w:sz="4" w:space="0"/>
              <w:right w:val="single" w:color="auto" w:sz="4" w:space="0"/>
            </w:tcBorders>
            <w:vAlign w:val="center"/>
          </w:tcPr>
          <w:p w14:paraId="03ABA1CB">
            <w:pPr>
              <w:pStyle w:val="196"/>
            </w:pPr>
            <w:r>
              <w:rPr>
                <w:rFonts w:eastAsia="等线"/>
              </w:rPr>
              <w:t>42</w:t>
            </w:r>
          </w:p>
        </w:tc>
        <w:tc>
          <w:tcPr>
            <w:tcW w:w="556" w:type="dxa"/>
            <w:tcBorders>
              <w:top w:val="single" w:color="auto" w:sz="4" w:space="0"/>
              <w:left w:val="single" w:color="auto" w:sz="4" w:space="0"/>
              <w:bottom w:val="single" w:color="auto" w:sz="4" w:space="0"/>
              <w:right w:val="single" w:color="auto" w:sz="4" w:space="0"/>
            </w:tcBorders>
            <w:vAlign w:val="center"/>
          </w:tcPr>
          <w:p w14:paraId="6A6A9148">
            <w:pPr>
              <w:pStyle w:val="196"/>
            </w:pPr>
            <w:r>
              <w:rPr>
                <w:rFonts w:eastAsia="等线"/>
              </w:rPr>
              <w:t>53</w:t>
            </w:r>
          </w:p>
        </w:tc>
        <w:tc>
          <w:tcPr>
            <w:tcW w:w="566" w:type="dxa"/>
            <w:tcBorders>
              <w:top w:val="single" w:color="auto" w:sz="4" w:space="0"/>
              <w:left w:val="single" w:color="auto" w:sz="4" w:space="0"/>
              <w:bottom w:val="single" w:color="auto" w:sz="4" w:space="0"/>
              <w:right w:val="single" w:color="auto" w:sz="4" w:space="0"/>
            </w:tcBorders>
            <w:vAlign w:val="center"/>
          </w:tcPr>
          <w:p w14:paraId="15545B43">
            <w:pPr>
              <w:pStyle w:val="196"/>
            </w:pPr>
            <w:r>
              <w:rPr>
                <w:rFonts w:eastAsia="等线"/>
              </w:rPr>
              <w:t>42</w:t>
            </w:r>
          </w:p>
        </w:tc>
        <w:tc>
          <w:tcPr>
            <w:tcW w:w="553" w:type="dxa"/>
            <w:tcBorders>
              <w:top w:val="single" w:color="auto" w:sz="4" w:space="0"/>
              <w:left w:val="single" w:color="auto" w:sz="4" w:space="0"/>
              <w:bottom w:val="single" w:color="auto" w:sz="4" w:space="0"/>
              <w:right w:val="single" w:color="auto" w:sz="4" w:space="0"/>
            </w:tcBorders>
            <w:vAlign w:val="center"/>
          </w:tcPr>
          <w:p w14:paraId="603DE697">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41C4131C">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1A1DF45D">
            <w:pPr>
              <w:pStyle w:val="196"/>
            </w:pPr>
            <w:r>
              <w:rPr>
                <w:rFonts w:hint="eastAsia"/>
                <w:lang w:val="en-US"/>
              </w:rPr>
              <w:t>36.8</w:t>
            </w:r>
          </w:p>
        </w:tc>
        <w:tc>
          <w:tcPr>
            <w:tcW w:w="569" w:type="dxa"/>
            <w:tcBorders>
              <w:top w:val="single" w:color="auto" w:sz="4" w:space="0"/>
              <w:left w:val="single" w:color="auto" w:sz="4" w:space="0"/>
              <w:bottom w:val="single" w:color="auto" w:sz="4" w:space="0"/>
              <w:right w:val="single" w:color="auto" w:sz="4" w:space="0"/>
            </w:tcBorders>
            <w:vAlign w:val="center"/>
          </w:tcPr>
          <w:p w14:paraId="0A344970">
            <w:pPr>
              <w:pStyle w:val="196"/>
            </w:pPr>
            <w:r>
              <w:rPr>
                <w:rFonts w:hint="eastAsia"/>
                <w:lang w:val="en-US"/>
              </w:rPr>
              <w:t>36.8</w:t>
            </w:r>
          </w:p>
        </w:tc>
        <w:tc>
          <w:tcPr>
            <w:tcW w:w="549" w:type="dxa"/>
            <w:tcBorders>
              <w:top w:val="single" w:color="auto" w:sz="4" w:space="0"/>
              <w:left w:val="single" w:color="auto" w:sz="4" w:space="0"/>
              <w:bottom w:val="single" w:color="auto" w:sz="4" w:space="0"/>
              <w:right w:val="single" w:color="auto" w:sz="4" w:space="0"/>
            </w:tcBorders>
            <w:vAlign w:val="center"/>
          </w:tcPr>
          <w:p w14:paraId="12F20344">
            <w:pPr>
              <w:pStyle w:val="196"/>
            </w:pPr>
            <w:r>
              <w:rPr>
                <w:lang w:val="en-US"/>
              </w:rPr>
              <w:t xml:space="preserve">53.1 </w:t>
            </w:r>
          </w:p>
        </w:tc>
        <w:tc>
          <w:tcPr>
            <w:tcW w:w="571" w:type="dxa"/>
            <w:tcBorders>
              <w:top w:val="single" w:color="auto" w:sz="4" w:space="0"/>
              <w:left w:val="single" w:color="auto" w:sz="4" w:space="0"/>
              <w:bottom w:val="single" w:color="auto" w:sz="4" w:space="0"/>
              <w:right w:val="single" w:color="auto" w:sz="4" w:space="0"/>
            </w:tcBorders>
            <w:vAlign w:val="center"/>
          </w:tcPr>
          <w:p w14:paraId="6973F64E">
            <w:pPr>
              <w:pStyle w:val="196"/>
            </w:pPr>
            <w:r>
              <w:rPr>
                <w:lang w:val="en-US"/>
              </w:rPr>
              <w:t xml:space="preserve">43.1 </w:t>
            </w:r>
          </w:p>
        </w:tc>
        <w:tc>
          <w:tcPr>
            <w:tcW w:w="547" w:type="dxa"/>
            <w:tcBorders>
              <w:top w:val="single" w:color="auto" w:sz="4" w:space="0"/>
              <w:left w:val="single" w:color="auto" w:sz="4" w:space="0"/>
              <w:bottom w:val="single" w:color="auto" w:sz="4" w:space="0"/>
              <w:right w:val="single" w:color="auto" w:sz="4" w:space="0"/>
            </w:tcBorders>
            <w:vAlign w:val="center"/>
          </w:tcPr>
          <w:p w14:paraId="20BD0DCB">
            <w:pPr>
              <w:pStyle w:val="196"/>
            </w:pPr>
            <w:r>
              <w:rPr>
                <w:lang w:val="en-US"/>
              </w:rPr>
              <w:t xml:space="preserve">0.10 </w:t>
            </w:r>
          </w:p>
        </w:tc>
        <w:tc>
          <w:tcPr>
            <w:tcW w:w="573" w:type="dxa"/>
            <w:tcBorders>
              <w:top w:val="single" w:color="auto" w:sz="4" w:space="0"/>
              <w:left w:val="single" w:color="auto" w:sz="4" w:space="0"/>
              <w:bottom w:val="single" w:color="auto" w:sz="4" w:space="0"/>
              <w:right w:val="single" w:color="auto" w:sz="4" w:space="0"/>
            </w:tcBorders>
            <w:vAlign w:val="center"/>
          </w:tcPr>
          <w:p w14:paraId="0FC6D71A">
            <w:pPr>
              <w:pStyle w:val="196"/>
            </w:pPr>
            <w:r>
              <w:rPr>
                <w:lang w:val="en-US"/>
              </w:rPr>
              <w:t xml:space="preserve">1.15 </w:t>
            </w:r>
          </w:p>
        </w:tc>
        <w:tc>
          <w:tcPr>
            <w:tcW w:w="545" w:type="dxa"/>
            <w:tcBorders>
              <w:top w:val="single" w:color="auto" w:sz="4" w:space="0"/>
              <w:left w:val="single" w:color="auto" w:sz="4" w:space="0"/>
              <w:bottom w:val="single" w:color="auto" w:sz="4" w:space="0"/>
              <w:right w:val="single" w:color="auto" w:sz="4" w:space="0"/>
            </w:tcBorders>
          </w:tcPr>
          <w:p w14:paraId="5A36B651">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7FFD3244">
            <w:pPr>
              <w:pStyle w:val="196"/>
            </w:pPr>
            <w:r>
              <w:t>达标</w:t>
            </w:r>
          </w:p>
        </w:tc>
      </w:tr>
      <w:tr w14:paraId="6927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1ADD25C7">
            <w:pPr>
              <w:pStyle w:val="196"/>
            </w:pPr>
            <w:r>
              <w:t>N8</w:t>
            </w:r>
          </w:p>
        </w:tc>
        <w:tc>
          <w:tcPr>
            <w:tcW w:w="560" w:type="dxa"/>
            <w:tcBorders>
              <w:top w:val="single" w:color="auto" w:sz="4" w:space="0"/>
              <w:left w:val="single" w:color="auto" w:sz="4" w:space="0"/>
              <w:bottom w:val="single" w:color="auto" w:sz="4" w:space="0"/>
              <w:right w:val="single" w:color="auto" w:sz="4" w:space="0"/>
            </w:tcBorders>
            <w:vAlign w:val="center"/>
          </w:tcPr>
          <w:p w14:paraId="30FEF20D">
            <w:pPr>
              <w:pStyle w:val="196"/>
            </w:pPr>
            <w:r>
              <w:rPr>
                <w:rFonts w:eastAsia="等线"/>
              </w:rPr>
              <w:t>52</w:t>
            </w:r>
          </w:p>
        </w:tc>
        <w:tc>
          <w:tcPr>
            <w:tcW w:w="565" w:type="dxa"/>
            <w:tcBorders>
              <w:top w:val="single" w:color="auto" w:sz="4" w:space="0"/>
              <w:left w:val="single" w:color="auto" w:sz="4" w:space="0"/>
              <w:bottom w:val="single" w:color="auto" w:sz="4" w:space="0"/>
              <w:right w:val="single" w:color="auto" w:sz="4" w:space="0"/>
            </w:tcBorders>
            <w:vAlign w:val="center"/>
          </w:tcPr>
          <w:p w14:paraId="3F989D63">
            <w:pPr>
              <w:pStyle w:val="196"/>
            </w:pPr>
            <w:r>
              <w:rPr>
                <w:rFonts w:eastAsia="等线"/>
              </w:rPr>
              <w:t>43</w:t>
            </w:r>
          </w:p>
        </w:tc>
        <w:tc>
          <w:tcPr>
            <w:tcW w:w="556" w:type="dxa"/>
            <w:tcBorders>
              <w:top w:val="single" w:color="auto" w:sz="4" w:space="0"/>
              <w:left w:val="single" w:color="auto" w:sz="4" w:space="0"/>
              <w:bottom w:val="single" w:color="auto" w:sz="4" w:space="0"/>
              <w:right w:val="single" w:color="auto" w:sz="4" w:space="0"/>
            </w:tcBorders>
            <w:vAlign w:val="center"/>
          </w:tcPr>
          <w:p w14:paraId="5CDAAF70">
            <w:pPr>
              <w:pStyle w:val="196"/>
            </w:pPr>
            <w:r>
              <w:rPr>
                <w:rFonts w:eastAsia="等线"/>
              </w:rPr>
              <w:t>52</w:t>
            </w:r>
          </w:p>
        </w:tc>
        <w:tc>
          <w:tcPr>
            <w:tcW w:w="566" w:type="dxa"/>
            <w:tcBorders>
              <w:top w:val="single" w:color="auto" w:sz="4" w:space="0"/>
              <w:left w:val="single" w:color="auto" w:sz="4" w:space="0"/>
              <w:bottom w:val="single" w:color="auto" w:sz="4" w:space="0"/>
              <w:right w:val="single" w:color="auto" w:sz="4" w:space="0"/>
            </w:tcBorders>
            <w:vAlign w:val="center"/>
          </w:tcPr>
          <w:p w14:paraId="4C8938AC">
            <w:pPr>
              <w:pStyle w:val="196"/>
            </w:pPr>
            <w:r>
              <w:rPr>
                <w:rFonts w:eastAsia="等线"/>
              </w:rPr>
              <w:t>43</w:t>
            </w:r>
          </w:p>
        </w:tc>
        <w:tc>
          <w:tcPr>
            <w:tcW w:w="553" w:type="dxa"/>
            <w:tcBorders>
              <w:top w:val="single" w:color="auto" w:sz="4" w:space="0"/>
              <w:left w:val="single" w:color="auto" w:sz="4" w:space="0"/>
              <w:bottom w:val="single" w:color="auto" w:sz="4" w:space="0"/>
              <w:right w:val="single" w:color="auto" w:sz="4" w:space="0"/>
            </w:tcBorders>
            <w:vAlign w:val="center"/>
          </w:tcPr>
          <w:p w14:paraId="47500848">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645A9E47">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0376E7C2">
            <w:pPr>
              <w:pStyle w:val="196"/>
            </w:pPr>
            <w:r>
              <w:rPr>
                <w:rFonts w:hint="eastAsia"/>
                <w:lang w:val="en-US"/>
              </w:rPr>
              <w:t>39.2</w:t>
            </w:r>
          </w:p>
        </w:tc>
        <w:tc>
          <w:tcPr>
            <w:tcW w:w="569" w:type="dxa"/>
            <w:tcBorders>
              <w:top w:val="single" w:color="auto" w:sz="4" w:space="0"/>
              <w:left w:val="single" w:color="auto" w:sz="4" w:space="0"/>
              <w:bottom w:val="single" w:color="auto" w:sz="4" w:space="0"/>
              <w:right w:val="single" w:color="auto" w:sz="4" w:space="0"/>
            </w:tcBorders>
            <w:vAlign w:val="center"/>
          </w:tcPr>
          <w:p w14:paraId="03A5A86A">
            <w:pPr>
              <w:pStyle w:val="196"/>
            </w:pPr>
            <w:r>
              <w:rPr>
                <w:rFonts w:hint="eastAsia"/>
                <w:lang w:val="en-US"/>
              </w:rPr>
              <w:t>39.2</w:t>
            </w:r>
          </w:p>
        </w:tc>
        <w:tc>
          <w:tcPr>
            <w:tcW w:w="549" w:type="dxa"/>
            <w:tcBorders>
              <w:top w:val="single" w:color="auto" w:sz="4" w:space="0"/>
              <w:left w:val="single" w:color="auto" w:sz="4" w:space="0"/>
              <w:bottom w:val="single" w:color="auto" w:sz="4" w:space="0"/>
              <w:right w:val="single" w:color="auto" w:sz="4" w:space="0"/>
            </w:tcBorders>
            <w:vAlign w:val="center"/>
          </w:tcPr>
          <w:p w14:paraId="053AA10F">
            <w:pPr>
              <w:pStyle w:val="196"/>
            </w:pPr>
            <w:r>
              <w:rPr>
                <w:lang w:val="en-US"/>
              </w:rPr>
              <w:t xml:space="preserve">52.2 </w:t>
            </w:r>
          </w:p>
        </w:tc>
        <w:tc>
          <w:tcPr>
            <w:tcW w:w="571" w:type="dxa"/>
            <w:tcBorders>
              <w:top w:val="single" w:color="auto" w:sz="4" w:space="0"/>
              <w:left w:val="single" w:color="auto" w:sz="4" w:space="0"/>
              <w:bottom w:val="single" w:color="auto" w:sz="4" w:space="0"/>
              <w:right w:val="single" w:color="auto" w:sz="4" w:space="0"/>
            </w:tcBorders>
            <w:vAlign w:val="center"/>
          </w:tcPr>
          <w:p w14:paraId="354178EB">
            <w:pPr>
              <w:pStyle w:val="196"/>
            </w:pPr>
            <w:r>
              <w:rPr>
                <w:lang w:val="en-US"/>
              </w:rPr>
              <w:t xml:space="preserve">44.5 </w:t>
            </w:r>
          </w:p>
        </w:tc>
        <w:tc>
          <w:tcPr>
            <w:tcW w:w="547" w:type="dxa"/>
            <w:tcBorders>
              <w:top w:val="single" w:color="auto" w:sz="4" w:space="0"/>
              <w:left w:val="single" w:color="auto" w:sz="4" w:space="0"/>
              <w:bottom w:val="single" w:color="auto" w:sz="4" w:space="0"/>
              <w:right w:val="single" w:color="auto" w:sz="4" w:space="0"/>
            </w:tcBorders>
            <w:vAlign w:val="center"/>
          </w:tcPr>
          <w:p w14:paraId="2BC89940">
            <w:pPr>
              <w:pStyle w:val="196"/>
            </w:pPr>
            <w:r>
              <w:rPr>
                <w:lang w:val="en-US"/>
              </w:rPr>
              <w:t xml:space="preserve">0.22 </w:t>
            </w:r>
          </w:p>
        </w:tc>
        <w:tc>
          <w:tcPr>
            <w:tcW w:w="573" w:type="dxa"/>
            <w:tcBorders>
              <w:top w:val="single" w:color="auto" w:sz="4" w:space="0"/>
              <w:left w:val="single" w:color="auto" w:sz="4" w:space="0"/>
              <w:bottom w:val="single" w:color="auto" w:sz="4" w:space="0"/>
              <w:right w:val="single" w:color="auto" w:sz="4" w:space="0"/>
            </w:tcBorders>
            <w:vAlign w:val="center"/>
          </w:tcPr>
          <w:p w14:paraId="49AC09D6">
            <w:pPr>
              <w:pStyle w:val="196"/>
            </w:pPr>
            <w:r>
              <w:rPr>
                <w:lang w:val="en-US"/>
              </w:rPr>
              <w:t xml:space="preserve">1.51 </w:t>
            </w:r>
          </w:p>
        </w:tc>
        <w:tc>
          <w:tcPr>
            <w:tcW w:w="545" w:type="dxa"/>
            <w:tcBorders>
              <w:top w:val="single" w:color="auto" w:sz="4" w:space="0"/>
              <w:left w:val="single" w:color="auto" w:sz="4" w:space="0"/>
              <w:bottom w:val="single" w:color="auto" w:sz="4" w:space="0"/>
              <w:right w:val="single" w:color="auto" w:sz="4" w:space="0"/>
            </w:tcBorders>
          </w:tcPr>
          <w:p w14:paraId="68022B8F">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364DFE77">
            <w:pPr>
              <w:pStyle w:val="196"/>
            </w:pPr>
            <w:r>
              <w:t>达标</w:t>
            </w:r>
          </w:p>
        </w:tc>
      </w:tr>
      <w:tr w14:paraId="1BDB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481" w:type="dxa"/>
            <w:tcBorders>
              <w:top w:val="single" w:color="auto" w:sz="4" w:space="0"/>
              <w:left w:val="single" w:color="auto" w:sz="4" w:space="0"/>
              <w:bottom w:val="single" w:color="auto" w:sz="4" w:space="0"/>
              <w:right w:val="single" w:color="auto" w:sz="4" w:space="0"/>
            </w:tcBorders>
            <w:vAlign w:val="center"/>
          </w:tcPr>
          <w:p w14:paraId="3E0298ED">
            <w:pPr>
              <w:pStyle w:val="196"/>
            </w:pPr>
            <w:r>
              <w:rPr>
                <w:rFonts w:hint="eastAsia"/>
              </w:rPr>
              <w:t>N</w:t>
            </w:r>
            <w:r>
              <w:t>9</w:t>
            </w:r>
          </w:p>
        </w:tc>
        <w:tc>
          <w:tcPr>
            <w:tcW w:w="560" w:type="dxa"/>
            <w:tcBorders>
              <w:top w:val="single" w:color="auto" w:sz="4" w:space="0"/>
              <w:left w:val="single" w:color="auto" w:sz="4" w:space="0"/>
              <w:bottom w:val="single" w:color="auto" w:sz="4" w:space="0"/>
              <w:right w:val="single" w:color="auto" w:sz="4" w:space="0"/>
            </w:tcBorders>
            <w:vAlign w:val="center"/>
          </w:tcPr>
          <w:p w14:paraId="04B18DA0">
            <w:pPr>
              <w:pStyle w:val="196"/>
              <w:rPr>
                <w:rFonts w:eastAsia="等线"/>
              </w:rPr>
            </w:pPr>
            <w:r>
              <w:rPr>
                <w:rFonts w:eastAsia="等线"/>
              </w:rPr>
              <w:t>52</w:t>
            </w:r>
          </w:p>
        </w:tc>
        <w:tc>
          <w:tcPr>
            <w:tcW w:w="565" w:type="dxa"/>
            <w:tcBorders>
              <w:top w:val="single" w:color="auto" w:sz="4" w:space="0"/>
              <w:left w:val="single" w:color="auto" w:sz="4" w:space="0"/>
              <w:bottom w:val="single" w:color="auto" w:sz="4" w:space="0"/>
              <w:right w:val="single" w:color="auto" w:sz="4" w:space="0"/>
            </w:tcBorders>
            <w:vAlign w:val="center"/>
          </w:tcPr>
          <w:p w14:paraId="2A92D837">
            <w:pPr>
              <w:pStyle w:val="196"/>
              <w:rPr>
                <w:rFonts w:eastAsia="等线"/>
              </w:rPr>
            </w:pPr>
            <w:r>
              <w:rPr>
                <w:rFonts w:eastAsia="等线"/>
              </w:rPr>
              <w:t>43</w:t>
            </w:r>
          </w:p>
        </w:tc>
        <w:tc>
          <w:tcPr>
            <w:tcW w:w="556" w:type="dxa"/>
            <w:tcBorders>
              <w:top w:val="single" w:color="auto" w:sz="4" w:space="0"/>
              <w:left w:val="single" w:color="auto" w:sz="4" w:space="0"/>
              <w:bottom w:val="single" w:color="auto" w:sz="4" w:space="0"/>
              <w:right w:val="single" w:color="auto" w:sz="4" w:space="0"/>
            </w:tcBorders>
            <w:vAlign w:val="center"/>
          </w:tcPr>
          <w:p w14:paraId="5E7D8C72">
            <w:pPr>
              <w:pStyle w:val="196"/>
              <w:rPr>
                <w:rFonts w:eastAsia="等线"/>
              </w:rPr>
            </w:pPr>
            <w:r>
              <w:rPr>
                <w:rFonts w:eastAsia="等线"/>
              </w:rPr>
              <w:t>52</w:t>
            </w:r>
          </w:p>
        </w:tc>
        <w:tc>
          <w:tcPr>
            <w:tcW w:w="566" w:type="dxa"/>
            <w:tcBorders>
              <w:top w:val="single" w:color="auto" w:sz="4" w:space="0"/>
              <w:left w:val="single" w:color="auto" w:sz="4" w:space="0"/>
              <w:bottom w:val="single" w:color="auto" w:sz="4" w:space="0"/>
              <w:right w:val="single" w:color="auto" w:sz="4" w:space="0"/>
            </w:tcBorders>
            <w:vAlign w:val="center"/>
          </w:tcPr>
          <w:p w14:paraId="1181E2C9">
            <w:pPr>
              <w:pStyle w:val="196"/>
              <w:rPr>
                <w:rFonts w:eastAsia="等线"/>
              </w:rPr>
            </w:pPr>
            <w:r>
              <w:rPr>
                <w:rFonts w:eastAsia="等线"/>
              </w:rPr>
              <w:t>43</w:t>
            </w:r>
          </w:p>
        </w:tc>
        <w:tc>
          <w:tcPr>
            <w:tcW w:w="553" w:type="dxa"/>
            <w:tcBorders>
              <w:top w:val="single" w:color="auto" w:sz="4" w:space="0"/>
              <w:left w:val="single" w:color="auto" w:sz="4" w:space="0"/>
              <w:bottom w:val="single" w:color="auto" w:sz="4" w:space="0"/>
              <w:right w:val="single" w:color="auto" w:sz="4" w:space="0"/>
            </w:tcBorders>
            <w:vAlign w:val="center"/>
          </w:tcPr>
          <w:p w14:paraId="3EE5E5AD">
            <w:pPr>
              <w:pStyle w:val="196"/>
            </w:pPr>
            <w:r>
              <w:t>65</w:t>
            </w:r>
          </w:p>
        </w:tc>
        <w:tc>
          <w:tcPr>
            <w:tcW w:w="567" w:type="dxa"/>
            <w:tcBorders>
              <w:top w:val="single" w:color="auto" w:sz="4" w:space="0"/>
              <w:left w:val="single" w:color="auto" w:sz="4" w:space="0"/>
              <w:bottom w:val="single" w:color="auto" w:sz="4" w:space="0"/>
              <w:right w:val="single" w:color="auto" w:sz="4" w:space="0"/>
            </w:tcBorders>
            <w:vAlign w:val="center"/>
          </w:tcPr>
          <w:p w14:paraId="14A90195">
            <w:pPr>
              <w:pStyle w:val="196"/>
            </w:pPr>
            <w:r>
              <w:t>55</w:t>
            </w:r>
          </w:p>
        </w:tc>
        <w:tc>
          <w:tcPr>
            <w:tcW w:w="551" w:type="dxa"/>
            <w:tcBorders>
              <w:top w:val="single" w:color="auto" w:sz="4" w:space="0"/>
              <w:left w:val="single" w:color="auto" w:sz="4" w:space="0"/>
              <w:bottom w:val="single" w:color="auto" w:sz="4" w:space="0"/>
              <w:right w:val="single" w:color="auto" w:sz="4" w:space="0"/>
            </w:tcBorders>
            <w:vAlign w:val="center"/>
          </w:tcPr>
          <w:p w14:paraId="32AE5B8A">
            <w:pPr>
              <w:pStyle w:val="196"/>
            </w:pPr>
            <w:r>
              <w:rPr>
                <w:rFonts w:hint="eastAsia"/>
                <w:lang w:val="en-US"/>
              </w:rPr>
              <w:t>40.3</w:t>
            </w:r>
          </w:p>
        </w:tc>
        <w:tc>
          <w:tcPr>
            <w:tcW w:w="569" w:type="dxa"/>
            <w:tcBorders>
              <w:top w:val="single" w:color="auto" w:sz="4" w:space="0"/>
              <w:left w:val="single" w:color="auto" w:sz="4" w:space="0"/>
              <w:bottom w:val="single" w:color="auto" w:sz="4" w:space="0"/>
              <w:right w:val="single" w:color="auto" w:sz="4" w:space="0"/>
            </w:tcBorders>
            <w:vAlign w:val="center"/>
          </w:tcPr>
          <w:p w14:paraId="65FA8FA0">
            <w:pPr>
              <w:pStyle w:val="196"/>
            </w:pPr>
            <w:r>
              <w:rPr>
                <w:rFonts w:hint="eastAsia"/>
                <w:lang w:val="en-US"/>
              </w:rPr>
              <w:t>40.3</w:t>
            </w:r>
          </w:p>
        </w:tc>
        <w:tc>
          <w:tcPr>
            <w:tcW w:w="549" w:type="dxa"/>
            <w:tcBorders>
              <w:top w:val="single" w:color="auto" w:sz="4" w:space="0"/>
              <w:left w:val="single" w:color="auto" w:sz="4" w:space="0"/>
              <w:bottom w:val="single" w:color="auto" w:sz="4" w:space="0"/>
              <w:right w:val="single" w:color="auto" w:sz="4" w:space="0"/>
            </w:tcBorders>
            <w:vAlign w:val="center"/>
          </w:tcPr>
          <w:p w14:paraId="5864ECCD">
            <w:pPr>
              <w:pStyle w:val="196"/>
            </w:pPr>
            <w:r>
              <w:rPr>
                <w:lang w:val="en-US"/>
              </w:rPr>
              <w:t xml:space="preserve">52.3 </w:t>
            </w:r>
          </w:p>
        </w:tc>
        <w:tc>
          <w:tcPr>
            <w:tcW w:w="571" w:type="dxa"/>
            <w:tcBorders>
              <w:top w:val="single" w:color="auto" w:sz="4" w:space="0"/>
              <w:left w:val="single" w:color="auto" w:sz="4" w:space="0"/>
              <w:bottom w:val="single" w:color="auto" w:sz="4" w:space="0"/>
              <w:right w:val="single" w:color="auto" w:sz="4" w:space="0"/>
            </w:tcBorders>
            <w:vAlign w:val="center"/>
          </w:tcPr>
          <w:p w14:paraId="32DD6218">
            <w:pPr>
              <w:pStyle w:val="196"/>
            </w:pPr>
            <w:r>
              <w:rPr>
                <w:lang w:val="en-US"/>
              </w:rPr>
              <w:t xml:space="preserve">44.9 </w:t>
            </w:r>
          </w:p>
        </w:tc>
        <w:tc>
          <w:tcPr>
            <w:tcW w:w="547" w:type="dxa"/>
            <w:tcBorders>
              <w:top w:val="single" w:color="auto" w:sz="4" w:space="0"/>
              <w:left w:val="single" w:color="auto" w:sz="4" w:space="0"/>
              <w:bottom w:val="single" w:color="auto" w:sz="4" w:space="0"/>
              <w:right w:val="single" w:color="auto" w:sz="4" w:space="0"/>
            </w:tcBorders>
            <w:vAlign w:val="center"/>
          </w:tcPr>
          <w:p w14:paraId="72090297">
            <w:pPr>
              <w:pStyle w:val="196"/>
            </w:pPr>
            <w:r>
              <w:rPr>
                <w:lang w:val="en-US"/>
              </w:rPr>
              <w:t xml:space="preserve">0.28 </w:t>
            </w:r>
          </w:p>
        </w:tc>
        <w:tc>
          <w:tcPr>
            <w:tcW w:w="573" w:type="dxa"/>
            <w:tcBorders>
              <w:top w:val="single" w:color="auto" w:sz="4" w:space="0"/>
              <w:left w:val="single" w:color="auto" w:sz="4" w:space="0"/>
              <w:bottom w:val="single" w:color="auto" w:sz="4" w:space="0"/>
              <w:right w:val="single" w:color="auto" w:sz="4" w:space="0"/>
            </w:tcBorders>
            <w:vAlign w:val="center"/>
          </w:tcPr>
          <w:p w14:paraId="5EB54CD2">
            <w:pPr>
              <w:pStyle w:val="196"/>
            </w:pPr>
            <w:r>
              <w:rPr>
                <w:lang w:val="en-US"/>
              </w:rPr>
              <w:t xml:space="preserve">1.87 </w:t>
            </w:r>
          </w:p>
        </w:tc>
        <w:tc>
          <w:tcPr>
            <w:tcW w:w="545" w:type="dxa"/>
            <w:tcBorders>
              <w:top w:val="single" w:color="auto" w:sz="4" w:space="0"/>
              <w:left w:val="single" w:color="auto" w:sz="4" w:space="0"/>
              <w:bottom w:val="single" w:color="auto" w:sz="4" w:space="0"/>
              <w:right w:val="single" w:color="auto" w:sz="4" w:space="0"/>
            </w:tcBorders>
          </w:tcPr>
          <w:p w14:paraId="6C50F8C4">
            <w:pPr>
              <w:pStyle w:val="196"/>
            </w:pPr>
            <w:r>
              <w:t>达标</w:t>
            </w:r>
          </w:p>
        </w:tc>
        <w:tc>
          <w:tcPr>
            <w:tcW w:w="578" w:type="dxa"/>
            <w:tcBorders>
              <w:top w:val="single" w:color="auto" w:sz="4" w:space="0"/>
              <w:left w:val="single" w:color="auto" w:sz="4" w:space="0"/>
              <w:bottom w:val="single" w:color="auto" w:sz="4" w:space="0"/>
              <w:right w:val="single" w:color="auto" w:sz="4" w:space="0"/>
            </w:tcBorders>
          </w:tcPr>
          <w:p w14:paraId="7964674B">
            <w:pPr>
              <w:pStyle w:val="196"/>
            </w:pPr>
            <w:r>
              <w:t>达标</w:t>
            </w:r>
          </w:p>
        </w:tc>
      </w:tr>
    </w:tbl>
    <w:p w14:paraId="5353271D">
      <w:pPr>
        <w:pStyle w:val="91"/>
      </w:pPr>
      <w:r>
        <w:rPr>
          <w:rFonts w:hint="eastAsia"/>
        </w:rPr>
        <w:t>注：①贡献值已叠加在建热电项目噪声源。</w:t>
      </w:r>
    </w:p>
    <w:p w14:paraId="381054E8">
      <w:pPr>
        <w:pStyle w:val="90"/>
      </w:pPr>
      <w:r>
        <w:drawing>
          <wp:inline distT="0" distB="0" distL="114300" distR="114300">
            <wp:extent cx="5272405" cy="3728085"/>
            <wp:effectExtent l="0" t="0" r="10795" b="5715"/>
            <wp:docPr id="1" name="图片 1" descr="CadnaA - 噪声预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dnaA - 噪声预测"/>
                    <pic:cNvPicPr>
                      <a:picLocks noChangeAspect="1"/>
                    </pic:cNvPicPr>
                  </pic:nvPicPr>
                  <pic:blipFill>
                    <a:blip r:embed="rId68"/>
                    <a:stretch>
                      <a:fillRect/>
                    </a:stretch>
                  </pic:blipFill>
                  <pic:spPr>
                    <a:xfrm>
                      <a:off x="0" y="0"/>
                      <a:ext cx="5272405" cy="3728085"/>
                    </a:xfrm>
                    <a:prstGeom prst="rect">
                      <a:avLst/>
                    </a:prstGeom>
                  </pic:spPr>
                </pic:pic>
              </a:graphicData>
            </a:graphic>
          </wp:inline>
        </w:drawing>
      </w:r>
      <w:r>
        <w:t xml:space="preserve"> </w:t>
      </w:r>
    </w:p>
    <w:p w14:paraId="65962C29">
      <w:pPr>
        <w:pStyle w:val="241"/>
        <w:adjustRightInd w:val="0"/>
        <w:snapToGrid w:val="0"/>
        <w:ind w:firstLine="482"/>
        <w:jc w:val="center"/>
        <w:rPr>
          <w:rFonts w:ascii="Times New Roman"/>
          <w:b/>
          <w:bCs/>
          <w:sz w:val="24"/>
          <w:szCs w:val="24"/>
        </w:rPr>
      </w:pPr>
      <w:r>
        <w:rPr>
          <w:rFonts w:hint="eastAsia" w:ascii="宋体" w:hAnsi="宋体"/>
          <w:b/>
          <w:bCs/>
          <w:sz w:val="24"/>
          <w:szCs w:val="24"/>
        </w:rPr>
        <w:t>图</w:t>
      </w:r>
      <w:r>
        <w:rPr>
          <w:rFonts w:hint="eastAsia" w:ascii="Times New Roman"/>
          <w:b/>
          <w:bCs/>
          <w:sz w:val="24"/>
          <w:szCs w:val="24"/>
        </w:rPr>
        <w:t>5.2</w:t>
      </w:r>
      <w:r>
        <w:rPr>
          <w:rFonts w:ascii="Times New Roman"/>
          <w:b/>
          <w:bCs/>
          <w:sz w:val="24"/>
          <w:szCs w:val="24"/>
        </w:rPr>
        <w:t>-</w:t>
      </w:r>
      <w:r>
        <w:rPr>
          <w:rFonts w:hint="eastAsia" w:ascii="Times New Roman"/>
          <w:b/>
          <w:bCs/>
          <w:sz w:val="24"/>
          <w:szCs w:val="24"/>
        </w:rPr>
        <w:t>1</w:t>
      </w:r>
      <w:r>
        <w:rPr>
          <w:rFonts w:ascii="Times New Roman"/>
          <w:b/>
          <w:bCs/>
          <w:sz w:val="24"/>
          <w:szCs w:val="24"/>
        </w:rPr>
        <w:t xml:space="preserve"> </w:t>
      </w:r>
      <w:r>
        <w:rPr>
          <w:rFonts w:ascii="宋体" w:hAnsi="宋体"/>
          <w:b/>
          <w:bCs/>
          <w:sz w:val="24"/>
          <w:szCs w:val="24"/>
        </w:rPr>
        <w:t>本项目声环境影响预测</w:t>
      </w:r>
      <w:r>
        <w:rPr>
          <w:rFonts w:hint="eastAsia" w:ascii="宋体" w:hAnsi="宋体"/>
          <w:b/>
          <w:bCs/>
          <w:sz w:val="24"/>
          <w:szCs w:val="24"/>
        </w:rPr>
        <w:t>图</w:t>
      </w:r>
    </w:p>
    <w:p w14:paraId="4D28FF9A">
      <w:pPr>
        <w:pStyle w:val="241"/>
        <w:adjustRightInd w:val="0"/>
        <w:snapToGrid w:val="0"/>
        <w:ind w:firstLine="480"/>
        <w:rPr>
          <w:rFonts w:ascii="Times New Roman"/>
          <w:sz w:val="21"/>
          <w:szCs w:val="21"/>
        </w:rPr>
      </w:pPr>
      <w:r>
        <w:rPr>
          <w:rFonts w:ascii="宋体" w:hAnsi="宋体"/>
          <w:sz w:val="24"/>
          <w:szCs w:val="24"/>
        </w:rPr>
        <w:t>由表</w:t>
      </w:r>
      <w:r>
        <w:rPr>
          <w:rFonts w:hint="eastAsia" w:ascii="Times New Roman"/>
          <w:sz w:val="24"/>
          <w:szCs w:val="24"/>
        </w:rPr>
        <w:t>5.2</w:t>
      </w:r>
      <w:r>
        <w:rPr>
          <w:rFonts w:ascii="Times New Roman"/>
          <w:sz w:val="24"/>
          <w:szCs w:val="24"/>
        </w:rPr>
        <w:t>-</w:t>
      </w:r>
      <w:r>
        <w:rPr>
          <w:rFonts w:hint="eastAsia" w:ascii="Times New Roman"/>
          <w:sz w:val="24"/>
          <w:szCs w:val="24"/>
        </w:rPr>
        <w:t>11和图5</w:t>
      </w:r>
      <w:r>
        <w:rPr>
          <w:rFonts w:ascii="Times New Roman"/>
          <w:sz w:val="24"/>
          <w:szCs w:val="24"/>
        </w:rPr>
        <w:t>.2-1</w:t>
      </w:r>
      <w:r>
        <w:rPr>
          <w:rFonts w:ascii="宋体" w:hAnsi="宋体"/>
          <w:sz w:val="24"/>
          <w:szCs w:val="24"/>
        </w:rPr>
        <w:t>可知，采取了噪声防治措施后，</w:t>
      </w:r>
      <w:r>
        <w:rPr>
          <w:rFonts w:hint="eastAsia" w:ascii="宋体" w:hAnsi="宋体"/>
          <w:sz w:val="24"/>
          <w:szCs w:val="24"/>
        </w:rPr>
        <w:t>项目厂界及周边噪声均满足相应</w:t>
      </w:r>
      <w:r>
        <w:rPr>
          <w:rFonts w:ascii="宋体" w:hAnsi="宋体"/>
          <w:sz w:val="24"/>
          <w:szCs w:val="24"/>
        </w:rPr>
        <w:t>标准</w:t>
      </w:r>
      <w:r>
        <w:rPr>
          <w:rFonts w:hint="eastAsia" w:ascii="宋体" w:hAnsi="宋体"/>
          <w:sz w:val="24"/>
          <w:szCs w:val="24"/>
        </w:rPr>
        <w:t>要求</w:t>
      </w:r>
      <w:r>
        <w:rPr>
          <w:rFonts w:ascii="宋体" w:hAnsi="宋体"/>
          <w:sz w:val="24"/>
          <w:szCs w:val="24"/>
        </w:rPr>
        <w:t>，对周围声环境影响较小。</w:t>
      </w:r>
    </w:p>
    <w:p w14:paraId="38E2A790">
      <w:pPr>
        <w:pStyle w:val="93"/>
      </w:pPr>
      <w:r>
        <w:rPr>
          <w:rFonts w:hint="eastAsia"/>
        </w:rPr>
        <w:t>本项目建成后，在采取降噪措施的情况下，厂界预测点昼间、夜间噪声均符合《工业企业厂界环境噪声排放标准》（GB12348-2008）3、4类，因此本项目不设置噪声防护距离。</w:t>
      </w:r>
    </w:p>
    <w:p w14:paraId="6A431960">
      <w:pPr>
        <w:ind w:firstLine="480"/>
      </w:pPr>
      <w:r>
        <w:rPr>
          <w:rFonts w:hint="eastAsia"/>
        </w:rPr>
        <w:t>本项目声环境自查表见下表5.2-12。</w:t>
      </w:r>
    </w:p>
    <w:p w14:paraId="2B315E74">
      <w:pPr>
        <w:pStyle w:val="86"/>
      </w:pPr>
      <w:r>
        <w:rPr>
          <w:rFonts w:hint="eastAsia"/>
        </w:rPr>
        <w:t>声环境影响评价自查表</w:t>
      </w:r>
    </w:p>
    <w:tbl>
      <w:tblPr>
        <w:tblStyle w:val="38"/>
        <w:tblW w:w="8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1559"/>
        <w:gridCol w:w="968"/>
        <w:gridCol w:w="407"/>
        <w:gridCol w:w="63"/>
        <w:gridCol w:w="120"/>
        <w:gridCol w:w="403"/>
        <w:gridCol w:w="991"/>
        <w:gridCol w:w="67"/>
        <w:gridCol w:w="1066"/>
        <w:gridCol w:w="514"/>
        <w:gridCol w:w="49"/>
        <w:gridCol w:w="452"/>
        <w:gridCol w:w="1080"/>
      </w:tblGrid>
      <w:tr w14:paraId="547D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16" w:type="dxa"/>
            <w:gridSpan w:val="2"/>
            <w:tcBorders>
              <w:top w:val="single" w:color="auto" w:sz="4" w:space="0"/>
              <w:left w:val="single" w:color="auto" w:sz="4" w:space="0"/>
              <w:bottom w:val="single" w:color="auto" w:sz="4" w:space="0"/>
              <w:right w:val="single" w:color="auto" w:sz="4" w:space="0"/>
            </w:tcBorders>
            <w:vAlign w:val="center"/>
          </w:tcPr>
          <w:p w14:paraId="2001552B">
            <w:pPr>
              <w:pStyle w:val="196"/>
            </w:pPr>
            <w:r>
              <w:rPr>
                <w:rFonts w:hint="eastAsia"/>
              </w:rPr>
              <w:t>工作内容</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6E2D21F8">
            <w:pPr>
              <w:pStyle w:val="196"/>
            </w:pPr>
            <w:r>
              <w:rPr>
                <w:rFonts w:hint="eastAsia"/>
              </w:rPr>
              <w:t>自查项目</w:t>
            </w:r>
          </w:p>
        </w:tc>
      </w:tr>
      <w:tr w14:paraId="26B4C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restart"/>
            <w:tcBorders>
              <w:top w:val="nil"/>
              <w:left w:val="single" w:color="auto" w:sz="4" w:space="0"/>
              <w:bottom w:val="single" w:color="auto" w:sz="4" w:space="0"/>
              <w:right w:val="single" w:color="auto" w:sz="4" w:space="0"/>
            </w:tcBorders>
            <w:vAlign w:val="center"/>
          </w:tcPr>
          <w:p w14:paraId="5CA7AAFA">
            <w:pPr>
              <w:pStyle w:val="196"/>
            </w:pPr>
            <w:r>
              <w:rPr>
                <w:rFonts w:hint="eastAsia"/>
              </w:rPr>
              <w:t>评价等级与范围</w:t>
            </w:r>
          </w:p>
        </w:tc>
        <w:tc>
          <w:tcPr>
            <w:tcW w:w="1560" w:type="dxa"/>
            <w:tcBorders>
              <w:top w:val="single" w:color="auto" w:sz="4" w:space="0"/>
              <w:left w:val="single" w:color="auto" w:sz="4" w:space="0"/>
              <w:bottom w:val="single" w:color="auto" w:sz="4" w:space="0"/>
              <w:right w:val="single" w:color="auto" w:sz="4" w:space="0"/>
            </w:tcBorders>
            <w:vAlign w:val="center"/>
          </w:tcPr>
          <w:p w14:paraId="27572D43">
            <w:pPr>
              <w:pStyle w:val="196"/>
            </w:pPr>
            <w:r>
              <w:rPr>
                <w:rFonts w:hint="eastAsia"/>
              </w:rPr>
              <w:t>评价等级</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56702128">
            <w:pPr>
              <w:pStyle w:val="196"/>
            </w:pPr>
            <w:r>
              <w:rPr>
                <w:rFonts w:hint="eastAsia"/>
              </w:rPr>
              <w:t>一级□            二级□              三级</w:t>
            </w:r>
            <w:r>
              <w:rPr>
                <w:rFonts w:hint="eastAsia" w:ascii="Segoe UI Symbol" w:hAnsi="Segoe UI Symbol" w:cs="Segoe UI Symbol"/>
              </w:rPr>
              <w:t>☑</w:t>
            </w:r>
          </w:p>
        </w:tc>
      </w:tr>
      <w:tr w14:paraId="4E10A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0192D8E3">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799731A9">
            <w:pPr>
              <w:pStyle w:val="196"/>
            </w:pPr>
            <w:r>
              <w:rPr>
                <w:rFonts w:hint="eastAsia"/>
              </w:rPr>
              <w:t>评价范围</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38591F40">
            <w:pPr>
              <w:pStyle w:val="196"/>
            </w:pPr>
            <w:r>
              <w:rPr>
                <w:rFonts w:hint="eastAsia"/>
              </w:rPr>
              <w:t>200m</w:t>
            </w:r>
            <w:r>
              <w:rPr>
                <w:rFonts w:hint="eastAsia" w:ascii="Segoe UI Symbol" w:hAnsi="Segoe UI Symbol" w:cs="Segoe UI Symbol"/>
              </w:rPr>
              <w:t>☑</w:t>
            </w:r>
            <w:r>
              <w:rPr>
                <w:rFonts w:hint="eastAsia"/>
              </w:rPr>
              <w:t xml:space="preserve">     小于200m□     大于200m□</w:t>
            </w:r>
          </w:p>
        </w:tc>
      </w:tr>
      <w:tr w14:paraId="6902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70D133EC">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24C1DFFE">
            <w:pPr>
              <w:pStyle w:val="196"/>
            </w:pPr>
            <w:r>
              <w:rPr>
                <w:rFonts w:hint="eastAsia"/>
              </w:rPr>
              <w:t>评价因子</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3CBAE578">
            <w:pPr>
              <w:pStyle w:val="196"/>
            </w:pPr>
            <w:r>
              <w:rPr>
                <w:rFonts w:hint="eastAsia"/>
              </w:rPr>
              <w:t>等效连续A声级</w:t>
            </w:r>
            <w:r>
              <w:rPr>
                <w:rFonts w:hint="eastAsia" w:ascii="Segoe UI Symbol" w:hAnsi="Segoe UI Symbol" w:cs="Segoe UI Symbol"/>
              </w:rPr>
              <w:t>☑</w:t>
            </w:r>
            <w:r>
              <w:rPr>
                <w:rFonts w:hint="eastAsia"/>
              </w:rPr>
              <w:t xml:space="preserve">      最大A声级□    计权等效连续感觉噪声级□</w:t>
            </w:r>
          </w:p>
        </w:tc>
      </w:tr>
      <w:tr w14:paraId="0A821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856" w:type="dxa"/>
            <w:tcBorders>
              <w:top w:val="single" w:color="auto" w:sz="4" w:space="0"/>
              <w:left w:val="single" w:color="auto" w:sz="4" w:space="0"/>
              <w:bottom w:val="single" w:color="auto" w:sz="4" w:space="0"/>
              <w:right w:val="single" w:color="auto" w:sz="4" w:space="0"/>
            </w:tcBorders>
            <w:vAlign w:val="center"/>
          </w:tcPr>
          <w:p w14:paraId="0F3BF0CD">
            <w:pPr>
              <w:pStyle w:val="196"/>
            </w:pPr>
            <w:r>
              <w:rPr>
                <w:rFonts w:hint="eastAsia"/>
              </w:rPr>
              <w:t>评价标准</w:t>
            </w:r>
          </w:p>
        </w:tc>
        <w:tc>
          <w:tcPr>
            <w:tcW w:w="1560" w:type="dxa"/>
            <w:tcBorders>
              <w:top w:val="single" w:color="auto" w:sz="4" w:space="0"/>
              <w:left w:val="single" w:color="auto" w:sz="4" w:space="0"/>
              <w:bottom w:val="single" w:color="auto" w:sz="4" w:space="0"/>
              <w:right w:val="single" w:color="auto" w:sz="4" w:space="0"/>
            </w:tcBorders>
            <w:vAlign w:val="center"/>
          </w:tcPr>
          <w:p w14:paraId="0991907D">
            <w:pPr>
              <w:pStyle w:val="196"/>
            </w:pPr>
            <w:r>
              <w:rPr>
                <w:rFonts w:hint="eastAsia"/>
              </w:rPr>
              <w:t>评价标准</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3060BEBD">
            <w:pPr>
              <w:pStyle w:val="196"/>
            </w:pPr>
            <w:r>
              <w:rPr>
                <w:rFonts w:hint="eastAsia"/>
              </w:rPr>
              <w:t>国家标准</w:t>
            </w:r>
            <w:r>
              <w:rPr>
                <w:rFonts w:hint="eastAsia" w:ascii="Segoe UI Symbol" w:hAnsi="Segoe UI Symbol" w:cs="Segoe UI Symbol"/>
              </w:rPr>
              <w:t>☑</w:t>
            </w:r>
            <w:r>
              <w:rPr>
                <w:rFonts w:hint="eastAsia"/>
              </w:rPr>
              <w:t xml:space="preserve">      国外标准□     地方标准□</w:t>
            </w:r>
          </w:p>
        </w:tc>
      </w:tr>
      <w:tr w14:paraId="56E4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856" w:type="dxa"/>
            <w:vMerge w:val="restart"/>
            <w:tcBorders>
              <w:top w:val="nil"/>
              <w:left w:val="single" w:color="auto" w:sz="4" w:space="0"/>
              <w:bottom w:val="single" w:color="auto" w:sz="4" w:space="0"/>
              <w:right w:val="single" w:color="auto" w:sz="4" w:space="0"/>
            </w:tcBorders>
            <w:vAlign w:val="center"/>
          </w:tcPr>
          <w:p w14:paraId="3C883053">
            <w:pPr>
              <w:pStyle w:val="196"/>
            </w:pPr>
            <w:r>
              <w:rPr>
                <w:rFonts w:hint="eastAsia"/>
              </w:rPr>
              <w:t>现状评价</w:t>
            </w:r>
          </w:p>
        </w:tc>
        <w:tc>
          <w:tcPr>
            <w:tcW w:w="1560" w:type="dxa"/>
            <w:tcBorders>
              <w:top w:val="single" w:color="auto" w:sz="4" w:space="0"/>
              <w:left w:val="single" w:color="auto" w:sz="4" w:space="0"/>
              <w:bottom w:val="single" w:color="auto" w:sz="4" w:space="0"/>
              <w:right w:val="single" w:color="auto" w:sz="4" w:space="0"/>
            </w:tcBorders>
            <w:vAlign w:val="center"/>
          </w:tcPr>
          <w:p w14:paraId="4FB2ADA1">
            <w:pPr>
              <w:pStyle w:val="196"/>
            </w:pPr>
            <w:r>
              <w:rPr>
                <w:rFonts w:hint="eastAsia"/>
              </w:rPr>
              <w:t>环境功能区</w:t>
            </w:r>
          </w:p>
        </w:tc>
        <w:tc>
          <w:tcPr>
            <w:tcW w:w="969" w:type="dxa"/>
            <w:tcBorders>
              <w:top w:val="single" w:color="auto" w:sz="4" w:space="0"/>
              <w:left w:val="single" w:color="auto" w:sz="4" w:space="0"/>
              <w:bottom w:val="single" w:color="auto" w:sz="4" w:space="0"/>
              <w:right w:val="single" w:color="auto" w:sz="4" w:space="0"/>
            </w:tcBorders>
            <w:vAlign w:val="center"/>
          </w:tcPr>
          <w:p w14:paraId="14BBCC49">
            <w:pPr>
              <w:pStyle w:val="196"/>
            </w:pPr>
            <w:r>
              <w:rPr>
                <w:rFonts w:hint="eastAsia"/>
              </w:rPr>
              <w:t>0类区□</w:t>
            </w:r>
          </w:p>
        </w:tc>
        <w:tc>
          <w:tcPr>
            <w:tcW w:w="993" w:type="dxa"/>
            <w:gridSpan w:val="4"/>
            <w:tcBorders>
              <w:top w:val="single" w:color="auto" w:sz="4" w:space="0"/>
              <w:left w:val="single" w:color="auto" w:sz="4" w:space="0"/>
              <w:bottom w:val="single" w:color="auto" w:sz="4" w:space="0"/>
              <w:right w:val="single" w:color="auto" w:sz="4" w:space="0"/>
            </w:tcBorders>
            <w:vAlign w:val="center"/>
          </w:tcPr>
          <w:p w14:paraId="0398DB59">
            <w:pPr>
              <w:pStyle w:val="196"/>
            </w:pPr>
            <w:r>
              <w:rPr>
                <w:rFonts w:hint="eastAsia"/>
              </w:rPr>
              <w:t>1类区□</w:t>
            </w:r>
          </w:p>
        </w:tc>
        <w:tc>
          <w:tcPr>
            <w:tcW w:w="992" w:type="dxa"/>
            <w:tcBorders>
              <w:top w:val="single" w:color="auto" w:sz="4" w:space="0"/>
              <w:left w:val="single" w:color="auto" w:sz="4" w:space="0"/>
              <w:bottom w:val="single" w:color="auto" w:sz="4" w:space="0"/>
              <w:right w:val="single" w:color="auto" w:sz="4" w:space="0"/>
            </w:tcBorders>
            <w:vAlign w:val="center"/>
          </w:tcPr>
          <w:p w14:paraId="1A239C1B">
            <w:pPr>
              <w:pStyle w:val="196"/>
            </w:pPr>
            <w:r>
              <w:rPr>
                <w:rFonts w:hint="eastAsia"/>
              </w:rPr>
              <w:t>2类区□</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6328892E">
            <w:pPr>
              <w:pStyle w:val="196"/>
            </w:pPr>
            <w:r>
              <w:rPr>
                <w:rFonts w:hint="eastAsia"/>
              </w:rPr>
              <w:t>3类区</w:t>
            </w:r>
            <w:r>
              <w:rPr>
                <w:rFonts w:hint="eastAsia" w:ascii="Segoe UI Symbol" w:hAnsi="Segoe UI Symbol" w:cs="Segoe UI Symbol"/>
              </w:rPr>
              <w:t>☑</w:t>
            </w:r>
          </w:p>
        </w:tc>
        <w:tc>
          <w:tcPr>
            <w:tcW w:w="1015" w:type="dxa"/>
            <w:gridSpan w:val="3"/>
            <w:tcBorders>
              <w:top w:val="single" w:color="auto" w:sz="4" w:space="0"/>
              <w:left w:val="single" w:color="auto" w:sz="4" w:space="0"/>
              <w:bottom w:val="single" w:color="auto" w:sz="4" w:space="0"/>
              <w:right w:val="single" w:color="auto" w:sz="4" w:space="0"/>
            </w:tcBorders>
            <w:vAlign w:val="center"/>
          </w:tcPr>
          <w:p w14:paraId="25238D98">
            <w:pPr>
              <w:pStyle w:val="196"/>
            </w:pPr>
            <w:r>
              <w:rPr>
                <w:rFonts w:hint="eastAsia"/>
              </w:rPr>
              <w:t>4a类区</w:t>
            </w:r>
            <w:r>
              <w:rPr>
                <w:rFonts w:ascii="Segoe UI Symbol" w:hAnsi="Segoe UI Symbol" w:cs="Segoe UI Symbol"/>
              </w:rPr>
              <w:t>☑</w:t>
            </w:r>
          </w:p>
        </w:tc>
        <w:tc>
          <w:tcPr>
            <w:tcW w:w="1081" w:type="dxa"/>
            <w:tcBorders>
              <w:top w:val="single" w:color="auto" w:sz="4" w:space="0"/>
              <w:left w:val="single" w:color="auto" w:sz="4" w:space="0"/>
              <w:bottom w:val="single" w:color="auto" w:sz="4" w:space="0"/>
              <w:right w:val="single" w:color="auto" w:sz="4" w:space="0"/>
            </w:tcBorders>
            <w:vAlign w:val="center"/>
          </w:tcPr>
          <w:p w14:paraId="5FFBB890">
            <w:pPr>
              <w:pStyle w:val="196"/>
            </w:pPr>
            <w:r>
              <w:rPr>
                <w:rFonts w:hint="eastAsia"/>
              </w:rPr>
              <w:t>4b类区□</w:t>
            </w:r>
          </w:p>
        </w:tc>
      </w:tr>
      <w:tr w14:paraId="4FB3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11CDF087">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24912B42">
            <w:pPr>
              <w:pStyle w:val="196"/>
            </w:pPr>
            <w:r>
              <w:rPr>
                <w:rFonts w:hint="eastAsia"/>
              </w:rPr>
              <w:t>评价年度</w:t>
            </w:r>
          </w:p>
        </w:tc>
        <w:tc>
          <w:tcPr>
            <w:tcW w:w="1439" w:type="dxa"/>
            <w:gridSpan w:val="3"/>
            <w:tcBorders>
              <w:top w:val="single" w:color="auto" w:sz="4" w:space="0"/>
              <w:left w:val="single" w:color="auto" w:sz="4" w:space="0"/>
              <w:bottom w:val="single" w:color="auto" w:sz="4" w:space="0"/>
              <w:right w:val="single" w:color="auto" w:sz="4" w:space="0"/>
            </w:tcBorders>
            <w:vAlign w:val="center"/>
          </w:tcPr>
          <w:p w14:paraId="70355000">
            <w:pPr>
              <w:pStyle w:val="196"/>
            </w:pPr>
            <w:r>
              <w:rPr>
                <w:rFonts w:hint="eastAsia"/>
              </w:rPr>
              <w:t>初期□</w:t>
            </w:r>
          </w:p>
        </w:tc>
        <w:tc>
          <w:tcPr>
            <w:tcW w:w="1582" w:type="dxa"/>
            <w:gridSpan w:val="4"/>
            <w:tcBorders>
              <w:top w:val="single" w:color="auto" w:sz="4" w:space="0"/>
              <w:left w:val="single" w:color="auto" w:sz="4" w:space="0"/>
              <w:bottom w:val="single" w:color="auto" w:sz="4" w:space="0"/>
              <w:right w:val="single" w:color="auto" w:sz="4" w:space="0"/>
            </w:tcBorders>
            <w:vAlign w:val="center"/>
          </w:tcPr>
          <w:p w14:paraId="484B05B6">
            <w:pPr>
              <w:pStyle w:val="196"/>
            </w:pPr>
            <w:r>
              <w:rPr>
                <w:rFonts w:hint="eastAsia"/>
              </w:rPr>
              <w:t>近期</w:t>
            </w:r>
            <w:r>
              <w:rPr>
                <w:rFonts w:ascii="Segoe UI Symbol" w:hAnsi="Segoe UI Symbol" w:cs="Segoe UI Symbol"/>
              </w:rPr>
              <w:t>☑</w:t>
            </w:r>
          </w:p>
        </w:tc>
        <w:tc>
          <w:tcPr>
            <w:tcW w:w="1581" w:type="dxa"/>
            <w:gridSpan w:val="2"/>
            <w:tcBorders>
              <w:top w:val="single" w:color="auto" w:sz="4" w:space="0"/>
              <w:left w:val="single" w:color="auto" w:sz="4" w:space="0"/>
              <w:bottom w:val="single" w:color="auto" w:sz="4" w:space="0"/>
              <w:right w:val="single" w:color="auto" w:sz="4" w:space="0"/>
            </w:tcBorders>
            <w:vAlign w:val="center"/>
          </w:tcPr>
          <w:p w14:paraId="0126FEBF">
            <w:pPr>
              <w:pStyle w:val="196"/>
            </w:pPr>
            <w:r>
              <w:rPr>
                <w:rFonts w:hint="eastAsia"/>
              </w:rPr>
              <w:t>中期□</w:t>
            </w:r>
          </w:p>
        </w:tc>
        <w:tc>
          <w:tcPr>
            <w:tcW w:w="1582" w:type="dxa"/>
            <w:gridSpan w:val="3"/>
            <w:tcBorders>
              <w:top w:val="single" w:color="auto" w:sz="4" w:space="0"/>
              <w:left w:val="single" w:color="auto" w:sz="4" w:space="0"/>
              <w:bottom w:val="single" w:color="auto" w:sz="4" w:space="0"/>
              <w:right w:val="single" w:color="auto" w:sz="4" w:space="0"/>
            </w:tcBorders>
            <w:vAlign w:val="center"/>
          </w:tcPr>
          <w:p w14:paraId="5007A0E1">
            <w:pPr>
              <w:pStyle w:val="196"/>
            </w:pPr>
            <w:r>
              <w:rPr>
                <w:rFonts w:hint="eastAsia"/>
              </w:rPr>
              <w:t>远期□</w:t>
            </w:r>
          </w:p>
        </w:tc>
      </w:tr>
      <w:tr w14:paraId="4736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CF80929">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128431D4">
            <w:pPr>
              <w:pStyle w:val="196"/>
            </w:pPr>
            <w:r>
              <w:rPr>
                <w:rFonts w:hint="eastAsia"/>
              </w:rPr>
              <w:t>现状调查方法</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747853E0">
            <w:pPr>
              <w:pStyle w:val="196"/>
            </w:pPr>
            <w:r>
              <w:rPr>
                <w:rFonts w:hint="eastAsia"/>
              </w:rPr>
              <w:t>现场实测法</w:t>
            </w:r>
            <w:r>
              <w:rPr>
                <w:rFonts w:hint="eastAsia" w:ascii="Segoe UI Symbol" w:hAnsi="Segoe UI Symbol" w:cs="Segoe UI Symbol"/>
              </w:rPr>
              <w:t>☑</w:t>
            </w:r>
            <w:r>
              <w:rPr>
                <w:rFonts w:hint="eastAsia"/>
              </w:rPr>
              <w:t xml:space="preserve">   现场实测加模型计算法□   收集资料□</w:t>
            </w:r>
          </w:p>
        </w:tc>
      </w:tr>
      <w:tr w14:paraId="234FF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17628DF7">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3AECEDBC">
            <w:pPr>
              <w:pStyle w:val="196"/>
            </w:pPr>
            <w:r>
              <w:rPr>
                <w:rFonts w:hint="eastAsia"/>
              </w:rPr>
              <w:t>现状评价</w:t>
            </w:r>
          </w:p>
        </w:tc>
        <w:tc>
          <w:tcPr>
            <w:tcW w:w="1559" w:type="dxa"/>
            <w:gridSpan w:val="4"/>
            <w:tcBorders>
              <w:top w:val="single" w:color="auto" w:sz="4" w:space="0"/>
              <w:left w:val="single" w:color="auto" w:sz="4" w:space="0"/>
              <w:bottom w:val="single" w:color="auto" w:sz="4" w:space="0"/>
              <w:right w:val="single" w:color="auto" w:sz="4" w:space="0"/>
            </w:tcBorders>
            <w:vAlign w:val="center"/>
          </w:tcPr>
          <w:p w14:paraId="2E691732">
            <w:pPr>
              <w:pStyle w:val="196"/>
            </w:pPr>
            <w:r>
              <w:rPr>
                <w:rFonts w:hint="eastAsia"/>
              </w:rPr>
              <w:t>达标百分比</w:t>
            </w:r>
          </w:p>
        </w:tc>
        <w:tc>
          <w:tcPr>
            <w:tcW w:w="4625" w:type="dxa"/>
            <w:gridSpan w:val="8"/>
            <w:tcBorders>
              <w:top w:val="single" w:color="auto" w:sz="4" w:space="0"/>
              <w:left w:val="single" w:color="auto" w:sz="4" w:space="0"/>
              <w:bottom w:val="single" w:color="auto" w:sz="4" w:space="0"/>
              <w:right w:val="single" w:color="auto" w:sz="4" w:space="0"/>
            </w:tcBorders>
            <w:vAlign w:val="center"/>
          </w:tcPr>
          <w:p w14:paraId="10ABA119">
            <w:pPr>
              <w:pStyle w:val="196"/>
            </w:pPr>
            <w:r>
              <w:rPr>
                <w:rFonts w:hint="eastAsia"/>
              </w:rPr>
              <w:t>100%</w:t>
            </w:r>
          </w:p>
        </w:tc>
      </w:tr>
      <w:tr w14:paraId="37FA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tcBorders>
              <w:top w:val="single" w:color="auto" w:sz="4" w:space="0"/>
              <w:left w:val="single" w:color="auto" w:sz="4" w:space="0"/>
              <w:bottom w:val="single" w:color="auto" w:sz="4" w:space="0"/>
              <w:right w:val="single" w:color="auto" w:sz="4" w:space="0"/>
            </w:tcBorders>
            <w:vAlign w:val="center"/>
          </w:tcPr>
          <w:p w14:paraId="4ECDF9CA">
            <w:pPr>
              <w:pStyle w:val="196"/>
            </w:pPr>
            <w:r>
              <w:rPr>
                <w:rFonts w:hint="eastAsia"/>
              </w:rPr>
              <w:t>噪声源调查</w:t>
            </w:r>
          </w:p>
        </w:tc>
        <w:tc>
          <w:tcPr>
            <w:tcW w:w="1560" w:type="dxa"/>
            <w:tcBorders>
              <w:top w:val="single" w:color="auto" w:sz="4" w:space="0"/>
              <w:left w:val="single" w:color="auto" w:sz="4" w:space="0"/>
              <w:bottom w:val="single" w:color="auto" w:sz="4" w:space="0"/>
              <w:right w:val="single" w:color="auto" w:sz="4" w:space="0"/>
            </w:tcBorders>
            <w:vAlign w:val="center"/>
          </w:tcPr>
          <w:p w14:paraId="4EF4A228">
            <w:pPr>
              <w:pStyle w:val="196"/>
            </w:pPr>
            <w:r>
              <w:rPr>
                <w:rFonts w:hint="eastAsia"/>
              </w:rPr>
              <w:t>噪声源调查方法</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19FDC854">
            <w:pPr>
              <w:pStyle w:val="196"/>
            </w:pPr>
            <w:r>
              <w:rPr>
                <w:rFonts w:hint="eastAsia"/>
              </w:rPr>
              <w:t>已有资料□    现场实测</w:t>
            </w:r>
            <w:r>
              <w:rPr>
                <w:rFonts w:hint="eastAsia" w:ascii="Segoe UI Symbol" w:hAnsi="Segoe UI Symbol" w:cs="Segoe UI Symbol"/>
              </w:rPr>
              <w:t>☑</w:t>
            </w:r>
            <w:r>
              <w:rPr>
                <w:rFonts w:hint="eastAsia"/>
              </w:rPr>
              <w:t xml:space="preserve">     研究成果□</w:t>
            </w:r>
          </w:p>
        </w:tc>
      </w:tr>
      <w:tr w14:paraId="74D4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856" w:type="dxa"/>
            <w:vMerge w:val="restart"/>
            <w:tcBorders>
              <w:top w:val="nil"/>
              <w:left w:val="single" w:color="auto" w:sz="4" w:space="0"/>
              <w:bottom w:val="single" w:color="auto" w:sz="4" w:space="0"/>
              <w:right w:val="single" w:color="auto" w:sz="4" w:space="0"/>
            </w:tcBorders>
            <w:vAlign w:val="center"/>
          </w:tcPr>
          <w:p w14:paraId="312DEE6E">
            <w:pPr>
              <w:pStyle w:val="196"/>
            </w:pPr>
            <w:r>
              <w:rPr>
                <w:rFonts w:hint="eastAsia"/>
              </w:rPr>
              <w:t>声环境影响预测与评价</w:t>
            </w:r>
          </w:p>
        </w:tc>
        <w:tc>
          <w:tcPr>
            <w:tcW w:w="1560" w:type="dxa"/>
            <w:tcBorders>
              <w:top w:val="single" w:color="auto" w:sz="4" w:space="0"/>
              <w:left w:val="single" w:color="auto" w:sz="4" w:space="0"/>
              <w:bottom w:val="single" w:color="auto" w:sz="4" w:space="0"/>
              <w:right w:val="single" w:color="auto" w:sz="4" w:space="0"/>
            </w:tcBorders>
            <w:vAlign w:val="center"/>
          </w:tcPr>
          <w:p w14:paraId="4A20BADE">
            <w:pPr>
              <w:pStyle w:val="196"/>
            </w:pPr>
            <w:r>
              <w:rPr>
                <w:rFonts w:hint="eastAsia"/>
              </w:rPr>
              <w:t>预测模型</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64ADA65F">
            <w:pPr>
              <w:pStyle w:val="196"/>
            </w:pPr>
            <w:r>
              <w:rPr>
                <w:rFonts w:hint="eastAsia"/>
              </w:rPr>
              <w:t>导则推荐模型</w:t>
            </w:r>
            <w:r>
              <w:rPr>
                <w:rFonts w:hint="eastAsia" w:ascii="Segoe UI Symbol" w:hAnsi="Segoe UI Symbol" w:cs="Segoe UI Symbol"/>
              </w:rPr>
              <w:t>☑</w:t>
            </w:r>
            <w:r>
              <w:rPr>
                <w:rFonts w:hint="eastAsia"/>
              </w:rPr>
              <w:t xml:space="preserve">    其他□</w:t>
            </w:r>
            <w:r>
              <w:rPr>
                <w:rFonts w:hint="eastAsia"/>
                <w:u w:val="single"/>
              </w:rPr>
              <w:t xml:space="preserve">     </w:t>
            </w:r>
          </w:p>
        </w:tc>
      </w:tr>
      <w:tr w14:paraId="0059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14A190C8">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153C0AD2">
            <w:pPr>
              <w:pStyle w:val="196"/>
            </w:pPr>
            <w:r>
              <w:rPr>
                <w:rFonts w:hint="eastAsia"/>
              </w:rPr>
              <w:t>预测范围</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3B77DCAD">
            <w:pPr>
              <w:pStyle w:val="196"/>
            </w:pPr>
            <w:r>
              <w:rPr>
                <w:rFonts w:hint="eastAsia"/>
              </w:rPr>
              <w:t>200m</w:t>
            </w:r>
            <w:r>
              <w:rPr>
                <w:rFonts w:hint="eastAsia" w:ascii="Segoe UI Symbol" w:hAnsi="Segoe UI Symbol" w:cs="Segoe UI Symbol"/>
              </w:rPr>
              <w:t>☑</w:t>
            </w:r>
            <w:r>
              <w:rPr>
                <w:rFonts w:hint="eastAsia"/>
              </w:rPr>
              <w:t xml:space="preserve">     小于200m□     大于200m□</w:t>
            </w:r>
          </w:p>
        </w:tc>
      </w:tr>
      <w:tr w14:paraId="4F3E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0BC72003">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7123B8C7">
            <w:pPr>
              <w:pStyle w:val="196"/>
            </w:pPr>
            <w:r>
              <w:rPr>
                <w:rFonts w:hint="eastAsia"/>
              </w:rPr>
              <w:t>预测因子</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0274A086">
            <w:pPr>
              <w:pStyle w:val="196"/>
            </w:pPr>
            <w:r>
              <w:rPr>
                <w:rFonts w:hint="eastAsia"/>
              </w:rPr>
              <w:t>等效连续A声级</w:t>
            </w:r>
            <w:r>
              <w:rPr>
                <w:rFonts w:hint="eastAsia" w:ascii="Segoe UI Symbol" w:hAnsi="Segoe UI Symbol" w:cs="Segoe UI Symbol"/>
              </w:rPr>
              <w:t>☑</w:t>
            </w:r>
            <w:r>
              <w:rPr>
                <w:rFonts w:hint="eastAsia"/>
              </w:rPr>
              <w:t xml:space="preserve">      最大A声级□    计权等效连续感觉噪声级□</w:t>
            </w:r>
          </w:p>
        </w:tc>
      </w:tr>
      <w:tr w14:paraId="54ED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300" w:type="dxa"/>
            <w:vMerge w:val="continue"/>
            <w:tcBorders>
              <w:top w:val="nil"/>
              <w:left w:val="single" w:color="auto" w:sz="4" w:space="0"/>
              <w:bottom w:val="single" w:color="auto" w:sz="4" w:space="0"/>
              <w:right w:val="single" w:color="auto" w:sz="4" w:space="0"/>
            </w:tcBorders>
            <w:vAlign w:val="center"/>
          </w:tcPr>
          <w:p w14:paraId="3CB608B0">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2E78162A">
            <w:pPr>
              <w:pStyle w:val="196"/>
            </w:pPr>
            <w:r>
              <w:rPr>
                <w:rFonts w:hint="eastAsia"/>
              </w:rPr>
              <w:t>厂界噪声贡献值</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4FF71502">
            <w:pPr>
              <w:pStyle w:val="196"/>
            </w:pPr>
            <w:r>
              <w:rPr>
                <w:rFonts w:hint="eastAsia"/>
              </w:rPr>
              <w:t>达标</w:t>
            </w:r>
            <w:r>
              <w:rPr>
                <w:rFonts w:hint="eastAsia" w:ascii="Segoe UI Symbol" w:hAnsi="Segoe UI Symbol" w:cs="Segoe UI Symbol"/>
              </w:rPr>
              <w:t>☑</w:t>
            </w:r>
            <w:r>
              <w:rPr>
                <w:rFonts w:hint="eastAsia"/>
              </w:rPr>
              <w:t xml:space="preserve">    不达标□</w:t>
            </w:r>
          </w:p>
        </w:tc>
      </w:tr>
      <w:tr w14:paraId="6BD2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44B9CD0F">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26FC8CF8">
            <w:pPr>
              <w:pStyle w:val="196"/>
            </w:pPr>
            <w:r>
              <w:rPr>
                <w:rFonts w:hint="eastAsia"/>
              </w:rPr>
              <w:t>声环境保护目标处噪声值</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41B8DBBD">
            <w:pPr>
              <w:pStyle w:val="196"/>
            </w:pPr>
            <w:r>
              <w:rPr>
                <w:rFonts w:hint="eastAsia"/>
              </w:rPr>
              <w:t>达标</w:t>
            </w:r>
            <w:r>
              <w:rPr>
                <w:rFonts w:hint="eastAsia" w:ascii="Segoe UI Symbol" w:hAnsi="Segoe UI Symbol" w:cs="Segoe UI Symbol"/>
              </w:rPr>
              <w:t>☑</w:t>
            </w:r>
            <w:r>
              <w:rPr>
                <w:rFonts w:hint="eastAsia"/>
              </w:rPr>
              <w:t xml:space="preserve">     不达标□</w:t>
            </w:r>
          </w:p>
        </w:tc>
      </w:tr>
      <w:tr w14:paraId="2EC0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856" w:type="dxa"/>
            <w:vMerge w:val="restart"/>
            <w:tcBorders>
              <w:top w:val="nil"/>
              <w:left w:val="single" w:color="auto" w:sz="4" w:space="0"/>
              <w:bottom w:val="single" w:color="auto" w:sz="4" w:space="0"/>
              <w:right w:val="single" w:color="auto" w:sz="4" w:space="0"/>
            </w:tcBorders>
            <w:vAlign w:val="center"/>
          </w:tcPr>
          <w:p w14:paraId="0C39A8A7">
            <w:pPr>
              <w:pStyle w:val="196"/>
            </w:pPr>
            <w:r>
              <w:rPr>
                <w:rFonts w:hint="eastAsia"/>
              </w:rPr>
              <w:t>环境监测计划</w:t>
            </w:r>
          </w:p>
        </w:tc>
        <w:tc>
          <w:tcPr>
            <w:tcW w:w="1560" w:type="dxa"/>
            <w:tcBorders>
              <w:top w:val="single" w:color="auto" w:sz="4" w:space="0"/>
              <w:left w:val="single" w:color="auto" w:sz="4" w:space="0"/>
              <w:bottom w:val="single" w:color="auto" w:sz="4" w:space="0"/>
              <w:right w:val="single" w:color="auto" w:sz="4" w:space="0"/>
            </w:tcBorders>
            <w:vAlign w:val="center"/>
          </w:tcPr>
          <w:p w14:paraId="1B07C7FE">
            <w:pPr>
              <w:pStyle w:val="196"/>
            </w:pPr>
            <w:r>
              <w:rPr>
                <w:rFonts w:hint="eastAsia"/>
              </w:rPr>
              <w:t>排放监测</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14900D07">
            <w:pPr>
              <w:pStyle w:val="196"/>
            </w:pPr>
            <w:r>
              <w:rPr>
                <w:rFonts w:hint="eastAsia"/>
              </w:rPr>
              <w:t>厂界监测</w:t>
            </w:r>
            <w:r>
              <w:rPr>
                <w:rFonts w:hint="eastAsia" w:ascii="Segoe UI Symbol" w:hAnsi="Segoe UI Symbol" w:cs="Segoe UI Symbol"/>
              </w:rPr>
              <w:t>☑</w:t>
            </w:r>
            <w:r>
              <w:rPr>
                <w:rFonts w:hint="eastAsia"/>
              </w:rPr>
              <w:t xml:space="preserve">   固定位置监测□    自动监测□   手动监测□  </w:t>
            </w:r>
          </w:p>
          <w:p w14:paraId="75509065">
            <w:pPr>
              <w:pStyle w:val="196"/>
            </w:pPr>
            <w:r>
              <w:rPr>
                <w:rFonts w:hint="eastAsia"/>
              </w:rPr>
              <w:t>无监测□</w:t>
            </w:r>
          </w:p>
        </w:tc>
      </w:tr>
      <w:tr w14:paraId="1890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00" w:type="dxa"/>
            <w:vMerge w:val="continue"/>
            <w:tcBorders>
              <w:top w:val="nil"/>
              <w:left w:val="single" w:color="auto" w:sz="4" w:space="0"/>
              <w:bottom w:val="single" w:color="auto" w:sz="4" w:space="0"/>
              <w:right w:val="single" w:color="auto" w:sz="4" w:space="0"/>
            </w:tcBorders>
            <w:vAlign w:val="center"/>
          </w:tcPr>
          <w:p w14:paraId="24E850D7">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7F71FFB3">
            <w:pPr>
              <w:pStyle w:val="196"/>
            </w:pPr>
            <w:r>
              <w:rPr>
                <w:rFonts w:hint="eastAsia"/>
              </w:rPr>
              <w:t>声环境保护目标处噪声监测</w:t>
            </w:r>
          </w:p>
        </w:tc>
        <w:tc>
          <w:tcPr>
            <w:tcW w:w="1376" w:type="dxa"/>
            <w:gridSpan w:val="2"/>
            <w:tcBorders>
              <w:top w:val="single" w:color="auto" w:sz="4" w:space="0"/>
              <w:left w:val="single" w:color="auto" w:sz="4" w:space="0"/>
              <w:bottom w:val="single" w:color="auto" w:sz="4" w:space="0"/>
              <w:right w:val="single" w:color="auto" w:sz="4" w:space="0"/>
            </w:tcBorders>
            <w:vAlign w:val="center"/>
          </w:tcPr>
          <w:p w14:paraId="536B6DB0">
            <w:pPr>
              <w:pStyle w:val="196"/>
            </w:pPr>
            <w:r>
              <w:rPr>
                <w:rFonts w:hint="eastAsia"/>
              </w:rPr>
              <w:t>监测因子：（等效连续A声级）</w:t>
            </w:r>
          </w:p>
        </w:tc>
        <w:tc>
          <w:tcPr>
            <w:tcW w:w="3275" w:type="dxa"/>
            <w:gridSpan w:val="8"/>
            <w:tcBorders>
              <w:top w:val="single" w:color="auto" w:sz="4" w:space="0"/>
              <w:left w:val="single" w:color="auto" w:sz="4" w:space="0"/>
              <w:bottom w:val="single" w:color="auto" w:sz="4" w:space="0"/>
              <w:right w:val="single" w:color="auto" w:sz="4" w:space="0"/>
            </w:tcBorders>
            <w:vAlign w:val="center"/>
          </w:tcPr>
          <w:p w14:paraId="5B5BD5EC">
            <w:pPr>
              <w:pStyle w:val="196"/>
            </w:pPr>
            <w:r>
              <w:rPr>
                <w:rFonts w:hint="eastAsia"/>
              </w:rPr>
              <w:t>监测点位数（4个）</w:t>
            </w:r>
          </w:p>
        </w:tc>
        <w:tc>
          <w:tcPr>
            <w:tcW w:w="1533" w:type="dxa"/>
            <w:gridSpan w:val="2"/>
            <w:tcBorders>
              <w:top w:val="single" w:color="auto" w:sz="4" w:space="0"/>
              <w:left w:val="single" w:color="auto" w:sz="4" w:space="0"/>
              <w:bottom w:val="single" w:color="auto" w:sz="4" w:space="0"/>
              <w:right w:val="single" w:color="auto" w:sz="4" w:space="0"/>
            </w:tcBorders>
            <w:vAlign w:val="center"/>
          </w:tcPr>
          <w:p w14:paraId="6D2AA888">
            <w:pPr>
              <w:pStyle w:val="196"/>
            </w:pPr>
            <w:r>
              <w:rPr>
                <w:rFonts w:hint="eastAsia"/>
              </w:rPr>
              <w:t>无监测□</w:t>
            </w:r>
          </w:p>
        </w:tc>
      </w:tr>
      <w:tr w14:paraId="7D2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56" w:type="dxa"/>
            <w:tcBorders>
              <w:top w:val="single" w:color="auto" w:sz="4" w:space="0"/>
              <w:left w:val="single" w:color="auto" w:sz="4" w:space="0"/>
              <w:bottom w:val="single" w:color="auto" w:sz="4" w:space="0"/>
              <w:right w:val="single" w:color="auto" w:sz="4" w:space="0"/>
            </w:tcBorders>
            <w:vAlign w:val="center"/>
          </w:tcPr>
          <w:p w14:paraId="742DFA13">
            <w:pPr>
              <w:pStyle w:val="196"/>
            </w:pPr>
            <w:r>
              <w:rPr>
                <w:rFonts w:hint="eastAsia"/>
              </w:rPr>
              <w:t>评价结论</w:t>
            </w:r>
          </w:p>
        </w:tc>
        <w:tc>
          <w:tcPr>
            <w:tcW w:w="1560" w:type="dxa"/>
            <w:tcBorders>
              <w:top w:val="single" w:color="auto" w:sz="4" w:space="0"/>
              <w:left w:val="single" w:color="auto" w:sz="4" w:space="0"/>
              <w:bottom w:val="single" w:color="auto" w:sz="4" w:space="0"/>
              <w:right w:val="single" w:color="auto" w:sz="4" w:space="0"/>
            </w:tcBorders>
            <w:vAlign w:val="center"/>
          </w:tcPr>
          <w:p w14:paraId="22DFA989">
            <w:pPr>
              <w:pStyle w:val="196"/>
            </w:pPr>
            <w:r>
              <w:rPr>
                <w:rFonts w:hint="eastAsia"/>
              </w:rPr>
              <w:t>环境影响</w:t>
            </w:r>
          </w:p>
        </w:tc>
        <w:tc>
          <w:tcPr>
            <w:tcW w:w="6184" w:type="dxa"/>
            <w:gridSpan w:val="12"/>
            <w:tcBorders>
              <w:top w:val="single" w:color="auto" w:sz="4" w:space="0"/>
              <w:left w:val="single" w:color="auto" w:sz="4" w:space="0"/>
              <w:bottom w:val="single" w:color="auto" w:sz="4" w:space="0"/>
              <w:right w:val="single" w:color="auto" w:sz="4" w:space="0"/>
            </w:tcBorders>
            <w:vAlign w:val="center"/>
          </w:tcPr>
          <w:p w14:paraId="79779F58">
            <w:pPr>
              <w:pStyle w:val="196"/>
            </w:pPr>
            <w:r>
              <w:rPr>
                <w:rFonts w:hint="eastAsia"/>
              </w:rPr>
              <w:t>可行</w:t>
            </w:r>
            <w:r>
              <w:rPr>
                <w:rFonts w:hint="eastAsia" w:ascii="Segoe UI Symbol" w:hAnsi="Segoe UI Symbol" w:cs="Segoe UI Symbol"/>
              </w:rPr>
              <w:t>☑</w:t>
            </w:r>
            <w:r>
              <w:rPr>
                <w:rFonts w:hint="eastAsia"/>
              </w:rPr>
              <w:t xml:space="preserve">    不可行□</w:t>
            </w:r>
          </w:p>
        </w:tc>
      </w:tr>
      <w:tr w14:paraId="0B13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600" w:type="dxa"/>
            <w:gridSpan w:val="14"/>
            <w:tcBorders>
              <w:top w:val="single" w:color="auto" w:sz="4" w:space="0"/>
              <w:left w:val="single" w:color="auto" w:sz="4" w:space="0"/>
              <w:bottom w:val="single" w:color="auto" w:sz="4" w:space="0"/>
              <w:right w:val="single" w:color="auto" w:sz="4" w:space="0"/>
            </w:tcBorders>
            <w:vAlign w:val="center"/>
          </w:tcPr>
          <w:p w14:paraId="24C3EACD">
            <w:pPr>
              <w:pStyle w:val="196"/>
            </w:pPr>
            <w:r>
              <w:rPr>
                <w:rFonts w:hint="eastAsia"/>
              </w:rPr>
              <w:t>注：“□”为勾选项，可√；“（）”为内容填写项</w:t>
            </w:r>
          </w:p>
        </w:tc>
      </w:tr>
    </w:tbl>
    <w:p w14:paraId="08DD165C">
      <w:pPr>
        <w:pStyle w:val="82"/>
      </w:pPr>
      <w:r>
        <w:rPr>
          <w:rFonts w:hint="eastAsia"/>
        </w:rPr>
        <w:t>固废影响分析与评价</w:t>
      </w:r>
    </w:p>
    <w:p w14:paraId="24AF7AC0">
      <w:pPr>
        <w:pStyle w:val="84"/>
      </w:pPr>
      <w:r>
        <w:rPr>
          <w:rFonts w:hint="eastAsia"/>
        </w:rPr>
        <w:t>固体废物产生及处置情况</w:t>
      </w:r>
    </w:p>
    <w:p w14:paraId="7B04DB7B">
      <w:pPr>
        <w:pStyle w:val="93"/>
      </w:pPr>
      <w:r>
        <w:rPr>
          <w:rFonts w:hint="eastAsia"/>
        </w:rPr>
        <w:t>本项目产生的固体废物主要包括船舶生活垃圾、维修废弃物、陆域生活垃圾、检修废物、含油抹布及手套等，固体废物处置方式详见表5.2-</w:t>
      </w:r>
      <w:r>
        <w:t>1</w:t>
      </w:r>
      <w:r>
        <w:rPr>
          <w:rFonts w:hint="eastAsia"/>
        </w:rPr>
        <w:t>3。</w:t>
      </w:r>
    </w:p>
    <w:p w14:paraId="046505AF">
      <w:pPr>
        <w:pStyle w:val="86"/>
      </w:pPr>
      <w:r>
        <w:rPr>
          <w:rFonts w:hint="eastAsia"/>
        </w:rPr>
        <w:t>固体废物处置方式一览表</w:t>
      </w:r>
    </w:p>
    <w:tbl>
      <w:tblPr>
        <w:tblStyle w:val="38"/>
        <w:tblW w:w="9829" w:type="dxa"/>
        <w:jc w:val="center"/>
        <w:tblLayout w:type="autofit"/>
        <w:tblCellMar>
          <w:top w:w="0" w:type="dxa"/>
          <w:left w:w="108" w:type="dxa"/>
          <w:bottom w:w="0" w:type="dxa"/>
          <w:right w:w="108" w:type="dxa"/>
        </w:tblCellMar>
      </w:tblPr>
      <w:tblGrid>
        <w:gridCol w:w="973"/>
        <w:gridCol w:w="2304"/>
        <w:gridCol w:w="1104"/>
        <w:gridCol w:w="972"/>
        <w:gridCol w:w="1428"/>
        <w:gridCol w:w="972"/>
        <w:gridCol w:w="2076"/>
      </w:tblGrid>
      <w:tr w14:paraId="55663F4F">
        <w:tblPrEx>
          <w:tblCellMar>
            <w:top w:w="0" w:type="dxa"/>
            <w:left w:w="108" w:type="dxa"/>
            <w:bottom w:w="0" w:type="dxa"/>
            <w:right w:w="108" w:type="dxa"/>
          </w:tblCellMar>
        </w:tblPrEx>
        <w:trPr>
          <w:trHeight w:val="288" w:hRule="atLeast"/>
          <w:tblHeader/>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B1C3">
            <w:pPr>
              <w:pStyle w:val="196"/>
              <w:rPr>
                <w:b/>
                <w:bCs/>
              </w:rPr>
            </w:pPr>
            <w:r>
              <w:rPr>
                <w:rFonts w:hint="eastAsia"/>
                <w:b/>
                <w:bCs/>
              </w:rPr>
              <w:t>序号</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B5F9C">
            <w:pPr>
              <w:pStyle w:val="196"/>
              <w:rPr>
                <w:b/>
                <w:bCs/>
              </w:rPr>
            </w:pPr>
            <w:r>
              <w:rPr>
                <w:rFonts w:hint="eastAsia"/>
                <w:b/>
                <w:bCs/>
              </w:rPr>
              <w:t>固废名称</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F8802">
            <w:pPr>
              <w:pStyle w:val="196"/>
              <w:rPr>
                <w:b/>
                <w:bCs/>
              </w:rPr>
            </w:pPr>
            <w:r>
              <w:rPr>
                <w:rFonts w:hint="eastAsia"/>
                <w:b/>
                <w:bCs/>
              </w:rPr>
              <w:t>产生工序</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1B89B">
            <w:pPr>
              <w:pStyle w:val="196"/>
              <w:rPr>
                <w:b/>
                <w:bCs/>
              </w:rPr>
            </w:pPr>
            <w:r>
              <w:rPr>
                <w:rFonts w:hint="eastAsia"/>
                <w:b/>
                <w:bCs/>
              </w:rPr>
              <w:t>形态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C556">
            <w:pPr>
              <w:pStyle w:val="196"/>
              <w:rPr>
                <w:b/>
                <w:bCs/>
              </w:rPr>
            </w:pPr>
            <w:r>
              <w:rPr>
                <w:rFonts w:hint="eastAsia"/>
                <w:b/>
                <w:bCs/>
              </w:rPr>
              <w:t>主要成分</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64278">
            <w:pPr>
              <w:pStyle w:val="196"/>
              <w:rPr>
                <w:b/>
                <w:bCs/>
              </w:rPr>
            </w:pPr>
            <w:r>
              <w:rPr>
                <w:rFonts w:hint="eastAsia"/>
                <w:b/>
                <w:bCs/>
              </w:rPr>
              <w:t>产生量</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C158">
            <w:pPr>
              <w:pStyle w:val="196"/>
              <w:rPr>
                <w:b/>
                <w:bCs/>
              </w:rPr>
            </w:pPr>
            <w:r>
              <w:rPr>
                <w:rFonts w:hint="eastAsia"/>
                <w:b/>
                <w:bCs/>
              </w:rPr>
              <w:t>处置方式</w:t>
            </w:r>
          </w:p>
        </w:tc>
      </w:tr>
      <w:tr w14:paraId="17C7B659">
        <w:tblPrEx>
          <w:tblCellMar>
            <w:top w:w="0" w:type="dxa"/>
            <w:left w:w="108" w:type="dxa"/>
            <w:bottom w:w="0" w:type="dxa"/>
            <w:right w:w="108" w:type="dxa"/>
          </w:tblCellMar>
        </w:tblPrEx>
        <w:trPr>
          <w:trHeight w:val="57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79ABB">
            <w:pPr>
              <w:pStyle w:val="196"/>
              <w:rPr>
                <w:rFonts w:eastAsia="等线" w:cs="Times New Roman"/>
              </w:rPr>
            </w:pPr>
            <w:r>
              <w:rPr>
                <w:rFonts w:eastAsia="等线" w:cs="Times New Roman"/>
              </w:rPr>
              <w:t>1</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DA64">
            <w:pPr>
              <w:pStyle w:val="196"/>
            </w:pPr>
            <w:r>
              <w:rPr>
                <w:rFonts w:hint="eastAsia"/>
              </w:rPr>
              <w:t>陆域生活垃圾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FBBB">
            <w:pPr>
              <w:pStyle w:val="196"/>
            </w:pPr>
            <w:r>
              <w:rPr>
                <w:rFonts w:hint="eastAsia"/>
              </w:rPr>
              <w:t>港口员工生活</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300C4">
            <w:pPr>
              <w:pStyle w:val="196"/>
            </w:pPr>
            <w:r>
              <w:rPr>
                <w:rFonts w:hint="eastAsia"/>
              </w:rPr>
              <w:t>固态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0BC9">
            <w:pPr>
              <w:pStyle w:val="196"/>
            </w:pPr>
            <w:r>
              <w:rPr>
                <w:rFonts w:hint="eastAsia"/>
              </w:rPr>
              <w:t>食品、杂物、纸屑等</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FAC7">
            <w:pPr>
              <w:pStyle w:val="196"/>
              <w:rPr>
                <w:rFonts w:eastAsia="等线" w:cs="Times New Roman"/>
              </w:rPr>
            </w:pPr>
            <w:r>
              <w:rPr>
                <w:rFonts w:eastAsia="等线" w:cs="Times New Roman"/>
              </w:rPr>
              <w:t>22.28</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A9F8D">
            <w:pPr>
              <w:pStyle w:val="196"/>
            </w:pPr>
            <w:r>
              <w:rPr>
                <w:rFonts w:hint="eastAsia"/>
              </w:rPr>
              <w:t>委托环卫部门定期清运</w:t>
            </w:r>
          </w:p>
        </w:tc>
      </w:tr>
      <w:tr w14:paraId="21365750">
        <w:tblPrEx>
          <w:tblCellMar>
            <w:top w:w="0" w:type="dxa"/>
            <w:left w:w="108" w:type="dxa"/>
            <w:bottom w:w="0" w:type="dxa"/>
            <w:right w:w="108" w:type="dxa"/>
          </w:tblCellMar>
        </w:tblPrEx>
        <w:trPr>
          <w:trHeight w:val="57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2ACE">
            <w:pPr>
              <w:pStyle w:val="196"/>
              <w:rPr>
                <w:rFonts w:eastAsia="等线" w:cs="Times New Roman"/>
              </w:rPr>
            </w:pPr>
            <w:r>
              <w:rPr>
                <w:rFonts w:eastAsia="等线" w:cs="Times New Roman"/>
              </w:rPr>
              <w:t>2</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FCB3">
            <w:pPr>
              <w:pStyle w:val="196"/>
            </w:pPr>
            <w:r>
              <w:rPr>
                <w:rFonts w:hint="eastAsia"/>
              </w:rPr>
              <w:t>船舶生活垃圾</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2D06">
            <w:pPr>
              <w:pStyle w:val="196"/>
            </w:pPr>
            <w:r>
              <w:rPr>
                <w:rFonts w:hint="eastAsia"/>
              </w:rPr>
              <w:t>船员生活</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42C2">
            <w:pPr>
              <w:pStyle w:val="196"/>
            </w:pPr>
            <w:r>
              <w:rPr>
                <w:rFonts w:hint="eastAsia"/>
              </w:rPr>
              <w:t>固态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5BE75">
            <w:pPr>
              <w:pStyle w:val="196"/>
            </w:pPr>
            <w:r>
              <w:rPr>
                <w:rFonts w:hint="eastAsia"/>
              </w:rPr>
              <w:t>食品、杂物、纸屑等</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47E6">
            <w:pPr>
              <w:pStyle w:val="196"/>
              <w:rPr>
                <w:rFonts w:eastAsia="等线" w:cs="Times New Roman"/>
              </w:rPr>
            </w:pPr>
            <w:r>
              <w:rPr>
                <w:rFonts w:eastAsia="等线" w:cs="Times New Roman"/>
              </w:rPr>
              <w:t>16.34</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B21A3">
            <w:pPr>
              <w:pStyle w:val="196"/>
            </w:pPr>
            <w:r>
              <w:rPr>
                <w:rFonts w:hint="eastAsia"/>
              </w:rPr>
              <w:t>委托环卫部门定期清运</w:t>
            </w:r>
          </w:p>
        </w:tc>
      </w:tr>
      <w:tr w14:paraId="6ABDD303">
        <w:tblPrEx>
          <w:tblCellMar>
            <w:top w:w="0" w:type="dxa"/>
            <w:left w:w="108" w:type="dxa"/>
            <w:bottom w:w="0" w:type="dxa"/>
            <w:right w:w="108" w:type="dxa"/>
          </w:tblCellMar>
        </w:tblPrEx>
        <w:trPr>
          <w:trHeight w:val="57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D86">
            <w:pPr>
              <w:pStyle w:val="196"/>
              <w:rPr>
                <w:rFonts w:eastAsia="等线" w:cs="Times New Roman"/>
              </w:rPr>
            </w:pPr>
            <w:r>
              <w:rPr>
                <w:rFonts w:eastAsia="等线" w:cs="Times New Roman"/>
              </w:rPr>
              <w:t>3</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9FC4">
            <w:pPr>
              <w:pStyle w:val="196"/>
            </w:pPr>
            <w:r>
              <w:rPr>
                <w:rFonts w:hint="eastAsia"/>
              </w:rPr>
              <w:t>装卸作业</w:t>
            </w:r>
            <w:r>
              <w:rPr>
                <w:rFonts w:hint="eastAsia"/>
                <w:lang w:eastAsia="zh-CN"/>
              </w:rPr>
              <w:t>产生</w:t>
            </w:r>
            <w:r>
              <w:rPr>
                <w:rFonts w:hint="eastAsia"/>
              </w:rPr>
              <w:t>的固体废物</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03FB">
            <w:pPr>
              <w:pStyle w:val="196"/>
            </w:pPr>
            <w:r>
              <w:rPr>
                <w:rFonts w:hint="eastAsia"/>
              </w:rPr>
              <w:t>装卸过程</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B5F6">
            <w:pPr>
              <w:pStyle w:val="196"/>
            </w:pPr>
            <w:r>
              <w:rPr>
                <w:rFonts w:hint="eastAsia"/>
              </w:rPr>
              <w:t>固态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68EB">
            <w:pPr>
              <w:pStyle w:val="196"/>
            </w:pPr>
            <w:r>
              <w:rPr>
                <w:rFonts w:hint="eastAsia"/>
              </w:rPr>
              <w:t>散落的煤炭</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F550">
            <w:pPr>
              <w:pStyle w:val="196"/>
              <w:rPr>
                <w:rFonts w:eastAsia="等线" w:cs="Times New Roman"/>
              </w:rPr>
            </w:pPr>
            <w:r>
              <w:rPr>
                <w:rFonts w:eastAsia="等线" w:cs="Times New Roman"/>
              </w:rPr>
              <w:t>5.6</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ADF0">
            <w:pPr>
              <w:pStyle w:val="196"/>
            </w:pPr>
            <w:r>
              <w:rPr>
                <w:rFonts w:hint="eastAsia"/>
              </w:rPr>
              <w:t>委托环卫部门定期清运</w:t>
            </w:r>
          </w:p>
        </w:tc>
      </w:tr>
      <w:tr w14:paraId="30D5F816">
        <w:tblPrEx>
          <w:tblCellMar>
            <w:top w:w="0" w:type="dxa"/>
            <w:left w:w="108" w:type="dxa"/>
            <w:bottom w:w="0" w:type="dxa"/>
            <w:right w:w="108" w:type="dxa"/>
          </w:tblCellMar>
        </w:tblPrEx>
        <w:trPr>
          <w:trHeight w:val="28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F9A0">
            <w:pPr>
              <w:pStyle w:val="196"/>
              <w:rPr>
                <w:rFonts w:eastAsia="等线" w:cs="Times New Roman"/>
              </w:rPr>
            </w:pPr>
            <w:r>
              <w:rPr>
                <w:rFonts w:eastAsia="等线" w:cs="Times New Roman"/>
              </w:rPr>
              <w:t>4</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394E">
            <w:pPr>
              <w:pStyle w:val="196"/>
            </w:pPr>
            <w:r>
              <w:rPr>
                <w:rFonts w:hint="eastAsia"/>
              </w:rPr>
              <w:t>机修废油</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386E">
            <w:pPr>
              <w:pStyle w:val="196"/>
            </w:pPr>
            <w:r>
              <w:rPr>
                <w:rFonts w:hint="eastAsia"/>
              </w:rPr>
              <w:t>设备维修</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BEA9">
            <w:pPr>
              <w:pStyle w:val="196"/>
            </w:pPr>
            <w:r>
              <w:rPr>
                <w:rFonts w:hint="eastAsia"/>
              </w:rPr>
              <w:t>液态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4260D">
            <w:pPr>
              <w:pStyle w:val="196"/>
            </w:pPr>
            <w:r>
              <w:rPr>
                <w:rFonts w:hint="eastAsia"/>
              </w:rPr>
              <w:t>废油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46D3B">
            <w:pPr>
              <w:pStyle w:val="196"/>
              <w:rPr>
                <w:rFonts w:eastAsia="等线" w:cs="Times New Roman"/>
              </w:rPr>
            </w:pPr>
            <w:r>
              <w:rPr>
                <w:rFonts w:eastAsia="等线" w:cs="Times New Roman"/>
              </w:rPr>
              <w:t>0.2</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463B">
            <w:pPr>
              <w:pStyle w:val="196"/>
            </w:pPr>
            <w:r>
              <w:rPr>
                <w:rFonts w:hint="eastAsia"/>
              </w:rPr>
              <w:t>委托有资质单位处置</w:t>
            </w:r>
          </w:p>
        </w:tc>
      </w:tr>
      <w:tr w14:paraId="62A9C6FF">
        <w:tblPrEx>
          <w:tblCellMar>
            <w:top w:w="0" w:type="dxa"/>
            <w:left w:w="108" w:type="dxa"/>
            <w:bottom w:w="0" w:type="dxa"/>
            <w:right w:w="108" w:type="dxa"/>
          </w:tblCellMar>
        </w:tblPrEx>
        <w:trPr>
          <w:trHeight w:val="576"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35BE">
            <w:pPr>
              <w:pStyle w:val="196"/>
              <w:rPr>
                <w:rFonts w:eastAsia="等线" w:cs="Times New Roman"/>
              </w:rPr>
            </w:pPr>
            <w:r>
              <w:rPr>
                <w:rFonts w:eastAsia="等线" w:cs="Times New Roman"/>
              </w:rPr>
              <w:t>5</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7405">
            <w:pPr>
              <w:pStyle w:val="196"/>
            </w:pPr>
            <w:r>
              <w:rPr>
                <w:rFonts w:hint="eastAsia"/>
              </w:rPr>
              <w:t>废含油抹布及手套</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ADEB">
            <w:pPr>
              <w:pStyle w:val="196"/>
            </w:pPr>
            <w:r>
              <w:rPr>
                <w:rFonts w:hint="eastAsia"/>
              </w:rPr>
              <w:t>设备维修</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102DD">
            <w:pPr>
              <w:pStyle w:val="196"/>
            </w:pPr>
            <w:r>
              <w:rPr>
                <w:rFonts w:hint="eastAsia"/>
              </w:rPr>
              <w:t>固态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A0BD">
            <w:pPr>
              <w:pStyle w:val="196"/>
            </w:pPr>
            <w:r>
              <w:rPr>
                <w:rFonts w:hint="eastAsia"/>
              </w:rPr>
              <w:t>废油、抹布等</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654C">
            <w:pPr>
              <w:pStyle w:val="196"/>
              <w:rPr>
                <w:rFonts w:eastAsia="等线" w:cs="Times New Roman"/>
              </w:rPr>
            </w:pPr>
            <w:r>
              <w:rPr>
                <w:rFonts w:eastAsia="等线" w:cs="Times New Roman"/>
              </w:rPr>
              <w:t>0.02</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11183">
            <w:pPr>
              <w:pStyle w:val="196"/>
            </w:pPr>
            <w:r>
              <w:rPr>
                <w:rFonts w:hint="eastAsia"/>
              </w:rPr>
              <w:t>混入生活垃圾后委托环卫部门定期清运</w:t>
            </w:r>
          </w:p>
        </w:tc>
      </w:tr>
      <w:tr w14:paraId="20366C0B">
        <w:tblPrEx>
          <w:tblCellMar>
            <w:top w:w="0" w:type="dxa"/>
            <w:left w:w="108" w:type="dxa"/>
            <w:bottom w:w="0" w:type="dxa"/>
            <w:right w:w="108" w:type="dxa"/>
          </w:tblCellMar>
        </w:tblPrEx>
        <w:trPr>
          <w:trHeight w:val="288" w:hRule="atLeast"/>
          <w:jc w:val="center"/>
        </w:trPr>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20F2">
            <w:pPr>
              <w:pStyle w:val="196"/>
              <w:rPr>
                <w:rFonts w:eastAsia="等线" w:cs="Times New Roman"/>
              </w:rPr>
            </w:pPr>
            <w:r>
              <w:rPr>
                <w:rFonts w:eastAsia="等线" w:cs="Times New Roman"/>
              </w:rPr>
              <w:t>6</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0A481">
            <w:pPr>
              <w:pStyle w:val="196"/>
            </w:pPr>
            <w:r>
              <w:rPr>
                <w:rFonts w:hint="eastAsia"/>
              </w:rPr>
              <w:t>废金属物</w:t>
            </w:r>
          </w:p>
        </w:tc>
        <w:tc>
          <w:tcPr>
            <w:tcW w:w="11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3B25D">
            <w:pPr>
              <w:pStyle w:val="196"/>
            </w:pPr>
            <w:r>
              <w:rPr>
                <w:rFonts w:hint="eastAsia"/>
              </w:rPr>
              <w:t>除铁器</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EA142">
            <w:pPr>
              <w:pStyle w:val="196"/>
            </w:pPr>
            <w:r>
              <w:rPr>
                <w:rFonts w:hint="eastAsia"/>
              </w:rPr>
              <w:t>固态</w:t>
            </w:r>
          </w:p>
        </w:tc>
        <w:tc>
          <w:tcPr>
            <w:tcW w:w="1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D240A">
            <w:pPr>
              <w:pStyle w:val="196"/>
            </w:pPr>
            <w:r>
              <w:rPr>
                <w:rFonts w:hint="eastAsia"/>
              </w:rPr>
              <w:t>废金属</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5CEA">
            <w:pPr>
              <w:pStyle w:val="196"/>
              <w:rPr>
                <w:rFonts w:eastAsia="等线" w:cs="Times New Roman"/>
              </w:rPr>
            </w:pPr>
            <w:r>
              <w:rPr>
                <w:rFonts w:eastAsia="等线" w:cs="Times New Roman"/>
              </w:rPr>
              <w:t>112</w:t>
            </w:r>
          </w:p>
        </w:tc>
        <w:tc>
          <w:tcPr>
            <w:tcW w:w="20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4936">
            <w:pPr>
              <w:pStyle w:val="196"/>
            </w:pPr>
            <w:r>
              <w:rPr>
                <w:rFonts w:hint="eastAsia"/>
              </w:rPr>
              <w:t>外售综合利用</w:t>
            </w:r>
          </w:p>
        </w:tc>
      </w:tr>
    </w:tbl>
    <w:p w14:paraId="62DBAA26">
      <w:pPr>
        <w:pStyle w:val="84"/>
      </w:pPr>
      <w:r>
        <w:rPr>
          <w:rFonts w:hint="eastAsia"/>
        </w:rPr>
        <w:t>固废环境影响分析</w:t>
      </w:r>
    </w:p>
    <w:p w14:paraId="201B70F0">
      <w:pPr>
        <w:pStyle w:val="93"/>
        <w:ind w:firstLine="482"/>
        <w:rPr>
          <w:b/>
          <w:bCs/>
        </w:rPr>
      </w:pPr>
      <w:bookmarkStart w:id="283" w:name="_Toc31904"/>
      <w:bookmarkEnd w:id="283"/>
      <w:r>
        <w:rPr>
          <w:rFonts w:hint="eastAsia"/>
          <w:b/>
          <w:bCs/>
        </w:rPr>
        <w:t>一、贮存场所（设施）环境影响分析</w:t>
      </w:r>
    </w:p>
    <w:p w14:paraId="57C867B3">
      <w:pPr>
        <w:pStyle w:val="93"/>
      </w:pPr>
      <w:r>
        <w:rPr>
          <w:rFonts w:hint="eastAsia"/>
        </w:rPr>
        <w:t>项目危险废物处置应严格按照《中华人民共和国固体废物污染环境防治法》中有关危险废物的管理条款执行，危险废物按法规要求应委托有资质的单位进行处理。考虑企业危险废物难以保证及时外运处置，后方厂内配套建设危险废物暂存间，占地约50m</w:t>
      </w:r>
      <w:r>
        <w:rPr>
          <w:rFonts w:hint="eastAsia"/>
          <w:vertAlign w:val="superscript"/>
        </w:rPr>
        <w:t>2</w:t>
      </w:r>
      <w:r>
        <w:rPr>
          <w:rFonts w:hint="eastAsia"/>
        </w:rPr>
        <w:t>，总暂存能力约30t，对危险废物进行收集及临时存放，然后集中由有资质单位收集处理。本项目产生的危险废物依托后方厂区危废暂存库。根据《建设项目危险废物环境影响评价指南》（原</w:t>
      </w:r>
      <w:r>
        <w:rPr>
          <w:rFonts w:hint="eastAsia"/>
          <w:lang w:eastAsia="zh-CN"/>
        </w:rPr>
        <w:t>生态环境部</w:t>
      </w:r>
      <w:r>
        <w:rPr>
          <w:rFonts w:hint="eastAsia"/>
        </w:rPr>
        <w:t>公告2017年第43号）、《危险废物贮存污染控制标准》（GB18597-2023）中关于贮存场所（设施）建设和污染防治措</w:t>
      </w:r>
      <w:r>
        <w:rPr>
          <w:rFonts w:hint="eastAsia"/>
          <w:lang w:eastAsia="zh-CN"/>
        </w:rPr>
        <w:t>施的</w:t>
      </w:r>
      <w:r>
        <w:rPr>
          <w:rFonts w:hint="eastAsia"/>
        </w:rPr>
        <w:t>要求：</w:t>
      </w:r>
    </w:p>
    <w:p w14:paraId="3E3F26ED">
      <w:pPr>
        <w:pStyle w:val="93"/>
      </w:pPr>
      <w:r>
        <w:rPr>
          <w:rFonts w:hint="eastAsia"/>
        </w:rPr>
        <w:t>1、企业应严格按照《环境保护图形标志固体废物贮存（处置）场》（GB 15562.2-1995）修改单和《危险废物识别标志设置技术规范》（HJ1276-2022）危险废物识别标识设置规范设置标志，配备通信设备、照明设施和消防设施；在出入口、设施内部、危险废物运输车辆通道等关键位置按照危险废物贮存设施视频监控布设要求设置视频监控，并与中控室联网。鼓励有条件的企业采用云存储方式保存视频监控数据。危险废物信息公开栏设置要求见下表5.2-14，贮存设施警示标志牌设置要求见下表5.2-</w:t>
      </w:r>
      <w:r>
        <w:t>1</w:t>
      </w:r>
      <w:r>
        <w:rPr>
          <w:rFonts w:hint="eastAsia"/>
        </w:rPr>
        <w:t>5，包装识别标签见下表5.2-16。</w:t>
      </w:r>
    </w:p>
    <w:p w14:paraId="17C53754">
      <w:pPr>
        <w:pStyle w:val="86"/>
      </w:pPr>
      <w:r>
        <w:rPr>
          <w:rFonts w:hint="eastAsia"/>
        </w:rPr>
        <w:t>危险废物信息公开栏设置要求</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1"/>
        <w:gridCol w:w="3470"/>
      </w:tblGrid>
      <w:tr w14:paraId="437A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blHeader/>
          <w:jc w:val="center"/>
        </w:trPr>
        <w:tc>
          <w:tcPr>
            <w:tcW w:w="5052" w:type="dxa"/>
            <w:vAlign w:val="center"/>
          </w:tcPr>
          <w:p w14:paraId="03E85435">
            <w:pPr>
              <w:pStyle w:val="196"/>
              <w:rPr>
                <w:b/>
                <w:bCs/>
              </w:rPr>
            </w:pPr>
            <w:r>
              <w:rPr>
                <w:rFonts w:hint="eastAsia"/>
                <w:b/>
                <w:bCs/>
              </w:rPr>
              <w:t>图案样式</w:t>
            </w:r>
          </w:p>
        </w:tc>
        <w:tc>
          <w:tcPr>
            <w:tcW w:w="3469" w:type="dxa"/>
            <w:vAlign w:val="center"/>
          </w:tcPr>
          <w:p w14:paraId="02F31BB2">
            <w:pPr>
              <w:pStyle w:val="196"/>
              <w:rPr>
                <w:b/>
                <w:bCs/>
              </w:rPr>
            </w:pPr>
            <w:r>
              <w:rPr>
                <w:rFonts w:hint="eastAsia"/>
                <w:b/>
                <w:bCs/>
              </w:rPr>
              <w:t>设置规范</w:t>
            </w:r>
          </w:p>
        </w:tc>
      </w:tr>
      <w:tr w14:paraId="0409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2" w:type="dxa"/>
            <w:vAlign w:val="center"/>
          </w:tcPr>
          <w:p w14:paraId="427A9DBA">
            <w:pPr>
              <w:pStyle w:val="196"/>
            </w:pPr>
            <w:r>
              <w:rPr>
                <w:rFonts w:hint="eastAsia"/>
              </w:rPr>
              <w:t>危险废物产生单位：</w:t>
            </w:r>
          </w:p>
          <w:p w14:paraId="7501B2F9">
            <w:pPr>
              <w:pStyle w:val="196"/>
            </w:pPr>
            <w:r>
              <w:rPr>
                <w:rFonts w:hint="eastAsia"/>
              </w:rPr>
              <w:drawing>
                <wp:inline distT="0" distB="0" distL="0" distR="0">
                  <wp:extent cx="3081655" cy="2057400"/>
                  <wp:effectExtent l="0" t="0" r="4445" b="0"/>
                  <wp:docPr id="1837940918" name="图片 17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40918" name="图片 173" descr="图形用户界面&#10;&#10;描述已自动生成"/>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081655" cy="2057400"/>
                          </a:xfrm>
                          <a:prstGeom prst="rect">
                            <a:avLst/>
                          </a:prstGeom>
                          <a:noFill/>
                          <a:ln>
                            <a:noFill/>
                          </a:ln>
                        </pic:spPr>
                      </pic:pic>
                    </a:graphicData>
                  </a:graphic>
                </wp:inline>
              </w:drawing>
            </w:r>
          </w:p>
        </w:tc>
        <w:tc>
          <w:tcPr>
            <w:tcW w:w="3469" w:type="dxa"/>
            <w:vAlign w:val="center"/>
          </w:tcPr>
          <w:p w14:paraId="5D3BE275">
            <w:pPr>
              <w:pStyle w:val="196"/>
            </w:pPr>
            <w:r>
              <w:rPr>
                <w:rFonts w:hint="eastAsia"/>
              </w:rPr>
              <w:t>1.设置位置</w:t>
            </w:r>
          </w:p>
          <w:p w14:paraId="5D6B80D6">
            <w:pPr>
              <w:pStyle w:val="196"/>
            </w:pPr>
            <w:r>
              <w:rPr>
                <w:rFonts w:hint="eastAsia"/>
              </w:rPr>
              <w:t>采用立式固定方式固定在危险废物产生单位厂区门口醒目位置，公开栏顶端距离地面200cm处。</w:t>
            </w:r>
          </w:p>
          <w:p w14:paraId="003A85E3">
            <w:pPr>
              <w:pStyle w:val="196"/>
            </w:pPr>
            <w:r>
              <w:rPr>
                <w:rFonts w:hint="eastAsia"/>
              </w:rPr>
              <w:t>2.规格参数</w:t>
            </w:r>
          </w:p>
          <w:p w14:paraId="602EF768">
            <w:pPr>
              <w:pStyle w:val="196"/>
            </w:pPr>
            <w:r>
              <w:rPr>
                <w:rFonts w:hint="eastAsia"/>
              </w:rPr>
              <w:t>（1）尺寸：底板120cm×80cm。</w:t>
            </w:r>
          </w:p>
          <w:p w14:paraId="04D6357E">
            <w:pPr>
              <w:pStyle w:val="196"/>
            </w:pPr>
            <w:r>
              <w:rPr>
                <w:rFonts w:hint="eastAsia"/>
              </w:rPr>
              <w:t>（2）颜色与字体：公开栏底板背景颜色为蓝色（印刷CMYK参数附后，下同），文字颜色为白色，所有文字字体为黑体。</w:t>
            </w:r>
          </w:p>
          <w:p w14:paraId="28CEC312">
            <w:pPr>
              <w:pStyle w:val="196"/>
            </w:pPr>
            <w:r>
              <w:rPr>
                <w:rFonts w:hint="eastAsia"/>
              </w:rPr>
              <w:t>（3）材料：底板采用5mm铝板。</w:t>
            </w:r>
          </w:p>
          <w:p w14:paraId="1F1E4808">
            <w:pPr>
              <w:pStyle w:val="196"/>
            </w:pPr>
            <w:r>
              <w:rPr>
                <w:rFonts w:hint="eastAsia"/>
              </w:rPr>
              <w:t>3.公开内容</w:t>
            </w:r>
          </w:p>
          <w:p w14:paraId="67BE211D">
            <w:pPr>
              <w:pStyle w:val="196"/>
            </w:pPr>
            <w:r>
              <w:rPr>
                <w:rFonts w:hint="eastAsia"/>
              </w:rPr>
              <w:t>包括企业名称、地址、法人代表及电话、环保负责人及电话、危险废物产生规模、贮存设施建筑面积和容积、贮存设施数量、危险废物名称、危险废物代码、环评批文、产生来源、环境污染防治措施、厂区平面示意图、监督举报途径、监制单位等信息。</w:t>
            </w:r>
          </w:p>
        </w:tc>
      </w:tr>
      <w:tr w14:paraId="34FE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2" w:type="dxa"/>
            <w:vAlign w:val="center"/>
          </w:tcPr>
          <w:p w14:paraId="708D9A7B">
            <w:pPr>
              <w:pStyle w:val="196"/>
            </w:pPr>
            <w:r>
              <w:rPr>
                <w:rFonts w:hint="eastAsia"/>
              </w:rPr>
              <w:t>危险废物经营单位：</w:t>
            </w:r>
          </w:p>
          <w:p w14:paraId="036C6636">
            <w:pPr>
              <w:pStyle w:val="196"/>
            </w:pPr>
            <w:r>
              <w:rPr>
                <w:rFonts w:hint="eastAsia"/>
              </w:rPr>
              <w:drawing>
                <wp:inline distT="0" distB="0" distL="0" distR="0">
                  <wp:extent cx="3124200" cy="2074545"/>
                  <wp:effectExtent l="0" t="0" r="0" b="1905"/>
                  <wp:docPr id="158472691" name="图片 172"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2691" name="图片 172" descr="图片包含 图形用户界面&#10;&#10;描述已自动生成"/>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3124200" cy="2074545"/>
                          </a:xfrm>
                          <a:prstGeom prst="rect">
                            <a:avLst/>
                          </a:prstGeom>
                          <a:noFill/>
                          <a:ln>
                            <a:noFill/>
                          </a:ln>
                        </pic:spPr>
                      </pic:pic>
                    </a:graphicData>
                  </a:graphic>
                </wp:inline>
              </w:drawing>
            </w:r>
          </w:p>
        </w:tc>
        <w:tc>
          <w:tcPr>
            <w:tcW w:w="3469" w:type="dxa"/>
            <w:vAlign w:val="center"/>
          </w:tcPr>
          <w:p w14:paraId="7099CD1A">
            <w:pPr>
              <w:pStyle w:val="196"/>
            </w:pPr>
            <w:r>
              <w:rPr>
                <w:rFonts w:hint="eastAsia"/>
              </w:rPr>
              <w:t>1.设置位置</w:t>
            </w:r>
          </w:p>
          <w:p w14:paraId="575E5415">
            <w:pPr>
              <w:pStyle w:val="196"/>
            </w:pPr>
            <w:r>
              <w:rPr>
                <w:rFonts w:hint="eastAsia"/>
              </w:rPr>
              <w:t>采用立式固定方式固定在危险废物经营单位厂区门口醒目位置，公开栏顶端距离地面200cm处。</w:t>
            </w:r>
          </w:p>
          <w:p w14:paraId="58CC8A5C">
            <w:pPr>
              <w:pStyle w:val="196"/>
            </w:pPr>
            <w:r>
              <w:rPr>
                <w:rFonts w:hint="eastAsia"/>
              </w:rPr>
              <w:t>2.规格参数</w:t>
            </w:r>
          </w:p>
          <w:p w14:paraId="39E4D85E">
            <w:pPr>
              <w:pStyle w:val="196"/>
            </w:pPr>
            <w:r>
              <w:rPr>
                <w:rFonts w:hint="eastAsia"/>
              </w:rPr>
              <w:t>尺寸、颜色与字体、材料与危险废物产生单位信息公开栏规格参数一致。</w:t>
            </w:r>
          </w:p>
          <w:p w14:paraId="1B4D6C09">
            <w:pPr>
              <w:pStyle w:val="196"/>
            </w:pPr>
            <w:r>
              <w:rPr>
                <w:rFonts w:hint="eastAsia"/>
              </w:rPr>
              <w:t>3.公开内容</w:t>
            </w:r>
          </w:p>
          <w:p w14:paraId="04365F9A">
            <w:pPr>
              <w:pStyle w:val="196"/>
            </w:pPr>
            <w:r>
              <w:rPr>
                <w:rFonts w:hint="eastAsia"/>
              </w:rPr>
              <w:t>包括企业名称、地址、法人代表及电话、环保负责人及电话、危险废物经营许可证编号、有效期、核准经营危险废物种类和能力、次生危废种类和数量、环境污染防治措施（含装卸区域、贮存区域、利用处置过程、次生危废产生区域等）、厂区平面示意图、监督举报途径、监制单位等信息。</w:t>
            </w:r>
          </w:p>
        </w:tc>
      </w:tr>
    </w:tbl>
    <w:p w14:paraId="1B8DD67E">
      <w:pPr>
        <w:pStyle w:val="86"/>
      </w:pPr>
      <w:r>
        <w:rPr>
          <w:rFonts w:hint="eastAsia"/>
        </w:rPr>
        <w:t>贮存设施警示标志牌设置要求</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0"/>
        <w:gridCol w:w="5081"/>
      </w:tblGrid>
      <w:tr w14:paraId="53B1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blHeader/>
          <w:jc w:val="center"/>
        </w:trPr>
        <w:tc>
          <w:tcPr>
            <w:tcW w:w="3439" w:type="dxa"/>
            <w:vAlign w:val="center"/>
          </w:tcPr>
          <w:p w14:paraId="2B6A6D2D">
            <w:pPr>
              <w:pStyle w:val="196"/>
              <w:rPr>
                <w:b/>
                <w:bCs/>
              </w:rPr>
            </w:pPr>
            <w:r>
              <w:rPr>
                <w:rFonts w:hint="eastAsia"/>
                <w:b/>
                <w:bCs/>
              </w:rPr>
              <w:t>图案样式</w:t>
            </w:r>
          </w:p>
        </w:tc>
        <w:tc>
          <w:tcPr>
            <w:tcW w:w="5082" w:type="dxa"/>
            <w:vAlign w:val="center"/>
          </w:tcPr>
          <w:p w14:paraId="2CEB232D">
            <w:pPr>
              <w:pStyle w:val="196"/>
              <w:rPr>
                <w:b/>
                <w:bCs/>
              </w:rPr>
            </w:pPr>
            <w:r>
              <w:rPr>
                <w:rFonts w:hint="eastAsia"/>
                <w:b/>
                <w:bCs/>
              </w:rPr>
              <w:t>设置规范</w:t>
            </w:r>
          </w:p>
        </w:tc>
      </w:tr>
      <w:tr w14:paraId="0254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3439" w:type="dxa"/>
            <w:vAlign w:val="center"/>
          </w:tcPr>
          <w:p w14:paraId="532F4202">
            <w:pPr>
              <w:pStyle w:val="196"/>
            </w:pPr>
            <w:r>
              <w:rPr>
                <w:rFonts w:hint="eastAsia"/>
              </w:rPr>
              <w:t>贮存设施警示标志牌（竖版）</w:t>
            </w:r>
          </w:p>
          <w:p w14:paraId="57041B9F">
            <w:pPr>
              <w:pStyle w:val="196"/>
            </w:pPr>
            <w:r>
              <w:rPr>
                <w:rFonts w:hint="eastAsia"/>
              </w:rPr>
              <w:drawing>
                <wp:inline distT="0" distB="0" distL="0" distR="0">
                  <wp:extent cx="1811655" cy="2844800"/>
                  <wp:effectExtent l="0" t="0" r="0" b="0"/>
                  <wp:docPr id="965369045" name="图片 17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69045" name="图片 171" descr="日历&#10;&#10;描述已自动生成"/>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811655" cy="2844800"/>
                          </a:xfrm>
                          <a:prstGeom prst="rect">
                            <a:avLst/>
                          </a:prstGeom>
                          <a:noFill/>
                          <a:ln>
                            <a:noFill/>
                          </a:ln>
                        </pic:spPr>
                      </pic:pic>
                    </a:graphicData>
                  </a:graphic>
                </wp:inline>
              </w:drawing>
            </w:r>
          </w:p>
          <w:p w14:paraId="53A474E2">
            <w:pPr>
              <w:pStyle w:val="196"/>
            </w:pPr>
          </w:p>
          <w:p w14:paraId="6724DEF0">
            <w:pPr>
              <w:pStyle w:val="196"/>
            </w:pPr>
            <w:r>
              <w:rPr>
                <w:rFonts w:hint="eastAsia"/>
              </w:rPr>
              <w:t>贮存设施警示标志牌（横版）</w:t>
            </w:r>
          </w:p>
          <w:p w14:paraId="0C89790E">
            <w:pPr>
              <w:pStyle w:val="196"/>
            </w:pPr>
            <w:r>
              <w:rPr>
                <w:rFonts w:hint="eastAsia"/>
              </w:rPr>
              <w:drawing>
                <wp:inline distT="0" distB="0" distL="0" distR="0">
                  <wp:extent cx="2116455" cy="1329055"/>
                  <wp:effectExtent l="0" t="0" r="0" b="4445"/>
                  <wp:docPr id="2024239656" name="图片 170" descr="手机屏幕的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39656" name="图片 170" descr="手机屏幕的截图&#10;&#10;中度可信度描述已自动生成"/>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116455" cy="1329055"/>
                          </a:xfrm>
                          <a:prstGeom prst="rect">
                            <a:avLst/>
                          </a:prstGeom>
                          <a:noFill/>
                          <a:ln>
                            <a:noFill/>
                          </a:ln>
                        </pic:spPr>
                      </pic:pic>
                    </a:graphicData>
                  </a:graphic>
                </wp:inline>
              </w:drawing>
            </w:r>
          </w:p>
        </w:tc>
        <w:tc>
          <w:tcPr>
            <w:tcW w:w="5082" w:type="dxa"/>
            <w:vAlign w:val="center"/>
          </w:tcPr>
          <w:p w14:paraId="10F5B5BA">
            <w:pPr>
              <w:pStyle w:val="196"/>
            </w:pPr>
            <w:r>
              <w:rPr>
                <w:rFonts w:hint="eastAsia"/>
              </w:rPr>
              <w:t>1.设置要求</w:t>
            </w:r>
          </w:p>
          <w:p w14:paraId="3D49576B">
            <w:pPr>
              <w:pStyle w:val="196"/>
            </w:pPr>
            <w:r>
              <w:rPr>
                <w:rFonts w:hint="eastAsia"/>
              </w:rPr>
              <w:t>（1）在设施附近或场所的入口处设置相应的危险废物贮存设施标志。</w:t>
            </w:r>
          </w:p>
          <w:p w14:paraId="41AB7C36">
            <w:pPr>
              <w:pStyle w:val="196"/>
            </w:pPr>
            <w:r>
              <w:rPr>
                <w:rFonts w:hint="eastAsia"/>
              </w:rPr>
              <w:t>（2）对于有独立场所的危险废物贮存、利用、处置设施，应在场所外入口处的墙壁或栏杆显著位置设置相应的设施标志</w:t>
            </w:r>
          </w:p>
          <w:p w14:paraId="6AC90360">
            <w:pPr>
              <w:pStyle w:val="196"/>
            </w:pPr>
            <w:r>
              <w:rPr>
                <w:rFonts w:hint="eastAsia"/>
              </w:rPr>
              <w:t>（3）位于建筑物内局部区域的危险废物贮存、利用、处置设施，应在其区域边界或入口处显著位置设置相应的标志。</w:t>
            </w:r>
          </w:p>
          <w:p w14:paraId="3C9358F6">
            <w:pPr>
              <w:pStyle w:val="196"/>
            </w:pPr>
            <w:r>
              <w:rPr>
                <w:rFonts w:hint="eastAsia"/>
              </w:rPr>
              <w:t>（4）危险废物设施标志可采用附着式和柱式两种固定方式，应优先选择附着式，当无法选择附着式时，可选择柱式。</w:t>
            </w:r>
          </w:p>
          <w:p w14:paraId="7BC89C2C">
            <w:pPr>
              <w:pStyle w:val="196"/>
            </w:pPr>
            <w:r>
              <w:rPr>
                <w:rFonts w:hint="eastAsia"/>
              </w:rPr>
              <w:t>（5）附着式标志的设置高度，应尽量与视线高度一致；柱式的标志和支架应牢固地</w:t>
            </w:r>
            <w:r>
              <w:rPr>
                <w:rFonts w:hint="eastAsia"/>
                <w:lang w:eastAsia="zh-CN"/>
              </w:rPr>
              <w:t>连接</w:t>
            </w:r>
            <w:r>
              <w:rPr>
                <w:rFonts w:hint="eastAsia"/>
              </w:rPr>
              <w:t>在一起，标志牌最上端距地面约2m；位于室外的标志牌中，支架固定在地下的，其支架埋深约0.3m。</w:t>
            </w:r>
          </w:p>
          <w:p w14:paraId="5A1C36C6">
            <w:pPr>
              <w:pStyle w:val="196"/>
            </w:pPr>
            <w:r>
              <w:rPr>
                <w:rFonts w:hint="eastAsia"/>
              </w:rPr>
              <w:t>（6）危险废物设施标志应稳固固定，不能产生倾斜、卷翘、摆动等现象。在室外露天设置时，应充分考虑风力的影响。</w:t>
            </w:r>
          </w:p>
          <w:p w14:paraId="076E2E43">
            <w:pPr>
              <w:pStyle w:val="196"/>
            </w:pPr>
            <w:r>
              <w:rPr>
                <w:rFonts w:hint="eastAsia"/>
              </w:rPr>
              <w:t>2.规格参数</w:t>
            </w:r>
          </w:p>
          <w:p w14:paraId="28F17C22">
            <w:pPr>
              <w:pStyle w:val="196"/>
            </w:pPr>
            <w:r>
              <w:rPr>
                <w:rFonts w:hint="eastAsia"/>
              </w:rPr>
              <w:t>（1）尺寸：</w:t>
            </w:r>
          </w:p>
          <w:p w14:paraId="5333FC3E">
            <w:pPr>
              <w:pStyle w:val="196"/>
            </w:pPr>
            <w:r>
              <w:rPr>
                <w:rFonts w:hint="eastAsia"/>
              </w:rPr>
              <w:drawing>
                <wp:inline distT="0" distB="0" distL="0" distR="0">
                  <wp:extent cx="3141345" cy="1143000"/>
                  <wp:effectExtent l="0" t="0" r="1905" b="0"/>
                  <wp:docPr id="820596993" name="图片 16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596993" name="图片 169" descr="表格&#10;&#10;描述已自动生成"/>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141345" cy="1143000"/>
                          </a:xfrm>
                          <a:prstGeom prst="rect">
                            <a:avLst/>
                          </a:prstGeom>
                          <a:noFill/>
                          <a:ln>
                            <a:noFill/>
                          </a:ln>
                        </pic:spPr>
                      </pic:pic>
                    </a:graphicData>
                  </a:graphic>
                </wp:inline>
              </w:drawing>
            </w:r>
          </w:p>
          <w:p w14:paraId="0C60B2D7">
            <w:pPr>
              <w:pStyle w:val="196"/>
            </w:pPr>
            <w:r>
              <w:rPr>
                <w:rFonts w:hint="eastAsia"/>
              </w:rPr>
              <w:t>（2）颜色与字体：标志牌背景颜色为黄色，RGB 颜色值为（255, 255, 0）。字体和边框颜色为黑色，RGB 颜色值为（0, 0, 0）。字体应采用黑体字，其中危险废物设施类型的字样应加粗放大并居中显示。</w:t>
            </w:r>
          </w:p>
          <w:p w14:paraId="74B98D30">
            <w:pPr>
              <w:pStyle w:val="196"/>
            </w:pPr>
            <w:r>
              <w:rPr>
                <w:rFonts w:hint="eastAsia"/>
              </w:rPr>
              <w:t>三角形警告性图形与其他信息间宜加黑色分界线区分，分界线的宽度宜不小于 3 mm。</w:t>
            </w:r>
          </w:p>
          <w:p w14:paraId="0D6A554A">
            <w:pPr>
              <w:pStyle w:val="196"/>
            </w:pPr>
            <w:r>
              <w:rPr>
                <w:rFonts w:hint="eastAsia"/>
              </w:rPr>
              <w:t>（3）材料：宜采用坚固耐用的材料（如1.5mm～2 mm冷轧钢板），并做搪瓷处理或贴膜处理。一般不宜使用遇水变形、变质或易燃的材料。柱式标志牌的立柱可采用38×4无缝钢管或其他坚固耐用的材料，并经过防腐处理。</w:t>
            </w:r>
          </w:p>
          <w:p w14:paraId="4356AC42">
            <w:pPr>
              <w:pStyle w:val="196"/>
            </w:pPr>
            <w:r>
              <w:rPr>
                <w:rFonts w:hint="eastAsia"/>
              </w:rPr>
              <w:t>3.公开内容</w:t>
            </w:r>
          </w:p>
          <w:p w14:paraId="6F1B388A">
            <w:pPr>
              <w:pStyle w:val="196"/>
            </w:pPr>
            <w:r>
              <w:rPr>
                <w:rFonts w:hint="eastAsia"/>
              </w:rPr>
              <w:t>包括单位名称、贮存设施编码、负责人及联系方式；二维码信息服务系统中应包含但不限于该设施场所的单位名称、设施类型、设施编码、负责人及联系方式，以及该设施场所贮存的危险废物名称和种类等信息。</w:t>
            </w:r>
          </w:p>
        </w:tc>
      </w:tr>
      <w:tr w14:paraId="1A2A9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39" w:type="dxa"/>
            <w:vAlign w:val="center"/>
          </w:tcPr>
          <w:p w14:paraId="112636E9">
            <w:pPr>
              <w:pStyle w:val="196"/>
            </w:pPr>
            <w:r>
              <w:rPr>
                <w:rFonts w:hint="eastAsia"/>
              </w:rPr>
              <w:t>贮存设施内部分区警示标志牌：</w:t>
            </w:r>
          </w:p>
          <w:p w14:paraId="0215311D">
            <w:pPr>
              <w:pStyle w:val="196"/>
            </w:pPr>
            <w:r>
              <w:rPr>
                <w:rFonts w:hint="eastAsia"/>
              </w:rPr>
              <w:drawing>
                <wp:inline distT="0" distB="0" distL="0" distR="0">
                  <wp:extent cx="2040255" cy="2040255"/>
                  <wp:effectExtent l="0" t="0" r="0" b="0"/>
                  <wp:docPr id="1732516637" name="图片 16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16637" name="图片 168" descr="图示&#10;&#10;描述已自动生成"/>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040255" cy="2040255"/>
                          </a:xfrm>
                          <a:prstGeom prst="rect">
                            <a:avLst/>
                          </a:prstGeom>
                          <a:noFill/>
                          <a:ln>
                            <a:noFill/>
                          </a:ln>
                        </pic:spPr>
                      </pic:pic>
                    </a:graphicData>
                  </a:graphic>
                </wp:inline>
              </w:drawing>
            </w:r>
          </w:p>
        </w:tc>
        <w:tc>
          <w:tcPr>
            <w:tcW w:w="5082" w:type="dxa"/>
            <w:vAlign w:val="center"/>
          </w:tcPr>
          <w:p w14:paraId="0209CCF4">
            <w:pPr>
              <w:pStyle w:val="196"/>
            </w:pPr>
            <w:r>
              <w:rPr>
                <w:rFonts w:hint="eastAsia"/>
              </w:rPr>
              <w:t>1.设置要求</w:t>
            </w:r>
          </w:p>
          <w:p w14:paraId="4D084E96">
            <w:pPr>
              <w:pStyle w:val="196"/>
            </w:pPr>
            <w:r>
              <w:rPr>
                <w:rFonts w:hint="eastAsia"/>
              </w:rPr>
              <w:t>（1）宜在危险废物贮存设施内的每一个贮存分区处设置危险废物贮存分区标志。</w:t>
            </w:r>
          </w:p>
          <w:p w14:paraId="52BBA5D4">
            <w:pPr>
              <w:pStyle w:val="196"/>
            </w:pPr>
            <w:r>
              <w:rPr>
                <w:rFonts w:hint="eastAsia"/>
              </w:rPr>
              <w:t>（2）危险废物贮存分区标志宜设置在该贮存分区前的通道位置或墙壁、栏杆等易于观察的位置。</w:t>
            </w:r>
          </w:p>
          <w:p w14:paraId="03D5AA4F">
            <w:pPr>
              <w:pStyle w:val="196"/>
            </w:pPr>
            <w:r>
              <w:rPr>
                <w:rFonts w:hint="eastAsia"/>
              </w:rPr>
              <w:t>（3）危险废物贮存分区标志可采用附着式（如钉挂、粘贴等）、悬挂式和柱式（固定于标志杆或支架等物体上）等固定形式，</w:t>
            </w:r>
          </w:p>
          <w:p w14:paraId="36F34894">
            <w:pPr>
              <w:pStyle w:val="196"/>
            </w:pPr>
            <w:r>
              <w:rPr>
                <w:rFonts w:hint="eastAsia"/>
              </w:rPr>
              <w:t>（4）危险废物贮存分区标志中各贮存分区存放的危险废物种类信息可采用卡槽式或附着式（如钉挂、粘贴等）固定方式。</w:t>
            </w:r>
          </w:p>
          <w:p w14:paraId="2E34323B">
            <w:pPr>
              <w:pStyle w:val="196"/>
            </w:pPr>
            <w:r>
              <w:rPr>
                <w:rFonts w:hint="eastAsia"/>
              </w:rPr>
              <w:t>2.规格参数</w:t>
            </w:r>
          </w:p>
          <w:p w14:paraId="2377BA75">
            <w:pPr>
              <w:pStyle w:val="196"/>
            </w:pPr>
            <w:r>
              <w:rPr>
                <w:rFonts w:hint="eastAsia"/>
              </w:rPr>
              <w:t>（1）尺寸：</w:t>
            </w:r>
          </w:p>
          <w:p w14:paraId="4338D6BF">
            <w:pPr>
              <w:pStyle w:val="196"/>
            </w:pPr>
            <w:r>
              <w:rPr>
                <w:rFonts w:hint="eastAsia"/>
              </w:rPr>
              <w:drawing>
                <wp:inline distT="0" distB="0" distL="0" distR="0">
                  <wp:extent cx="3090545" cy="889000"/>
                  <wp:effectExtent l="0" t="0" r="0" b="6350"/>
                  <wp:docPr id="2026021415" name="图片 16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021415" name="图片 167" descr="表格&#10;&#10;描述已自动生成"/>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090545" cy="889000"/>
                          </a:xfrm>
                          <a:prstGeom prst="rect">
                            <a:avLst/>
                          </a:prstGeom>
                          <a:noFill/>
                          <a:ln>
                            <a:noFill/>
                          </a:ln>
                        </pic:spPr>
                      </pic:pic>
                    </a:graphicData>
                  </a:graphic>
                </wp:inline>
              </w:drawing>
            </w:r>
          </w:p>
          <w:p w14:paraId="769338B9">
            <w:pPr>
              <w:pStyle w:val="196"/>
            </w:pPr>
            <w:r>
              <w:rPr>
                <w:rFonts w:hint="eastAsia"/>
              </w:rPr>
              <w:t>（2）颜色与字体：</w:t>
            </w:r>
          </w:p>
          <w:p w14:paraId="08F3FB29">
            <w:pPr>
              <w:pStyle w:val="196"/>
            </w:pPr>
            <w:r>
              <w:rPr>
                <w:rFonts w:hint="eastAsia" w:ascii="宋体" w:hAnsi="宋体" w:cs="宋体"/>
              </w:rPr>
              <w:t>①</w:t>
            </w:r>
            <w:r>
              <w:rPr>
                <w:rFonts w:hint="eastAsia"/>
              </w:rPr>
              <w:t>背景色应采用黄色，RGB颜色值为（255,255,0）。废物种类信息应采用醒目的橘黄色，RGB颜色值为（255,150,0）。字体颜色为黑色，RGB 颜色值为（0,0,0）。</w:t>
            </w:r>
          </w:p>
          <w:p w14:paraId="12F70161">
            <w:pPr>
              <w:pStyle w:val="196"/>
            </w:pPr>
            <w:r>
              <w:rPr>
                <w:rFonts w:hint="eastAsia" w:ascii="宋体" w:hAnsi="宋体" w:cs="宋体"/>
              </w:rPr>
              <w:t>②</w:t>
            </w:r>
            <w:r>
              <w:rPr>
                <w:rFonts w:hint="eastAsia"/>
              </w:rPr>
              <w:t>字体宜采用黑体字，其中“危险废物贮存分区标志”字样应加粗放大并居中显示</w:t>
            </w:r>
          </w:p>
          <w:p w14:paraId="28FCA388">
            <w:pPr>
              <w:pStyle w:val="196"/>
            </w:pPr>
            <w:r>
              <w:rPr>
                <w:rFonts w:hint="eastAsia" w:ascii="宋体" w:hAnsi="宋体" w:cs="宋体"/>
              </w:rPr>
              <w:t>③</w:t>
            </w:r>
            <w:r>
              <w:rPr>
                <w:rFonts w:hint="eastAsia" w:cs="Times New Roman"/>
              </w:rPr>
              <w:t>“</w:t>
            </w:r>
            <w:r>
              <w:rPr>
                <w:rFonts w:hint="eastAsia"/>
              </w:rPr>
              <w:t>危险废物贮存分区标志”字样与其他信息宜加黑色分界线区分，分界线的宽度不小于2mm。</w:t>
            </w:r>
          </w:p>
          <w:p w14:paraId="7F1A6235">
            <w:pPr>
              <w:pStyle w:val="196"/>
            </w:pPr>
            <w:r>
              <w:rPr>
                <w:rFonts w:hint="eastAsia"/>
              </w:rPr>
              <w:t>（3）材料：衬底宜采用坚固耐用的材料，并具有耐用性和防水性。废物贮存种类信息等可采用印刷纸张、不粘胶材质或塑料卡片等，以便固定在衬底上。</w:t>
            </w:r>
          </w:p>
          <w:p w14:paraId="3236883C">
            <w:pPr>
              <w:pStyle w:val="196"/>
            </w:pPr>
            <w:r>
              <w:rPr>
                <w:rFonts w:hint="eastAsia"/>
              </w:rPr>
              <w:t>3.公开内容</w:t>
            </w:r>
          </w:p>
          <w:p w14:paraId="71153EBC">
            <w:pPr>
              <w:pStyle w:val="196"/>
            </w:pPr>
            <w:r>
              <w:rPr>
                <w:rFonts w:hint="eastAsia"/>
              </w:rPr>
              <w:t xml:space="preserve">（1）危险废物贮存分区标志应以醒目的方式标注“危险废物贮存分区标志”字样。 </w:t>
            </w:r>
          </w:p>
          <w:p w14:paraId="5714A370">
            <w:pPr>
              <w:pStyle w:val="196"/>
            </w:pPr>
            <w:r>
              <w:rPr>
                <w:rFonts w:hint="eastAsia"/>
              </w:rPr>
              <w:t xml:space="preserve">（2）危险废物贮存分区标志应包含但不限于设施内部所有贮存分区的平面分布、各分区存放的危险废物信息、本贮存分区的具体位置、环境应急物资所在位置以及进出口位置和方向。 </w:t>
            </w:r>
          </w:p>
          <w:p w14:paraId="4DCEE451">
            <w:pPr>
              <w:pStyle w:val="196"/>
            </w:pPr>
            <w:r>
              <w:rPr>
                <w:rFonts w:hint="eastAsia"/>
              </w:rPr>
              <w:t xml:space="preserve">（3）危险废物贮存单位可根据自身贮存设施建设情况，在危险废物贮存分区标志中添加收集池、导流沟和通道等信息。 </w:t>
            </w:r>
          </w:p>
          <w:p w14:paraId="1519CF18">
            <w:pPr>
              <w:pStyle w:val="196"/>
            </w:pPr>
            <w:r>
              <w:rPr>
                <w:rFonts w:hint="eastAsia"/>
              </w:rPr>
              <w:t>（4）危险废物贮存分区标志的信息应随着设施内废物贮存情况的变化及时调整。</w:t>
            </w:r>
          </w:p>
        </w:tc>
      </w:tr>
    </w:tbl>
    <w:p w14:paraId="6E5B106F">
      <w:pPr>
        <w:pStyle w:val="86"/>
      </w:pPr>
      <w:r>
        <w:rPr>
          <w:rFonts w:hint="eastAsia"/>
        </w:rPr>
        <w:br w:type="page"/>
      </w:r>
      <w:r>
        <w:rPr>
          <w:rFonts w:hint="eastAsia"/>
        </w:rPr>
        <w:t>包装识别标签</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8"/>
        <w:gridCol w:w="3553"/>
      </w:tblGrid>
      <w:tr w14:paraId="2895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blHeader/>
          <w:jc w:val="center"/>
        </w:trPr>
        <w:tc>
          <w:tcPr>
            <w:tcW w:w="4969" w:type="dxa"/>
            <w:vAlign w:val="center"/>
          </w:tcPr>
          <w:p w14:paraId="36925C0D">
            <w:pPr>
              <w:pStyle w:val="196"/>
              <w:rPr>
                <w:b/>
                <w:bCs/>
              </w:rPr>
            </w:pPr>
            <w:r>
              <w:rPr>
                <w:rFonts w:hint="eastAsia"/>
                <w:b/>
                <w:bCs/>
              </w:rPr>
              <w:t>图案样式</w:t>
            </w:r>
          </w:p>
        </w:tc>
        <w:tc>
          <w:tcPr>
            <w:tcW w:w="3552" w:type="dxa"/>
            <w:vAlign w:val="center"/>
          </w:tcPr>
          <w:p w14:paraId="27E21D97">
            <w:pPr>
              <w:pStyle w:val="196"/>
              <w:rPr>
                <w:b/>
                <w:bCs/>
              </w:rPr>
            </w:pPr>
            <w:r>
              <w:rPr>
                <w:rFonts w:hint="eastAsia"/>
                <w:b/>
                <w:bCs/>
              </w:rPr>
              <w:t>设置规范</w:t>
            </w:r>
          </w:p>
        </w:tc>
      </w:tr>
      <w:tr w14:paraId="3CD88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69" w:type="dxa"/>
            <w:vAlign w:val="center"/>
          </w:tcPr>
          <w:p w14:paraId="1AA05D4D">
            <w:pPr>
              <w:pStyle w:val="196"/>
            </w:pPr>
            <w:r>
              <w:rPr>
                <w:rFonts w:hint="eastAsia"/>
              </w:rPr>
              <w:drawing>
                <wp:inline distT="0" distB="0" distL="0" distR="0">
                  <wp:extent cx="3030855" cy="3030855"/>
                  <wp:effectExtent l="0" t="0" r="0" b="0"/>
                  <wp:docPr id="1548142582" name="图片 166"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42582" name="图片 166" descr="图片包含 表格&#10;&#10;描述已自动生成"/>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030855" cy="3030855"/>
                          </a:xfrm>
                          <a:prstGeom prst="rect">
                            <a:avLst/>
                          </a:prstGeom>
                          <a:noFill/>
                          <a:ln>
                            <a:noFill/>
                          </a:ln>
                        </pic:spPr>
                      </pic:pic>
                    </a:graphicData>
                  </a:graphic>
                </wp:inline>
              </w:drawing>
            </w:r>
          </w:p>
          <w:p w14:paraId="15280D6B">
            <w:pPr>
              <w:pStyle w:val="196"/>
            </w:pPr>
          </w:p>
        </w:tc>
        <w:tc>
          <w:tcPr>
            <w:tcW w:w="3552" w:type="dxa"/>
            <w:vAlign w:val="center"/>
          </w:tcPr>
          <w:p w14:paraId="3C978F6C">
            <w:pPr>
              <w:pStyle w:val="196"/>
            </w:pPr>
            <w:r>
              <w:rPr>
                <w:rFonts w:hint="eastAsia"/>
              </w:rPr>
              <w:t>1.设置要求</w:t>
            </w:r>
          </w:p>
          <w:p w14:paraId="1D65FC00">
            <w:pPr>
              <w:pStyle w:val="196"/>
            </w:pPr>
            <w:r>
              <w:rPr>
                <w:rFonts w:hint="eastAsia"/>
              </w:rPr>
              <w:t>（1）危险废物标签的设置位置应明显可见且易读，不应被容器、包装物自身的任何部分或其他标签遮挡。危险废物标签在各种包装上的粘贴位置分别为</w:t>
            </w:r>
            <w:r>
              <w:rPr>
                <w:rFonts w:hint="eastAsia"/>
                <w:lang w:eastAsia="zh-CN"/>
              </w:rPr>
              <w:t>：</w:t>
            </w:r>
            <w:r>
              <w:rPr>
                <w:rFonts w:hint="eastAsia"/>
              </w:rPr>
              <w:t xml:space="preserve"> </w:t>
            </w:r>
          </w:p>
          <w:p w14:paraId="6C8156B3">
            <w:pPr>
              <w:pStyle w:val="196"/>
            </w:pPr>
            <w:r>
              <w:rPr>
                <w:rFonts w:hint="eastAsia"/>
              </w:rPr>
              <w:t xml:space="preserve">a）箱类包装：位于包装端面或侧面； </w:t>
            </w:r>
          </w:p>
          <w:p w14:paraId="38E814E7">
            <w:pPr>
              <w:pStyle w:val="196"/>
            </w:pPr>
            <w:r>
              <w:rPr>
                <w:rFonts w:hint="eastAsia"/>
              </w:rPr>
              <w:t xml:space="preserve">b）袋类包装：位于包装明显处； </w:t>
            </w:r>
          </w:p>
          <w:p w14:paraId="3A76AFC5">
            <w:pPr>
              <w:pStyle w:val="196"/>
            </w:pPr>
            <w:r>
              <w:rPr>
                <w:rFonts w:hint="eastAsia"/>
              </w:rPr>
              <w:t xml:space="preserve">c）桶类包装：位于桶身或桶盖； </w:t>
            </w:r>
          </w:p>
          <w:p w14:paraId="7641E7D6">
            <w:pPr>
              <w:pStyle w:val="196"/>
            </w:pPr>
            <w:r>
              <w:rPr>
                <w:rFonts w:hint="eastAsia"/>
              </w:rPr>
              <w:t xml:space="preserve">d）其他包装：位于明显处。 </w:t>
            </w:r>
          </w:p>
          <w:p w14:paraId="596803B0">
            <w:pPr>
              <w:pStyle w:val="196"/>
            </w:pPr>
            <w:r>
              <w:rPr>
                <w:rFonts w:hint="eastAsia"/>
              </w:rPr>
              <w:t xml:space="preserve">（2）对于盛装同一类危险废物的组合包装容器，应在组合包装容器的外表面设置危险废物标签。 </w:t>
            </w:r>
          </w:p>
          <w:p w14:paraId="06625606">
            <w:pPr>
              <w:pStyle w:val="196"/>
            </w:pPr>
            <w:r>
              <w:rPr>
                <w:rFonts w:hint="eastAsia"/>
              </w:rPr>
              <w:t xml:space="preserve">（3）容积超过450L的容器或包装物，应在相对的两面都设置危险废物标签。 </w:t>
            </w:r>
          </w:p>
          <w:p w14:paraId="058AEAEA">
            <w:pPr>
              <w:pStyle w:val="196"/>
            </w:pPr>
            <w:r>
              <w:rPr>
                <w:rFonts w:hint="eastAsia"/>
              </w:rPr>
              <w:t xml:space="preserve">（4）危险废物标签的固定可采用印刷、粘贴、拴挂、钉附等方式，标签的固定应保证在贮存、转移期间不易脱落和损坏。 </w:t>
            </w:r>
          </w:p>
          <w:p w14:paraId="3D62D878">
            <w:pPr>
              <w:pStyle w:val="196"/>
            </w:pPr>
            <w:r>
              <w:rPr>
                <w:rFonts w:hint="eastAsia"/>
              </w:rPr>
              <w:t>（5）当危险废物容器或包装物还需同时设置危险货物运输相关标志时，危险废物标签可与其分开设置在不同的面上，也可设在相邻的位置。</w:t>
            </w:r>
          </w:p>
          <w:p w14:paraId="141735AF">
            <w:pPr>
              <w:pStyle w:val="196"/>
            </w:pPr>
            <w:r>
              <w:rPr>
                <w:rFonts w:hint="eastAsia"/>
              </w:rPr>
              <w:t>（6）在贮存</w:t>
            </w:r>
            <w:r>
              <w:rPr>
                <w:rFonts w:hint="eastAsia"/>
                <w:lang w:eastAsia="zh-CN"/>
              </w:rPr>
              <w:t>池内</w:t>
            </w:r>
            <w:r>
              <w:rPr>
                <w:rFonts w:hint="eastAsia"/>
              </w:rPr>
              <w:t>或贮存设施内堆存的无包装或无容器的危险废物，宜在其附近参照危险废物标签的格式和内容设置柱式标志牌。</w:t>
            </w:r>
          </w:p>
          <w:p w14:paraId="597335FE">
            <w:pPr>
              <w:pStyle w:val="196"/>
            </w:pPr>
            <w:r>
              <w:rPr>
                <w:rFonts w:hint="eastAsia"/>
              </w:rPr>
              <w:t>2.规格参数</w:t>
            </w:r>
          </w:p>
          <w:p w14:paraId="33EB2CB0">
            <w:pPr>
              <w:pStyle w:val="196"/>
            </w:pPr>
            <w:r>
              <w:rPr>
                <w:rFonts w:hint="eastAsia"/>
              </w:rPr>
              <w:drawing>
                <wp:inline distT="0" distB="0" distL="0" distR="0">
                  <wp:extent cx="2176145" cy="635000"/>
                  <wp:effectExtent l="0" t="0" r="0" b="0"/>
                  <wp:docPr id="1332319303" name="图片 16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19303" name="图片 165" descr="表格&#10;&#10;描述已自动生成"/>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176145" cy="635000"/>
                          </a:xfrm>
                          <a:prstGeom prst="rect">
                            <a:avLst/>
                          </a:prstGeom>
                          <a:noFill/>
                          <a:ln>
                            <a:noFill/>
                          </a:ln>
                        </pic:spPr>
                      </pic:pic>
                    </a:graphicData>
                  </a:graphic>
                </wp:inline>
              </w:drawing>
            </w:r>
          </w:p>
          <w:p w14:paraId="601E267D">
            <w:pPr>
              <w:pStyle w:val="196"/>
            </w:pPr>
            <w:r>
              <w:rPr>
                <w:rFonts w:hint="eastAsia"/>
              </w:rPr>
              <w:t>3.内容填报</w:t>
            </w:r>
          </w:p>
          <w:p w14:paraId="7FB77F58">
            <w:pPr>
              <w:pStyle w:val="196"/>
            </w:pPr>
            <w:r>
              <w:rPr>
                <w:rFonts w:hint="eastAsia"/>
              </w:rPr>
              <w:t>（1）危险废物标签应以醒目的字样标注“危险废物”。</w:t>
            </w:r>
          </w:p>
          <w:p w14:paraId="3D9D4F6D">
            <w:pPr>
              <w:pStyle w:val="196"/>
            </w:pPr>
            <w:r>
              <w:rPr>
                <w:rFonts w:hint="eastAsia"/>
              </w:rPr>
              <w:t>（2）危险废物标签应包含废物名称、废物类别、废物代码、废物形态、危险特性、主要成分、有害成分、注意事项、产生/收集单位名称、联系人、联系方式、产生日期、废物重量和备注。</w:t>
            </w:r>
          </w:p>
          <w:p w14:paraId="56FCD732">
            <w:pPr>
              <w:pStyle w:val="196"/>
            </w:pPr>
            <w:r>
              <w:rPr>
                <w:rFonts w:hint="eastAsia"/>
              </w:rPr>
              <w:t xml:space="preserve">（3）危险废物标签宜设置危险废物数字识别码和二维码。 </w:t>
            </w:r>
          </w:p>
        </w:tc>
      </w:tr>
    </w:tbl>
    <w:p w14:paraId="59DCFB36">
      <w:pPr>
        <w:pStyle w:val="93"/>
      </w:pPr>
      <w:r>
        <w:rPr>
          <w:rFonts w:hint="eastAsia"/>
        </w:rPr>
        <w:t>2、贮存设施应根据危险废物的形态、物理化学性质、包装形式和污染物迁移途径，采取必要的防风、防晒、防雨、防漏、防渗、防腐以及其他环境污染防治措施，不应露天堆放危险废物。贮存设施应根据危险废物的类别、数量、形态、物理化学性质和污染防治等要求设置必要的贮存分区，避免不相容的危险废物接触、混合。</w:t>
      </w:r>
    </w:p>
    <w:p w14:paraId="0D9E2960">
      <w:pPr>
        <w:pStyle w:val="93"/>
      </w:pPr>
      <w:r>
        <w:rPr>
          <w:rFonts w:hint="eastAsia"/>
        </w:rPr>
        <w:t>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07A60ACA">
      <w:pPr>
        <w:pStyle w:val="93"/>
      </w:pPr>
      <w:r>
        <w:rPr>
          <w:rFonts w:hint="eastAsia"/>
        </w:rPr>
        <w:t>3、贮存设施或贮存分区内地面、墙面</w:t>
      </w:r>
      <w:r>
        <w:rPr>
          <w:rFonts w:hint="eastAsia"/>
          <w:lang w:eastAsia="zh-CN"/>
        </w:rPr>
        <w:t>裙角</w:t>
      </w:r>
      <w:r>
        <w:rPr>
          <w:rFonts w:hint="eastAsia"/>
        </w:rPr>
        <w:t>、堵截泄漏的围堰、接触危险废物的隔板和墙体等应采用坚固的材料建造，表面无裂缝。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vertAlign w:val="superscript"/>
        </w:rPr>
        <w:t>-7</w:t>
      </w:r>
      <w:r>
        <w:rPr>
          <w:rFonts w:hint="eastAsia"/>
        </w:rPr>
        <w:t xml:space="preserve"> cm/s），或至少2mm厚高密度聚乙烯膜等人工防渗材料（渗透系数不大于10</w:t>
      </w:r>
      <w:r>
        <w:rPr>
          <w:rFonts w:hint="eastAsia"/>
          <w:vertAlign w:val="superscript"/>
        </w:rPr>
        <w:t xml:space="preserve">-10 </w:t>
      </w:r>
      <w:r>
        <w:rPr>
          <w:rFonts w:hint="eastAsia"/>
        </w:rPr>
        <w:t xml:space="preserve">cm/s），或其他防渗性能等效的材料。 </w:t>
      </w:r>
    </w:p>
    <w:p w14:paraId="07F8A2BB">
      <w:pPr>
        <w:pStyle w:val="93"/>
      </w:pPr>
      <w:r>
        <w:rPr>
          <w:rFonts w:hint="eastAsia"/>
        </w:rPr>
        <w:t xml:space="preserve">同一贮存设施宜采用相同的防渗、防腐工艺（包括防渗、防腐结构或材料），防渗、防腐材料应覆盖所有可能与废物及其渗滤液、渗漏液等接触的构筑物表面；采用不同防渗、防腐工艺应分别建设贮存分区。 </w:t>
      </w:r>
    </w:p>
    <w:p w14:paraId="68878E03">
      <w:pPr>
        <w:pStyle w:val="93"/>
      </w:pPr>
      <w:r>
        <w:rPr>
          <w:rFonts w:hint="eastAsia"/>
        </w:rPr>
        <w:t>贮存设施应采取技术和管理措施防止无关人员。</w:t>
      </w:r>
    </w:p>
    <w:p w14:paraId="335FFE21">
      <w:pPr>
        <w:pStyle w:val="93"/>
      </w:pPr>
      <w:r>
        <w:rPr>
          <w:rFonts w:hint="eastAsia"/>
        </w:rPr>
        <w:t>本项目涉及的危险废物主要为检修废物和含油污泥，本项目产生量较少，且均采用桶装密闭收集，本项目产生的危险废物依托后方厂区危废暂存库。</w:t>
      </w:r>
    </w:p>
    <w:p w14:paraId="04A50731">
      <w:pPr>
        <w:pStyle w:val="93"/>
      </w:pPr>
      <w:r>
        <w:rPr>
          <w:rFonts w:hint="eastAsia"/>
        </w:rPr>
        <w:t>本项目产生的危险废物得到合理处置和有效利用，贮存场所采取的污染防治措施和危废安全标识牌满足相关标准要求，对地下水、土壤及大气环境影响较小。</w:t>
      </w:r>
    </w:p>
    <w:p w14:paraId="4A11960D">
      <w:pPr>
        <w:pStyle w:val="93"/>
        <w:ind w:firstLine="482"/>
        <w:rPr>
          <w:b/>
          <w:bCs/>
        </w:rPr>
      </w:pPr>
      <w:bookmarkStart w:id="284" w:name="_Toc11727"/>
      <w:bookmarkEnd w:id="284"/>
      <w:r>
        <w:rPr>
          <w:rFonts w:hint="eastAsia"/>
          <w:b/>
          <w:bCs/>
        </w:rPr>
        <w:t>二、运输过程环境影响分析</w:t>
      </w:r>
    </w:p>
    <w:p w14:paraId="1FB653DB">
      <w:pPr>
        <w:pStyle w:val="93"/>
      </w:pPr>
      <w:r>
        <w:rPr>
          <w:rFonts w:hint="eastAsia"/>
        </w:rPr>
        <w:t>（1）环境影响分析</w:t>
      </w:r>
    </w:p>
    <w:p w14:paraId="30BBB7F3">
      <w:pPr>
        <w:pStyle w:val="93"/>
      </w:pPr>
      <w:r>
        <w:rPr>
          <w:rFonts w:hint="eastAsia"/>
        </w:rPr>
        <w:t>本项目危废均委托有资质单位处置，所有危废均不排放至外环境，对环境的影响较小。</w:t>
      </w:r>
    </w:p>
    <w:p w14:paraId="2C8CB261">
      <w:pPr>
        <w:pStyle w:val="93"/>
      </w:pPr>
      <w:r>
        <w:rPr>
          <w:rFonts w:hint="eastAsia"/>
        </w:rPr>
        <w:t>（2）运输过程影响分析</w:t>
      </w:r>
    </w:p>
    <w:p w14:paraId="2CA4098F">
      <w:pPr>
        <w:pStyle w:val="93"/>
      </w:pPr>
      <w:r>
        <w:rPr>
          <w:rFonts w:hint="eastAsia"/>
        </w:rPr>
        <w:t>本项目均采用密闭容器封装后装车运输，严格执行《危险废物收集贮存运输技术规范》（HJ2025-2012）中的要求和规定，正常情况下不会产生新的次生污染，运输至有资质单位处置中心过程中，主要为运输车辆尾气及扬尘、噪声对周围环境的影响。车辆运输严格执行《危险废物收集贮存运输技术规范》（HJ2025-2012）中的要求和规定，对周围环境影响较小。</w:t>
      </w:r>
    </w:p>
    <w:p w14:paraId="2C0F7004">
      <w:pPr>
        <w:pStyle w:val="82"/>
      </w:pPr>
      <w:r>
        <w:rPr>
          <w:rFonts w:hint="eastAsia"/>
        </w:rPr>
        <w:t>生态环境影响分析</w:t>
      </w:r>
    </w:p>
    <w:p w14:paraId="674924B7">
      <w:pPr>
        <w:pStyle w:val="93"/>
        <w:ind w:firstLine="482"/>
        <w:rPr>
          <w:b/>
          <w:bCs/>
        </w:rPr>
      </w:pPr>
      <w:r>
        <w:rPr>
          <w:rFonts w:hint="eastAsia"/>
          <w:b/>
          <w:bCs/>
        </w:rPr>
        <w:t>（1）对水生生物的影响</w:t>
      </w:r>
    </w:p>
    <w:p w14:paraId="7C126375">
      <w:pPr>
        <w:pStyle w:val="93"/>
      </w:pPr>
      <w:r>
        <w:rPr>
          <w:rFonts w:hint="eastAsia"/>
        </w:rPr>
        <w:t>营运期的生态影响主要来自船舶进港引起的水体SS增加对水下生物特别是底栖生物的影响，停泊在港区的船舶跑冒滴漏的含油废水排放对该水域一定范围内的水生生物的影响。生态影响主要表现为：</w:t>
      </w:r>
    </w:p>
    <w:p w14:paraId="687E7DAE">
      <w:pPr>
        <w:pStyle w:val="93"/>
      </w:pPr>
      <w:r>
        <w:rPr>
          <w:rFonts w:hint="eastAsia" w:ascii="宋体" w:hAnsi="宋体" w:eastAsia="宋体" w:cs="宋体"/>
        </w:rPr>
        <w:t>①</w:t>
      </w:r>
      <w:r>
        <w:rPr>
          <w:rFonts w:hint="eastAsia"/>
        </w:rPr>
        <w:t>船舶进港引起水体中的悬浮物增加，减少了光的透射，导致水中植物光合作用的降低，干扰动物的迁移行为，甚至可能阻塞或刺激鱼和无脊椎动物呼吸器官。</w:t>
      </w:r>
    </w:p>
    <w:p w14:paraId="57A877EB">
      <w:pPr>
        <w:pStyle w:val="93"/>
      </w:pPr>
      <w:r>
        <w:rPr>
          <w:rFonts w:hint="eastAsia" w:ascii="宋体" w:hAnsi="宋体" w:eastAsia="宋体" w:cs="宋体"/>
        </w:rPr>
        <w:t>②</w:t>
      </w:r>
      <w:r>
        <w:rPr>
          <w:rFonts w:hint="eastAsia"/>
        </w:rPr>
        <w:t>溶解和分散在水体中的油类，较易侵入水生生物的上皮细胞，破坏动植物的细胞质膜和线粒体膜，损害生物的酶系统和蛋白质结构，导致基础代谢活动出现障碍，引起生物种类异常。</w:t>
      </w:r>
    </w:p>
    <w:p w14:paraId="750D47F0">
      <w:pPr>
        <w:pStyle w:val="93"/>
      </w:pPr>
      <w:r>
        <w:rPr>
          <w:rFonts w:hint="eastAsia"/>
        </w:rPr>
        <w:t>项目营运期废水主要为船舶生活污水、陆域生活污水、到港船舶舱底油污水、初期雨水、码头冲洗废水、机修废水等。如果这部分污水不加处理直接排入水体，将会对该水域一定范围内的水生生物产生一定影响。主要表现为：生活污水中的有机物进入水体，将消耗水体中的溶解氧，降低水中溶解氧的含量，影响水生生物代谢和呼吸，使好氧生物生长受到抑制、厌氧和兼氧生物种类快速繁殖，从而改变原有的种类结构，引起生态平衡失调。</w:t>
      </w:r>
    </w:p>
    <w:p w14:paraId="198DACAA">
      <w:pPr>
        <w:pStyle w:val="93"/>
      </w:pPr>
      <w:r>
        <w:rPr>
          <w:rFonts w:hint="eastAsia"/>
        </w:rPr>
        <w:t>同时，营运期对水生生物的影响还表现为溢油风险事故状况下，对评价区域内的生物和鱼类影响较大。以石油类污染为例，在石油不同组分中，低沸点的芳香烃对一切生物均有毒性，而高沸点的芳香烃则是长效毒性，会对水生生物生命构成威胁和危害直至死亡。国内外许多的研究表明高浓度的石油会使鱼卵、仔幼鱼短时间内中毒死亡，低浓度的长期亚急性毒性可干扰鱼类摄食和繁殖，其毒性随石油组分的不同而有差异。</w:t>
      </w:r>
    </w:p>
    <w:p w14:paraId="6B25AD94">
      <w:pPr>
        <w:pStyle w:val="93"/>
      </w:pPr>
      <w:r>
        <w:rPr>
          <w:rFonts w:hint="eastAsia"/>
        </w:rPr>
        <w:t>综上所述，本项目营运</w:t>
      </w:r>
      <w:r>
        <w:rPr>
          <w:rFonts w:hint="eastAsia"/>
          <w:lang w:eastAsia="zh-CN"/>
        </w:rPr>
        <w:t>期间</w:t>
      </w:r>
      <w:r>
        <w:rPr>
          <w:rFonts w:hint="eastAsia"/>
        </w:rPr>
        <w:t>所产生的污水都得到有效治理，不向盐河排放，不会影响盐河水质及水生生态系统。</w:t>
      </w:r>
    </w:p>
    <w:p w14:paraId="1F80ECF8">
      <w:pPr>
        <w:ind w:firstLine="482"/>
        <w:rPr>
          <w:b/>
        </w:rPr>
      </w:pPr>
      <w:r>
        <w:rPr>
          <w:rFonts w:hint="eastAsia"/>
          <w:b/>
        </w:rPr>
        <w:t>（2）对珍稀和洄游性鱼类的影响</w:t>
      </w:r>
    </w:p>
    <w:p w14:paraId="300FB6A5">
      <w:pPr>
        <w:pStyle w:val="93"/>
      </w:pPr>
      <w:r>
        <w:rPr>
          <w:rFonts w:hint="eastAsia"/>
        </w:rPr>
        <w:t>项目建设区域未发现重点保护水生动物种类，未见区域特有鱼类，主要种类为青鱼、草鱼、鲫鱼等常见种类，但个体较小，经济价值不大。项目建设区不存在鱼类产卵场、索饵或育幼场和越冬场等鱼类“三场”，不存在洄游通道。</w:t>
      </w:r>
    </w:p>
    <w:p w14:paraId="65DE9588">
      <w:pPr>
        <w:pStyle w:val="93"/>
      </w:pPr>
      <w:r>
        <w:rPr>
          <w:rFonts w:hint="eastAsia"/>
        </w:rPr>
        <w:t>本项目船舶舱底油污水由码头前沿接收装置收集，用不锈钢水箱作为船舶含油污水收集容器，配备自吸排污泵，标准法兰盘以及铜丝软管收集船舶含油污水。船舶生活污水经岸上接收装置接收后</w:t>
      </w:r>
      <w:r>
        <w:rPr>
          <w:rFonts w:hint="eastAsia"/>
          <w:bCs/>
        </w:rPr>
        <w:t>接管至</w:t>
      </w:r>
      <w:r>
        <w:rPr>
          <w:rFonts w:hint="eastAsia"/>
        </w:rPr>
        <w:t>厂区污水处理站处理达标后回用于绿化、道路喷洒</w:t>
      </w:r>
      <w:r>
        <w:rPr>
          <w:rFonts w:hint="eastAsia"/>
          <w:bCs/>
        </w:rPr>
        <w:t>；</w:t>
      </w:r>
      <w:r>
        <w:rPr>
          <w:rFonts w:hint="eastAsia"/>
        </w:rPr>
        <w:t>码头初期雨水经排水沟收集后汇入</w:t>
      </w:r>
      <w:r>
        <w:rPr>
          <w:rFonts w:hint="eastAsia"/>
          <w:lang w:eastAsia="zh-CN"/>
        </w:rPr>
        <w:t>码头</w:t>
      </w:r>
      <w:r>
        <w:rPr>
          <w:rFonts w:hint="eastAsia"/>
        </w:rPr>
        <w:t>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机修废水经排水沟收集进入</w:t>
      </w:r>
      <w:r>
        <w:rPr>
          <w:rFonts w:hint="eastAsia"/>
          <w:lang w:eastAsia="zh-CN"/>
        </w:rPr>
        <w:t>厂区</w:t>
      </w:r>
      <w:r>
        <w:rPr>
          <w:rFonts w:hint="eastAsia"/>
        </w:rPr>
        <w:t>污水处理站预处理后</w:t>
      </w:r>
      <w:r>
        <w:rPr>
          <w:rFonts w:hint="eastAsia"/>
          <w:bCs/>
        </w:rPr>
        <w:t>接管至</w:t>
      </w:r>
      <w:r>
        <w:rPr>
          <w:rFonts w:hint="eastAsia"/>
        </w:rPr>
        <w:t>厂区污水处理站处理达标后回用于绿化、道路喷洒，不外排。码头冲洗废水经排水沟收集排入国能涟水一期热电联产项目含煤废水处理系统处理后用作厂区煤场喷淋和输煤栈桥冲洗，不外排。</w:t>
      </w:r>
    </w:p>
    <w:p w14:paraId="271B6816">
      <w:pPr>
        <w:pStyle w:val="93"/>
      </w:pPr>
      <w:r>
        <w:rPr>
          <w:rFonts w:hint="eastAsia"/>
        </w:rPr>
        <w:t>在采取本报告提出的污染防治措施后，本码头营运期对鱼类的污染影响很小。码头水域的噪声将惊扰附近的渔业生物，干扰其完成繁殖活动，但码头距离保护区尚有一段距离，总体来说，对保护区内鱼类等水生生物的繁殖影响较小。</w:t>
      </w:r>
    </w:p>
    <w:p w14:paraId="6174DA20">
      <w:pPr>
        <w:ind w:firstLine="482"/>
        <w:rPr>
          <w:b/>
        </w:rPr>
      </w:pPr>
      <w:r>
        <w:rPr>
          <w:rFonts w:hint="eastAsia"/>
          <w:b/>
        </w:rPr>
        <w:t>（3）码头护岸对水生生态的影响</w:t>
      </w:r>
    </w:p>
    <w:p w14:paraId="5AE0D810">
      <w:pPr>
        <w:pStyle w:val="93"/>
      </w:pPr>
      <w:r>
        <w:rPr>
          <w:rFonts w:hint="eastAsia"/>
        </w:rPr>
        <w:t>码头主体结</w:t>
      </w:r>
      <w:r>
        <w:rPr>
          <w:rFonts w:hint="eastAsia"/>
          <w:lang w:eastAsia="zh-CN"/>
        </w:rPr>
        <w:t>构为</w:t>
      </w:r>
      <w:r>
        <w:rPr>
          <w:rFonts w:hint="eastAsia"/>
        </w:rPr>
        <w:t>钢筋砼扶壁式结构。钢筋砼的护岸结构阻碍了水陆生态系统的交流，使岸线范围内在水陆界面栖息的两栖类生物消失。因此本项目码头护岸对水生生态造成一定的影响。</w:t>
      </w:r>
    </w:p>
    <w:p w14:paraId="7ECDC0DD">
      <w:pPr>
        <w:ind w:firstLine="482"/>
        <w:rPr>
          <w:b/>
        </w:rPr>
      </w:pPr>
      <w:r>
        <w:rPr>
          <w:rFonts w:hint="eastAsia"/>
          <w:b/>
        </w:rPr>
        <w:t>（4）对陆生生态的影响</w:t>
      </w:r>
    </w:p>
    <w:p w14:paraId="366CE36F">
      <w:pPr>
        <w:pStyle w:val="93"/>
      </w:pPr>
      <w:r>
        <w:rPr>
          <w:rFonts w:hint="eastAsia"/>
        </w:rPr>
        <w:t>（1）对动物栖息环境的影响</w:t>
      </w:r>
    </w:p>
    <w:p w14:paraId="0A5DEAA0">
      <w:pPr>
        <w:pStyle w:val="93"/>
      </w:pPr>
      <w:r>
        <w:rPr>
          <w:rFonts w:hint="eastAsia"/>
        </w:rPr>
        <w:t>项目建成以后，随着植被的恢复，部分施工期间迁移走的动物会回归该区域。但作业噪声、夜里的汽车灯光、人为活动，仍对周边的动物栖息环境产生着长期的影响。这将导致该区域野生动物种群数量小于周边环境。</w:t>
      </w:r>
    </w:p>
    <w:p w14:paraId="4FFEB2AC">
      <w:pPr>
        <w:pStyle w:val="93"/>
      </w:pPr>
      <w:r>
        <w:rPr>
          <w:rFonts w:hint="eastAsia"/>
        </w:rPr>
        <w:t>（2）环境污染对动物的影响</w:t>
      </w:r>
    </w:p>
    <w:p w14:paraId="79195350">
      <w:pPr>
        <w:pStyle w:val="93"/>
      </w:pPr>
      <w:r>
        <w:rPr>
          <w:rFonts w:hint="eastAsia"/>
        </w:rPr>
        <w:t>吊车、装载机、车辆产生的废气、噪声、振动及路面径流污染物等会对动物的生存环境造成污染。其中，噪声和灯光的影响更为突出，噪声、灯光会影响动物的交配和产卵。由于一般动物在选择生境和建立巢穴时，通常会远离喧闹区域，且拟建项目评价范围内无大型、保护动物分布，所以本项目营运期不会对动物生存、繁殖产生较大影响。本项目生态环境影响评价自查表见表5.2-</w:t>
      </w:r>
      <w:r>
        <w:t>1</w:t>
      </w:r>
      <w:r>
        <w:rPr>
          <w:rFonts w:hint="eastAsia"/>
        </w:rPr>
        <w:t>7。</w:t>
      </w:r>
    </w:p>
    <w:p w14:paraId="5B9E144E">
      <w:pPr>
        <w:pStyle w:val="86"/>
      </w:pPr>
      <w:r>
        <w:rPr>
          <w:rFonts w:hint="eastAsia"/>
        </w:rPr>
        <w:t>生态影响评价自查表</w:t>
      </w:r>
    </w:p>
    <w:tbl>
      <w:tblPr>
        <w:tblStyle w:val="38"/>
        <w:tblW w:w="8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6"/>
        <w:gridCol w:w="1559"/>
        <w:gridCol w:w="6379"/>
      </w:tblGrid>
      <w:tr w14:paraId="5EB32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16" w:type="dxa"/>
            <w:gridSpan w:val="2"/>
            <w:tcBorders>
              <w:top w:val="single" w:color="auto" w:sz="4" w:space="0"/>
              <w:left w:val="single" w:color="auto" w:sz="4" w:space="0"/>
              <w:bottom w:val="single" w:color="auto" w:sz="4" w:space="0"/>
              <w:right w:val="single" w:color="auto" w:sz="4" w:space="0"/>
            </w:tcBorders>
            <w:vAlign w:val="center"/>
          </w:tcPr>
          <w:p w14:paraId="5A7DD212">
            <w:pPr>
              <w:pStyle w:val="196"/>
            </w:pPr>
            <w:r>
              <w:rPr>
                <w:rFonts w:hint="eastAsia"/>
              </w:rPr>
              <w:t>工作内容</w:t>
            </w:r>
          </w:p>
        </w:tc>
        <w:tc>
          <w:tcPr>
            <w:tcW w:w="6383" w:type="dxa"/>
            <w:tcBorders>
              <w:top w:val="single" w:color="auto" w:sz="4" w:space="0"/>
              <w:left w:val="single" w:color="auto" w:sz="4" w:space="0"/>
              <w:bottom w:val="single" w:color="auto" w:sz="4" w:space="0"/>
              <w:right w:val="single" w:color="auto" w:sz="4" w:space="0"/>
            </w:tcBorders>
            <w:vAlign w:val="center"/>
          </w:tcPr>
          <w:p w14:paraId="27F0DF4C">
            <w:pPr>
              <w:pStyle w:val="196"/>
            </w:pPr>
            <w:r>
              <w:rPr>
                <w:rFonts w:hint="eastAsia"/>
              </w:rPr>
              <w:t>自查项目</w:t>
            </w:r>
          </w:p>
        </w:tc>
      </w:tr>
      <w:tr w14:paraId="3338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restart"/>
            <w:tcBorders>
              <w:top w:val="nil"/>
              <w:left w:val="single" w:color="auto" w:sz="4" w:space="0"/>
              <w:bottom w:val="single" w:color="auto" w:sz="4" w:space="0"/>
              <w:right w:val="single" w:color="auto" w:sz="4" w:space="0"/>
            </w:tcBorders>
            <w:vAlign w:val="center"/>
          </w:tcPr>
          <w:p w14:paraId="1A4CB507">
            <w:pPr>
              <w:pStyle w:val="196"/>
            </w:pPr>
            <w:r>
              <w:rPr>
                <w:rFonts w:hint="eastAsia"/>
              </w:rPr>
              <w:t>生态影响识别</w:t>
            </w:r>
          </w:p>
        </w:tc>
        <w:tc>
          <w:tcPr>
            <w:tcW w:w="1560" w:type="dxa"/>
            <w:tcBorders>
              <w:top w:val="single" w:color="auto" w:sz="4" w:space="0"/>
              <w:left w:val="single" w:color="auto" w:sz="4" w:space="0"/>
              <w:bottom w:val="single" w:color="auto" w:sz="4" w:space="0"/>
              <w:right w:val="single" w:color="auto" w:sz="4" w:space="0"/>
            </w:tcBorders>
            <w:vAlign w:val="center"/>
          </w:tcPr>
          <w:p w14:paraId="0BC97BA1">
            <w:pPr>
              <w:pStyle w:val="196"/>
            </w:pPr>
            <w:r>
              <w:rPr>
                <w:rFonts w:hint="eastAsia"/>
              </w:rPr>
              <w:t>生态保护目标</w:t>
            </w:r>
          </w:p>
        </w:tc>
        <w:tc>
          <w:tcPr>
            <w:tcW w:w="6383" w:type="dxa"/>
            <w:tcBorders>
              <w:top w:val="single" w:color="auto" w:sz="4" w:space="0"/>
              <w:left w:val="single" w:color="auto" w:sz="4" w:space="0"/>
              <w:bottom w:val="single" w:color="auto" w:sz="4" w:space="0"/>
              <w:right w:val="single" w:color="auto" w:sz="4" w:space="0"/>
            </w:tcBorders>
            <w:vAlign w:val="center"/>
          </w:tcPr>
          <w:p w14:paraId="4B9877CD">
            <w:pPr>
              <w:pStyle w:val="196"/>
            </w:pPr>
            <w:r>
              <w:rPr>
                <w:rFonts w:hint="eastAsia"/>
              </w:rPr>
              <w:t>重要物种□；国家公园□；自然保护区□；自然公园□；世界自然遗产□；生态保护红线□；重要生境□；其他具有重要生态功能、对于保护生物多样性具有重要意义的区域□；其他□</w:t>
            </w:r>
          </w:p>
        </w:tc>
      </w:tr>
      <w:tr w14:paraId="7117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99" w:type="dxa"/>
            <w:vMerge w:val="continue"/>
            <w:tcBorders>
              <w:top w:val="nil"/>
              <w:left w:val="single" w:color="auto" w:sz="4" w:space="0"/>
              <w:bottom w:val="single" w:color="auto" w:sz="4" w:space="0"/>
              <w:right w:val="single" w:color="auto" w:sz="4" w:space="0"/>
            </w:tcBorders>
            <w:vAlign w:val="center"/>
          </w:tcPr>
          <w:p w14:paraId="23911A1A">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10A31437">
            <w:pPr>
              <w:pStyle w:val="196"/>
            </w:pPr>
            <w:r>
              <w:rPr>
                <w:rFonts w:hint="eastAsia"/>
              </w:rPr>
              <w:t>影响方式</w:t>
            </w:r>
          </w:p>
        </w:tc>
        <w:tc>
          <w:tcPr>
            <w:tcW w:w="6383" w:type="dxa"/>
            <w:tcBorders>
              <w:top w:val="single" w:color="auto" w:sz="4" w:space="0"/>
              <w:left w:val="single" w:color="auto" w:sz="4" w:space="0"/>
              <w:bottom w:val="single" w:color="auto" w:sz="4" w:space="0"/>
              <w:right w:val="single" w:color="auto" w:sz="4" w:space="0"/>
            </w:tcBorders>
            <w:vAlign w:val="center"/>
          </w:tcPr>
          <w:p w14:paraId="5B4B415E">
            <w:pPr>
              <w:pStyle w:val="196"/>
            </w:pPr>
            <w:r>
              <w:rPr>
                <w:rFonts w:hint="eastAsia"/>
              </w:rPr>
              <w:t>工程占用□；施工活动干扰□；改变环境条件□；其他□</w:t>
            </w:r>
          </w:p>
        </w:tc>
      </w:tr>
      <w:tr w14:paraId="072A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8799" w:type="dxa"/>
            <w:vMerge w:val="continue"/>
            <w:tcBorders>
              <w:top w:val="nil"/>
              <w:left w:val="single" w:color="auto" w:sz="4" w:space="0"/>
              <w:bottom w:val="single" w:color="auto" w:sz="4" w:space="0"/>
              <w:right w:val="single" w:color="auto" w:sz="4" w:space="0"/>
            </w:tcBorders>
            <w:vAlign w:val="center"/>
          </w:tcPr>
          <w:p w14:paraId="335FAB5B">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783D7F1F">
            <w:pPr>
              <w:pStyle w:val="196"/>
            </w:pPr>
            <w:r>
              <w:rPr>
                <w:rFonts w:hint="eastAsia"/>
              </w:rPr>
              <w:t>评价因子</w:t>
            </w:r>
          </w:p>
        </w:tc>
        <w:tc>
          <w:tcPr>
            <w:tcW w:w="6383" w:type="dxa"/>
            <w:tcBorders>
              <w:top w:val="single" w:color="auto" w:sz="4" w:space="0"/>
              <w:left w:val="single" w:color="auto" w:sz="4" w:space="0"/>
              <w:bottom w:val="single" w:color="auto" w:sz="4" w:space="0"/>
              <w:right w:val="single" w:color="auto" w:sz="4" w:space="0"/>
            </w:tcBorders>
            <w:vAlign w:val="center"/>
          </w:tcPr>
          <w:p w14:paraId="6A42C9E3">
            <w:pPr>
              <w:pStyle w:val="196"/>
            </w:pPr>
            <w:r>
              <w:rPr>
                <w:rFonts w:hint="eastAsia"/>
              </w:rPr>
              <w:t>物种□（                            ）</w:t>
            </w:r>
          </w:p>
          <w:p w14:paraId="1F47EC99">
            <w:pPr>
              <w:pStyle w:val="196"/>
            </w:pPr>
            <w:r>
              <w:rPr>
                <w:rFonts w:hint="eastAsia"/>
              </w:rPr>
              <w:t>生境□（                            ）</w:t>
            </w:r>
          </w:p>
          <w:p w14:paraId="254C68F9">
            <w:pPr>
              <w:pStyle w:val="196"/>
            </w:pPr>
            <w:r>
              <w:rPr>
                <w:rFonts w:hint="eastAsia"/>
              </w:rPr>
              <w:t>生物群落□（                        ）</w:t>
            </w:r>
          </w:p>
          <w:p w14:paraId="7F63E58E">
            <w:pPr>
              <w:pStyle w:val="196"/>
            </w:pPr>
            <w:r>
              <w:rPr>
                <w:rFonts w:hint="eastAsia"/>
              </w:rPr>
              <w:t>生态系统□（                        ）</w:t>
            </w:r>
          </w:p>
          <w:p w14:paraId="366A7544">
            <w:pPr>
              <w:pStyle w:val="196"/>
            </w:pPr>
            <w:r>
              <w:rPr>
                <w:rFonts w:hint="eastAsia"/>
              </w:rPr>
              <w:t>生物多样性□（                      ）</w:t>
            </w:r>
          </w:p>
          <w:p w14:paraId="2D219522">
            <w:pPr>
              <w:pStyle w:val="196"/>
            </w:pPr>
            <w:r>
              <w:rPr>
                <w:rFonts w:hint="eastAsia"/>
              </w:rPr>
              <w:t>生态敏感区□（                      ）</w:t>
            </w:r>
          </w:p>
          <w:p w14:paraId="7C63149C">
            <w:pPr>
              <w:pStyle w:val="196"/>
            </w:pPr>
            <w:r>
              <w:rPr>
                <w:rFonts w:hint="eastAsia"/>
              </w:rPr>
              <w:t>自然景观□（                        ）</w:t>
            </w:r>
          </w:p>
          <w:p w14:paraId="001AAE05">
            <w:pPr>
              <w:pStyle w:val="196"/>
            </w:pPr>
            <w:r>
              <w:rPr>
                <w:rFonts w:hint="eastAsia"/>
              </w:rPr>
              <w:t>自然遗迹□（                        ）</w:t>
            </w:r>
          </w:p>
          <w:p w14:paraId="1A92A759">
            <w:pPr>
              <w:pStyle w:val="196"/>
            </w:pPr>
            <w:r>
              <w:rPr>
                <w:rFonts w:hint="eastAsia"/>
              </w:rPr>
              <w:t>其他□（                            ）</w:t>
            </w:r>
          </w:p>
        </w:tc>
      </w:tr>
      <w:tr w14:paraId="17F5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2416" w:type="dxa"/>
            <w:gridSpan w:val="2"/>
            <w:tcBorders>
              <w:top w:val="single" w:color="auto" w:sz="4" w:space="0"/>
              <w:left w:val="single" w:color="auto" w:sz="4" w:space="0"/>
              <w:bottom w:val="single" w:color="auto" w:sz="4" w:space="0"/>
              <w:right w:val="single" w:color="auto" w:sz="4" w:space="0"/>
            </w:tcBorders>
            <w:vAlign w:val="center"/>
          </w:tcPr>
          <w:p w14:paraId="0CC624F9">
            <w:pPr>
              <w:pStyle w:val="196"/>
            </w:pPr>
            <w:r>
              <w:rPr>
                <w:rFonts w:hint="eastAsia"/>
              </w:rPr>
              <w:t>评价等级</w:t>
            </w:r>
          </w:p>
        </w:tc>
        <w:tc>
          <w:tcPr>
            <w:tcW w:w="6383" w:type="dxa"/>
            <w:tcBorders>
              <w:top w:val="single" w:color="auto" w:sz="4" w:space="0"/>
              <w:left w:val="single" w:color="auto" w:sz="4" w:space="0"/>
              <w:bottom w:val="single" w:color="auto" w:sz="4" w:space="0"/>
              <w:right w:val="single" w:color="auto" w:sz="4" w:space="0"/>
            </w:tcBorders>
            <w:vAlign w:val="center"/>
          </w:tcPr>
          <w:p w14:paraId="28852BFF">
            <w:pPr>
              <w:pStyle w:val="196"/>
            </w:pPr>
            <w:r>
              <w:rPr>
                <w:rFonts w:hint="eastAsia"/>
              </w:rPr>
              <w:t>一级□     二级□      三级</w:t>
            </w:r>
            <w:r>
              <w:rPr>
                <w:rFonts w:hint="eastAsia" w:ascii="Segoe UI Symbol" w:hAnsi="Segoe UI Symbol" w:cs="Segoe UI Symbol"/>
              </w:rPr>
              <w:t>☑</w:t>
            </w:r>
            <w:r>
              <w:rPr>
                <w:rFonts w:hint="eastAsia"/>
              </w:rPr>
              <w:t xml:space="preserve">    生态影响简单分析□</w:t>
            </w:r>
          </w:p>
        </w:tc>
      </w:tr>
      <w:tr w14:paraId="6948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2416" w:type="dxa"/>
            <w:gridSpan w:val="2"/>
            <w:tcBorders>
              <w:top w:val="single" w:color="auto" w:sz="4" w:space="0"/>
              <w:left w:val="single" w:color="auto" w:sz="4" w:space="0"/>
              <w:bottom w:val="single" w:color="auto" w:sz="4" w:space="0"/>
              <w:right w:val="single" w:color="auto" w:sz="4" w:space="0"/>
            </w:tcBorders>
            <w:vAlign w:val="center"/>
          </w:tcPr>
          <w:p w14:paraId="45760AC5">
            <w:pPr>
              <w:pStyle w:val="196"/>
            </w:pPr>
            <w:r>
              <w:rPr>
                <w:rFonts w:hint="eastAsia"/>
              </w:rPr>
              <w:t>评价范围</w:t>
            </w:r>
          </w:p>
        </w:tc>
        <w:tc>
          <w:tcPr>
            <w:tcW w:w="6383" w:type="dxa"/>
            <w:tcBorders>
              <w:top w:val="single" w:color="auto" w:sz="4" w:space="0"/>
              <w:left w:val="single" w:color="auto" w:sz="4" w:space="0"/>
              <w:bottom w:val="single" w:color="auto" w:sz="4" w:space="0"/>
              <w:right w:val="single" w:color="auto" w:sz="4" w:space="0"/>
            </w:tcBorders>
            <w:vAlign w:val="center"/>
          </w:tcPr>
          <w:p w14:paraId="5C880586">
            <w:pPr>
              <w:pStyle w:val="196"/>
            </w:pPr>
            <w:r>
              <w:rPr>
                <w:rFonts w:hint="eastAsia"/>
              </w:rPr>
              <w:t>陆域面积：（0.9584）km</w:t>
            </w:r>
            <w:r>
              <w:rPr>
                <w:rFonts w:hint="eastAsia"/>
                <w:vertAlign w:val="superscript"/>
              </w:rPr>
              <w:t>2</w:t>
            </w:r>
            <w:r>
              <w:rPr>
                <w:rFonts w:hint="eastAsia"/>
              </w:rPr>
              <w:t>；水域面积：（1.2077）km</w:t>
            </w:r>
            <w:r>
              <w:rPr>
                <w:rFonts w:hint="eastAsia"/>
                <w:vertAlign w:val="superscript"/>
              </w:rPr>
              <w:t>2</w:t>
            </w:r>
          </w:p>
        </w:tc>
      </w:tr>
      <w:tr w14:paraId="52F6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856" w:type="dxa"/>
            <w:vMerge w:val="restart"/>
            <w:tcBorders>
              <w:top w:val="nil"/>
              <w:left w:val="single" w:color="auto" w:sz="4" w:space="0"/>
              <w:bottom w:val="single" w:color="auto" w:sz="4" w:space="0"/>
              <w:right w:val="single" w:color="auto" w:sz="4" w:space="0"/>
            </w:tcBorders>
            <w:vAlign w:val="center"/>
          </w:tcPr>
          <w:p w14:paraId="2B602F85">
            <w:pPr>
              <w:pStyle w:val="196"/>
            </w:pPr>
            <w:r>
              <w:rPr>
                <w:rFonts w:hint="eastAsia"/>
              </w:rPr>
              <w:t>生态现状调查与评价</w:t>
            </w:r>
          </w:p>
        </w:tc>
        <w:tc>
          <w:tcPr>
            <w:tcW w:w="1560" w:type="dxa"/>
            <w:tcBorders>
              <w:top w:val="single" w:color="auto" w:sz="4" w:space="0"/>
              <w:left w:val="single" w:color="auto" w:sz="4" w:space="0"/>
              <w:bottom w:val="single" w:color="auto" w:sz="4" w:space="0"/>
              <w:right w:val="single" w:color="auto" w:sz="4" w:space="0"/>
            </w:tcBorders>
            <w:vAlign w:val="center"/>
          </w:tcPr>
          <w:p w14:paraId="240BBDC9">
            <w:pPr>
              <w:pStyle w:val="196"/>
            </w:pPr>
            <w:r>
              <w:rPr>
                <w:rFonts w:hint="eastAsia"/>
              </w:rPr>
              <w:t>调查方法</w:t>
            </w:r>
          </w:p>
        </w:tc>
        <w:tc>
          <w:tcPr>
            <w:tcW w:w="6383" w:type="dxa"/>
            <w:tcBorders>
              <w:top w:val="single" w:color="auto" w:sz="4" w:space="0"/>
              <w:left w:val="single" w:color="auto" w:sz="4" w:space="0"/>
              <w:bottom w:val="single" w:color="auto" w:sz="4" w:space="0"/>
              <w:right w:val="single" w:color="auto" w:sz="4" w:space="0"/>
            </w:tcBorders>
            <w:vAlign w:val="center"/>
          </w:tcPr>
          <w:p w14:paraId="717C91E5">
            <w:pPr>
              <w:pStyle w:val="196"/>
            </w:pPr>
            <w:r>
              <w:rPr>
                <w:rFonts w:hint="eastAsia"/>
              </w:rPr>
              <w:t>资料收集</w:t>
            </w:r>
            <w:r>
              <w:rPr>
                <w:rFonts w:hint="eastAsia" w:ascii="Segoe UI Symbol" w:hAnsi="Segoe UI Symbol" w:cs="Segoe UI Symbol"/>
              </w:rPr>
              <w:t>☑</w:t>
            </w:r>
            <w:r>
              <w:rPr>
                <w:rFonts w:hint="eastAsia"/>
              </w:rPr>
              <w:t>；遥感调查□；调查样方、样线□；调查点位、断面□；专家和公众咨询法□；其他□</w:t>
            </w:r>
          </w:p>
        </w:tc>
      </w:tr>
      <w:tr w14:paraId="0A2A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9" w:hRule="atLeast"/>
          <w:jc w:val="center"/>
        </w:trPr>
        <w:tc>
          <w:tcPr>
            <w:tcW w:w="8799" w:type="dxa"/>
            <w:vMerge w:val="continue"/>
            <w:tcBorders>
              <w:top w:val="nil"/>
              <w:left w:val="single" w:color="auto" w:sz="4" w:space="0"/>
              <w:bottom w:val="single" w:color="auto" w:sz="4" w:space="0"/>
              <w:right w:val="single" w:color="auto" w:sz="4" w:space="0"/>
            </w:tcBorders>
            <w:vAlign w:val="center"/>
          </w:tcPr>
          <w:p w14:paraId="42BCF3F9">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65E86994">
            <w:pPr>
              <w:pStyle w:val="196"/>
            </w:pPr>
            <w:r>
              <w:rPr>
                <w:rFonts w:hint="eastAsia"/>
              </w:rPr>
              <w:t>调查时间</w:t>
            </w:r>
          </w:p>
        </w:tc>
        <w:tc>
          <w:tcPr>
            <w:tcW w:w="6383" w:type="dxa"/>
            <w:tcBorders>
              <w:top w:val="single" w:color="auto" w:sz="4" w:space="0"/>
              <w:left w:val="single" w:color="auto" w:sz="4" w:space="0"/>
              <w:bottom w:val="single" w:color="auto" w:sz="4" w:space="0"/>
              <w:right w:val="single" w:color="auto" w:sz="4" w:space="0"/>
            </w:tcBorders>
            <w:vAlign w:val="center"/>
          </w:tcPr>
          <w:p w14:paraId="20272F9B">
            <w:pPr>
              <w:pStyle w:val="196"/>
            </w:pPr>
            <w:r>
              <w:rPr>
                <w:rFonts w:hint="eastAsia"/>
              </w:rPr>
              <w:t>春季□；夏季□；秋季□；冬季□</w:t>
            </w:r>
          </w:p>
          <w:p w14:paraId="1A5A02CF">
            <w:pPr>
              <w:pStyle w:val="196"/>
            </w:pPr>
            <w:r>
              <w:rPr>
                <w:rFonts w:hint="eastAsia"/>
              </w:rPr>
              <w:t>丰水期□；枯水期□；平水期□</w:t>
            </w:r>
          </w:p>
        </w:tc>
      </w:tr>
      <w:tr w14:paraId="0FA9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8799" w:type="dxa"/>
            <w:vMerge w:val="continue"/>
            <w:tcBorders>
              <w:top w:val="nil"/>
              <w:left w:val="single" w:color="auto" w:sz="4" w:space="0"/>
              <w:bottom w:val="single" w:color="auto" w:sz="4" w:space="0"/>
              <w:right w:val="single" w:color="auto" w:sz="4" w:space="0"/>
            </w:tcBorders>
            <w:vAlign w:val="center"/>
          </w:tcPr>
          <w:p w14:paraId="1D77BABE">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1543BD01">
            <w:pPr>
              <w:pStyle w:val="196"/>
            </w:pPr>
            <w:r>
              <w:rPr>
                <w:rFonts w:hint="eastAsia"/>
              </w:rPr>
              <w:t>所在区域的生态问题</w:t>
            </w:r>
          </w:p>
        </w:tc>
        <w:tc>
          <w:tcPr>
            <w:tcW w:w="6383" w:type="dxa"/>
            <w:tcBorders>
              <w:top w:val="single" w:color="auto" w:sz="4" w:space="0"/>
              <w:left w:val="single" w:color="auto" w:sz="4" w:space="0"/>
              <w:bottom w:val="single" w:color="auto" w:sz="4" w:space="0"/>
              <w:right w:val="single" w:color="auto" w:sz="4" w:space="0"/>
            </w:tcBorders>
            <w:vAlign w:val="center"/>
          </w:tcPr>
          <w:p w14:paraId="62B688C2">
            <w:pPr>
              <w:pStyle w:val="196"/>
            </w:pPr>
            <w:r>
              <w:rPr>
                <w:rFonts w:hint="eastAsia"/>
              </w:rPr>
              <w:t>水土流失□；沙漠化□；石漠化□；盐渍化□；生物入侵□；污染危害□；其他□</w:t>
            </w:r>
          </w:p>
        </w:tc>
      </w:tr>
      <w:tr w14:paraId="51553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8799" w:type="dxa"/>
            <w:vMerge w:val="continue"/>
            <w:tcBorders>
              <w:top w:val="nil"/>
              <w:left w:val="single" w:color="auto" w:sz="4" w:space="0"/>
              <w:bottom w:val="single" w:color="auto" w:sz="4" w:space="0"/>
              <w:right w:val="single" w:color="auto" w:sz="4" w:space="0"/>
            </w:tcBorders>
            <w:vAlign w:val="center"/>
          </w:tcPr>
          <w:p w14:paraId="6EDDB00B">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49B781D1">
            <w:pPr>
              <w:pStyle w:val="196"/>
            </w:pPr>
            <w:r>
              <w:rPr>
                <w:rFonts w:hint="eastAsia"/>
              </w:rPr>
              <w:t>评价内容</w:t>
            </w:r>
          </w:p>
        </w:tc>
        <w:tc>
          <w:tcPr>
            <w:tcW w:w="6383" w:type="dxa"/>
            <w:tcBorders>
              <w:top w:val="single" w:color="auto" w:sz="4" w:space="0"/>
              <w:left w:val="single" w:color="auto" w:sz="4" w:space="0"/>
              <w:bottom w:val="single" w:color="auto" w:sz="4" w:space="0"/>
              <w:right w:val="single" w:color="auto" w:sz="4" w:space="0"/>
            </w:tcBorders>
            <w:vAlign w:val="center"/>
          </w:tcPr>
          <w:p w14:paraId="1FFC1774">
            <w:pPr>
              <w:pStyle w:val="196"/>
            </w:pPr>
            <w:r>
              <w:rPr>
                <w:rFonts w:hint="eastAsia"/>
              </w:rPr>
              <w:t>植被/植物群落</w:t>
            </w:r>
            <w:r>
              <w:rPr>
                <w:rFonts w:hint="eastAsia" w:ascii="Segoe UI Symbol" w:hAnsi="Segoe UI Symbol" w:cs="Segoe UI Symbol"/>
              </w:rPr>
              <w:t>☑</w:t>
            </w:r>
            <w:r>
              <w:rPr>
                <w:rFonts w:hint="eastAsia"/>
              </w:rPr>
              <w:t>；土地利用</w:t>
            </w:r>
            <w:r>
              <w:rPr>
                <w:rFonts w:hint="eastAsia" w:ascii="Segoe UI Symbol" w:hAnsi="Segoe UI Symbol" w:cs="Segoe UI Symbol"/>
              </w:rPr>
              <w:t>☑</w:t>
            </w:r>
            <w:r>
              <w:rPr>
                <w:rFonts w:hint="eastAsia"/>
              </w:rPr>
              <w:t>；生态系统□；生物多样性□；</w:t>
            </w:r>
          </w:p>
          <w:p w14:paraId="251C7F87">
            <w:pPr>
              <w:pStyle w:val="196"/>
            </w:pPr>
            <w:r>
              <w:rPr>
                <w:rFonts w:hint="eastAsia"/>
              </w:rPr>
              <w:t>重要物种□；生态敏感区□；其他□</w:t>
            </w:r>
          </w:p>
        </w:tc>
      </w:tr>
      <w:tr w14:paraId="0C46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6" w:type="dxa"/>
            <w:vMerge w:val="restart"/>
            <w:tcBorders>
              <w:top w:val="nil"/>
              <w:left w:val="single" w:color="auto" w:sz="4" w:space="0"/>
              <w:bottom w:val="single" w:color="auto" w:sz="4" w:space="0"/>
              <w:right w:val="single" w:color="auto" w:sz="4" w:space="0"/>
            </w:tcBorders>
            <w:vAlign w:val="center"/>
          </w:tcPr>
          <w:p w14:paraId="4CEBEF2C">
            <w:pPr>
              <w:pStyle w:val="196"/>
            </w:pPr>
            <w:r>
              <w:rPr>
                <w:rFonts w:hint="eastAsia"/>
              </w:rPr>
              <w:t>生态影响预测与评价</w:t>
            </w:r>
          </w:p>
        </w:tc>
        <w:tc>
          <w:tcPr>
            <w:tcW w:w="1560" w:type="dxa"/>
            <w:tcBorders>
              <w:top w:val="single" w:color="auto" w:sz="4" w:space="0"/>
              <w:left w:val="single" w:color="auto" w:sz="4" w:space="0"/>
              <w:bottom w:val="single" w:color="auto" w:sz="4" w:space="0"/>
              <w:right w:val="single" w:color="auto" w:sz="4" w:space="0"/>
            </w:tcBorders>
            <w:vAlign w:val="center"/>
          </w:tcPr>
          <w:p w14:paraId="1243370A">
            <w:pPr>
              <w:pStyle w:val="196"/>
            </w:pPr>
            <w:r>
              <w:rPr>
                <w:rFonts w:hint="eastAsia"/>
              </w:rPr>
              <w:t>评价方法</w:t>
            </w:r>
          </w:p>
        </w:tc>
        <w:tc>
          <w:tcPr>
            <w:tcW w:w="6383" w:type="dxa"/>
            <w:tcBorders>
              <w:top w:val="single" w:color="auto" w:sz="4" w:space="0"/>
              <w:left w:val="single" w:color="auto" w:sz="4" w:space="0"/>
              <w:bottom w:val="single" w:color="auto" w:sz="4" w:space="0"/>
              <w:right w:val="single" w:color="auto" w:sz="4" w:space="0"/>
            </w:tcBorders>
            <w:vAlign w:val="center"/>
          </w:tcPr>
          <w:p w14:paraId="37A33C1F">
            <w:pPr>
              <w:pStyle w:val="196"/>
            </w:pPr>
            <w:r>
              <w:rPr>
                <w:rFonts w:hint="eastAsia"/>
              </w:rPr>
              <w:t>定性</w:t>
            </w:r>
            <w:r>
              <w:rPr>
                <w:rFonts w:hint="eastAsia" w:ascii="Segoe UI Symbol" w:hAnsi="Segoe UI Symbol" w:cs="Segoe UI Symbol"/>
              </w:rPr>
              <w:t>☑</w:t>
            </w:r>
            <w:r>
              <w:rPr>
                <w:rFonts w:hint="eastAsia"/>
              </w:rPr>
              <w:t>；定性和定量□</w:t>
            </w:r>
          </w:p>
        </w:tc>
      </w:tr>
      <w:tr w14:paraId="4B34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99" w:type="dxa"/>
            <w:vMerge w:val="continue"/>
            <w:tcBorders>
              <w:top w:val="nil"/>
              <w:left w:val="single" w:color="auto" w:sz="4" w:space="0"/>
              <w:bottom w:val="single" w:color="auto" w:sz="4" w:space="0"/>
              <w:right w:val="single" w:color="auto" w:sz="4" w:space="0"/>
            </w:tcBorders>
            <w:vAlign w:val="center"/>
          </w:tcPr>
          <w:p w14:paraId="7E51C669">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22359811">
            <w:pPr>
              <w:pStyle w:val="196"/>
            </w:pPr>
            <w:r>
              <w:rPr>
                <w:rFonts w:hint="eastAsia"/>
              </w:rPr>
              <w:t>评价内容</w:t>
            </w:r>
          </w:p>
        </w:tc>
        <w:tc>
          <w:tcPr>
            <w:tcW w:w="6383" w:type="dxa"/>
            <w:tcBorders>
              <w:top w:val="single" w:color="auto" w:sz="4" w:space="0"/>
              <w:left w:val="single" w:color="auto" w:sz="4" w:space="0"/>
              <w:bottom w:val="single" w:color="auto" w:sz="4" w:space="0"/>
              <w:right w:val="single" w:color="auto" w:sz="4" w:space="0"/>
            </w:tcBorders>
            <w:vAlign w:val="center"/>
          </w:tcPr>
          <w:p w14:paraId="7D1789A2">
            <w:pPr>
              <w:pStyle w:val="196"/>
            </w:pPr>
            <w:r>
              <w:rPr>
                <w:rFonts w:hint="eastAsia"/>
              </w:rPr>
              <w:t>植被/植物群落□；土地利用</w:t>
            </w:r>
            <w:r>
              <w:rPr>
                <w:rFonts w:hint="eastAsia" w:ascii="Segoe UI Symbol" w:hAnsi="Segoe UI Symbol" w:cs="Segoe UI Symbol"/>
              </w:rPr>
              <w:t>☑</w:t>
            </w:r>
            <w:r>
              <w:rPr>
                <w:rFonts w:hint="eastAsia"/>
              </w:rPr>
              <w:t>；生态系统□；生物多样性□；</w:t>
            </w:r>
          </w:p>
          <w:p w14:paraId="0B07F44E">
            <w:pPr>
              <w:pStyle w:val="196"/>
            </w:pPr>
            <w:r>
              <w:rPr>
                <w:rFonts w:hint="eastAsia"/>
              </w:rPr>
              <w:t>重要物种□；生态敏感区□；生物入侵风险□；其他□</w:t>
            </w:r>
          </w:p>
        </w:tc>
      </w:tr>
      <w:tr w14:paraId="5CC8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856" w:type="dxa"/>
            <w:vMerge w:val="restart"/>
            <w:tcBorders>
              <w:top w:val="nil"/>
              <w:left w:val="single" w:color="auto" w:sz="4" w:space="0"/>
              <w:bottom w:val="single" w:color="auto" w:sz="4" w:space="0"/>
              <w:right w:val="single" w:color="auto" w:sz="4" w:space="0"/>
            </w:tcBorders>
            <w:vAlign w:val="center"/>
          </w:tcPr>
          <w:p w14:paraId="2752FA45">
            <w:pPr>
              <w:pStyle w:val="196"/>
            </w:pPr>
            <w:r>
              <w:rPr>
                <w:rFonts w:hint="eastAsia"/>
              </w:rPr>
              <w:t>生态保护对策措施</w:t>
            </w:r>
          </w:p>
          <w:p w14:paraId="3557EB61">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08EDB891">
            <w:pPr>
              <w:pStyle w:val="196"/>
            </w:pPr>
            <w:r>
              <w:rPr>
                <w:rFonts w:hint="eastAsia"/>
              </w:rPr>
              <w:t>对策措施</w:t>
            </w:r>
          </w:p>
        </w:tc>
        <w:tc>
          <w:tcPr>
            <w:tcW w:w="6383" w:type="dxa"/>
            <w:tcBorders>
              <w:top w:val="single" w:color="auto" w:sz="4" w:space="0"/>
              <w:left w:val="single" w:color="auto" w:sz="4" w:space="0"/>
              <w:bottom w:val="single" w:color="auto" w:sz="4" w:space="0"/>
              <w:right w:val="single" w:color="auto" w:sz="4" w:space="0"/>
            </w:tcBorders>
            <w:vAlign w:val="center"/>
          </w:tcPr>
          <w:p w14:paraId="22CE3B5D">
            <w:pPr>
              <w:pStyle w:val="196"/>
            </w:pPr>
            <w:r>
              <w:rPr>
                <w:rFonts w:hint="eastAsia"/>
              </w:rPr>
              <w:t>避让□；缓减□；生态修复</w:t>
            </w:r>
            <w:r>
              <w:rPr>
                <w:rFonts w:hint="eastAsia" w:ascii="Segoe UI Symbol" w:hAnsi="Segoe UI Symbol" w:cs="Segoe UI Symbol"/>
              </w:rPr>
              <w:t>☑</w:t>
            </w:r>
            <w:r>
              <w:rPr>
                <w:rFonts w:hint="eastAsia"/>
              </w:rPr>
              <w:t>；生态补偿□；科研□；其他□</w:t>
            </w:r>
          </w:p>
        </w:tc>
      </w:tr>
      <w:tr w14:paraId="6DD3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99" w:type="dxa"/>
            <w:vMerge w:val="continue"/>
            <w:tcBorders>
              <w:top w:val="nil"/>
              <w:left w:val="single" w:color="auto" w:sz="4" w:space="0"/>
              <w:bottom w:val="single" w:color="auto" w:sz="4" w:space="0"/>
              <w:right w:val="single" w:color="auto" w:sz="4" w:space="0"/>
            </w:tcBorders>
            <w:vAlign w:val="center"/>
          </w:tcPr>
          <w:p w14:paraId="0611DC3E">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763AF529">
            <w:pPr>
              <w:pStyle w:val="196"/>
            </w:pPr>
            <w:r>
              <w:rPr>
                <w:rFonts w:hint="eastAsia"/>
              </w:rPr>
              <w:t>生态监测计划</w:t>
            </w:r>
          </w:p>
        </w:tc>
        <w:tc>
          <w:tcPr>
            <w:tcW w:w="6383" w:type="dxa"/>
            <w:tcBorders>
              <w:top w:val="single" w:color="auto" w:sz="4" w:space="0"/>
              <w:left w:val="single" w:color="auto" w:sz="4" w:space="0"/>
              <w:bottom w:val="single" w:color="auto" w:sz="4" w:space="0"/>
              <w:right w:val="single" w:color="auto" w:sz="4" w:space="0"/>
            </w:tcBorders>
            <w:vAlign w:val="center"/>
          </w:tcPr>
          <w:p w14:paraId="4EDC2067">
            <w:pPr>
              <w:pStyle w:val="196"/>
            </w:pPr>
            <w:r>
              <w:rPr>
                <w:rFonts w:hint="eastAsia"/>
              </w:rPr>
              <w:t>全生命周期□；长期跟踪□；常规□；无</w:t>
            </w:r>
            <w:r>
              <w:rPr>
                <w:rFonts w:hint="eastAsia" w:ascii="Segoe UI Symbol" w:hAnsi="Segoe UI Symbol" w:cs="Segoe UI Symbol"/>
              </w:rPr>
              <w:t>☑</w:t>
            </w:r>
          </w:p>
        </w:tc>
      </w:tr>
      <w:tr w14:paraId="2DF8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799" w:type="dxa"/>
            <w:vMerge w:val="continue"/>
            <w:tcBorders>
              <w:top w:val="nil"/>
              <w:left w:val="single" w:color="auto" w:sz="4" w:space="0"/>
              <w:bottom w:val="single" w:color="auto" w:sz="4" w:space="0"/>
              <w:right w:val="single" w:color="auto" w:sz="4" w:space="0"/>
            </w:tcBorders>
            <w:vAlign w:val="center"/>
          </w:tcPr>
          <w:p w14:paraId="75915BAE">
            <w:pPr>
              <w:pStyle w:val="196"/>
            </w:pPr>
          </w:p>
        </w:tc>
        <w:tc>
          <w:tcPr>
            <w:tcW w:w="1560" w:type="dxa"/>
            <w:tcBorders>
              <w:top w:val="single" w:color="auto" w:sz="4" w:space="0"/>
              <w:left w:val="single" w:color="auto" w:sz="4" w:space="0"/>
              <w:bottom w:val="single" w:color="auto" w:sz="4" w:space="0"/>
              <w:right w:val="single" w:color="auto" w:sz="4" w:space="0"/>
            </w:tcBorders>
            <w:vAlign w:val="center"/>
          </w:tcPr>
          <w:p w14:paraId="64771CB8">
            <w:pPr>
              <w:pStyle w:val="196"/>
            </w:pPr>
            <w:r>
              <w:rPr>
                <w:rFonts w:hint="eastAsia"/>
              </w:rPr>
              <w:t>环境管理</w:t>
            </w:r>
          </w:p>
        </w:tc>
        <w:tc>
          <w:tcPr>
            <w:tcW w:w="6383" w:type="dxa"/>
            <w:tcBorders>
              <w:top w:val="single" w:color="auto" w:sz="4" w:space="0"/>
              <w:left w:val="single" w:color="auto" w:sz="4" w:space="0"/>
              <w:bottom w:val="single" w:color="auto" w:sz="4" w:space="0"/>
              <w:right w:val="single" w:color="auto" w:sz="4" w:space="0"/>
            </w:tcBorders>
            <w:vAlign w:val="center"/>
          </w:tcPr>
          <w:p w14:paraId="48959815">
            <w:pPr>
              <w:pStyle w:val="196"/>
            </w:pPr>
            <w:r>
              <w:rPr>
                <w:rFonts w:hint="eastAsia"/>
              </w:rPr>
              <w:t>环境监理</w:t>
            </w:r>
            <w:r>
              <w:rPr>
                <w:rFonts w:hint="eastAsia" w:ascii="Segoe UI Symbol" w:hAnsi="Segoe UI Symbol" w:cs="Segoe UI Symbol"/>
              </w:rPr>
              <w:t>☑</w:t>
            </w:r>
            <w:r>
              <w:rPr>
                <w:rFonts w:hint="eastAsia"/>
              </w:rPr>
              <w:t>；环境影响后评价□；其他□</w:t>
            </w:r>
          </w:p>
        </w:tc>
      </w:tr>
      <w:tr w14:paraId="5EBA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56" w:type="dxa"/>
            <w:tcBorders>
              <w:top w:val="single" w:color="auto" w:sz="4" w:space="0"/>
              <w:left w:val="single" w:color="auto" w:sz="4" w:space="0"/>
              <w:bottom w:val="single" w:color="auto" w:sz="4" w:space="0"/>
              <w:right w:val="single" w:color="auto" w:sz="4" w:space="0"/>
            </w:tcBorders>
            <w:vAlign w:val="center"/>
          </w:tcPr>
          <w:p w14:paraId="28605227">
            <w:pPr>
              <w:pStyle w:val="196"/>
            </w:pPr>
            <w:r>
              <w:rPr>
                <w:rFonts w:hint="eastAsia"/>
              </w:rPr>
              <w:t>评价结论</w:t>
            </w:r>
          </w:p>
        </w:tc>
        <w:tc>
          <w:tcPr>
            <w:tcW w:w="1560" w:type="dxa"/>
            <w:tcBorders>
              <w:top w:val="single" w:color="auto" w:sz="4" w:space="0"/>
              <w:left w:val="single" w:color="auto" w:sz="4" w:space="0"/>
              <w:bottom w:val="single" w:color="auto" w:sz="4" w:space="0"/>
              <w:right w:val="single" w:color="auto" w:sz="4" w:space="0"/>
            </w:tcBorders>
            <w:vAlign w:val="center"/>
          </w:tcPr>
          <w:p w14:paraId="123C6D66">
            <w:pPr>
              <w:pStyle w:val="196"/>
            </w:pPr>
            <w:r>
              <w:rPr>
                <w:rFonts w:hint="eastAsia"/>
              </w:rPr>
              <w:t>生态影响</w:t>
            </w:r>
          </w:p>
        </w:tc>
        <w:tc>
          <w:tcPr>
            <w:tcW w:w="6383" w:type="dxa"/>
            <w:tcBorders>
              <w:top w:val="single" w:color="auto" w:sz="4" w:space="0"/>
              <w:left w:val="single" w:color="auto" w:sz="4" w:space="0"/>
              <w:bottom w:val="single" w:color="auto" w:sz="4" w:space="0"/>
              <w:right w:val="single" w:color="auto" w:sz="4" w:space="0"/>
            </w:tcBorders>
            <w:vAlign w:val="center"/>
          </w:tcPr>
          <w:p w14:paraId="333DA39E">
            <w:pPr>
              <w:pStyle w:val="196"/>
            </w:pPr>
            <w:r>
              <w:rPr>
                <w:rFonts w:hint="eastAsia"/>
              </w:rPr>
              <w:t>可行</w:t>
            </w:r>
            <w:r>
              <w:rPr>
                <w:rFonts w:hint="eastAsia" w:ascii="Segoe UI Symbol" w:hAnsi="Segoe UI Symbol" w:cs="Segoe UI Symbol"/>
              </w:rPr>
              <w:t>☑</w:t>
            </w:r>
            <w:r>
              <w:rPr>
                <w:rFonts w:hint="eastAsia"/>
              </w:rPr>
              <w:t>；不可行□</w:t>
            </w:r>
          </w:p>
        </w:tc>
      </w:tr>
      <w:tr w14:paraId="7E56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8799" w:type="dxa"/>
            <w:gridSpan w:val="3"/>
            <w:tcBorders>
              <w:top w:val="single" w:color="auto" w:sz="4" w:space="0"/>
              <w:left w:val="single" w:color="auto" w:sz="4" w:space="0"/>
              <w:bottom w:val="single" w:color="auto" w:sz="4" w:space="0"/>
              <w:right w:val="single" w:color="auto" w:sz="4" w:space="0"/>
            </w:tcBorders>
            <w:vAlign w:val="center"/>
          </w:tcPr>
          <w:p w14:paraId="3CC2201A">
            <w:pPr>
              <w:pStyle w:val="196"/>
            </w:pPr>
            <w:r>
              <w:rPr>
                <w:rFonts w:hint="eastAsia"/>
              </w:rPr>
              <w:t>注：  “□”为勾选项，可√；“（  ）”为内容填写项。</w:t>
            </w:r>
          </w:p>
        </w:tc>
      </w:tr>
    </w:tbl>
    <w:p w14:paraId="4FE3441A">
      <w:pPr>
        <w:pStyle w:val="80"/>
      </w:pPr>
      <w:bookmarkStart w:id="285" w:name="_Toc5073"/>
      <w:bookmarkEnd w:id="285"/>
      <w:bookmarkStart w:id="286" w:name="_Toc31699"/>
      <w:bookmarkStart w:id="287" w:name="_Toc511138749"/>
      <w:bookmarkStart w:id="288" w:name="_Toc182171824"/>
      <w:bookmarkStart w:id="289" w:name="_Toc16381"/>
      <w:bookmarkStart w:id="290" w:name="_Toc9345"/>
      <w:bookmarkStart w:id="291" w:name="_Toc159704340"/>
      <w:bookmarkStart w:id="292" w:name="_Toc20614647"/>
      <w:r>
        <w:rPr>
          <w:rFonts w:hint="eastAsia"/>
        </w:rPr>
        <w:t>环境风险影响预测与评价</w:t>
      </w:r>
      <w:bookmarkEnd w:id="286"/>
      <w:bookmarkEnd w:id="287"/>
      <w:bookmarkEnd w:id="288"/>
      <w:bookmarkEnd w:id="289"/>
      <w:bookmarkEnd w:id="290"/>
      <w:bookmarkEnd w:id="291"/>
    </w:p>
    <w:p w14:paraId="5CB86665">
      <w:pPr>
        <w:pStyle w:val="93"/>
      </w:pPr>
      <w:r>
        <w:rPr>
          <w:rFonts w:hint="eastAsia"/>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环境风险评价的主要关注点是事故对厂（场）界外环境的影响。</w:t>
      </w:r>
    </w:p>
    <w:p w14:paraId="293D1F70">
      <w:pPr>
        <w:pStyle w:val="82"/>
      </w:pPr>
      <w:r>
        <w:rPr>
          <w:rFonts w:hint="eastAsia"/>
        </w:rPr>
        <w:t>环境风险分析</w:t>
      </w:r>
    </w:p>
    <w:p w14:paraId="28EBD0FF">
      <w:pPr>
        <w:pStyle w:val="84"/>
      </w:pPr>
      <w:r>
        <w:rPr>
          <w:rFonts w:hint="eastAsia"/>
        </w:rPr>
        <w:t>风险调查</w:t>
      </w:r>
    </w:p>
    <w:p w14:paraId="79BDA126">
      <w:pPr>
        <w:pStyle w:val="93"/>
      </w:pPr>
      <w:r>
        <w:rPr>
          <w:rFonts w:hint="eastAsia"/>
        </w:rPr>
        <w:t>本工程为国能涟水热电联产项目的配套码头，其吞吐量符合该项目的规模和生产能力。根据《国能涟水绿色智慧综合能源示范项目一期工程（国能涟水一期热电联产项目）可行性研究》，热电项目采用山西、蒙东等地区的燃煤，按锅炉最大连续蒸发量（B-MCR）时的耗煤量计，近期年耗燃煤量约39.344万吨（校核煤种），远期新增耗煤量约71.854万吨（校核煤种），合计111.198万吨（校核煤种）。不涉及危险化学品。根据对工程施工、运营过程的分析，并结合国内同类码头运营的实际情况，确定本项目可能出现事故排放的环节主要为：</w:t>
      </w:r>
    </w:p>
    <w:p w14:paraId="7ADC18D3">
      <w:pPr>
        <w:ind w:firstLine="480"/>
      </w:pPr>
      <w:r>
        <w:rPr>
          <w:rFonts w:hint="eastAsia"/>
        </w:rPr>
        <w:t>（1）船舶舱底油泄漏导致船舶溢油事故。这类事故对水域造成</w:t>
      </w:r>
      <w:r>
        <w:rPr>
          <w:rFonts w:hint="eastAsia"/>
          <w:lang w:eastAsia="zh-CN"/>
        </w:rPr>
        <w:t>的</w:t>
      </w:r>
      <w:r>
        <w:rPr>
          <w:rFonts w:hint="eastAsia"/>
        </w:rPr>
        <w:t>污染较小；</w:t>
      </w:r>
    </w:p>
    <w:p w14:paraId="68B157C0">
      <w:pPr>
        <w:ind w:firstLine="480"/>
      </w:pPr>
      <w:r>
        <w:rPr>
          <w:rFonts w:hint="eastAsia"/>
        </w:rPr>
        <w:t>（2）船舶碰撞引起的柴油泄漏对地表水环境的影响；</w:t>
      </w:r>
    </w:p>
    <w:p w14:paraId="76805FC0">
      <w:pPr>
        <w:ind w:firstLine="480"/>
      </w:pPr>
      <w:r>
        <w:rPr>
          <w:rFonts w:hint="eastAsia"/>
        </w:rPr>
        <w:t>（3）船舶溢油若发生燃烧事故，会对周边大气环境产生影响；</w:t>
      </w:r>
    </w:p>
    <w:p w14:paraId="35E64462">
      <w:pPr>
        <w:pStyle w:val="84"/>
      </w:pPr>
      <w:r>
        <w:rPr>
          <w:rFonts w:hint="eastAsia"/>
        </w:rPr>
        <w:t>评价等级</w:t>
      </w:r>
    </w:p>
    <w:p w14:paraId="5DDA325A">
      <w:pPr>
        <w:pStyle w:val="93"/>
      </w:pPr>
      <w:r>
        <w:rPr>
          <w:rFonts w:hint="eastAsia"/>
        </w:rPr>
        <w:t>根据2.5.1判定结果，本项目风险潜势为I，风险评价等级为简单分析。</w:t>
      </w:r>
    </w:p>
    <w:p w14:paraId="16CA7CDE">
      <w:pPr>
        <w:pStyle w:val="93"/>
      </w:pPr>
      <w:r>
        <w:rPr>
          <w:rFonts w:hint="eastAsia"/>
        </w:rPr>
        <w:t>考虑到本项目受纳水体为盐河，水质目标为III级标准。因此参考三级评价要求对船舶突发性溢油事故造成的地表水环境影响进行预测评价。</w:t>
      </w:r>
    </w:p>
    <w:p w14:paraId="7124FFC7">
      <w:pPr>
        <w:ind w:firstLine="480"/>
      </w:pPr>
      <w:r>
        <w:rPr>
          <w:rFonts w:hint="eastAsia"/>
        </w:rPr>
        <w:t>目前，码头事故风险主要来源于船舶碰撞等突发性事故造成的油箱破裂带来的事故溢油。本项目无危险品运输。</w:t>
      </w:r>
    </w:p>
    <w:p w14:paraId="337558CD">
      <w:pPr>
        <w:ind w:firstLine="480"/>
      </w:pPr>
      <w:r>
        <w:rPr>
          <w:rFonts w:hint="eastAsia"/>
        </w:rPr>
        <w:t>根据《中国海上船舶溢油应急计划》和《中国海上搜救中心水上险情应急反应程序》中的相关规定，我国沿海船舶、码头溢油量达到50t以上时属于重大溢油事故或特大险情，溢油事故源基本上为油轮事故溢油。</w:t>
      </w:r>
    </w:p>
    <w:p w14:paraId="37DC6C57">
      <w:pPr>
        <w:pStyle w:val="93"/>
      </w:pPr>
      <w:r>
        <w:rPr>
          <w:rFonts w:hint="eastAsia"/>
        </w:rPr>
        <w:t>根据以往事故发生的规律，船舶事故主要发生在港区码头和航道。根据多项事故类型和事故诱因的统计分析，船舶航行事故占各类事故的70%，且90%的船舶航行事故发生于港区或沿岸地区。统计归纳的典型事故诱因参考表5.3-1。</w:t>
      </w:r>
    </w:p>
    <w:p w14:paraId="1E352478">
      <w:pPr>
        <w:pStyle w:val="86"/>
      </w:pPr>
      <w:r>
        <w:rPr>
          <w:rFonts w:hint="eastAsia"/>
        </w:rPr>
        <w:t>典型船舶事故诱因归纳表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68"/>
        <w:gridCol w:w="1080"/>
        <w:gridCol w:w="6073"/>
      </w:tblGrid>
      <w:tr w14:paraId="3CB23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3" w:type="pct"/>
            <w:vAlign w:val="center"/>
          </w:tcPr>
          <w:p w14:paraId="77C4C16B">
            <w:pPr>
              <w:pStyle w:val="196"/>
              <w:rPr>
                <w:b/>
                <w:bCs/>
              </w:rPr>
            </w:pPr>
            <w:r>
              <w:rPr>
                <w:rFonts w:hint="eastAsia"/>
                <w:b/>
                <w:bCs/>
              </w:rPr>
              <w:t>发生地点</w:t>
            </w:r>
          </w:p>
        </w:tc>
        <w:tc>
          <w:tcPr>
            <w:tcW w:w="634" w:type="pct"/>
            <w:vAlign w:val="center"/>
          </w:tcPr>
          <w:p w14:paraId="523D1E0E">
            <w:pPr>
              <w:pStyle w:val="196"/>
              <w:rPr>
                <w:b/>
                <w:bCs/>
              </w:rPr>
            </w:pPr>
            <w:r>
              <w:rPr>
                <w:rFonts w:hint="eastAsia"/>
                <w:b/>
                <w:bCs/>
              </w:rPr>
              <w:t>发生源</w:t>
            </w:r>
          </w:p>
        </w:tc>
        <w:tc>
          <w:tcPr>
            <w:tcW w:w="3564" w:type="pct"/>
            <w:vAlign w:val="center"/>
          </w:tcPr>
          <w:p w14:paraId="0DB6E66A">
            <w:pPr>
              <w:pStyle w:val="196"/>
              <w:rPr>
                <w:b/>
                <w:bCs/>
              </w:rPr>
            </w:pPr>
            <w:r>
              <w:rPr>
                <w:rFonts w:hint="eastAsia"/>
                <w:b/>
                <w:bCs/>
              </w:rPr>
              <w:t>发生原因</w:t>
            </w:r>
          </w:p>
        </w:tc>
      </w:tr>
      <w:tr w14:paraId="5CEDD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3" w:type="pct"/>
            <w:vAlign w:val="center"/>
          </w:tcPr>
          <w:p w14:paraId="1BE14C47">
            <w:pPr>
              <w:pStyle w:val="196"/>
            </w:pPr>
            <w:r>
              <w:rPr>
                <w:rFonts w:hint="eastAsia"/>
              </w:rPr>
              <w:t>航线</w:t>
            </w:r>
          </w:p>
        </w:tc>
        <w:tc>
          <w:tcPr>
            <w:tcW w:w="634" w:type="pct"/>
            <w:vAlign w:val="center"/>
          </w:tcPr>
          <w:p w14:paraId="2D3804BA">
            <w:pPr>
              <w:pStyle w:val="196"/>
            </w:pPr>
            <w:r>
              <w:rPr>
                <w:rFonts w:hint="eastAsia"/>
              </w:rPr>
              <w:t>船舶</w:t>
            </w:r>
          </w:p>
        </w:tc>
        <w:tc>
          <w:tcPr>
            <w:tcW w:w="3564" w:type="pct"/>
            <w:vAlign w:val="center"/>
          </w:tcPr>
          <w:p w14:paraId="591A319B">
            <w:pPr>
              <w:pStyle w:val="196"/>
            </w:pPr>
            <w:r>
              <w:rPr>
                <w:rFonts w:hint="eastAsia"/>
              </w:rPr>
              <w:t>触礁、搁浅、船舶碰撞、恶劣海况、火灾爆炸、危险品泄漏</w:t>
            </w:r>
          </w:p>
        </w:tc>
      </w:tr>
      <w:tr w14:paraId="70ADB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3" w:type="pct"/>
            <w:vAlign w:val="center"/>
          </w:tcPr>
          <w:p w14:paraId="2CA6E332">
            <w:pPr>
              <w:pStyle w:val="196"/>
            </w:pPr>
            <w:r>
              <w:rPr>
                <w:rFonts w:hint="eastAsia"/>
              </w:rPr>
              <w:t>锚地</w:t>
            </w:r>
          </w:p>
        </w:tc>
        <w:tc>
          <w:tcPr>
            <w:tcW w:w="634" w:type="pct"/>
            <w:vAlign w:val="center"/>
          </w:tcPr>
          <w:p w14:paraId="1966B202">
            <w:pPr>
              <w:pStyle w:val="196"/>
            </w:pPr>
            <w:r>
              <w:rPr>
                <w:rFonts w:hint="eastAsia"/>
              </w:rPr>
              <w:t>船舶</w:t>
            </w:r>
          </w:p>
        </w:tc>
        <w:tc>
          <w:tcPr>
            <w:tcW w:w="3564" w:type="pct"/>
            <w:vAlign w:val="center"/>
          </w:tcPr>
          <w:p w14:paraId="13C7BD16">
            <w:pPr>
              <w:pStyle w:val="196"/>
            </w:pPr>
            <w:r>
              <w:rPr>
                <w:rFonts w:hint="eastAsia"/>
              </w:rPr>
              <w:t>船舶碰撞、火灾爆炸、泄漏</w:t>
            </w:r>
          </w:p>
        </w:tc>
      </w:tr>
      <w:tr w14:paraId="647AF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03" w:type="pct"/>
            <w:vAlign w:val="center"/>
          </w:tcPr>
          <w:p w14:paraId="545DD026">
            <w:pPr>
              <w:pStyle w:val="196"/>
            </w:pPr>
            <w:r>
              <w:rPr>
                <w:rFonts w:hint="eastAsia"/>
              </w:rPr>
              <w:t>港池</w:t>
            </w:r>
          </w:p>
        </w:tc>
        <w:tc>
          <w:tcPr>
            <w:tcW w:w="634" w:type="pct"/>
            <w:vAlign w:val="center"/>
          </w:tcPr>
          <w:p w14:paraId="2E0721CA">
            <w:pPr>
              <w:pStyle w:val="196"/>
            </w:pPr>
            <w:r>
              <w:rPr>
                <w:rFonts w:hint="eastAsia"/>
              </w:rPr>
              <w:t>船舶</w:t>
            </w:r>
          </w:p>
        </w:tc>
        <w:tc>
          <w:tcPr>
            <w:tcW w:w="3564" w:type="pct"/>
            <w:vAlign w:val="center"/>
          </w:tcPr>
          <w:p w14:paraId="62A81002">
            <w:pPr>
              <w:pStyle w:val="196"/>
            </w:pPr>
            <w:r>
              <w:rPr>
                <w:rFonts w:hint="eastAsia"/>
              </w:rPr>
              <w:t>船舶碰撞、船与码头碰撞、操作失误、火灾爆炸、泄漏</w:t>
            </w:r>
          </w:p>
        </w:tc>
      </w:tr>
    </w:tbl>
    <w:p w14:paraId="5D5A5E73">
      <w:pPr>
        <w:pStyle w:val="93"/>
      </w:pPr>
      <w:r>
        <w:rPr>
          <w:rFonts w:hint="eastAsia"/>
        </w:rPr>
        <w:t>经分析筛选，本项目船舶溢油污染事故的环节主要为：到（离）港船舶发生碰撞造成柴油箱破裂，导致柴油泄漏；到（离）港船舶与航道上油轮发生碰撞，造成油轮部分储油罐（仓）破裂泄漏。</w:t>
      </w:r>
    </w:p>
    <w:p w14:paraId="6EE63FA9">
      <w:pPr>
        <w:ind w:firstLine="480"/>
      </w:pPr>
      <w:r>
        <w:rPr>
          <w:rFonts w:hint="eastAsia"/>
        </w:rPr>
        <w:t>经识别，本项目事故风险主要来源为突发性溢油事故。</w:t>
      </w:r>
    </w:p>
    <w:p w14:paraId="12252717">
      <w:pPr>
        <w:pStyle w:val="84"/>
      </w:pPr>
      <w:bookmarkStart w:id="293" w:name="_Toc28694"/>
      <w:r>
        <w:rPr>
          <w:rFonts w:hint="eastAsia"/>
        </w:rPr>
        <w:t>环境风险敏感目标概况</w:t>
      </w:r>
    </w:p>
    <w:p w14:paraId="36595806">
      <w:pPr>
        <w:pStyle w:val="93"/>
      </w:pPr>
      <w:r>
        <w:rPr>
          <w:rFonts w:hint="eastAsia"/>
        </w:rPr>
        <w:t>（1）水环境：项目位于现状盐河三级航道西侧。项目上下游考核断面情况见图5.3-2。</w:t>
      </w:r>
    </w:p>
    <w:p w14:paraId="1C92C0A3">
      <w:pPr>
        <w:pStyle w:val="93"/>
      </w:pPr>
      <w:r>
        <w:rPr>
          <w:rFonts w:hint="eastAsia"/>
        </w:rPr>
        <w:t>（2）大气环境：本项目大气环境风险评价等级为简要分析。</w:t>
      </w:r>
    </w:p>
    <w:p w14:paraId="44F4FA9E">
      <w:pPr>
        <w:pStyle w:val="86"/>
      </w:pPr>
      <w:r>
        <w:rPr>
          <w:rFonts w:hint="eastAsia"/>
        </w:rPr>
        <w:t>环境风险敏感目标</w:t>
      </w:r>
    </w:p>
    <w:tbl>
      <w:tblPr>
        <w:tblStyle w:val="38"/>
        <w:tblW w:w="50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42"/>
        <w:gridCol w:w="1352"/>
        <w:gridCol w:w="919"/>
        <w:gridCol w:w="2666"/>
        <w:gridCol w:w="2570"/>
      </w:tblGrid>
      <w:tr w14:paraId="0050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41" w:type="dxa"/>
            <w:shd w:val="clear" w:color="auto" w:fill="FFFFFF"/>
            <w:vAlign w:val="center"/>
          </w:tcPr>
          <w:p w14:paraId="053F4B3B">
            <w:pPr>
              <w:pStyle w:val="196"/>
            </w:pPr>
            <w:r>
              <w:rPr>
                <w:rFonts w:hint="eastAsia"/>
              </w:rPr>
              <w:t>环境要素</w:t>
            </w:r>
          </w:p>
        </w:tc>
        <w:tc>
          <w:tcPr>
            <w:tcW w:w="1351" w:type="dxa"/>
            <w:shd w:val="clear" w:color="auto" w:fill="FFFFFF"/>
            <w:vAlign w:val="center"/>
          </w:tcPr>
          <w:p w14:paraId="6835C304">
            <w:pPr>
              <w:pStyle w:val="196"/>
            </w:pPr>
            <w:r>
              <w:rPr>
                <w:rFonts w:hint="eastAsia"/>
              </w:rPr>
              <w:t>名称</w:t>
            </w:r>
          </w:p>
        </w:tc>
        <w:tc>
          <w:tcPr>
            <w:tcW w:w="918" w:type="dxa"/>
            <w:shd w:val="clear" w:color="auto" w:fill="FFFFFF"/>
            <w:vAlign w:val="center"/>
          </w:tcPr>
          <w:p w14:paraId="71874D36">
            <w:pPr>
              <w:pStyle w:val="196"/>
            </w:pPr>
            <w:r>
              <w:rPr>
                <w:rFonts w:hint="eastAsia"/>
              </w:rPr>
              <w:t>相对方位</w:t>
            </w:r>
          </w:p>
        </w:tc>
        <w:tc>
          <w:tcPr>
            <w:tcW w:w="2663" w:type="dxa"/>
            <w:shd w:val="clear" w:color="auto" w:fill="FFFFFF"/>
            <w:vAlign w:val="center"/>
          </w:tcPr>
          <w:p w14:paraId="6EAA0BDF">
            <w:pPr>
              <w:pStyle w:val="196"/>
            </w:pPr>
            <w:r>
              <w:rPr>
                <w:rFonts w:hint="eastAsia"/>
              </w:rPr>
              <w:t>距本项目厂界最近距离（m）</w:t>
            </w:r>
          </w:p>
        </w:tc>
        <w:tc>
          <w:tcPr>
            <w:tcW w:w="2568" w:type="dxa"/>
            <w:shd w:val="clear" w:color="auto" w:fill="FFFFFF"/>
            <w:vAlign w:val="center"/>
          </w:tcPr>
          <w:p w14:paraId="0C966293">
            <w:pPr>
              <w:pStyle w:val="196"/>
            </w:pPr>
            <w:r>
              <w:rPr>
                <w:rFonts w:hint="eastAsia"/>
              </w:rPr>
              <w:t>环境功能</w:t>
            </w:r>
          </w:p>
        </w:tc>
      </w:tr>
      <w:tr w14:paraId="439FD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41" w:type="dxa"/>
            <w:vMerge w:val="restart"/>
            <w:shd w:val="clear" w:color="auto" w:fill="FFFFFF"/>
            <w:vAlign w:val="center"/>
          </w:tcPr>
          <w:p w14:paraId="26563C15">
            <w:pPr>
              <w:pStyle w:val="196"/>
            </w:pPr>
            <w:r>
              <w:rPr>
                <w:rFonts w:hint="eastAsia"/>
              </w:rPr>
              <w:t>地表水环境风险</w:t>
            </w:r>
          </w:p>
        </w:tc>
        <w:tc>
          <w:tcPr>
            <w:tcW w:w="1351" w:type="dxa"/>
            <w:shd w:val="clear" w:color="auto" w:fill="FFFFFF"/>
            <w:vAlign w:val="center"/>
          </w:tcPr>
          <w:p w14:paraId="554BBBE2">
            <w:pPr>
              <w:pStyle w:val="196"/>
            </w:pPr>
            <w:r>
              <w:rPr>
                <w:rFonts w:hint="eastAsia"/>
              </w:rPr>
              <w:t>盐河</w:t>
            </w:r>
          </w:p>
        </w:tc>
        <w:tc>
          <w:tcPr>
            <w:tcW w:w="918" w:type="dxa"/>
            <w:shd w:val="clear" w:color="auto" w:fill="FFFFFF"/>
            <w:vAlign w:val="center"/>
          </w:tcPr>
          <w:p w14:paraId="5573B58D">
            <w:pPr>
              <w:pStyle w:val="196"/>
            </w:pPr>
            <w:r>
              <w:rPr>
                <w:rFonts w:hint="eastAsia"/>
              </w:rPr>
              <w:t>E</w:t>
            </w:r>
          </w:p>
        </w:tc>
        <w:tc>
          <w:tcPr>
            <w:tcW w:w="2663" w:type="dxa"/>
            <w:shd w:val="clear" w:color="auto" w:fill="FFFFFF"/>
            <w:vAlign w:val="center"/>
          </w:tcPr>
          <w:p w14:paraId="5308C401">
            <w:pPr>
              <w:pStyle w:val="196"/>
            </w:pPr>
            <w:r>
              <w:rPr>
                <w:rFonts w:hint="eastAsia"/>
              </w:rPr>
              <w:t>紧邻</w:t>
            </w:r>
          </w:p>
        </w:tc>
        <w:tc>
          <w:tcPr>
            <w:tcW w:w="2568" w:type="dxa"/>
            <w:shd w:val="clear" w:color="auto" w:fill="FFFFFF"/>
            <w:vAlign w:val="center"/>
          </w:tcPr>
          <w:p w14:paraId="125435C7">
            <w:pPr>
              <w:pStyle w:val="196"/>
            </w:pPr>
            <w:r>
              <w:rPr>
                <w:rFonts w:hint="eastAsia"/>
              </w:rPr>
              <w:t>《地表水环境质量标准》（GB3838-2002）III类水体</w:t>
            </w:r>
          </w:p>
        </w:tc>
      </w:tr>
      <w:tr w14:paraId="6D3D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941" w:type="dxa"/>
            <w:vMerge w:val="continue"/>
            <w:shd w:val="clear" w:color="auto" w:fill="FFFFFF"/>
            <w:vAlign w:val="center"/>
          </w:tcPr>
          <w:p w14:paraId="670E9D67">
            <w:pPr>
              <w:pStyle w:val="196"/>
            </w:pPr>
          </w:p>
        </w:tc>
        <w:tc>
          <w:tcPr>
            <w:tcW w:w="1351" w:type="dxa"/>
            <w:shd w:val="clear" w:color="auto" w:fill="FFFFFF"/>
            <w:vAlign w:val="center"/>
          </w:tcPr>
          <w:p w14:paraId="36B974E0">
            <w:pPr>
              <w:pStyle w:val="196"/>
            </w:pPr>
            <w:r>
              <w:rPr>
                <w:rFonts w:hint="eastAsia"/>
              </w:rPr>
              <w:t>盐河袁闸断面</w:t>
            </w:r>
          </w:p>
        </w:tc>
        <w:tc>
          <w:tcPr>
            <w:tcW w:w="918" w:type="dxa"/>
            <w:shd w:val="clear" w:color="auto" w:fill="FFFFFF"/>
            <w:vAlign w:val="center"/>
          </w:tcPr>
          <w:p w14:paraId="03C583E7">
            <w:pPr>
              <w:pStyle w:val="196"/>
            </w:pPr>
            <w:r>
              <w:rPr>
                <w:rFonts w:hint="eastAsia"/>
              </w:rPr>
              <w:t>N</w:t>
            </w:r>
          </w:p>
        </w:tc>
        <w:tc>
          <w:tcPr>
            <w:tcW w:w="2663" w:type="dxa"/>
            <w:shd w:val="clear" w:color="auto" w:fill="FFFFFF"/>
            <w:vAlign w:val="center"/>
          </w:tcPr>
          <w:p w14:paraId="4B61F62E">
            <w:pPr>
              <w:pStyle w:val="196"/>
              <w:rPr>
                <w:highlight w:val="yellow"/>
              </w:rPr>
            </w:pPr>
            <w:r>
              <w:rPr>
                <w:rFonts w:hint="eastAsia"/>
              </w:rPr>
              <w:t>位于项目下游约30km处</w:t>
            </w:r>
          </w:p>
        </w:tc>
        <w:tc>
          <w:tcPr>
            <w:tcW w:w="2568" w:type="dxa"/>
            <w:shd w:val="clear" w:color="auto" w:fill="FFFFFF"/>
            <w:vAlign w:val="center"/>
          </w:tcPr>
          <w:p w14:paraId="082E2492">
            <w:pPr>
              <w:pStyle w:val="196"/>
              <w:rPr>
                <w:highlight w:val="yellow"/>
              </w:rPr>
            </w:pPr>
            <w:r>
              <w:rPr>
                <w:rFonts w:hint="eastAsia"/>
              </w:rPr>
              <w:t>国控断面</w:t>
            </w:r>
          </w:p>
        </w:tc>
      </w:tr>
    </w:tbl>
    <w:p w14:paraId="72BE52E1">
      <w:pPr>
        <w:pStyle w:val="82"/>
      </w:pPr>
      <w:r>
        <w:rPr>
          <w:rFonts w:hint="eastAsia"/>
        </w:rPr>
        <w:t>风险识别</w:t>
      </w:r>
      <w:bookmarkEnd w:id="293"/>
    </w:p>
    <w:p w14:paraId="0A7E780E">
      <w:pPr>
        <w:pStyle w:val="84"/>
      </w:pPr>
      <w:r>
        <w:rPr>
          <w:rFonts w:hint="eastAsia"/>
        </w:rPr>
        <w:t>生产设施和物质危险性识别</w:t>
      </w:r>
    </w:p>
    <w:p w14:paraId="30D05D5F">
      <w:pPr>
        <w:ind w:firstLine="480"/>
      </w:pPr>
      <w:r>
        <w:rPr>
          <w:rFonts w:hint="eastAsia"/>
        </w:rPr>
        <w:t>本项目为散货码头，主要危险物料为进出港船舶使用的柴油，性质见表5.3-3。</w:t>
      </w:r>
    </w:p>
    <w:p w14:paraId="449AC666">
      <w:pPr>
        <w:pStyle w:val="86"/>
      </w:pPr>
      <w:r>
        <w:rPr>
          <w:rFonts w:hint="eastAsia"/>
        </w:rPr>
        <w:t>船舶柴油的特性一览表</w:t>
      </w:r>
    </w:p>
    <w:tbl>
      <w:tblPr>
        <w:tblStyle w:val="38"/>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175"/>
        <w:gridCol w:w="2255"/>
        <w:gridCol w:w="1555"/>
        <w:gridCol w:w="2347"/>
      </w:tblGrid>
      <w:tr w14:paraId="1AA757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00BA1C70">
            <w:pPr>
              <w:pStyle w:val="196"/>
            </w:pPr>
            <w:r>
              <w:rPr>
                <w:rFonts w:hint="eastAsia"/>
              </w:rPr>
              <w:t>外观及气味</w:t>
            </w:r>
          </w:p>
        </w:tc>
        <w:tc>
          <w:tcPr>
            <w:tcW w:w="1353" w:type="pct"/>
            <w:noWrap/>
            <w:tcMar>
              <w:top w:w="15" w:type="dxa"/>
              <w:left w:w="15" w:type="dxa"/>
              <w:right w:w="15" w:type="dxa"/>
            </w:tcMar>
            <w:vAlign w:val="center"/>
          </w:tcPr>
          <w:p w14:paraId="7EE19EF2">
            <w:pPr>
              <w:pStyle w:val="196"/>
            </w:pPr>
            <w:r>
              <w:rPr>
                <w:rFonts w:hint="eastAsia"/>
              </w:rPr>
              <w:t>黑色黏稠有气味的液体</w:t>
            </w:r>
          </w:p>
        </w:tc>
        <w:tc>
          <w:tcPr>
            <w:tcW w:w="933" w:type="pct"/>
            <w:noWrap/>
            <w:tcMar>
              <w:top w:w="15" w:type="dxa"/>
              <w:left w:w="15" w:type="dxa"/>
              <w:right w:w="15" w:type="dxa"/>
            </w:tcMar>
            <w:vAlign w:val="center"/>
          </w:tcPr>
          <w:p w14:paraId="309B94D7">
            <w:pPr>
              <w:pStyle w:val="196"/>
            </w:pPr>
            <w:r>
              <w:rPr>
                <w:rFonts w:hint="eastAsia"/>
              </w:rPr>
              <w:t>主要用途</w:t>
            </w:r>
          </w:p>
        </w:tc>
        <w:tc>
          <w:tcPr>
            <w:tcW w:w="1408" w:type="pct"/>
            <w:noWrap/>
            <w:tcMar>
              <w:top w:w="15" w:type="dxa"/>
              <w:left w:w="15" w:type="dxa"/>
              <w:right w:w="15" w:type="dxa"/>
            </w:tcMar>
            <w:vAlign w:val="center"/>
          </w:tcPr>
          <w:p w14:paraId="5BA9C2E9">
            <w:pPr>
              <w:pStyle w:val="196"/>
            </w:pPr>
            <w:r>
              <w:rPr>
                <w:rFonts w:hint="eastAsia"/>
              </w:rPr>
              <w:t>船用燃料</w:t>
            </w:r>
          </w:p>
        </w:tc>
      </w:tr>
      <w:tr w14:paraId="7D60E5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20D221A8">
            <w:pPr>
              <w:pStyle w:val="196"/>
            </w:pPr>
            <w:r>
              <w:rPr>
                <w:rFonts w:hint="eastAsia"/>
              </w:rPr>
              <w:t>液体相对密度</w:t>
            </w:r>
          </w:p>
        </w:tc>
        <w:tc>
          <w:tcPr>
            <w:tcW w:w="1353" w:type="pct"/>
            <w:noWrap/>
            <w:tcMar>
              <w:top w:w="15" w:type="dxa"/>
              <w:left w:w="15" w:type="dxa"/>
              <w:right w:w="15" w:type="dxa"/>
            </w:tcMar>
            <w:vAlign w:val="center"/>
          </w:tcPr>
          <w:p w14:paraId="3861E5D3">
            <w:pPr>
              <w:pStyle w:val="196"/>
            </w:pPr>
            <w:r>
              <w:rPr>
                <w:rFonts w:hint="eastAsia"/>
              </w:rPr>
              <w:t>0.93</w:t>
            </w:r>
          </w:p>
        </w:tc>
        <w:tc>
          <w:tcPr>
            <w:tcW w:w="933" w:type="pct"/>
            <w:noWrap/>
            <w:tcMar>
              <w:top w:w="15" w:type="dxa"/>
              <w:left w:w="15" w:type="dxa"/>
              <w:right w:w="15" w:type="dxa"/>
            </w:tcMar>
            <w:vAlign w:val="center"/>
          </w:tcPr>
          <w:p w14:paraId="1EBAA78C">
            <w:pPr>
              <w:pStyle w:val="196"/>
            </w:pPr>
            <w:r>
              <w:rPr>
                <w:rFonts w:hint="eastAsia"/>
              </w:rPr>
              <w:t>凝固点（℃）</w:t>
            </w:r>
          </w:p>
        </w:tc>
        <w:tc>
          <w:tcPr>
            <w:tcW w:w="1408" w:type="pct"/>
            <w:noWrap/>
            <w:tcMar>
              <w:top w:w="15" w:type="dxa"/>
              <w:left w:w="15" w:type="dxa"/>
              <w:right w:w="15" w:type="dxa"/>
            </w:tcMar>
            <w:vAlign w:val="center"/>
          </w:tcPr>
          <w:p w14:paraId="79BA5BCE">
            <w:pPr>
              <w:pStyle w:val="196"/>
            </w:pPr>
            <w:r>
              <w:rPr>
                <w:rFonts w:hint="eastAsia"/>
                <w:lang w:eastAsia="zh-CN"/>
              </w:rPr>
              <w:t>&lt;</w:t>
            </w:r>
            <w:r>
              <w:rPr>
                <w:rFonts w:hint="eastAsia"/>
              </w:rPr>
              <w:t>26</w:t>
            </w:r>
          </w:p>
        </w:tc>
      </w:tr>
      <w:tr w14:paraId="50E38E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0956D5DE">
            <w:pPr>
              <w:pStyle w:val="196"/>
            </w:pPr>
            <w:r>
              <w:rPr>
                <w:rFonts w:hint="eastAsia"/>
              </w:rPr>
              <w:t>沸点（℃）</w:t>
            </w:r>
          </w:p>
        </w:tc>
        <w:tc>
          <w:tcPr>
            <w:tcW w:w="1353" w:type="pct"/>
            <w:noWrap/>
            <w:tcMar>
              <w:top w:w="15" w:type="dxa"/>
              <w:left w:w="15" w:type="dxa"/>
              <w:right w:w="15" w:type="dxa"/>
            </w:tcMar>
            <w:vAlign w:val="center"/>
          </w:tcPr>
          <w:p w14:paraId="635760EA">
            <w:pPr>
              <w:pStyle w:val="196"/>
            </w:pPr>
            <w:r>
              <w:rPr>
                <w:rFonts w:hint="eastAsia"/>
                <w:lang w:eastAsia="zh-CN"/>
              </w:rPr>
              <w:t>&gt;</w:t>
            </w:r>
            <w:r>
              <w:rPr>
                <w:rFonts w:hint="eastAsia"/>
              </w:rPr>
              <w:t>398.9</w:t>
            </w:r>
          </w:p>
        </w:tc>
        <w:tc>
          <w:tcPr>
            <w:tcW w:w="933" w:type="pct"/>
            <w:noWrap/>
            <w:tcMar>
              <w:top w:w="15" w:type="dxa"/>
              <w:left w:w="15" w:type="dxa"/>
              <w:right w:w="15" w:type="dxa"/>
            </w:tcMar>
            <w:vAlign w:val="center"/>
          </w:tcPr>
          <w:p w14:paraId="2A2DE4D9">
            <w:pPr>
              <w:pStyle w:val="196"/>
            </w:pPr>
            <w:r>
              <w:rPr>
                <w:rFonts w:hint="eastAsia"/>
                <w:lang w:eastAsia="zh-CN"/>
              </w:rPr>
              <w:t>黏度</w:t>
            </w:r>
            <w:r>
              <w:rPr>
                <w:rFonts w:hint="eastAsia"/>
              </w:rPr>
              <w:t>（Pa·s）</w:t>
            </w:r>
          </w:p>
        </w:tc>
        <w:tc>
          <w:tcPr>
            <w:tcW w:w="1408" w:type="pct"/>
            <w:noWrap/>
            <w:tcMar>
              <w:top w:w="15" w:type="dxa"/>
              <w:left w:w="15" w:type="dxa"/>
              <w:right w:w="15" w:type="dxa"/>
            </w:tcMar>
            <w:vAlign w:val="center"/>
          </w:tcPr>
          <w:p w14:paraId="3DB12BA1">
            <w:pPr>
              <w:pStyle w:val="196"/>
            </w:pPr>
            <w:r>
              <w:rPr>
                <w:rFonts w:hint="eastAsia"/>
                <w:lang w:eastAsia="zh-CN"/>
              </w:rPr>
              <w:t>&lt;</w:t>
            </w:r>
            <w:r>
              <w:rPr>
                <w:rFonts w:hint="eastAsia"/>
              </w:rPr>
              <w:t>180</w:t>
            </w:r>
          </w:p>
        </w:tc>
      </w:tr>
      <w:tr w14:paraId="5D0A2C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44D77033">
            <w:pPr>
              <w:pStyle w:val="196"/>
            </w:pPr>
            <w:r>
              <w:rPr>
                <w:rFonts w:hint="eastAsia"/>
              </w:rPr>
              <w:t>20℃时蒸汽压（kPa）</w:t>
            </w:r>
          </w:p>
        </w:tc>
        <w:tc>
          <w:tcPr>
            <w:tcW w:w="1353" w:type="pct"/>
            <w:noWrap/>
            <w:tcMar>
              <w:top w:w="15" w:type="dxa"/>
              <w:left w:w="15" w:type="dxa"/>
              <w:right w:w="15" w:type="dxa"/>
            </w:tcMar>
            <w:vAlign w:val="center"/>
          </w:tcPr>
          <w:p w14:paraId="17F825E7">
            <w:pPr>
              <w:pStyle w:val="196"/>
            </w:pPr>
            <w:r>
              <w:rPr>
                <w:rFonts w:hint="eastAsia"/>
              </w:rPr>
              <w:t>很低</w:t>
            </w:r>
          </w:p>
        </w:tc>
        <w:tc>
          <w:tcPr>
            <w:tcW w:w="933" w:type="pct"/>
            <w:noWrap/>
            <w:tcMar>
              <w:top w:w="15" w:type="dxa"/>
              <w:left w:w="15" w:type="dxa"/>
              <w:right w:w="15" w:type="dxa"/>
            </w:tcMar>
            <w:vAlign w:val="center"/>
          </w:tcPr>
          <w:p w14:paraId="25D2CC70">
            <w:pPr>
              <w:pStyle w:val="196"/>
            </w:pPr>
            <w:r>
              <w:rPr>
                <w:rFonts w:hint="eastAsia"/>
              </w:rPr>
              <w:t>水溶性</w:t>
            </w:r>
          </w:p>
        </w:tc>
        <w:tc>
          <w:tcPr>
            <w:tcW w:w="1408" w:type="pct"/>
            <w:noWrap/>
            <w:tcMar>
              <w:top w:w="15" w:type="dxa"/>
              <w:left w:w="15" w:type="dxa"/>
              <w:right w:w="15" w:type="dxa"/>
            </w:tcMar>
            <w:vAlign w:val="center"/>
          </w:tcPr>
          <w:p w14:paraId="22F99D09">
            <w:pPr>
              <w:pStyle w:val="196"/>
            </w:pPr>
            <w:r>
              <w:rPr>
                <w:rFonts w:hint="eastAsia"/>
              </w:rPr>
              <w:t>微溶</w:t>
            </w:r>
          </w:p>
        </w:tc>
      </w:tr>
      <w:tr w14:paraId="27EBC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6A5AEABE">
            <w:pPr>
              <w:pStyle w:val="196"/>
            </w:pPr>
            <w:r>
              <w:rPr>
                <w:rFonts w:hint="eastAsia"/>
              </w:rPr>
              <w:t>雷德蒸</w:t>
            </w:r>
            <w:r>
              <w:rPr>
                <w:rFonts w:hint="eastAsia"/>
                <w:lang w:eastAsia="zh-CN"/>
              </w:rPr>
              <w:t>汽气</w:t>
            </w:r>
            <w:r>
              <w:rPr>
                <w:rFonts w:hint="eastAsia"/>
              </w:rPr>
              <w:t>压（kPa）</w:t>
            </w:r>
          </w:p>
        </w:tc>
        <w:tc>
          <w:tcPr>
            <w:tcW w:w="1353" w:type="pct"/>
            <w:noWrap/>
            <w:tcMar>
              <w:top w:w="15" w:type="dxa"/>
              <w:left w:w="15" w:type="dxa"/>
              <w:right w:w="15" w:type="dxa"/>
            </w:tcMar>
            <w:vAlign w:val="center"/>
          </w:tcPr>
          <w:p w14:paraId="3CEC619A">
            <w:pPr>
              <w:pStyle w:val="196"/>
            </w:pPr>
            <w:r>
              <w:rPr>
                <w:rFonts w:hint="eastAsia"/>
              </w:rPr>
              <w:t>0.3（50℃时）</w:t>
            </w:r>
          </w:p>
        </w:tc>
        <w:tc>
          <w:tcPr>
            <w:tcW w:w="933" w:type="pct"/>
            <w:noWrap/>
            <w:tcMar>
              <w:top w:w="15" w:type="dxa"/>
              <w:left w:w="15" w:type="dxa"/>
              <w:right w:w="15" w:type="dxa"/>
            </w:tcMar>
            <w:vAlign w:val="center"/>
          </w:tcPr>
          <w:p w14:paraId="53691DF9">
            <w:pPr>
              <w:pStyle w:val="196"/>
            </w:pPr>
            <w:r>
              <w:rPr>
                <w:rFonts w:hint="eastAsia"/>
              </w:rPr>
              <w:t>自燃温度（℃）</w:t>
            </w:r>
          </w:p>
        </w:tc>
        <w:tc>
          <w:tcPr>
            <w:tcW w:w="1408" w:type="pct"/>
            <w:noWrap/>
            <w:tcMar>
              <w:top w:w="15" w:type="dxa"/>
              <w:left w:w="15" w:type="dxa"/>
              <w:right w:w="15" w:type="dxa"/>
            </w:tcMar>
            <w:vAlign w:val="center"/>
          </w:tcPr>
          <w:p w14:paraId="02AFA8CF">
            <w:pPr>
              <w:pStyle w:val="196"/>
            </w:pPr>
            <w:r>
              <w:rPr>
                <w:rFonts w:hint="eastAsia"/>
              </w:rPr>
              <w:t>407.2</w:t>
            </w:r>
          </w:p>
        </w:tc>
      </w:tr>
      <w:tr w14:paraId="0C5063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1C5986DC">
            <w:pPr>
              <w:pStyle w:val="196"/>
            </w:pPr>
            <w:r>
              <w:rPr>
                <w:rFonts w:hint="eastAsia"/>
              </w:rPr>
              <w:t>闪点（℃）</w:t>
            </w:r>
          </w:p>
        </w:tc>
        <w:tc>
          <w:tcPr>
            <w:tcW w:w="1353" w:type="pct"/>
            <w:noWrap/>
            <w:tcMar>
              <w:top w:w="15" w:type="dxa"/>
              <w:left w:w="15" w:type="dxa"/>
              <w:right w:w="15" w:type="dxa"/>
            </w:tcMar>
            <w:vAlign w:val="center"/>
          </w:tcPr>
          <w:p w14:paraId="319756B4">
            <w:pPr>
              <w:pStyle w:val="196"/>
            </w:pPr>
            <w:r>
              <w:rPr>
                <w:rFonts w:hint="eastAsia"/>
              </w:rPr>
              <w:t>65.6~221.1</w:t>
            </w:r>
          </w:p>
        </w:tc>
        <w:tc>
          <w:tcPr>
            <w:tcW w:w="933" w:type="pct"/>
            <w:noWrap/>
            <w:tcMar>
              <w:top w:w="15" w:type="dxa"/>
              <w:left w:w="15" w:type="dxa"/>
              <w:right w:w="15" w:type="dxa"/>
            </w:tcMar>
            <w:vAlign w:val="center"/>
          </w:tcPr>
          <w:p w14:paraId="15E5F463">
            <w:pPr>
              <w:pStyle w:val="196"/>
            </w:pPr>
            <w:r>
              <w:rPr>
                <w:rFonts w:hint="eastAsia"/>
              </w:rPr>
              <w:t>挥发性</w:t>
            </w:r>
          </w:p>
        </w:tc>
        <w:tc>
          <w:tcPr>
            <w:tcW w:w="1408" w:type="pct"/>
            <w:noWrap/>
            <w:tcMar>
              <w:top w:w="15" w:type="dxa"/>
              <w:left w:w="15" w:type="dxa"/>
              <w:right w:w="15" w:type="dxa"/>
            </w:tcMar>
            <w:vAlign w:val="center"/>
          </w:tcPr>
          <w:p w14:paraId="31DD27E6">
            <w:pPr>
              <w:pStyle w:val="196"/>
            </w:pPr>
            <w:r>
              <w:rPr>
                <w:rFonts w:hint="eastAsia"/>
              </w:rPr>
              <w:t>挥发</w:t>
            </w:r>
          </w:p>
        </w:tc>
      </w:tr>
      <w:tr w14:paraId="568035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02FE0BB1">
            <w:pPr>
              <w:pStyle w:val="196"/>
            </w:pPr>
            <w:r>
              <w:rPr>
                <w:rFonts w:hint="eastAsia"/>
              </w:rPr>
              <w:t>易燃性</w:t>
            </w:r>
          </w:p>
        </w:tc>
        <w:tc>
          <w:tcPr>
            <w:tcW w:w="1353" w:type="pct"/>
            <w:noWrap/>
            <w:tcMar>
              <w:top w:w="15" w:type="dxa"/>
              <w:left w:w="15" w:type="dxa"/>
              <w:right w:w="15" w:type="dxa"/>
            </w:tcMar>
            <w:vAlign w:val="center"/>
          </w:tcPr>
          <w:p w14:paraId="671337CD">
            <w:pPr>
              <w:pStyle w:val="196"/>
            </w:pPr>
            <w:r>
              <w:rPr>
                <w:rFonts w:hint="eastAsia"/>
              </w:rPr>
              <w:t>不易燃</w:t>
            </w:r>
          </w:p>
        </w:tc>
        <w:tc>
          <w:tcPr>
            <w:tcW w:w="933" w:type="pct"/>
            <w:noWrap/>
            <w:tcMar>
              <w:top w:w="15" w:type="dxa"/>
              <w:left w:w="15" w:type="dxa"/>
              <w:right w:w="15" w:type="dxa"/>
            </w:tcMar>
            <w:vAlign w:val="center"/>
          </w:tcPr>
          <w:p w14:paraId="67509DA5">
            <w:pPr>
              <w:pStyle w:val="196"/>
            </w:pPr>
            <w:r>
              <w:rPr>
                <w:rFonts w:hint="eastAsia"/>
              </w:rPr>
              <w:t>灭火方法</w:t>
            </w:r>
          </w:p>
        </w:tc>
        <w:tc>
          <w:tcPr>
            <w:tcW w:w="1408" w:type="pct"/>
            <w:noWrap/>
            <w:tcMar>
              <w:top w:w="15" w:type="dxa"/>
              <w:left w:w="15" w:type="dxa"/>
              <w:right w:w="15" w:type="dxa"/>
            </w:tcMar>
            <w:vAlign w:val="center"/>
          </w:tcPr>
          <w:p w14:paraId="1ABCC28C">
            <w:pPr>
              <w:pStyle w:val="196"/>
            </w:pPr>
            <w:r>
              <w:rPr>
                <w:rFonts w:hint="eastAsia"/>
              </w:rPr>
              <w:t>二氧化碳、干粉、泡沫</w:t>
            </w:r>
          </w:p>
        </w:tc>
      </w:tr>
      <w:tr w14:paraId="2C6325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305" w:type="pct"/>
            <w:noWrap/>
            <w:tcMar>
              <w:top w:w="15" w:type="dxa"/>
              <w:left w:w="15" w:type="dxa"/>
              <w:right w:w="15" w:type="dxa"/>
            </w:tcMar>
            <w:vAlign w:val="center"/>
          </w:tcPr>
          <w:p w14:paraId="0F83C6CD">
            <w:pPr>
              <w:pStyle w:val="196"/>
            </w:pPr>
            <w:r>
              <w:rPr>
                <w:rFonts w:hint="eastAsia"/>
              </w:rPr>
              <w:t>爆炸极限</w:t>
            </w:r>
          </w:p>
        </w:tc>
        <w:tc>
          <w:tcPr>
            <w:tcW w:w="1353" w:type="pct"/>
            <w:noWrap/>
            <w:tcMar>
              <w:top w:w="15" w:type="dxa"/>
              <w:left w:w="15" w:type="dxa"/>
              <w:right w:w="15" w:type="dxa"/>
            </w:tcMar>
            <w:vAlign w:val="center"/>
          </w:tcPr>
          <w:p w14:paraId="4D6E71B3">
            <w:pPr>
              <w:pStyle w:val="196"/>
            </w:pPr>
            <w:r>
              <w:rPr>
                <w:rFonts w:hint="eastAsia"/>
              </w:rPr>
              <w:t>1%</w:t>
            </w:r>
            <w:r>
              <w:rPr>
                <w:rFonts w:hint="eastAsia"/>
                <w:lang w:eastAsia="zh-CN"/>
              </w:rPr>
              <w:t>~</w:t>
            </w:r>
            <w:r>
              <w:rPr>
                <w:rFonts w:hint="eastAsia"/>
              </w:rPr>
              <w:t>5%</w:t>
            </w:r>
          </w:p>
        </w:tc>
        <w:tc>
          <w:tcPr>
            <w:tcW w:w="933" w:type="pct"/>
            <w:noWrap/>
            <w:tcMar>
              <w:top w:w="15" w:type="dxa"/>
              <w:left w:w="15" w:type="dxa"/>
              <w:right w:w="15" w:type="dxa"/>
            </w:tcMar>
            <w:vAlign w:val="center"/>
          </w:tcPr>
          <w:p w14:paraId="210CC7F5">
            <w:pPr>
              <w:pStyle w:val="196"/>
            </w:pPr>
            <w:r>
              <w:rPr>
                <w:rFonts w:hint="eastAsia"/>
              </w:rPr>
              <w:t>危险性</w:t>
            </w:r>
          </w:p>
        </w:tc>
        <w:tc>
          <w:tcPr>
            <w:tcW w:w="1408" w:type="pct"/>
            <w:noWrap/>
            <w:tcMar>
              <w:top w:w="15" w:type="dxa"/>
              <w:left w:w="15" w:type="dxa"/>
              <w:right w:w="15" w:type="dxa"/>
            </w:tcMar>
            <w:vAlign w:val="center"/>
          </w:tcPr>
          <w:p w14:paraId="025FB303">
            <w:pPr>
              <w:pStyle w:val="196"/>
            </w:pPr>
            <w:r>
              <w:rPr>
                <w:rFonts w:hint="eastAsia"/>
              </w:rPr>
              <w:t>必须加热才能持续燃烧</w:t>
            </w:r>
          </w:p>
        </w:tc>
      </w:tr>
    </w:tbl>
    <w:p w14:paraId="72A7330E">
      <w:pPr>
        <w:pStyle w:val="84"/>
      </w:pPr>
      <w:r>
        <w:rPr>
          <w:rFonts w:hint="eastAsia"/>
        </w:rPr>
        <w:t>危险物质向环境转移的途径识别</w:t>
      </w:r>
    </w:p>
    <w:p w14:paraId="135E9F51">
      <w:pPr>
        <w:pStyle w:val="93"/>
      </w:pPr>
      <w:r>
        <w:rPr>
          <w:rFonts w:hint="eastAsia"/>
        </w:rPr>
        <w:t>本项目影响环境的风险途径主要是船舶碰撞引起的柴油泄漏对地表水环境的影响。国内外发生较大事故的统计数据表明，突发性事故溢油有一定的风险概率。对某一项目的风险概率分析，由于受客观条件和</w:t>
      </w:r>
      <w:r>
        <w:rPr>
          <w:rFonts w:hint="eastAsia"/>
          <w:lang w:eastAsia="zh-CN"/>
        </w:rPr>
        <w:t>不确</w:t>
      </w:r>
      <w:r>
        <w:rPr>
          <w:rFonts w:hint="eastAsia"/>
        </w:rPr>
        <w:t>定因素的影响，而多采用统计数据资料进行分析。同时，泄漏的柴油若引起火灾等事故，会产生CO等污染物影响周边大气环境。</w:t>
      </w:r>
    </w:p>
    <w:p w14:paraId="3012AA63">
      <w:pPr>
        <w:pStyle w:val="93"/>
      </w:pPr>
      <w:r>
        <w:rPr>
          <w:rFonts w:hint="eastAsia"/>
        </w:rPr>
        <w:t>本项目靠港作业的船舶以及物料装卸过程是可能发生事故的主要环节。采用类比分析方法，即根据同类或相近行业事故统计的原始资料，分析本项目可能发生的事故的类型和原因，从而有效地评价本项目的安全程度，特别是对岸线生态环境不产生污染影响的安全程度。表5.3-4是近20年来船舶事故的情况统计。</w:t>
      </w:r>
    </w:p>
    <w:p w14:paraId="571F6823">
      <w:pPr>
        <w:pStyle w:val="86"/>
      </w:pPr>
      <w:r>
        <w:rPr>
          <w:rFonts w:hint="eastAsia"/>
        </w:rPr>
        <w:t>船舶事故统计</w:t>
      </w:r>
    </w:p>
    <w:tbl>
      <w:tblPr>
        <w:tblStyle w:val="38"/>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5"/>
        <w:gridCol w:w="1020"/>
        <w:gridCol w:w="1766"/>
        <w:gridCol w:w="1727"/>
        <w:gridCol w:w="1716"/>
        <w:gridCol w:w="1040"/>
        <w:gridCol w:w="701"/>
      </w:tblGrid>
      <w:tr w14:paraId="7E5D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248" w:type="pct"/>
            <w:shd w:val="clear" w:color="auto" w:fill="FFFFFF"/>
            <w:vAlign w:val="center"/>
          </w:tcPr>
          <w:p w14:paraId="6AEAEE30">
            <w:pPr>
              <w:pStyle w:val="196"/>
              <w:rPr>
                <w:b/>
                <w:bCs/>
              </w:rPr>
            </w:pPr>
            <w:r>
              <w:rPr>
                <w:rFonts w:hint="eastAsia"/>
                <w:b/>
                <w:bCs/>
              </w:rPr>
              <w:t>序号</w:t>
            </w:r>
          </w:p>
        </w:tc>
        <w:tc>
          <w:tcPr>
            <w:tcW w:w="608" w:type="pct"/>
            <w:shd w:val="clear" w:color="auto" w:fill="FFFFFF"/>
            <w:vAlign w:val="center"/>
          </w:tcPr>
          <w:p w14:paraId="51C0A1B8">
            <w:pPr>
              <w:pStyle w:val="196"/>
              <w:rPr>
                <w:b/>
                <w:bCs/>
              </w:rPr>
            </w:pPr>
            <w:r>
              <w:rPr>
                <w:rFonts w:hint="eastAsia"/>
                <w:b/>
                <w:bCs/>
              </w:rPr>
              <w:t>事故时间</w:t>
            </w:r>
          </w:p>
        </w:tc>
        <w:tc>
          <w:tcPr>
            <w:tcW w:w="1053" w:type="pct"/>
            <w:shd w:val="clear" w:color="auto" w:fill="FFFFFF"/>
            <w:vAlign w:val="center"/>
          </w:tcPr>
          <w:p w14:paraId="6608FA77">
            <w:pPr>
              <w:pStyle w:val="196"/>
              <w:rPr>
                <w:b/>
                <w:bCs/>
              </w:rPr>
            </w:pPr>
            <w:r>
              <w:rPr>
                <w:rFonts w:hint="eastAsia"/>
                <w:b/>
                <w:bCs/>
              </w:rPr>
              <w:t>事故地点</w:t>
            </w:r>
          </w:p>
        </w:tc>
        <w:tc>
          <w:tcPr>
            <w:tcW w:w="1030" w:type="pct"/>
            <w:shd w:val="clear" w:color="auto" w:fill="FFFFFF"/>
            <w:vAlign w:val="center"/>
          </w:tcPr>
          <w:p w14:paraId="017D9348">
            <w:pPr>
              <w:pStyle w:val="196"/>
              <w:rPr>
                <w:b/>
                <w:bCs/>
              </w:rPr>
            </w:pPr>
            <w:r>
              <w:rPr>
                <w:rFonts w:hint="eastAsia"/>
                <w:b/>
                <w:bCs/>
              </w:rPr>
              <w:t>船名或单位</w:t>
            </w:r>
          </w:p>
        </w:tc>
        <w:tc>
          <w:tcPr>
            <w:tcW w:w="1023" w:type="pct"/>
            <w:shd w:val="clear" w:color="auto" w:fill="FFFFFF"/>
            <w:vAlign w:val="center"/>
          </w:tcPr>
          <w:p w14:paraId="4987E1C9">
            <w:pPr>
              <w:pStyle w:val="196"/>
              <w:rPr>
                <w:b/>
                <w:bCs/>
              </w:rPr>
            </w:pPr>
            <w:r>
              <w:rPr>
                <w:rFonts w:hint="eastAsia"/>
                <w:b/>
                <w:bCs/>
              </w:rPr>
              <w:t>事故原因</w:t>
            </w:r>
          </w:p>
        </w:tc>
        <w:tc>
          <w:tcPr>
            <w:tcW w:w="620" w:type="pct"/>
            <w:shd w:val="clear" w:color="auto" w:fill="FFFFFF"/>
            <w:vAlign w:val="center"/>
          </w:tcPr>
          <w:p w14:paraId="7CEDB170">
            <w:pPr>
              <w:pStyle w:val="196"/>
              <w:rPr>
                <w:b/>
                <w:bCs/>
              </w:rPr>
            </w:pPr>
            <w:r>
              <w:rPr>
                <w:rFonts w:hint="eastAsia"/>
                <w:b/>
                <w:bCs/>
              </w:rPr>
              <w:t>溢油量（t）</w:t>
            </w:r>
          </w:p>
        </w:tc>
        <w:tc>
          <w:tcPr>
            <w:tcW w:w="0" w:type="auto"/>
            <w:shd w:val="clear" w:color="auto" w:fill="FFFFFF"/>
            <w:vAlign w:val="center"/>
          </w:tcPr>
          <w:p w14:paraId="45BCFDB0">
            <w:pPr>
              <w:pStyle w:val="196"/>
              <w:rPr>
                <w:b/>
                <w:bCs/>
              </w:rPr>
            </w:pPr>
            <w:r>
              <w:rPr>
                <w:rFonts w:hint="eastAsia"/>
                <w:b/>
                <w:bCs/>
              </w:rPr>
              <w:t>油种</w:t>
            </w:r>
          </w:p>
        </w:tc>
      </w:tr>
      <w:tr w14:paraId="6555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56B87634">
            <w:pPr>
              <w:pStyle w:val="196"/>
            </w:pPr>
            <w:r>
              <w:rPr>
                <w:rFonts w:hint="eastAsia"/>
              </w:rPr>
              <w:t>1</w:t>
            </w:r>
          </w:p>
        </w:tc>
        <w:tc>
          <w:tcPr>
            <w:tcW w:w="608" w:type="pct"/>
            <w:shd w:val="clear" w:color="auto" w:fill="FFFFFF"/>
            <w:vAlign w:val="center"/>
          </w:tcPr>
          <w:p w14:paraId="7D9B97B5">
            <w:pPr>
              <w:pStyle w:val="196"/>
            </w:pPr>
            <w:r>
              <w:rPr>
                <w:rFonts w:hint="eastAsia"/>
              </w:rPr>
              <w:t>1995.06.19</w:t>
            </w:r>
          </w:p>
        </w:tc>
        <w:tc>
          <w:tcPr>
            <w:tcW w:w="1053" w:type="pct"/>
            <w:shd w:val="clear" w:color="auto" w:fill="FFFFFF"/>
            <w:vAlign w:val="center"/>
          </w:tcPr>
          <w:p w14:paraId="5517ED65">
            <w:pPr>
              <w:pStyle w:val="196"/>
            </w:pPr>
            <w:r>
              <w:rPr>
                <w:rFonts w:hint="eastAsia"/>
              </w:rPr>
              <w:t>万州区鼓动驸马</w:t>
            </w:r>
          </w:p>
        </w:tc>
        <w:tc>
          <w:tcPr>
            <w:tcW w:w="1030" w:type="pct"/>
            <w:shd w:val="clear" w:color="auto" w:fill="FFFFFF"/>
            <w:vAlign w:val="center"/>
          </w:tcPr>
          <w:p w14:paraId="11FB123D">
            <w:pPr>
              <w:pStyle w:val="196"/>
            </w:pPr>
            <w:r>
              <w:rPr>
                <w:rFonts w:hint="eastAsia"/>
              </w:rPr>
              <w:t>“油库囤船”</w:t>
            </w:r>
          </w:p>
        </w:tc>
        <w:tc>
          <w:tcPr>
            <w:tcW w:w="1023" w:type="pct"/>
            <w:shd w:val="clear" w:color="auto" w:fill="FFFFFF"/>
            <w:vAlign w:val="center"/>
          </w:tcPr>
          <w:p w14:paraId="67F759C4">
            <w:pPr>
              <w:pStyle w:val="196"/>
            </w:pPr>
            <w:r>
              <w:rPr>
                <w:rFonts w:hint="eastAsia"/>
              </w:rPr>
              <w:t>操作失误</w:t>
            </w:r>
          </w:p>
        </w:tc>
        <w:tc>
          <w:tcPr>
            <w:tcW w:w="620" w:type="pct"/>
            <w:shd w:val="clear" w:color="auto" w:fill="FFFFFF"/>
            <w:vAlign w:val="center"/>
          </w:tcPr>
          <w:p w14:paraId="173BA978">
            <w:pPr>
              <w:pStyle w:val="196"/>
            </w:pPr>
            <w:r>
              <w:rPr>
                <w:rFonts w:hint="eastAsia"/>
              </w:rPr>
              <w:t>1028</w:t>
            </w:r>
          </w:p>
        </w:tc>
        <w:tc>
          <w:tcPr>
            <w:tcW w:w="0" w:type="auto"/>
            <w:shd w:val="clear" w:color="auto" w:fill="FFFFFF"/>
            <w:vAlign w:val="center"/>
          </w:tcPr>
          <w:p w14:paraId="66E11E55">
            <w:pPr>
              <w:pStyle w:val="196"/>
            </w:pPr>
            <w:r>
              <w:rPr>
                <w:rFonts w:hint="eastAsia"/>
              </w:rPr>
              <w:t>航空煤油</w:t>
            </w:r>
          </w:p>
        </w:tc>
      </w:tr>
      <w:tr w14:paraId="2E228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1F7B4408">
            <w:pPr>
              <w:pStyle w:val="196"/>
            </w:pPr>
            <w:r>
              <w:rPr>
                <w:rFonts w:hint="eastAsia"/>
              </w:rPr>
              <w:t>2</w:t>
            </w:r>
          </w:p>
        </w:tc>
        <w:tc>
          <w:tcPr>
            <w:tcW w:w="608" w:type="pct"/>
            <w:shd w:val="clear" w:color="auto" w:fill="FFFFFF"/>
            <w:vAlign w:val="center"/>
          </w:tcPr>
          <w:p w14:paraId="56ED9BBB">
            <w:pPr>
              <w:pStyle w:val="196"/>
            </w:pPr>
            <w:r>
              <w:rPr>
                <w:rFonts w:hint="eastAsia"/>
              </w:rPr>
              <w:t>1997.03.28</w:t>
            </w:r>
          </w:p>
        </w:tc>
        <w:tc>
          <w:tcPr>
            <w:tcW w:w="1053" w:type="pct"/>
            <w:shd w:val="clear" w:color="auto" w:fill="FFFFFF"/>
            <w:vAlign w:val="center"/>
          </w:tcPr>
          <w:p w14:paraId="747C30F1">
            <w:pPr>
              <w:pStyle w:val="196"/>
            </w:pPr>
            <w:r>
              <w:rPr>
                <w:rFonts w:hint="eastAsia"/>
              </w:rPr>
              <w:t>南京扬子10-2码头</w:t>
            </w:r>
          </w:p>
        </w:tc>
        <w:tc>
          <w:tcPr>
            <w:tcW w:w="1030" w:type="pct"/>
            <w:shd w:val="clear" w:color="auto" w:fill="FFFFFF"/>
            <w:vAlign w:val="center"/>
          </w:tcPr>
          <w:p w14:paraId="5B6E8FDA">
            <w:pPr>
              <w:pStyle w:val="196"/>
            </w:pPr>
            <w:r>
              <w:rPr>
                <w:rFonts w:hint="eastAsia"/>
              </w:rPr>
              <w:t>“PUSAN"油轮（韩国）</w:t>
            </w:r>
          </w:p>
        </w:tc>
        <w:tc>
          <w:tcPr>
            <w:tcW w:w="1023" w:type="pct"/>
            <w:shd w:val="clear" w:color="auto" w:fill="FFFFFF"/>
            <w:vAlign w:val="center"/>
          </w:tcPr>
          <w:p w14:paraId="3B91733D">
            <w:pPr>
              <w:pStyle w:val="196"/>
            </w:pPr>
            <w:r>
              <w:rPr>
                <w:rFonts w:hint="eastAsia"/>
              </w:rPr>
              <w:t>装油操作失误</w:t>
            </w:r>
          </w:p>
        </w:tc>
        <w:tc>
          <w:tcPr>
            <w:tcW w:w="620" w:type="pct"/>
            <w:shd w:val="clear" w:color="auto" w:fill="FFFFFF"/>
            <w:vAlign w:val="center"/>
          </w:tcPr>
          <w:p w14:paraId="55FECB38">
            <w:pPr>
              <w:pStyle w:val="196"/>
            </w:pPr>
            <w:r>
              <w:rPr>
                <w:rFonts w:hint="eastAsia"/>
              </w:rPr>
              <w:t>5</w:t>
            </w:r>
          </w:p>
        </w:tc>
        <w:tc>
          <w:tcPr>
            <w:tcW w:w="0" w:type="auto"/>
            <w:shd w:val="clear" w:color="auto" w:fill="FFFFFF"/>
            <w:vAlign w:val="center"/>
          </w:tcPr>
          <w:p w14:paraId="2AC6F7F0">
            <w:pPr>
              <w:pStyle w:val="196"/>
            </w:pPr>
            <w:r>
              <w:rPr>
                <w:rFonts w:hint="eastAsia"/>
              </w:rPr>
              <w:t>汽油</w:t>
            </w:r>
          </w:p>
        </w:tc>
      </w:tr>
      <w:tr w14:paraId="3C2C1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7ECD156D">
            <w:pPr>
              <w:pStyle w:val="196"/>
            </w:pPr>
            <w:r>
              <w:rPr>
                <w:rFonts w:hint="eastAsia"/>
              </w:rPr>
              <w:t>3</w:t>
            </w:r>
          </w:p>
        </w:tc>
        <w:tc>
          <w:tcPr>
            <w:tcW w:w="608" w:type="pct"/>
            <w:shd w:val="clear" w:color="auto" w:fill="FFFFFF"/>
            <w:vAlign w:val="center"/>
          </w:tcPr>
          <w:p w14:paraId="1CBBF754">
            <w:pPr>
              <w:pStyle w:val="196"/>
            </w:pPr>
            <w:r>
              <w:rPr>
                <w:rFonts w:hint="eastAsia"/>
              </w:rPr>
              <w:t>1997.06.03</w:t>
            </w:r>
          </w:p>
        </w:tc>
        <w:tc>
          <w:tcPr>
            <w:tcW w:w="1053" w:type="pct"/>
            <w:shd w:val="clear" w:color="auto" w:fill="FFFFFF"/>
            <w:vAlign w:val="center"/>
          </w:tcPr>
          <w:p w14:paraId="720C0763">
            <w:pPr>
              <w:pStyle w:val="196"/>
            </w:pPr>
            <w:r>
              <w:rPr>
                <w:rFonts w:hint="eastAsia"/>
              </w:rPr>
              <w:t>南京港栖霞山</w:t>
            </w:r>
            <w:r>
              <w:rPr>
                <w:rFonts w:hint="eastAsia"/>
                <w:lang w:eastAsia="zh-CN"/>
              </w:rPr>
              <w:t>邮轮</w:t>
            </w:r>
            <w:r>
              <w:rPr>
                <w:rFonts w:hint="eastAsia"/>
              </w:rPr>
              <w:t>锚地</w:t>
            </w:r>
          </w:p>
        </w:tc>
        <w:tc>
          <w:tcPr>
            <w:tcW w:w="1030" w:type="pct"/>
            <w:shd w:val="clear" w:color="auto" w:fill="FFFFFF"/>
            <w:vAlign w:val="center"/>
          </w:tcPr>
          <w:p w14:paraId="528451CE">
            <w:pPr>
              <w:pStyle w:val="196"/>
            </w:pPr>
            <w:r>
              <w:rPr>
                <w:rFonts w:hint="eastAsia"/>
              </w:rPr>
              <w:t>“大庆243”油轮</w:t>
            </w:r>
          </w:p>
        </w:tc>
        <w:tc>
          <w:tcPr>
            <w:tcW w:w="1023" w:type="pct"/>
            <w:shd w:val="clear" w:color="auto" w:fill="FFFFFF"/>
            <w:vAlign w:val="center"/>
          </w:tcPr>
          <w:p w14:paraId="39433AF5">
            <w:pPr>
              <w:pStyle w:val="196"/>
            </w:pPr>
            <w:r>
              <w:rPr>
                <w:rFonts w:hint="eastAsia"/>
              </w:rPr>
              <w:t>爆炸起火而翻沉</w:t>
            </w:r>
          </w:p>
        </w:tc>
        <w:tc>
          <w:tcPr>
            <w:tcW w:w="620" w:type="pct"/>
            <w:shd w:val="clear" w:color="auto" w:fill="FFFFFF"/>
            <w:vAlign w:val="center"/>
          </w:tcPr>
          <w:p w14:paraId="63398ACA">
            <w:pPr>
              <w:pStyle w:val="196"/>
            </w:pPr>
            <w:r>
              <w:rPr>
                <w:rFonts w:hint="eastAsia"/>
              </w:rPr>
              <w:t>1000</w:t>
            </w:r>
          </w:p>
        </w:tc>
        <w:tc>
          <w:tcPr>
            <w:tcW w:w="0" w:type="auto"/>
            <w:shd w:val="clear" w:color="auto" w:fill="FFFFFF"/>
            <w:vAlign w:val="center"/>
          </w:tcPr>
          <w:p w14:paraId="318E53A8">
            <w:pPr>
              <w:pStyle w:val="196"/>
            </w:pPr>
            <w:r>
              <w:rPr>
                <w:rFonts w:hint="eastAsia"/>
              </w:rPr>
              <w:t>原油</w:t>
            </w:r>
          </w:p>
        </w:tc>
      </w:tr>
      <w:tr w14:paraId="5689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02DD98BC">
            <w:pPr>
              <w:pStyle w:val="196"/>
            </w:pPr>
            <w:r>
              <w:rPr>
                <w:rFonts w:hint="eastAsia"/>
              </w:rPr>
              <w:t>4</w:t>
            </w:r>
          </w:p>
        </w:tc>
        <w:tc>
          <w:tcPr>
            <w:tcW w:w="608" w:type="pct"/>
            <w:shd w:val="clear" w:color="auto" w:fill="FFFFFF"/>
            <w:vAlign w:val="center"/>
          </w:tcPr>
          <w:p w14:paraId="0A391B99">
            <w:pPr>
              <w:pStyle w:val="196"/>
            </w:pPr>
            <w:r>
              <w:rPr>
                <w:rFonts w:hint="eastAsia"/>
              </w:rPr>
              <w:t>1997.06.02</w:t>
            </w:r>
          </w:p>
        </w:tc>
        <w:tc>
          <w:tcPr>
            <w:tcW w:w="1053" w:type="pct"/>
            <w:shd w:val="clear" w:color="auto" w:fill="FFFFFF"/>
            <w:vAlign w:val="center"/>
          </w:tcPr>
          <w:p w14:paraId="4BE47202">
            <w:pPr>
              <w:pStyle w:val="196"/>
            </w:pPr>
            <w:r>
              <w:rPr>
                <w:rFonts w:hint="eastAsia"/>
              </w:rPr>
              <w:t>南京栖霞锚地</w:t>
            </w:r>
          </w:p>
        </w:tc>
        <w:tc>
          <w:tcPr>
            <w:tcW w:w="1030" w:type="pct"/>
            <w:shd w:val="clear" w:color="auto" w:fill="FFFFFF"/>
            <w:vAlign w:val="center"/>
          </w:tcPr>
          <w:p w14:paraId="15F694C1">
            <w:pPr>
              <w:pStyle w:val="196"/>
            </w:pPr>
            <w:r>
              <w:rPr>
                <w:rFonts w:hint="eastAsia"/>
              </w:rPr>
              <w:t>“油63005驳”（南京长江油运公司）</w:t>
            </w:r>
          </w:p>
        </w:tc>
        <w:tc>
          <w:tcPr>
            <w:tcW w:w="1023" w:type="pct"/>
            <w:shd w:val="clear" w:color="auto" w:fill="FFFFFF"/>
            <w:vAlign w:val="center"/>
          </w:tcPr>
          <w:p w14:paraId="2FB57918">
            <w:pPr>
              <w:pStyle w:val="196"/>
            </w:pPr>
            <w:r>
              <w:rPr>
                <w:rFonts w:hint="eastAsia"/>
              </w:rPr>
              <w:t>过驳时操作失误</w:t>
            </w:r>
          </w:p>
        </w:tc>
        <w:tc>
          <w:tcPr>
            <w:tcW w:w="620" w:type="pct"/>
            <w:shd w:val="clear" w:color="auto" w:fill="FFFFFF"/>
            <w:vAlign w:val="center"/>
          </w:tcPr>
          <w:p w14:paraId="5FF36469">
            <w:pPr>
              <w:pStyle w:val="196"/>
            </w:pPr>
            <w:r>
              <w:rPr>
                <w:rFonts w:hint="eastAsia"/>
              </w:rPr>
              <w:t>6</w:t>
            </w:r>
          </w:p>
        </w:tc>
        <w:tc>
          <w:tcPr>
            <w:tcW w:w="0" w:type="auto"/>
            <w:shd w:val="clear" w:color="auto" w:fill="FFFFFF"/>
            <w:vAlign w:val="center"/>
          </w:tcPr>
          <w:p w14:paraId="175FF00E">
            <w:pPr>
              <w:pStyle w:val="196"/>
            </w:pPr>
            <w:r>
              <w:rPr>
                <w:rFonts w:hint="eastAsia"/>
              </w:rPr>
              <w:t>原油</w:t>
            </w:r>
          </w:p>
        </w:tc>
      </w:tr>
      <w:tr w14:paraId="76F3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632DD0E0">
            <w:pPr>
              <w:pStyle w:val="196"/>
            </w:pPr>
            <w:r>
              <w:rPr>
                <w:rFonts w:hint="eastAsia"/>
              </w:rPr>
              <w:t>5</w:t>
            </w:r>
          </w:p>
        </w:tc>
        <w:tc>
          <w:tcPr>
            <w:tcW w:w="608" w:type="pct"/>
            <w:shd w:val="clear" w:color="auto" w:fill="FFFFFF"/>
            <w:vAlign w:val="center"/>
          </w:tcPr>
          <w:p w14:paraId="6FB30DF2">
            <w:pPr>
              <w:pStyle w:val="196"/>
            </w:pPr>
            <w:r>
              <w:rPr>
                <w:rFonts w:hint="eastAsia"/>
              </w:rPr>
              <w:t>1998.02.06</w:t>
            </w:r>
          </w:p>
        </w:tc>
        <w:tc>
          <w:tcPr>
            <w:tcW w:w="1053" w:type="pct"/>
            <w:shd w:val="clear" w:color="auto" w:fill="FFFFFF"/>
            <w:vAlign w:val="center"/>
          </w:tcPr>
          <w:p w14:paraId="432ADE52">
            <w:pPr>
              <w:pStyle w:val="196"/>
            </w:pPr>
            <w:r>
              <w:rPr>
                <w:rFonts w:hint="eastAsia"/>
              </w:rPr>
              <w:t>南京大胜关水道宇鹏加油站附近</w:t>
            </w:r>
          </w:p>
        </w:tc>
        <w:tc>
          <w:tcPr>
            <w:tcW w:w="1030" w:type="pct"/>
            <w:shd w:val="clear" w:color="auto" w:fill="FFFFFF"/>
            <w:vAlign w:val="center"/>
          </w:tcPr>
          <w:p w14:paraId="5E9FCEB9">
            <w:pPr>
              <w:pStyle w:val="196"/>
            </w:pPr>
            <w:r>
              <w:rPr>
                <w:rFonts w:hint="eastAsia"/>
              </w:rPr>
              <w:t>“皖江供油</w:t>
            </w:r>
          </w:p>
          <w:p w14:paraId="33CA6E5E">
            <w:pPr>
              <w:pStyle w:val="196"/>
            </w:pPr>
            <w:r>
              <w:rPr>
                <w:rFonts w:hint="eastAsia"/>
              </w:rPr>
              <w:t>2001”油轮</w:t>
            </w:r>
          </w:p>
        </w:tc>
        <w:tc>
          <w:tcPr>
            <w:tcW w:w="1023" w:type="pct"/>
            <w:shd w:val="clear" w:color="auto" w:fill="FFFFFF"/>
            <w:vAlign w:val="center"/>
          </w:tcPr>
          <w:p w14:paraId="77F8D9D9">
            <w:pPr>
              <w:pStyle w:val="196"/>
            </w:pPr>
            <w:r>
              <w:rPr>
                <w:rFonts w:hint="eastAsia"/>
              </w:rPr>
              <w:t>沉没</w:t>
            </w:r>
          </w:p>
        </w:tc>
        <w:tc>
          <w:tcPr>
            <w:tcW w:w="620" w:type="pct"/>
            <w:shd w:val="clear" w:color="auto" w:fill="FFFFFF"/>
            <w:vAlign w:val="center"/>
          </w:tcPr>
          <w:p w14:paraId="20CA4189">
            <w:pPr>
              <w:pStyle w:val="196"/>
            </w:pPr>
            <w:r>
              <w:rPr>
                <w:rFonts w:hint="eastAsia"/>
              </w:rPr>
              <w:t>35</w:t>
            </w:r>
          </w:p>
        </w:tc>
        <w:tc>
          <w:tcPr>
            <w:tcW w:w="0" w:type="auto"/>
            <w:shd w:val="clear" w:color="auto" w:fill="FFFFFF"/>
            <w:vAlign w:val="center"/>
          </w:tcPr>
          <w:p w14:paraId="0A40E73C">
            <w:pPr>
              <w:pStyle w:val="196"/>
            </w:pPr>
            <w:r>
              <w:rPr>
                <w:rFonts w:hint="eastAsia"/>
              </w:rPr>
              <w:t>原油</w:t>
            </w:r>
          </w:p>
        </w:tc>
      </w:tr>
      <w:tr w14:paraId="7EF6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7B689378">
            <w:pPr>
              <w:pStyle w:val="196"/>
            </w:pPr>
            <w:r>
              <w:rPr>
                <w:rFonts w:hint="eastAsia"/>
              </w:rPr>
              <w:t>6</w:t>
            </w:r>
          </w:p>
        </w:tc>
        <w:tc>
          <w:tcPr>
            <w:tcW w:w="608" w:type="pct"/>
            <w:shd w:val="clear" w:color="auto" w:fill="FFFFFF"/>
            <w:vAlign w:val="center"/>
          </w:tcPr>
          <w:p w14:paraId="75EE5575">
            <w:pPr>
              <w:pStyle w:val="196"/>
            </w:pPr>
            <w:r>
              <w:rPr>
                <w:rFonts w:hint="eastAsia"/>
              </w:rPr>
              <w:t>1998.07.30</w:t>
            </w:r>
          </w:p>
        </w:tc>
        <w:tc>
          <w:tcPr>
            <w:tcW w:w="1053" w:type="pct"/>
            <w:shd w:val="clear" w:color="auto" w:fill="FFFFFF"/>
            <w:vAlign w:val="center"/>
          </w:tcPr>
          <w:p w14:paraId="535154E0">
            <w:pPr>
              <w:pStyle w:val="196"/>
            </w:pPr>
            <w:r>
              <w:rPr>
                <w:rFonts w:hint="eastAsia"/>
              </w:rPr>
              <w:t>万州区豹子滩</w:t>
            </w:r>
          </w:p>
        </w:tc>
        <w:tc>
          <w:tcPr>
            <w:tcW w:w="1030" w:type="pct"/>
            <w:shd w:val="clear" w:color="auto" w:fill="FFFFFF"/>
            <w:vAlign w:val="center"/>
          </w:tcPr>
          <w:p w14:paraId="7231FA73">
            <w:pPr>
              <w:pStyle w:val="196"/>
            </w:pPr>
            <w:r>
              <w:rPr>
                <w:rFonts w:hint="eastAsia"/>
              </w:rPr>
              <w:t>“屈原7#”客滚船</w:t>
            </w:r>
          </w:p>
        </w:tc>
        <w:tc>
          <w:tcPr>
            <w:tcW w:w="1023" w:type="pct"/>
            <w:shd w:val="clear" w:color="auto" w:fill="FFFFFF"/>
            <w:vAlign w:val="center"/>
          </w:tcPr>
          <w:p w14:paraId="02620F42">
            <w:pPr>
              <w:pStyle w:val="196"/>
            </w:pPr>
            <w:r>
              <w:rPr>
                <w:rFonts w:hint="eastAsia"/>
              </w:rPr>
              <w:t>海损事故</w:t>
            </w:r>
          </w:p>
        </w:tc>
        <w:tc>
          <w:tcPr>
            <w:tcW w:w="620" w:type="pct"/>
            <w:shd w:val="clear" w:color="auto" w:fill="FFFFFF"/>
            <w:vAlign w:val="center"/>
          </w:tcPr>
          <w:p w14:paraId="06F005A9">
            <w:pPr>
              <w:pStyle w:val="196"/>
            </w:pPr>
            <w:r>
              <w:rPr>
                <w:rFonts w:hint="eastAsia"/>
              </w:rPr>
              <w:t>5</w:t>
            </w:r>
          </w:p>
        </w:tc>
        <w:tc>
          <w:tcPr>
            <w:tcW w:w="0" w:type="auto"/>
            <w:shd w:val="clear" w:color="auto" w:fill="FFFFFF"/>
            <w:vAlign w:val="center"/>
          </w:tcPr>
          <w:p w14:paraId="4115DE18">
            <w:pPr>
              <w:pStyle w:val="196"/>
            </w:pPr>
            <w:r>
              <w:rPr>
                <w:rFonts w:hint="eastAsia"/>
              </w:rPr>
              <w:t>柴油</w:t>
            </w:r>
          </w:p>
        </w:tc>
      </w:tr>
      <w:tr w14:paraId="2590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3F021F2D">
            <w:pPr>
              <w:pStyle w:val="196"/>
            </w:pPr>
            <w:r>
              <w:rPr>
                <w:rFonts w:hint="eastAsia"/>
              </w:rPr>
              <w:t>7</w:t>
            </w:r>
          </w:p>
        </w:tc>
        <w:tc>
          <w:tcPr>
            <w:tcW w:w="608" w:type="pct"/>
            <w:shd w:val="clear" w:color="auto" w:fill="FFFFFF"/>
            <w:vAlign w:val="center"/>
          </w:tcPr>
          <w:p w14:paraId="4F72C71B">
            <w:pPr>
              <w:pStyle w:val="196"/>
            </w:pPr>
            <w:r>
              <w:rPr>
                <w:rFonts w:hint="eastAsia"/>
              </w:rPr>
              <w:t>1998.09.12</w:t>
            </w:r>
          </w:p>
        </w:tc>
        <w:tc>
          <w:tcPr>
            <w:tcW w:w="1053" w:type="pct"/>
            <w:shd w:val="clear" w:color="auto" w:fill="FFFFFF"/>
            <w:vAlign w:val="center"/>
          </w:tcPr>
          <w:p w14:paraId="014D34C6">
            <w:pPr>
              <w:pStyle w:val="196"/>
            </w:pPr>
            <w:r>
              <w:rPr>
                <w:rFonts w:hint="eastAsia"/>
              </w:rPr>
              <w:t>吴淞口101灯浮附近</w:t>
            </w:r>
          </w:p>
        </w:tc>
        <w:tc>
          <w:tcPr>
            <w:tcW w:w="1030" w:type="pct"/>
            <w:shd w:val="clear" w:color="auto" w:fill="FFFFFF"/>
            <w:vAlign w:val="center"/>
          </w:tcPr>
          <w:p w14:paraId="09EE3ADE">
            <w:pPr>
              <w:pStyle w:val="196"/>
            </w:pPr>
            <w:r>
              <w:rPr>
                <w:rFonts w:hint="eastAsia"/>
              </w:rPr>
              <w:t>“上电油1215”游轮</w:t>
            </w:r>
          </w:p>
        </w:tc>
        <w:tc>
          <w:tcPr>
            <w:tcW w:w="1023" w:type="pct"/>
            <w:shd w:val="clear" w:color="auto" w:fill="FFFFFF"/>
            <w:vAlign w:val="center"/>
          </w:tcPr>
          <w:p w14:paraId="13550D33">
            <w:pPr>
              <w:pStyle w:val="196"/>
            </w:pPr>
            <w:r>
              <w:rPr>
                <w:rFonts w:hint="eastAsia"/>
              </w:rPr>
              <w:t>与“崇明岛"轮发生碰撞</w:t>
            </w:r>
          </w:p>
        </w:tc>
        <w:tc>
          <w:tcPr>
            <w:tcW w:w="620" w:type="pct"/>
            <w:shd w:val="clear" w:color="auto" w:fill="FFFFFF"/>
            <w:vAlign w:val="center"/>
          </w:tcPr>
          <w:p w14:paraId="40E8257F">
            <w:pPr>
              <w:pStyle w:val="196"/>
            </w:pPr>
            <w:r>
              <w:rPr>
                <w:rFonts w:hint="eastAsia"/>
              </w:rPr>
              <w:t>272</w:t>
            </w:r>
          </w:p>
        </w:tc>
        <w:tc>
          <w:tcPr>
            <w:tcW w:w="0" w:type="auto"/>
            <w:shd w:val="clear" w:color="auto" w:fill="FFFFFF"/>
            <w:vAlign w:val="center"/>
          </w:tcPr>
          <w:p w14:paraId="24F351AB">
            <w:pPr>
              <w:pStyle w:val="196"/>
            </w:pPr>
            <w:r>
              <w:rPr>
                <w:rFonts w:hint="eastAsia"/>
              </w:rPr>
              <w:t>重油</w:t>
            </w:r>
          </w:p>
        </w:tc>
      </w:tr>
      <w:tr w14:paraId="68BB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3DD79824">
            <w:pPr>
              <w:pStyle w:val="196"/>
            </w:pPr>
            <w:r>
              <w:rPr>
                <w:rFonts w:hint="eastAsia"/>
              </w:rPr>
              <w:t>8</w:t>
            </w:r>
          </w:p>
        </w:tc>
        <w:tc>
          <w:tcPr>
            <w:tcW w:w="608" w:type="pct"/>
            <w:shd w:val="clear" w:color="auto" w:fill="FFFFFF"/>
            <w:vAlign w:val="center"/>
          </w:tcPr>
          <w:p w14:paraId="12F479FE">
            <w:pPr>
              <w:pStyle w:val="196"/>
            </w:pPr>
            <w:r>
              <w:rPr>
                <w:rFonts w:hint="eastAsia"/>
              </w:rPr>
              <w:t>1998.04.18</w:t>
            </w:r>
          </w:p>
        </w:tc>
        <w:tc>
          <w:tcPr>
            <w:tcW w:w="1053" w:type="pct"/>
            <w:shd w:val="clear" w:color="auto" w:fill="FFFFFF"/>
            <w:vAlign w:val="center"/>
          </w:tcPr>
          <w:p w14:paraId="47F8C1BE">
            <w:pPr>
              <w:pStyle w:val="196"/>
            </w:pPr>
            <w:r>
              <w:rPr>
                <w:rFonts w:hint="eastAsia"/>
              </w:rPr>
              <w:t>上海炼油厂码头</w:t>
            </w:r>
          </w:p>
        </w:tc>
        <w:tc>
          <w:tcPr>
            <w:tcW w:w="1030" w:type="pct"/>
            <w:shd w:val="clear" w:color="auto" w:fill="FFFFFF"/>
            <w:vAlign w:val="center"/>
          </w:tcPr>
          <w:p w14:paraId="2D2D5FE7">
            <w:pPr>
              <w:pStyle w:val="196"/>
            </w:pPr>
            <w:r>
              <w:rPr>
                <w:rFonts w:hint="eastAsia"/>
              </w:rPr>
              <w:t>“浙航拖127船</w:t>
            </w:r>
          </w:p>
        </w:tc>
        <w:tc>
          <w:tcPr>
            <w:tcW w:w="1023" w:type="pct"/>
            <w:shd w:val="clear" w:color="auto" w:fill="FFFFFF"/>
            <w:vAlign w:val="center"/>
          </w:tcPr>
          <w:p w14:paraId="40C4FE81">
            <w:pPr>
              <w:pStyle w:val="196"/>
            </w:pPr>
            <w:r>
              <w:rPr>
                <w:rFonts w:hint="eastAsia"/>
              </w:rPr>
              <w:t>输油管爆管</w:t>
            </w:r>
          </w:p>
        </w:tc>
        <w:tc>
          <w:tcPr>
            <w:tcW w:w="620" w:type="pct"/>
            <w:shd w:val="clear" w:color="auto" w:fill="FFFFFF"/>
            <w:vAlign w:val="center"/>
          </w:tcPr>
          <w:p w14:paraId="60646FAE">
            <w:pPr>
              <w:pStyle w:val="196"/>
            </w:pPr>
            <w:r>
              <w:rPr>
                <w:rFonts w:hint="eastAsia"/>
              </w:rPr>
              <w:t>0.2</w:t>
            </w:r>
          </w:p>
        </w:tc>
        <w:tc>
          <w:tcPr>
            <w:tcW w:w="0" w:type="auto"/>
            <w:shd w:val="clear" w:color="auto" w:fill="FFFFFF"/>
            <w:vAlign w:val="center"/>
          </w:tcPr>
          <w:p w14:paraId="081D57BB">
            <w:pPr>
              <w:pStyle w:val="196"/>
            </w:pPr>
            <w:r>
              <w:rPr>
                <w:rFonts w:hint="eastAsia"/>
              </w:rPr>
              <w:t>燃油</w:t>
            </w:r>
          </w:p>
        </w:tc>
      </w:tr>
      <w:tr w14:paraId="37CA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76B32587">
            <w:pPr>
              <w:pStyle w:val="196"/>
            </w:pPr>
            <w:r>
              <w:rPr>
                <w:rFonts w:hint="eastAsia"/>
              </w:rPr>
              <w:t>9</w:t>
            </w:r>
          </w:p>
        </w:tc>
        <w:tc>
          <w:tcPr>
            <w:tcW w:w="608" w:type="pct"/>
            <w:shd w:val="clear" w:color="auto" w:fill="FFFFFF"/>
            <w:vAlign w:val="center"/>
          </w:tcPr>
          <w:p w14:paraId="51B3A3ED">
            <w:pPr>
              <w:pStyle w:val="196"/>
            </w:pPr>
            <w:r>
              <w:rPr>
                <w:rFonts w:hint="eastAsia"/>
              </w:rPr>
              <w:t>1999.07.25</w:t>
            </w:r>
          </w:p>
        </w:tc>
        <w:tc>
          <w:tcPr>
            <w:tcW w:w="1053" w:type="pct"/>
            <w:shd w:val="clear" w:color="auto" w:fill="FFFFFF"/>
            <w:vAlign w:val="center"/>
          </w:tcPr>
          <w:p w14:paraId="73A4ACE9">
            <w:pPr>
              <w:pStyle w:val="196"/>
            </w:pPr>
            <w:r>
              <w:rPr>
                <w:rFonts w:hint="eastAsia"/>
              </w:rPr>
              <w:t>重庆万州区巫山码头</w:t>
            </w:r>
          </w:p>
        </w:tc>
        <w:tc>
          <w:tcPr>
            <w:tcW w:w="1030" w:type="pct"/>
            <w:shd w:val="clear" w:color="auto" w:fill="FFFFFF"/>
            <w:vAlign w:val="center"/>
          </w:tcPr>
          <w:p w14:paraId="0F8A637A">
            <w:pPr>
              <w:pStyle w:val="196"/>
            </w:pPr>
            <w:r>
              <w:rPr>
                <w:rFonts w:hint="eastAsia"/>
              </w:rPr>
              <w:t>“旅游3囤”（油</w:t>
            </w:r>
          </w:p>
          <w:p w14:paraId="4B170A79">
            <w:pPr>
              <w:pStyle w:val="196"/>
            </w:pPr>
            <w:r>
              <w:rPr>
                <w:rFonts w:hint="eastAsia"/>
              </w:rPr>
              <w:t>囤船）</w:t>
            </w:r>
          </w:p>
        </w:tc>
        <w:tc>
          <w:tcPr>
            <w:tcW w:w="1023" w:type="pct"/>
            <w:shd w:val="clear" w:color="auto" w:fill="FFFFFF"/>
            <w:vAlign w:val="center"/>
          </w:tcPr>
          <w:p w14:paraId="4DF9A4EA">
            <w:pPr>
              <w:pStyle w:val="196"/>
            </w:pPr>
            <w:r>
              <w:rPr>
                <w:rFonts w:hint="eastAsia"/>
              </w:rPr>
              <w:t>操作失误</w:t>
            </w:r>
          </w:p>
        </w:tc>
        <w:tc>
          <w:tcPr>
            <w:tcW w:w="620" w:type="pct"/>
            <w:shd w:val="clear" w:color="auto" w:fill="FFFFFF"/>
            <w:vAlign w:val="center"/>
          </w:tcPr>
          <w:p w14:paraId="7D38807E">
            <w:pPr>
              <w:pStyle w:val="196"/>
            </w:pPr>
            <w:r>
              <w:rPr>
                <w:rFonts w:hint="eastAsia"/>
              </w:rPr>
              <w:t>20</w:t>
            </w:r>
          </w:p>
        </w:tc>
        <w:tc>
          <w:tcPr>
            <w:tcW w:w="0" w:type="auto"/>
            <w:shd w:val="clear" w:color="auto" w:fill="FFFFFF"/>
            <w:vAlign w:val="center"/>
          </w:tcPr>
          <w:p w14:paraId="7BA659A8">
            <w:pPr>
              <w:pStyle w:val="196"/>
            </w:pPr>
            <w:r>
              <w:rPr>
                <w:rFonts w:hint="eastAsia"/>
              </w:rPr>
              <w:t>柴油</w:t>
            </w:r>
          </w:p>
        </w:tc>
      </w:tr>
      <w:tr w14:paraId="03552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6CCB225F">
            <w:pPr>
              <w:pStyle w:val="196"/>
            </w:pPr>
            <w:r>
              <w:rPr>
                <w:rFonts w:hint="eastAsia"/>
              </w:rPr>
              <w:t>10</w:t>
            </w:r>
          </w:p>
        </w:tc>
        <w:tc>
          <w:tcPr>
            <w:tcW w:w="608" w:type="pct"/>
            <w:shd w:val="clear" w:color="auto" w:fill="FFFFFF"/>
            <w:vAlign w:val="center"/>
          </w:tcPr>
          <w:p w14:paraId="47F28ED9">
            <w:pPr>
              <w:pStyle w:val="196"/>
            </w:pPr>
            <w:r>
              <w:rPr>
                <w:rFonts w:hint="eastAsia"/>
              </w:rPr>
              <w:t>2003.02.09</w:t>
            </w:r>
          </w:p>
        </w:tc>
        <w:tc>
          <w:tcPr>
            <w:tcW w:w="1053" w:type="pct"/>
            <w:shd w:val="clear" w:color="auto" w:fill="FFFFFF"/>
            <w:vAlign w:val="center"/>
          </w:tcPr>
          <w:p w14:paraId="3F5EE9E2">
            <w:pPr>
              <w:pStyle w:val="196"/>
            </w:pPr>
            <w:r>
              <w:rPr>
                <w:rFonts w:hint="eastAsia"/>
              </w:rPr>
              <w:t>长江浏河口</w:t>
            </w:r>
          </w:p>
        </w:tc>
        <w:tc>
          <w:tcPr>
            <w:tcW w:w="1030" w:type="pct"/>
            <w:shd w:val="clear" w:color="auto" w:fill="FFFFFF"/>
            <w:vAlign w:val="center"/>
          </w:tcPr>
          <w:p w14:paraId="373F4EC8">
            <w:pPr>
              <w:pStyle w:val="196"/>
            </w:pPr>
            <w:r>
              <w:rPr>
                <w:rFonts w:hint="eastAsia"/>
              </w:rPr>
              <w:t>“华盛油1”</w:t>
            </w:r>
          </w:p>
        </w:tc>
        <w:tc>
          <w:tcPr>
            <w:tcW w:w="1023" w:type="pct"/>
            <w:shd w:val="clear" w:color="auto" w:fill="FFFFFF"/>
            <w:vAlign w:val="center"/>
          </w:tcPr>
          <w:p w14:paraId="12BE13AB">
            <w:pPr>
              <w:pStyle w:val="196"/>
            </w:pPr>
            <w:r>
              <w:rPr>
                <w:rFonts w:hint="eastAsia"/>
              </w:rPr>
              <w:t>碰撞事故</w:t>
            </w:r>
          </w:p>
        </w:tc>
        <w:tc>
          <w:tcPr>
            <w:tcW w:w="620" w:type="pct"/>
            <w:shd w:val="clear" w:color="auto" w:fill="FFFFFF"/>
            <w:vAlign w:val="center"/>
          </w:tcPr>
          <w:p w14:paraId="210545C3">
            <w:pPr>
              <w:pStyle w:val="196"/>
            </w:pPr>
            <w:r>
              <w:rPr>
                <w:rFonts w:hint="eastAsia"/>
              </w:rPr>
              <w:t>20</w:t>
            </w:r>
          </w:p>
        </w:tc>
        <w:tc>
          <w:tcPr>
            <w:tcW w:w="0" w:type="auto"/>
            <w:shd w:val="clear" w:color="auto" w:fill="FFFFFF"/>
            <w:vAlign w:val="center"/>
          </w:tcPr>
          <w:p w14:paraId="62521DFC">
            <w:pPr>
              <w:pStyle w:val="196"/>
            </w:pPr>
            <w:r>
              <w:rPr>
                <w:rFonts w:hint="eastAsia"/>
              </w:rPr>
              <w:t>成品油</w:t>
            </w:r>
          </w:p>
        </w:tc>
      </w:tr>
      <w:tr w14:paraId="742A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749496CC">
            <w:pPr>
              <w:pStyle w:val="196"/>
            </w:pPr>
            <w:r>
              <w:rPr>
                <w:rFonts w:hint="eastAsia"/>
              </w:rPr>
              <w:t>11</w:t>
            </w:r>
          </w:p>
        </w:tc>
        <w:tc>
          <w:tcPr>
            <w:tcW w:w="608" w:type="pct"/>
            <w:shd w:val="clear" w:color="auto" w:fill="FFFFFF"/>
            <w:vAlign w:val="center"/>
          </w:tcPr>
          <w:p w14:paraId="036A0E98">
            <w:pPr>
              <w:pStyle w:val="196"/>
            </w:pPr>
            <w:r>
              <w:rPr>
                <w:rFonts w:hint="eastAsia"/>
              </w:rPr>
              <w:t>2003.08.05</w:t>
            </w:r>
          </w:p>
        </w:tc>
        <w:tc>
          <w:tcPr>
            <w:tcW w:w="1053" w:type="pct"/>
            <w:shd w:val="clear" w:color="auto" w:fill="FFFFFF"/>
            <w:vAlign w:val="center"/>
          </w:tcPr>
          <w:p w14:paraId="16BE98CA">
            <w:pPr>
              <w:pStyle w:val="196"/>
            </w:pPr>
            <w:r>
              <w:rPr>
                <w:rFonts w:hint="eastAsia"/>
              </w:rPr>
              <w:t>上海吴泾热电厂码头</w:t>
            </w:r>
          </w:p>
        </w:tc>
        <w:tc>
          <w:tcPr>
            <w:tcW w:w="1030" w:type="pct"/>
            <w:shd w:val="clear" w:color="auto" w:fill="FFFFFF"/>
            <w:vAlign w:val="center"/>
          </w:tcPr>
          <w:p w14:paraId="28F8405F">
            <w:pPr>
              <w:pStyle w:val="196"/>
            </w:pPr>
            <w:r>
              <w:rPr>
                <w:rFonts w:hint="eastAsia"/>
              </w:rPr>
              <w:t>“长阳”轮</w:t>
            </w:r>
          </w:p>
        </w:tc>
        <w:tc>
          <w:tcPr>
            <w:tcW w:w="1023" w:type="pct"/>
            <w:shd w:val="clear" w:color="auto" w:fill="FFFFFF"/>
            <w:vAlign w:val="center"/>
          </w:tcPr>
          <w:p w14:paraId="56CA3ED2">
            <w:pPr>
              <w:pStyle w:val="196"/>
            </w:pPr>
            <w:r>
              <w:rPr>
                <w:rFonts w:hint="eastAsia"/>
              </w:rPr>
              <w:t>碰撞事故</w:t>
            </w:r>
          </w:p>
        </w:tc>
        <w:tc>
          <w:tcPr>
            <w:tcW w:w="620" w:type="pct"/>
            <w:shd w:val="clear" w:color="auto" w:fill="FFFFFF"/>
            <w:vAlign w:val="center"/>
          </w:tcPr>
          <w:p w14:paraId="27D8F4FA">
            <w:pPr>
              <w:pStyle w:val="196"/>
            </w:pPr>
            <w:r>
              <w:rPr>
                <w:rFonts w:hint="eastAsia"/>
              </w:rPr>
              <w:t>85</w:t>
            </w:r>
          </w:p>
        </w:tc>
        <w:tc>
          <w:tcPr>
            <w:tcW w:w="0" w:type="auto"/>
            <w:shd w:val="clear" w:color="auto" w:fill="FFFFFF"/>
            <w:vAlign w:val="center"/>
          </w:tcPr>
          <w:p w14:paraId="493AE9DF">
            <w:pPr>
              <w:pStyle w:val="196"/>
            </w:pPr>
            <w:r>
              <w:rPr>
                <w:rFonts w:hint="eastAsia"/>
              </w:rPr>
              <w:t>燃料油</w:t>
            </w:r>
          </w:p>
        </w:tc>
      </w:tr>
      <w:tr w14:paraId="63A0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2B3ADA50">
            <w:pPr>
              <w:pStyle w:val="196"/>
            </w:pPr>
            <w:r>
              <w:rPr>
                <w:rFonts w:hint="eastAsia"/>
              </w:rPr>
              <w:t>12</w:t>
            </w:r>
          </w:p>
        </w:tc>
        <w:tc>
          <w:tcPr>
            <w:tcW w:w="608" w:type="pct"/>
            <w:shd w:val="clear" w:color="auto" w:fill="FFFFFF"/>
            <w:vAlign w:val="center"/>
          </w:tcPr>
          <w:p w14:paraId="0BD5EDC8">
            <w:pPr>
              <w:pStyle w:val="196"/>
            </w:pPr>
            <w:r>
              <w:rPr>
                <w:rFonts w:hint="eastAsia"/>
              </w:rPr>
              <w:t>2003.04.18</w:t>
            </w:r>
          </w:p>
        </w:tc>
        <w:tc>
          <w:tcPr>
            <w:tcW w:w="1053" w:type="pct"/>
            <w:shd w:val="clear" w:color="auto" w:fill="FFFFFF"/>
            <w:vAlign w:val="center"/>
          </w:tcPr>
          <w:p w14:paraId="290FC668">
            <w:pPr>
              <w:pStyle w:val="196"/>
            </w:pPr>
            <w:r>
              <w:rPr>
                <w:rFonts w:hint="eastAsia"/>
              </w:rPr>
              <w:t>长江口276号灯浮水域</w:t>
            </w:r>
          </w:p>
        </w:tc>
        <w:tc>
          <w:tcPr>
            <w:tcW w:w="1030" w:type="pct"/>
            <w:shd w:val="clear" w:color="auto" w:fill="FFFFFF"/>
            <w:vAlign w:val="center"/>
          </w:tcPr>
          <w:p w14:paraId="5D3B58D3">
            <w:pPr>
              <w:pStyle w:val="196"/>
            </w:pPr>
            <w:r>
              <w:rPr>
                <w:rFonts w:hint="eastAsia"/>
              </w:rPr>
              <w:t>“现代荣耀”轮</w:t>
            </w:r>
          </w:p>
        </w:tc>
        <w:tc>
          <w:tcPr>
            <w:tcW w:w="1023" w:type="pct"/>
            <w:shd w:val="clear" w:color="auto" w:fill="FFFFFF"/>
            <w:vAlign w:val="center"/>
          </w:tcPr>
          <w:p w14:paraId="48CB76B6">
            <w:pPr>
              <w:pStyle w:val="196"/>
            </w:pPr>
            <w:r>
              <w:rPr>
                <w:rFonts w:hint="eastAsia"/>
              </w:rPr>
              <w:t>碰撞事故</w:t>
            </w:r>
          </w:p>
        </w:tc>
        <w:tc>
          <w:tcPr>
            <w:tcW w:w="620" w:type="pct"/>
            <w:shd w:val="clear" w:color="auto" w:fill="FFFFFF"/>
            <w:vAlign w:val="center"/>
          </w:tcPr>
          <w:p w14:paraId="4095F8B6">
            <w:pPr>
              <w:pStyle w:val="196"/>
            </w:pPr>
            <w:r>
              <w:rPr>
                <w:rFonts w:hint="eastAsia"/>
              </w:rPr>
              <w:t>30</w:t>
            </w:r>
          </w:p>
        </w:tc>
        <w:tc>
          <w:tcPr>
            <w:tcW w:w="0" w:type="auto"/>
            <w:shd w:val="clear" w:color="auto" w:fill="FFFFFF"/>
            <w:vAlign w:val="center"/>
          </w:tcPr>
          <w:p w14:paraId="54733ABA">
            <w:pPr>
              <w:pStyle w:val="196"/>
            </w:pPr>
            <w:r>
              <w:rPr>
                <w:rFonts w:hint="eastAsia"/>
              </w:rPr>
              <w:t>燃料油</w:t>
            </w:r>
          </w:p>
        </w:tc>
      </w:tr>
      <w:tr w14:paraId="64E6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2D93AB31">
            <w:pPr>
              <w:pStyle w:val="196"/>
            </w:pPr>
            <w:r>
              <w:rPr>
                <w:rFonts w:hint="eastAsia"/>
              </w:rPr>
              <w:t>13</w:t>
            </w:r>
          </w:p>
        </w:tc>
        <w:tc>
          <w:tcPr>
            <w:tcW w:w="608" w:type="pct"/>
            <w:shd w:val="clear" w:color="auto" w:fill="FFFFFF"/>
            <w:vAlign w:val="center"/>
          </w:tcPr>
          <w:p w14:paraId="151B52E4">
            <w:pPr>
              <w:pStyle w:val="196"/>
            </w:pPr>
            <w:r>
              <w:rPr>
                <w:rFonts w:hint="eastAsia"/>
              </w:rPr>
              <w:t>2005.04.08</w:t>
            </w:r>
          </w:p>
        </w:tc>
        <w:tc>
          <w:tcPr>
            <w:tcW w:w="1053" w:type="pct"/>
            <w:shd w:val="clear" w:color="auto" w:fill="FFFFFF"/>
            <w:vAlign w:val="center"/>
          </w:tcPr>
          <w:p w14:paraId="5447B15F">
            <w:pPr>
              <w:pStyle w:val="196"/>
            </w:pPr>
            <w:r>
              <w:rPr>
                <w:rFonts w:hint="eastAsia"/>
              </w:rPr>
              <w:t>长江口水域</w:t>
            </w:r>
          </w:p>
        </w:tc>
        <w:tc>
          <w:tcPr>
            <w:tcW w:w="1030" w:type="pct"/>
            <w:shd w:val="clear" w:color="auto" w:fill="FFFFFF"/>
            <w:vAlign w:val="center"/>
          </w:tcPr>
          <w:p w14:paraId="5D6C5A5C">
            <w:pPr>
              <w:pStyle w:val="196"/>
            </w:pPr>
            <w:r>
              <w:rPr>
                <w:rFonts w:hint="eastAsia"/>
              </w:rPr>
              <w:t>“GG</w:t>
            </w:r>
          </w:p>
          <w:p w14:paraId="20D354E3">
            <w:pPr>
              <w:pStyle w:val="196"/>
            </w:pPr>
            <w:r>
              <w:rPr>
                <w:rFonts w:hint="eastAsia"/>
              </w:rPr>
              <w:t>CHEMIST”轮</w:t>
            </w:r>
          </w:p>
        </w:tc>
        <w:tc>
          <w:tcPr>
            <w:tcW w:w="1023" w:type="pct"/>
            <w:shd w:val="clear" w:color="auto" w:fill="FFFFFF"/>
            <w:vAlign w:val="center"/>
          </w:tcPr>
          <w:p w14:paraId="666C5DA8">
            <w:pPr>
              <w:pStyle w:val="196"/>
            </w:pPr>
            <w:r>
              <w:rPr>
                <w:rFonts w:hint="eastAsia"/>
              </w:rPr>
              <w:t>碰撞事故</w:t>
            </w:r>
          </w:p>
        </w:tc>
        <w:tc>
          <w:tcPr>
            <w:tcW w:w="620" w:type="pct"/>
            <w:shd w:val="clear" w:color="auto" w:fill="FFFFFF"/>
            <w:vAlign w:val="center"/>
          </w:tcPr>
          <w:p w14:paraId="6651E406">
            <w:pPr>
              <w:pStyle w:val="196"/>
            </w:pPr>
            <w:r>
              <w:rPr>
                <w:rFonts w:hint="eastAsia"/>
              </w:rPr>
              <w:t>67</w:t>
            </w:r>
          </w:p>
        </w:tc>
        <w:tc>
          <w:tcPr>
            <w:tcW w:w="0" w:type="auto"/>
            <w:shd w:val="clear" w:color="auto" w:fill="FFFFFF"/>
            <w:vAlign w:val="center"/>
          </w:tcPr>
          <w:p w14:paraId="6EA5ACE4">
            <w:pPr>
              <w:pStyle w:val="196"/>
            </w:pPr>
            <w:r>
              <w:rPr>
                <w:rFonts w:hint="eastAsia"/>
              </w:rPr>
              <w:t>燃油和甲苯</w:t>
            </w:r>
          </w:p>
        </w:tc>
      </w:tr>
      <w:tr w14:paraId="119FA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0029C9A7">
            <w:pPr>
              <w:pStyle w:val="196"/>
            </w:pPr>
            <w:r>
              <w:rPr>
                <w:rFonts w:hint="eastAsia"/>
              </w:rPr>
              <w:t>14</w:t>
            </w:r>
          </w:p>
        </w:tc>
        <w:tc>
          <w:tcPr>
            <w:tcW w:w="608" w:type="pct"/>
            <w:shd w:val="clear" w:color="auto" w:fill="FFFFFF"/>
            <w:vAlign w:val="center"/>
          </w:tcPr>
          <w:p w14:paraId="5E29CAC2">
            <w:pPr>
              <w:pStyle w:val="196"/>
            </w:pPr>
            <w:r>
              <w:rPr>
                <w:rFonts w:hint="eastAsia"/>
              </w:rPr>
              <w:t>2005.09.17</w:t>
            </w:r>
          </w:p>
        </w:tc>
        <w:tc>
          <w:tcPr>
            <w:tcW w:w="1053" w:type="pct"/>
            <w:shd w:val="clear" w:color="auto" w:fill="FFFFFF"/>
            <w:vAlign w:val="center"/>
          </w:tcPr>
          <w:p w14:paraId="04544C13">
            <w:pPr>
              <w:pStyle w:val="196"/>
            </w:pPr>
            <w:r>
              <w:rPr>
                <w:rFonts w:hint="eastAsia"/>
              </w:rPr>
              <w:t>上海军工路闸北电厂码头水域</w:t>
            </w:r>
          </w:p>
        </w:tc>
        <w:tc>
          <w:tcPr>
            <w:tcW w:w="1030" w:type="pct"/>
            <w:shd w:val="clear" w:color="auto" w:fill="FFFFFF"/>
            <w:vAlign w:val="center"/>
          </w:tcPr>
          <w:p w14:paraId="30F71D5D">
            <w:pPr>
              <w:pStyle w:val="196"/>
            </w:pPr>
            <w:r>
              <w:rPr>
                <w:rFonts w:hint="eastAsia"/>
              </w:rPr>
              <w:t>“朝阳平8”轮</w:t>
            </w:r>
          </w:p>
        </w:tc>
        <w:tc>
          <w:tcPr>
            <w:tcW w:w="1023" w:type="pct"/>
            <w:shd w:val="clear" w:color="auto" w:fill="FFFFFF"/>
            <w:vAlign w:val="center"/>
          </w:tcPr>
          <w:p w14:paraId="132E55ED">
            <w:pPr>
              <w:pStyle w:val="196"/>
            </w:pPr>
            <w:r>
              <w:rPr>
                <w:rFonts w:hint="eastAsia"/>
              </w:rPr>
              <w:t>碰撞事故</w:t>
            </w:r>
          </w:p>
        </w:tc>
        <w:tc>
          <w:tcPr>
            <w:tcW w:w="620" w:type="pct"/>
            <w:shd w:val="clear" w:color="auto" w:fill="FFFFFF"/>
            <w:vAlign w:val="center"/>
          </w:tcPr>
          <w:p w14:paraId="73A3101B">
            <w:pPr>
              <w:pStyle w:val="196"/>
            </w:pPr>
            <w:r>
              <w:rPr>
                <w:rFonts w:hint="eastAsia"/>
              </w:rPr>
              <w:t>185</w:t>
            </w:r>
          </w:p>
        </w:tc>
        <w:tc>
          <w:tcPr>
            <w:tcW w:w="0" w:type="auto"/>
            <w:shd w:val="clear" w:color="auto" w:fill="FFFFFF"/>
            <w:vAlign w:val="center"/>
          </w:tcPr>
          <w:p w14:paraId="51ADBFB0">
            <w:pPr>
              <w:pStyle w:val="196"/>
            </w:pPr>
            <w:r>
              <w:rPr>
                <w:rFonts w:hint="eastAsia"/>
              </w:rPr>
              <w:t>汽油</w:t>
            </w:r>
          </w:p>
        </w:tc>
      </w:tr>
      <w:tr w14:paraId="11D6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340C076E">
            <w:pPr>
              <w:pStyle w:val="196"/>
            </w:pPr>
            <w:r>
              <w:rPr>
                <w:rFonts w:hint="eastAsia"/>
              </w:rPr>
              <w:t>15</w:t>
            </w:r>
          </w:p>
        </w:tc>
        <w:tc>
          <w:tcPr>
            <w:tcW w:w="608" w:type="pct"/>
            <w:shd w:val="clear" w:color="auto" w:fill="FFFFFF"/>
            <w:vAlign w:val="center"/>
          </w:tcPr>
          <w:p w14:paraId="4C85DCE7">
            <w:pPr>
              <w:pStyle w:val="196"/>
            </w:pPr>
            <w:r>
              <w:rPr>
                <w:rFonts w:hint="eastAsia"/>
              </w:rPr>
              <w:t>2006.12.12</w:t>
            </w:r>
          </w:p>
        </w:tc>
        <w:tc>
          <w:tcPr>
            <w:tcW w:w="1053" w:type="pct"/>
            <w:shd w:val="clear" w:color="auto" w:fill="FFFFFF"/>
            <w:vAlign w:val="center"/>
          </w:tcPr>
          <w:p w14:paraId="467870DF">
            <w:pPr>
              <w:pStyle w:val="196"/>
            </w:pPr>
            <w:r>
              <w:rPr>
                <w:rFonts w:hint="eastAsia"/>
              </w:rPr>
              <w:t>洋山沈家油库码头</w:t>
            </w:r>
          </w:p>
        </w:tc>
        <w:tc>
          <w:tcPr>
            <w:tcW w:w="1030" w:type="pct"/>
            <w:shd w:val="clear" w:color="auto" w:fill="FFFFFF"/>
            <w:vAlign w:val="center"/>
          </w:tcPr>
          <w:p w14:paraId="158EE485">
            <w:pPr>
              <w:pStyle w:val="196"/>
            </w:pPr>
            <w:r>
              <w:rPr>
                <w:rFonts w:hint="eastAsia"/>
              </w:rPr>
              <w:t>“舟通油11”轮</w:t>
            </w:r>
          </w:p>
        </w:tc>
        <w:tc>
          <w:tcPr>
            <w:tcW w:w="1023" w:type="pct"/>
            <w:shd w:val="clear" w:color="auto" w:fill="FFFFFF"/>
            <w:vAlign w:val="center"/>
          </w:tcPr>
          <w:p w14:paraId="25E17D10">
            <w:pPr>
              <w:pStyle w:val="196"/>
            </w:pPr>
            <w:r>
              <w:rPr>
                <w:rFonts w:hint="eastAsia"/>
              </w:rPr>
              <w:t>因误操作</w:t>
            </w:r>
          </w:p>
        </w:tc>
        <w:tc>
          <w:tcPr>
            <w:tcW w:w="620" w:type="pct"/>
            <w:shd w:val="clear" w:color="auto" w:fill="FFFFFF"/>
            <w:vAlign w:val="center"/>
          </w:tcPr>
          <w:p w14:paraId="568791DF">
            <w:pPr>
              <w:pStyle w:val="196"/>
            </w:pPr>
            <w:r>
              <w:rPr>
                <w:rFonts w:hint="eastAsia"/>
              </w:rPr>
              <w:t>11</w:t>
            </w:r>
          </w:p>
        </w:tc>
        <w:tc>
          <w:tcPr>
            <w:tcW w:w="0" w:type="auto"/>
            <w:shd w:val="clear" w:color="auto" w:fill="FFFFFF"/>
            <w:vAlign w:val="center"/>
          </w:tcPr>
          <w:p w14:paraId="29F407A8">
            <w:pPr>
              <w:pStyle w:val="196"/>
            </w:pPr>
            <w:r>
              <w:rPr>
                <w:rFonts w:hint="eastAsia"/>
              </w:rPr>
              <w:t>燃油</w:t>
            </w:r>
          </w:p>
        </w:tc>
      </w:tr>
      <w:tr w14:paraId="5EF2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6D9BC138">
            <w:pPr>
              <w:pStyle w:val="196"/>
            </w:pPr>
            <w:r>
              <w:rPr>
                <w:rFonts w:hint="eastAsia"/>
              </w:rPr>
              <w:t>16</w:t>
            </w:r>
          </w:p>
        </w:tc>
        <w:tc>
          <w:tcPr>
            <w:tcW w:w="608" w:type="pct"/>
            <w:shd w:val="clear" w:color="auto" w:fill="FFFFFF"/>
            <w:vAlign w:val="center"/>
          </w:tcPr>
          <w:p w14:paraId="0B506FDE">
            <w:pPr>
              <w:pStyle w:val="196"/>
            </w:pPr>
            <w:r>
              <w:rPr>
                <w:rFonts w:hint="eastAsia"/>
              </w:rPr>
              <w:t>2005.03</w:t>
            </w:r>
          </w:p>
        </w:tc>
        <w:tc>
          <w:tcPr>
            <w:tcW w:w="1053" w:type="pct"/>
            <w:shd w:val="clear" w:color="auto" w:fill="FFFFFF"/>
            <w:vAlign w:val="center"/>
          </w:tcPr>
          <w:p w14:paraId="27E04821">
            <w:pPr>
              <w:pStyle w:val="196"/>
            </w:pPr>
            <w:r>
              <w:rPr>
                <w:rFonts w:hint="eastAsia"/>
              </w:rPr>
              <w:t>江阴港</w:t>
            </w:r>
          </w:p>
        </w:tc>
        <w:tc>
          <w:tcPr>
            <w:tcW w:w="1030" w:type="pct"/>
            <w:shd w:val="clear" w:color="auto" w:fill="FFFFFF"/>
            <w:vAlign w:val="center"/>
          </w:tcPr>
          <w:p w14:paraId="623BE178">
            <w:pPr>
              <w:pStyle w:val="196"/>
            </w:pPr>
            <w:r>
              <w:rPr>
                <w:rFonts w:hint="eastAsia"/>
              </w:rPr>
              <w:t>“林茂”</w:t>
            </w:r>
          </w:p>
        </w:tc>
        <w:tc>
          <w:tcPr>
            <w:tcW w:w="1023" w:type="pct"/>
            <w:shd w:val="clear" w:color="auto" w:fill="FFFFFF"/>
            <w:vAlign w:val="center"/>
          </w:tcPr>
          <w:p w14:paraId="2E459D60">
            <w:pPr>
              <w:pStyle w:val="196"/>
            </w:pPr>
            <w:r>
              <w:rPr>
                <w:rFonts w:hint="eastAsia"/>
              </w:rPr>
              <w:t>沉没</w:t>
            </w:r>
          </w:p>
        </w:tc>
        <w:tc>
          <w:tcPr>
            <w:tcW w:w="620" w:type="pct"/>
            <w:shd w:val="clear" w:color="auto" w:fill="FFFFFF"/>
            <w:vAlign w:val="center"/>
          </w:tcPr>
          <w:p w14:paraId="3FB32B1D">
            <w:pPr>
              <w:pStyle w:val="196"/>
            </w:pPr>
            <w:r>
              <w:rPr>
                <w:rFonts w:hint="eastAsia"/>
              </w:rPr>
              <w:t>/</w:t>
            </w:r>
          </w:p>
        </w:tc>
        <w:tc>
          <w:tcPr>
            <w:tcW w:w="0" w:type="auto"/>
            <w:shd w:val="clear" w:color="auto" w:fill="FFFFFF"/>
            <w:vAlign w:val="center"/>
          </w:tcPr>
          <w:p w14:paraId="5789DD10">
            <w:pPr>
              <w:pStyle w:val="196"/>
            </w:pPr>
            <w:r>
              <w:rPr>
                <w:rFonts w:hint="eastAsia"/>
              </w:rPr>
              <w:t>重油</w:t>
            </w:r>
          </w:p>
        </w:tc>
      </w:tr>
      <w:tr w14:paraId="6906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1A265832">
            <w:pPr>
              <w:pStyle w:val="196"/>
            </w:pPr>
            <w:r>
              <w:rPr>
                <w:rFonts w:hint="eastAsia"/>
              </w:rPr>
              <w:t>17</w:t>
            </w:r>
          </w:p>
        </w:tc>
        <w:tc>
          <w:tcPr>
            <w:tcW w:w="608" w:type="pct"/>
            <w:shd w:val="clear" w:color="auto" w:fill="FFFFFF"/>
            <w:vAlign w:val="center"/>
          </w:tcPr>
          <w:p w14:paraId="4C12321B">
            <w:pPr>
              <w:pStyle w:val="196"/>
            </w:pPr>
            <w:r>
              <w:rPr>
                <w:rFonts w:hint="eastAsia"/>
              </w:rPr>
              <w:t>2010.02.08</w:t>
            </w:r>
          </w:p>
        </w:tc>
        <w:tc>
          <w:tcPr>
            <w:tcW w:w="1053" w:type="pct"/>
            <w:shd w:val="clear" w:color="auto" w:fill="FFFFFF"/>
            <w:vAlign w:val="center"/>
          </w:tcPr>
          <w:p w14:paraId="71191BA2">
            <w:pPr>
              <w:pStyle w:val="196"/>
            </w:pPr>
            <w:r>
              <w:rPr>
                <w:rFonts w:hint="eastAsia"/>
              </w:rPr>
              <w:t>长江#54浮下游</w:t>
            </w:r>
          </w:p>
        </w:tc>
        <w:tc>
          <w:tcPr>
            <w:tcW w:w="1030" w:type="pct"/>
            <w:shd w:val="clear" w:color="auto" w:fill="FFFFFF"/>
            <w:vAlign w:val="center"/>
          </w:tcPr>
          <w:p w14:paraId="6B461048">
            <w:pPr>
              <w:pStyle w:val="196"/>
            </w:pPr>
            <w:r>
              <w:rPr>
                <w:rFonts w:hint="eastAsia"/>
              </w:rPr>
              <w:t>“鹏翔9"轮</w:t>
            </w:r>
          </w:p>
          <w:p w14:paraId="79EB92DD">
            <w:pPr>
              <w:pStyle w:val="196"/>
            </w:pPr>
            <w:r>
              <w:rPr>
                <w:rFonts w:hint="eastAsia"/>
              </w:rPr>
              <w:t>“金泰618"轮</w:t>
            </w:r>
          </w:p>
        </w:tc>
        <w:tc>
          <w:tcPr>
            <w:tcW w:w="1023" w:type="pct"/>
            <w:shd w:val="clear" w:color="auto" w:fill="FFFFFF"/>
            <w:vAlign w:val="center"/>
          </w:tcPr>
          <w:p w14:paraId="5D6E1A1A">
            <w:pPr>
              <w:pStyle w:val="196"/>
            </w:pPr>
            <w:r>
              <w:rPr>
                <w:rFonts w:hint="eastAsia"/>
              </w:rPr>
              <w:t>碰撞沉没</w:t>
            </w:r>
          </w:p>
        </w:tc>
        <w:tc>
          <w:tcPr>
            <w:tcW w:w="620" w:type="pct"/>
            <w:shd w:val="clear" w:color="auto" w:fill="FFFFFF"/>
            <w:vAlign w:val="center"/>
          </w:tcPr>
          <w:p w14:paraId="63EC2DFC">
            <w:pPr>
              <w:pStyle w:val="196"/>
            </w:pPr>
            <w:r>
              <w:rPr>
                <w:rFonts w:hint="eastAsia"/>
              </w:rPr>
              <w:t>/</w:t>
            </w:r>
          </w:p>
        </w:tc>
        <w:tc>
          <w:tcPr>
            <w:tcW w:w="0" w:type="auto"/>
            <w:shd w:val="clear" w:color="auto" w:fill="FFFFFF"/>
            <w:vAlign w:val="center"/>
          </w:tcPr>
          <w:p w14:paraId="76AD14E1">
            <w:pPr>
              <w:pStyle w:val="196"/>
            </w:pPr>
            <w:r>
              <w:rPr>
                <w:rFonts w:hint="eastAsia"/>
              </w:rPr>
              <w:t>汽油</w:t>
            </w:r>
          </w:p>
        </w:tc>
      </w:tr>
      <w:tr w14:paraId="7A26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4A58712E">
            <w:pPr>
              <w:pStyle w:val="196"/>
            </w:pPr>
            <w:r>
              <w:rPr>
                <w:rFonts w:hint="eastAsia"/>
              </w:rPr>
              <w:t>18</w:t>
            </w:r>
          </w:p>
        </w:tc>
        <w:tc>
          <w:tcPr>
            <w:tcW w:w="608" w:type="pct"/>
            <w:shd w:val="clear" w:color="auto" w:fill="FFFFFF"/>
            <w:vAlign w:val="center"/>
          </w:tcPr>
          <w:p w14:paraId="3DFAC5EE">
            <w:pPr>
              <w:pStyle w:val="196"/>
            </w:pPr>
            <w:r>
              <w:rPr>
                <w:rFonts w:hint="eastAsia"/>
              </w:rPr>
              <w:t>2013.12.28</w:t>
            </w:r>
          </w:p>
        </w:tc>
        <w:tc>
          <w:tcPr>
            <w:tcW w:w="1053" w:type="pct"/>
            <w:shd w:val="clear" w:color="auto" w:fill="FFFFFF"/>
            <w:vAlign w:val="center"/>
          </w:tcPr>
          <w:p w14:paraId="58881B98">
            <w:pPr>
              <w:pStyle w:val="196"/>
            </w:pPr>
            <w:r>
              <w:rPr>
                <w:rFonts w:hint="eastAsia"/>
              </w:rPr>
              <w:t>长江#99-98浮</w:t>
            </w:r>
          </w:p>
        </w:tc>
        <w:tc>
          <w:tcPr>
            <w:tcW w:w="1030" w:type="pct"/>
            <w:shd w:val="clear" w:color="auto" w:fill="FFFFFF"/>
            <w:vAlign w:val="center"/>
          </w:tcPr>
          <w:p w14:paraId="789771C7">
            <w:pPr>
              <w:pStyle w:val="196"/>
            </w:pPr>
            <w:r>
              <w:rPr>
                <w:rFonts w:hint="eastAsia"/>
              </w:rPr>
              <w:t>采砂船</w:t>
            </w:r>
          </w:p>
        </w:tc>
        <w:tc>
          <w:tcPr>
            <w:tcW w:w="1023" w:type="pct"/>
            <w:shd w:val="clear" w:color="auto" w:fill="FFFFFF"/>
            <w:vAlign w:val="center"/>
          </w:tcPr>
          <w:p w14:paraId="64F4DE25">
            <w:pPr>
              <w:pStyle w:val="196"/>
            </w:pPr>
            <w:r>
              <w:rPr>
                <w:rFonts w:hint="eastAsia"/>
              </w:rPr>
              <w:t>碰撞事故</w:t>
            </w:r>
          </w:p>
        </w:tc>
        <w:tc>
          <w:tcPr>
            <w:tcW w:w="620" w:type="pct"/>
            <w:shd w:val="clear" w:color="auto" w:fill="FFFFFF"/>
            <w:vAlign w:val="center"/>
          </w:tcPr>
          <w:p w14:paraId="20FB1F37">
            <w:pPr>
              <w:pStyle w:val="196"/>
            </w:pPr>
            <w:r>
              <w:rPr>
                <w:rFonts w:hint="eastAsia"/>
              </w:rPr>
              <w:t>/</w:t>
            </w:r>
          </w:p>
        </w:tc>
        <w:tc>
          <w:tcPr>
            <w:tcW w:w="0" w:type="auto"/>
            <w:shd w:val="clear" w:color="auto" w:fill="FFFFFF"/>
            <w:vAlign w:val="center"/>
          </w:tcPr>
          <w:p w14:paraId="5CE9386D">
            <w:pPr>
              <w:pStyle w:val="196"/>
            </w:pPr>
            <w:r>
              <w:rPr>
                <w:rFonts w:hint="eastAsia"/>
              </w:rPr>
              <w:t>柴油</w:t>
            </w:r>
          </w:p>
        </w:tc>
      </w:tr>
      <w:tr w14:paraId="57F1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358809F1">
            <w:pPr>
              <w:pStyle w:val="196"/>
            </w:pPr>
            <w:r>
              <w:rPr>
                <w:rFonts w:hint="eastAsia"/>
              </w:rPr>
              <w:t>19</w:t>
            </w:r>
          </w:p>
        </w:tc>
        <w:tc>
          <w:tcPr>
            <w:tcW w:w="608" w:type="pct"/>
            <w:shd w:val="clear" w:color="auto" w:fill="FFFFFF"/>
            <w:vAlign w:val="center"/>
          </w:tcPr>
          <w:p w14:paraId="3EF244C8">
            <w:pPr>
              <w:pStyle w:val="196"/>
            </w:pPr>
            <w:r>
              <w:rPr>
                <w:rFonts w:hint="eastAsia"/>
              </w:rPr>
              <w:t>2014.03.12</w:t>
            </w:r>
          </w:p>
        </w:tc>
        <w:tc>
          <w:tcPr>
            <w:tcW w:w="1053" w:type="pct"/>
            <w:shd w:val="clear" w:color="auto" w:fill="FFFFFF"/>
            <w:vAlign w:val="center"/>
          </w:tcPr>
          <w:p w14:paraId="6F458B83">
            <w:pPr>
              <w:pStyle w:val="196"/>
            </w:pPr>
            <w:r>
              <w:rPr>
                <w:rFonts w:hint="eastAsia"/>
              </w:rPr>
              <w:t>长江#112浮西游</w:t>
            </w:r>
          </w:p>
          <w:p w14:paraId="5A061F24">
            <w:pPr>
              <w:pStyle w:val="196"/>
            </w:pPr>
            <w:r>
              <w:rPr>
                <w:rFonts w:hint="eastAsia"/>
              </w:rPr>
              <w:t>500m处</w:t>
            </w:r>
          </w:p>
        </w:tc>
        <w:tc>
          <w:tcPr>
            <w:tcW w:w="1030" w:type="pct"/>
            <w:shd w:val="clear" w:color="auto" w:fill="FFFFFF"/>
            <w:vAlign w:val="center"/>
          </w:tcPr>
          <w:p w14:paraId="37E5A057">
            <w:pPr>
              <w:pStyle w:val="196"/>
            </w:pPr>
            <w:r>
              <w:rPr>
                <w:rFonts w:hint="eastAsia"/>
              </w:rPr>
              <w:t>“皖永安”轮</w:t>
            </w:r>
          </w:p>
        </w:tc>
        <w:tc>
          <w:tcPr>
            <w:tcW w:w="1023" w:type="pct"/>
            <w:shd w:val="clear" w:color="auto" w:fill="FFFFFF"/>
            <w:vAlign w:val="center"/>
          </w:tcPr>
          <w:p w14:paraId="7F44F188">
            <w:pPr>
              <w:pStyle w:val="196"/>
            </w:pPr>
            <w:r>
              <w:rPr>
                <w:rFonts w:hint="eastAsia"/>
              </w:rPr>
              <w:t>碰撞事故</w:t>
            </w:r>
          </w:p>
        </w:tc>
        <w:tc>
          <w:tcPr>
            <w:tcW w:w="620" w:type="pct"/>
            <w:shd w:val="clear" w:color="auto" w:fill="FFFFFF"/>
            <w:vAlign w:val="center"/>
          </w:tcPr>
          <w:p w14:paraId="12F2FCFF">
            <w:pPr>
              <w:pStyle w:val="196"/>
            </w:pPr>
            <w:r>
              <w:rPr>
                <w:rFonts w:hint="eastAsia"/>
              </w:rPr>
              <w:t>/</w:t>
            </w:r>
          </w:p>
        </w:tc>
        <w:tc>
          <w:tcPr>
            <w:tcW w:w="0" w:type="auto"/>
            <w:shd w:val="clear" w:color="auto" w:fill="FFFFFF"/>
            <w:vAlign w:val="center"/>
          </w:tcPr>
          <w:p w14:paraId="0EE08F97">
            <w:pPr>
              <w:pStyle w:val="196"/>
            </w:pPr>
            <w:r>
              <w:rPr>
                <w:rFonts w:hint="eastAsia"/>
              </w:rPr>
              <w:t>柴油</w:t>
            </w:r>
          </w:p>
        </w:tc>
      </w:tr>
      <w:tr w14:paraId="7C62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616C5578">
            <w:pPr>
              <w:pStyle w:val="196"/>
            </w:pPr>
            <w:r>
              <w:rPr>
                <w:rFonts w:hint="eastAsia"/>
              </w:rPr>
              <w:t>20</w:t>
            </w:r>
          </w:p>
        </w:tc>
        <w:tc>
          <w:tcPr>
            <w:tcW w:w="608" w:type="pct"/>
            <w:shd w:val="clear" w:color="auto" w:fill="FFFFFF"/>
            <w:vAlign w:val="center"/>
          </w:tcPr>
          <w:p w14:paraId="1417B71C">
            <w:pPr>
              <w:pStyle w:val="196"/>
            </w:pPr>
            <w:r>
              <w:rPr>
                <w:rFonts w:hint="eastAsia"/>
              </w:rPr>
              <w:t>2014.04.26</w:t>
            </w:r>
          </w:p>
        </w:tc>
        <w:tc>
          <w:tcPr>
            <w:tcW w:w="1053" w:type="pct"/>
            <w:shd w:val="clear" w:color="auto" w:fill="FFFFFF"/>
            <w:vAlign w:val="center"/>
          </w:tcPr>
          <w:p w14:paraId="6CD870D4">
            <w:pPr>
              <w:pStyle w:val="196"/>
            </w:pPr>
            <w:r>
              <w:rPr>
                <w:rFonts w:hint="eastAsia"/>
              </w:rPr>
              <w:t>长江#94黑浮附近</w:t>
            </w:r>
          </w:p>
        </w:tc>
        <w:tc>
          <w:tcPr>
            <w:tcW w:w="1030" w:type="pct"/>
            <w:shd w:val="clear" w:color="auto" w:fill="FFFFFF"/>
            <w:vAlign w:val="center"/>
          </w:tcPr>
          <w:p w14:paraId="466D760B">
            <w:pPr>
              <w:pStyle w:val="196"/>
            </w:pPr>
            <w:r>
              <w:rPr>
                <w:rFonts w:hint="eastAsia"/>
              </w:rPr>
              <w:t>“河牛</w:t>
            </w:r>
            <w:r>
              <w:rPr>
                <w:rFonts w:hint="eastAsia"/>
                <w:lang w:eastAsia="zh-CN"/>
              </w:rPr>
              <w:t>，</w:t>
            </w:r>
            <w:r>
              <w:rPr>
                <w:rFonts w:hint="eastAsia"/>
              </w:rPr>
              <w:t>轮</w:t>
            </w:r>
          </w:p>
        </w:tc>
        <w:tc>
          <w:tcPr>
            <w:tcW w:w="1023" w:type="pct"/>
            <w:shd w:val="clear" w:color="auto" w:fill="FFFFFF"/>
            <w:vAlign w:val="center"/>
          </w:tcPr>
          <w:p w14:paraId="705655BE">
            <w:pPr>
              <w:pStyle w:val="196"/>
            </w:pPr>
            <w:r>
              <w:rPr>
                <w:rFonts w:hint="eastAsia"/>
              </w:rPr>
              <w:t>碰撞事故</w:t>
            </w:r>
          </w:p>
        </w:tc>
        <w:tc>
          <w:tcPr>
            <w:tcW w:w="620" w:type="pct"/>
            <w:shd w:val="clear" w:color="auto" w:fill="FFFFFF"/>
            <w:vAlign w:val="center"/>
          </w:tcPr>
          <w:p w14:paraId="3B243A62">
            <w:pPr>
              <w:pStyle w:val="196"/>
            </w:pPr>
            <w:r>
              <w:rPr>
                <w:rFonts w:hint="eastAsia"/>
              </w:rPr>
              <w:t>/</w:t>
            </w:r>
          </w:p>
        </w:tc>
        <w:tc>
          <w:tcPr>
            <w:tcW w:w="0" w:type="auto"/>
            <w:shd w:val="clear" w:color="auto" w:fill="FFFFFF"/>
            <w:vAlign w:val="center"/>
          </w:tcPr>
          <w:p w14:paraId="77E08BDA">
            <w:pPr>
              <w:pStyle w:val="196"/>
            </w:pPr>
            <w:r>
              <w:rPr>
                <w:rFonts w:hint="eastAsia"/>
              </w:rPr>
              <w:t>汽油</w:t>
            </w:r>
          </w:p>
        </w:tc>
      </w:tr>
      <w:tr w14:paraId="6D4E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5D09FC7D">
            <w:pPr>
              <w:pStyle w:val="196"/>
            </w:pPr>
            <w:r>
              <w:rPr>
                <w:rFonts w:hint="eastAsia"/>
              </w:rPr>
              <w:t>21</w:t>
            </w:r>
          </w:p>
        </w:tc>
        <w:tc>
          <w:tcPr>
            <w:tcW w:w="608" w:type="pct"/>
            <w:shd w:val="clear" w:color="auto" w:fill="FFFFFF"/>
            <w:vAlign w:val="center"/>
          </w:tcPr>
          <w:p w14:paraId="63282272">
            <w:pPr>
              <w:pStyle w:val="196"/>
            </w:pPr>
            <w:r>
              <w:rPr>
                <w:rFonts w:hint="eastAsia"/>
              </w:rPr>
              <w:t>2015.1.15</w:t>
            </w:r>
          </w:p>
        </w:tc>
        <w:tc>
          <w:tcPr>
            <w:tcW w:w="1053" w:type="pct"/>
            <w:shd w:val="clear" w:color="auto" w:fill="FFFFFF"/>
            <w:vAlign w:val="center"/>
          </w:tcPr>
          <w:p w14:paraId="15BE63DB">
            <w:pPr>
              <w:pStyle w:val="196"/>
            </w:pPr>
            <w:r>
              <w:rPr>
                <w:rFonts w:hint="eastAsia"/>
              </w:rPr>
              <w:t>长江泰州段</w:t>
            </w:r>
          </w:p>
        </w:tc>
        <w:tc>
          <w:tcPr>
            <w:tcW w:w="1030" w:type="pct"/>
            <w:shd w:val="clear" w:color="auto" w:fill="FFFFFF"/>
            <w:vAlign w:val="center"/>
          </w:tcPr>
          <w:p w14:paraId="44098660">
            <w:pPr>
              <w:pStyle w:val="196"/>
            </w:pPr>
            <w:r>
              <w:rPr>
                <w:rFonts w:hint="eastAsia"/>
              </w:rPr>
              <w:t>“皖神舟67”轮</w:t>
            </w:r>
          </w:p>
        </w:tc>
        <w:tc>
          <w:tcPr>
            <w:tcW w:w="1023" w:type="pct"/>
            <w:shd w:val="clear" w:color="auto" w:fill="FFFFFF"/>
            <w:vAlign w:val="center"/>
          </w:tcPr>
          <w:p w14:paraId="3C74E518">
            <w:pPr>
              <w:pStyle w:val="196"/>
            </w:pPr>
            <w:r>
              <w:rPr>
                <w:rFonts w:hint="eastAsia"/>
              </w:rPr>
              <w:t>翻船沉没</w:t>
            </w:r>
          </w:p>
        </w:tc>
        <w:tc>
          <w:tcPr>
            <w:tcW w:w="620" w:type="pct"/>
            <w:shd w:val="clear" w:color="auto" w:fill="FFFFFF"/>
            <w:vAlign w:val="center"/>
          </w:tcPr>
          <w:p w14:paraId="6B85A9D9">
            <w:pPr>
              <w:pStyle w:val="196"/>
            </w:pPr>
            <w:r>
              <w:rPr>
                <w:rFonts w:hint="eastAsia"/>
              </w:rPr>
              <w:t>/</w:t>
            </w:r>
          </w:p>
        </w:tc>
        <w:tc>
          <w:tcPr>
            <w:tcW w:w="0" w:type="auto"/>
            <w:shd w:val="clear" w:color="auto" w:fill="FFFFFF"/>
            <w:vAlign w:val="center"/>
          </w:tcPr>
          <w:p w14:paraId="01D1EBC3">
            <w:pPr>
              <w:pStyle w:val="196"/>
            </w:pPr>
            <w:r>
              <w:rPr>
                <w:rFonts w:hint="eastAsia"/>
              </w:rPr>
              <w:t>汽油</w:t>
            </w:r>
          </w:p>
        </w:tc>
      </w:tr>
      <w:tr w14:paraId="118C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48" w:type="pct"/>
            <w:shd w:val="clear" w:color="auto" w:fill="FFFFFF"/>
            <w:vAlign w:val="center"/>
          </w:tcPr>
          <w:p w14:paraId="6F7E362B">
            <w:pPr>
              <w:pStyle w:val="196"/>
            </w:pPr>
            <w:r>
              <w:rPr>
                <w:rFonts w:hint="eastAsia"/>
              </w:rPr>
              <w:t>22</w:t>
            </w:r>
          </w:p>
        </w:tc>
        <w:tc>
          <w:tcPr>
            <w:tcW w:w="608" w:type="pct"/>
            <w:shd w:val="clear" w:color="auto" w:fill="FFFFFF"/>
            <w:vAlign w:val="center"/>
          </w:tcPr>
          <w:p w14:paraId="57F0F54C">
            <w:pPr>
              <w:pStyle w:val="196"/>
            </w:pPr>
            <w:r>
              <w:rPr>
                <w:rFonts w:hint="eastAsia"/>
              </w:rPr>
              <w:t>2017.7.9</w:t>
            </w:r>
          </w:p>
        </w:tc>
        <w:tc>
          <w:tcPr>
            <w:tcW w:w="1053" w:type="pct"/>
            <w:shd w:val="clear" w:color="auto" w:fill="FFFFFF"/>
            <w:vAlign w:val="center"/>
          </w:tcPr>
          <w:p w14:paraId="51FF512E">
            <w:pPr>
              <w:pStyle w:val="196"/>
            </w:pPr>
            <w:r>
              <w:rPr>
                <w:rFonts w:hint="eastAsia"/>
              </w:rPr>
              <w:t>长江常州段</w:t>
            </w:r>
          </w:p>
        </w:tc>
        <w:tc>
          <w:tcPr>
            <w:tcW w:w="1030" w:type="pct"/>
            <w:shd w:val="clear" w:color="auto" w:fill="FFFFFF"/>
            <w:vAlign w:val="center"/>
          </w:tcPr>
          <w:p w14:paraId="4ADA331E">
            <w:pPr>
              <w:pStyle w:val="196"/>
            </w:pPr>
            <w:r>
              <w:rPr>
                <w:rFonts w:hint="eastAsia"/>
              </w:rPr>
              <w:t>双龙海号货轮</w:t>
            </w:r>
          </w:p>
        </w:tc>
        <w:tc>
          <w:tcPr>
            <w:tcW w:w="1023" w:type="pct"/>
            <w:shd w:val="clear" w:color="auto" w:fill="FFFFFF"/>
            <w:vAlign w:val="center"/>
          </w:tcPr>
          <w:p w14:paraId="2FE7E4D5">
            <w:pPr>
              <w:pStyle w:val="196"/>
            </w:pPr>
            <w:r>
              <w:rPr>
                <w:rFonts w:hint="eastAsia"/>
              </w:rPr>
              <w:t>碰撞造成码头坍塌</w:t>
            </w:r>
          </w:p>
        </w:tc>
        <w:tc>
          <w:tcPr>
            <w:tcW w:w="620" w:type="pct"/>
            <w:shd w:val="clear" w:color="auto" w:fill="FFFFFF"/>
            <w:vAlign w:val="center"/>
          </w:tcPr>
          <w:p w14:paraId="6E429E89">
            <w:pPr>
              <w:pStyle w:val="196"/>
            </w:pPr>
            <w:r>
              <w:rPr>
                <w:rFonts w:hint="eastAsia"/>
              </w:rPr>
              <w:t>/</w:t>
            </w:r>
          </w:p>
        </w:tc>
        <w:tc>
          <w:tcPr>
            <w:tcW w:w="0" w:type="auto"/>
            <w:shd w:val="clear" w:color="auto" w:fill="FFFFFF"/>
            <w:vAlign w:val="center"/>
          </w:tcPr>
          <w:p w14:paraId="0CC8E1D6">
            <w:pPr>
              <w:pStyle w:val="196"/>
            </w:pPr>
            <w:r>
              <w:rPr>
                <w:rFonts w:hint="eastAsia"/>
              </w:rPr>
              <w:t>燃料油</w:t>
            </w:r>
          </w:p>
        </w:tc>
      </w:tr>
    </w:tbl>
    <w:p w14:paraId="588317F6">
      <w:pPr>
        <w:pStyle w:val="93"/>
      </w:pPr>
      <w:r>
        <w:rPr>
          <w:rFonts w:hint="eastAsia"/>
        </w:rPr>
        <w:t>1、船舶交通流量情况</w:t>
      </w:r>
    </w:p>
    <w:p w14:paraId="383B1282">
      <w:pPr>
        <w:pStyle w:val="93"/>
      </w:pPr>
      <w:r>
        <w:rPr>
          <w:rFonts w:hint="eastAsia"/>
        </w:rPr>
        <w:t>淮安市范围有闸13座，主要分布在京杭运河、洪泽湖、福河等航道，其中京杭运河日船舶通量800艘次，年过境物资1.5亿吨，其中洪泽湖、淮河日船舶通量300艘次。根据淮安海事局提供资料，淮安河港2016至2018年船舶出港236500艘次，淮安河港3年的出港船舶和过境流量见表5.3-5。</w:t>
      </w:r>
    </w:p>
    <w:p w14:paraId="4D41CC68">
      <w:pPr>
        <w:pStyle w:val="86"/>
      </w:pPr>
      <w:r>
        <w:rPr>
          <w:rFonts w:hint="eastAsia"/>
        </w:rPr>
        <w:t>2015~2017淮安</w:t>
      </w:r>
      <w:r>
        <w:rPr>
          <w:rFonts w:hint="eastAsia"/>
          <w:lang w:eastAsia="zh-CN"/>
        </w:rPr>
        <w:t>港</w:t>
      </w:r>
      <w:r>
        <w:rPr>
          <w:rFonts w:hint="eastAsia"/>
        </w:rPr>
        <w:t>船舶出港及过境流量统计</w:t>
      </w:r>
    </w:p>
    <w:tbl>
      <w:tblPr>
        <w:tblStyle w:val="38"/>
        <w:tblW w:w="4998" w:type="pct"/>
        <w:tblInd w:w="0" w:type="dxa"/>
        <w:tblLayout w:type="autofit"/>
        <w:tblCellMar>
          <w:top w:w="0" w:type="dxa"/>
          <w:left w:w="0" w:type="dxa"/>
          <w:bottom w:w="0" w:type="dxa"/>
          <w:right w:w="0" w:type="dxa"/>
        </w:tblCellMar>
      </w:tblPr>
      <w:tblGrid>
        <w:gridCol w:w="1792"/>
        <w:gridCol w:w="3267"/>
        <w:gridCol w:w="3253"/>
      </w:tblGrid>
      <w:tr w14:paraId="4409C7B2">
        <w:tblPrEx>
          <w:tblCellMar>
            <w:top w:w="0" w:type="dxa"/>
            <w:left w:w="0" w:type="dxa"/>
            <w:bottom w:w="0" w:type="dxa"/>
            <w:right w:w="0" w:type="dxa"/>
          </w:tblCellMar>
        </w:tblPrEx>
        <w:trPr>
          <w:trHeight w:val="376" w:hRule="exact"/>
          <w:tblHeader/>
        </w:trPr>
        <w:tc>
          <w:tcPr>
            <w:tcW w:w="1078" w:type="pct"/>
            <w:tcBorders>
              <w:top w:val="single" w:color="auto" w:sz="4" w:space="0"/>
              <w:left w:val="single" w:color="auto" w:sz="4" w:space="0"/>
              <w:bottom w:val="single" w:color="auto" w:sz="4" w:space="0"/>
              <w:right w:val="single" w:color="auto" w:sz="4" w:space="0"/>
            </w:tcBorders>
            <w:vAlign w:val="center"/>
          </w:tcPr>
          <w:p w14:paraId="704BA10C">
            <w:pPr>
              <w:pStyle w:val="196"/>
              <w:rPr>
                <w:b/>
                <w:bCs/>
              </w:rPr>
            </w:pPr>
            <w:r>
              <w:rPr>
                <w:rFonts w:hint="eastAsia"/>
                <w:b/>
                <w:bCs/>
              </w:rPr>
              <w:t>年度</w:t>
            </w:r>
          </w:p>
        </w:tc>
        <w:tc>
          <w:tcPr>
            <w:tcW w:w="1965" w:type="pct"/>
            <w:tcBorders>
              <w:top w:val="single" w:color="auto" w:sz="4" w:space="0"/>
              <w:left w:val="single" w:color="auto" w:sz="4" w:space="0"/>
              <w:bottom w:val="single" w:color="auto" w:sz="4" w:space="0"/>
              <w:right w:val="single" w:color="auto" w:sz="4" w:space="0"/>
            </w:tcBorders>
            <w:vAlign w:val="center"/>
          </w:tcPr>
          <w:p w14:paraId="206E3F73">
            <w:pPr>
              <w:pStyle w:val="196"/>
              <w:rPr>
                <w:b/>
                <w:bCs/>
              </w:rPr>
            </w:pPr>
            <w:r>
              <w:rPr>
                <w:rFonts w:hint="eastAsia"/>
                <w:b/>
                <w:bCs/>
              </w:rPr>
              <w:t>船舶出港</w:t>
            </w:r>
          </w:p>
        </w:tc>
        <w:tc>
          <w:tcPr>
            <w:tcW w:w="1957" w:type="pct"/>
            <w:tcBorders>
              <w:top w:val="single" w:color="auto" w:sz="4" w:space="0"/>
              <w:left w:val="single" w:color="auto" w:sz="4" w:space="0"/>
              <w:bottom w:val="single" w:color="auto" w:sz="4" w:space="0"/>
              <w:right w:val="single" w:color="auto" w:sz="4" w:space="0"/>
            </w:tcBorders>
            <w:vAlign w:val="center"/>
          </w:tcPr>
          <w:p w14:paraId="4084DC72">
            <w:pPr>
              <w:pStyle w:val="196"/>
              <w:rPr>
                <w:b/>
                <w:bCs/>
              </w:rPr>
            </w:pPr>
            <w:r>
              <w:rPr>
                <w:rFonts w:hint="eastAsia"/>
                <w:b/>
                <w:bCs/>
              </w:rPr>
              <w:t>过境流量</w:t>
            </w:r>
          </w:p>
        </w:tc>
      </w:tr>
      <w:tr w14:paraId="023BE289">
        <w:tblPrEx>
          <w:tblCellMar>
            <w:top w:w="0" w:type="dxa"/>
            <w:left w:w="0" w:type="dxa"/>
            <w:bottom w:w="0" w:type="dxa"/>
            <w:right w:w="0" w:type="dxa"/>
          </w:tblCellMar>
        </w:tblPrEx>
        <w:trPr>
          <w:trHeight w:val="355" w:hRule="exact"/>
        </w:trPr>
        <w:tc>
          <w:tcPr>
            <w:tcW w:w="1078" w:type="pct"/>
            <w:tcBorders>
              <w:top w:val="single" w:color="auto" w:sz="4" w:space="0"/>
              <w:left w:val="single" w:color="auto" w:sz="4" w:space="0"/>
              <w:bottom w:val="single" w:color="auto" w:sz="4" w:space="0"/>
              <w:right w:val="single" w:color="auto" w:sz="4" w:space="0"/>
            </w:tcBorders>
            <w:vAlign w:val="center"/>
          </w:tcPr>
          <w:p w14:paraId="463EE00A">
            <w:pPr>
              <w:pStyle w:val="196"/>
            </w:pPr>
            <w:r>
              <w:rPr>
                <w:rFonts w:hint="eastAsia"/>
              </w:rPr>
              <w:t>2016</w:t>
            </w:r>
          </w:p>
        </w:tc>
        <w:tc>
          <w:tcPr>
            <w:tcW w:w="1965" w:type="pct"/>
            <w:tcBorders>
              <w:top w:val="single" w:color="auto" w:sz="4" w:space="0"/>
              <w:left w:val="single" w:color="auto" w:sz="4" w:space="0"/>
              <w:bottom w:val="single" w:color="auto" w:sz="4" w:space="0"/>
              <w:right w:val="single" w:color="auto" w:sz="4" w:space="0"/>
            </w:tcBorders>
            <w:vAlign w:val="center"/>
          </w:tcPr>
          <w:p w14:paraId="7525BA71">
            <w:pPr>
              <w:pStyle w:val="196"/>
            </w:pPr>
            <w:r>
              <w:rPr>
                <w:rFonts w:hint="eastAsia"/>
              </w:rPr>
              <w:t>76000艘次</w:t>
            </w:r>
          </w:p>
        </w:tc>
        <w:tc>
          <w:tcPr>
            <w:tcW w:w="1957" w:type="pct"/>
            <w:tcBorders>
              <w:top w:val="single" w:color="auto" w:sz="4" w:space="0"/>
              <w:left w:val="single" w:color="auto" w:sz="4" w:space="0"/>
              <w:bottom w:val="single" w:color="auto" w:sz="4" w:space="0"/>
              <w:right w:val="single" w:color="auto" w:sz="4" w:space="0"/>
            </w:tcBorders>
            <w:vAlign w:val="center"/>
          </w:tcPr>
          <w:p w14:paraId="436E86F3">
            <w:pPr>
              <w:pStyle w:val="196"/>
            </w:pPr>
            <w:r>
              <w:rPr>
                <w:rFonts w:hint="eastAsia"/>
              </w:rPr>
              <w:t>/</w:t>
            </w:r>
          </w:p>
        </w:tc>
      </w:tr>
      <w:tr w14:paraId="553286CF">
        <w:tblPrEx>
          <w:tblCellMar>
            <w:top w:w="0" w:type="dxa"/>
            <w:left w:w="0" w:type="dxa"/>
            <w:bottom w:w="0" w:type="dxa"/>
            <w:right w:w="0" w:type="dxa"/>
          </w:tblCellMar>
        </w:tblPrEx>
        <w:trPr>
          <w:trHeight w:val="355" w:hRule="exact"/>
        </w:trPr>
        <w:tc>
          <w:tcPr>
            <w:tcW w:w="1078" w:type="pct"/>
            <w:tcBorders>
              <w:top w:val="single" w:color="auto" w:sz="4" w:space="0"/>
              <w:left w:val="single" w:color="auto" w:sz="4" w:space="0"/>
              <w:bottom w:val="single" w:color="auto" w:sz="4" w:space="0"/>
              <w:right w:val="single" w:color="auto" w:sz="4" w:space="0"/>
            </w:tcBorders>
            <w:vAlign w:val="center"/>
          </w:tcPr>
          <w:p w14:paraId="4E6E5578">
            <w:pPr>
              <w:pStyle w:val="196"/>
            </w:pPr>
            <w:r>
              <w:rPr>
                <w:rFonts w:hint="eastAsia"/>
              </w:rPr>
              <w:t>2017</w:t>
            </w:r>
          </w:p>
        </w:tc>
        <w:tc>
          <w:tcPr>
            <w:tcW w:w="1965" w:type="pct"/>
            <w:tcBorders>
              <w:top w:val="single" w:color="auto" w:sz="4" w:space="0"/>
              <w:left w:val="single" w:color="auto" w:sz="4" w:space="0"/>
              <w:bottom w:val="single" w:color="auto" w:sz="4" w:space="0"/>
              <w:right w:val="single" w:color="auto" w:sz="4" w:space="0"/>
            </w:tcBorders>
            <w:vAlign w:val="center"/>
          </w:tcPr>
          <w:p w14:paraId="79D1C32B">
            <w:pPr>
              <w:pStyle w:val="196"/>
            </w:pPr>
            <w:r>
              <w:rPr>
                <w:rFonts w:hint="eastAsia"/>
              </w:rPr>
              <w:t>78000艘次</w:t>
            </w:r>
          </w:p>
        </w:tc>
        <w:tc>
          <w:tcPr>
            <w:tcW w:w="1957" w:type="pct"/>
            <w:tcBorders>
              <w:top w:val="single" w:color="auto" w:sz="4" w:space="0"/>
              <w:left w:val="single" w:color="auto" w:sz="4" w:space="0"/>
              <w:bottom w:val="single" w:color="auto" w:sz="4" w:space="0"/>
              <w:right w:val="single" w:color="auto" w:sz="4" w:space="0"/>
            </w:tcBorders>
            <w:vAlign w:val="center"/>
          </w:tcPr>
          <w:p w14:paraId="7F395303">
            <w:pPr>
              <w:pStyle w:val="196"/>
            </w:pPr>
            <w:r>
              <w:rPr>
                <w:rFonts w:hint="eastAsia"/>
              </w:rPr>
              <w:t>/</w:t>
            </w:r>
          </w:p>
        </w:tc>
      </w:tr>
      <w:tr w14:paraId="498A0731">
        <w:tblPrEx>
          <w:tblCellMar>
            <w:top w:w="0" w:type="dxa"/>
            <w:left w:w="0" w:type="dxa"/>
            <w:bottom w:w="0" w:type="dxa"/>
            <w:right w:w="0" w:type="dxa"/>
          </w:tblCellMar>
        </w:tblPrEx>
        <w:trPr>
          <w:trHeight w:val="379" w:hRule="exact"/>
        </w:trPr>
        <w:tc>
          <w:tcPr>
            <w:tcW w:w="1078" w:type="pct"/>
            <w:tcBorders>
              <w:top w:val="single" w:color="auto" w:sz="4" w:space="0"/>
              <w:left w:val="single" w:color="auto" w:sz="4" w:space="0"/>
              <w:bottom w:val="single" w:color="auto" w:sz="4" w:space="0"/>
              <w:right w:val="single" w:color="auto" w:sz="4" w:space="0"/>
            </w:tcBorders>
            <w:vAlign w:val="center"/>
          </w:tcPr>
          <w:p w14:paraId="0E6AA29F">
            <w:pPr>
              <w:pStyle w:val="196"/>
            </w:pPr>
            <w:r>
              <w:rPr>
                <w:rFonts w:hint="eastAsia"/>
              </w:rPr>
              <w:t>2018</w:t>
            </w:r>
          </w:p>
        </w:tc>
        <w:tc>
          <w:tcPr>
            <w:tcW w:w="1965" w:type="pct"/>
            <w:tcBorders>
              <w:top w:val="single" w:color="auto" w:sz="4" w:space="0"/>
              <w:left w:val="single" w:color="auto" w:sz="4" w:space="0"/>
              <w:bottom w:val="single" w:color="auto" w:sz="4" w:space="0"/>
              <w:right w:val="single" w:color="auto" w:sz="4" w:space="0"/>
            </w:tcBorders>
            <w:vAlign w:val="center"/>
          </w:tcPr>
          <w:p w14:paraId="2BED650F">
            <w:pPr>
              <w:pStyle w:val="196"/>
            </w:pPr>
            <w:r>
              <w:rPr>
                <w:rFonts w:hint="eastAsia"/>
              </w:rPr>
              <w:t>82500艘次</w:t>
            </w:r>
          </w:p>
        </w:tc>
        <w:tc>
          <w:tcPr>
            <w:tcW w:w="1957" w:type="pct"/>
            <w:tcBorders>
              <w:top w:val="single" w:color="auto" w:sz="4" w:space="0"/>
              <w:left w:val="single" w:color="auto" w:sz="4" w:space="0"/>
              <w:bottom w:val="single" w:color="auto" w:sz="4" w:space="0"/>
              <w:right w:val="single" w:color="auto" w:sz="4" w:space="0"/>
            </w:tcBorders>
            <w:vAlign w:val="center"/>
          </w:tcPr>
          <w:p w14:paraId="4D4ACC3C">
            <w:pPr>
              <w:pStyle w:val="196"/>
            </w:pPr>
            <w:r>
              <w:rPr>
                <w:rFonts w:hint="eastAsia"/>
              </w:rPr>
              <w:t>/</w:t>
            </w:r>
          </w:p>
        </w:tc>
      </w:tr>
    </w:tbl>
    <w:p w14:paraId="4F42C422">
      <w:pPr>
        <w:pStyle w:val="93"/>
      </w:pPr>
      <w:r>
        <w:rPr>
          <w:rFonts w:hint="eastAsia"/>
        </w:rPr>
        <w:t>2、淮安市船舶事故统计与分析</w:t>
      </w:r>
    </w:p>
    <w:p w14:paraId="4F6B2451">
      <w:pPr>
        <w:pStyle w:val="93"/>
      </w:pPr>
      <w:r>
        <w:rPr>
          <w:rFonts w:hint="eastAsia"/>
        </w:rPr>
        <w:t>根据淮安海事局提供资料，淮安河境2014至2018年共发生交通事故41起，事故（险情）成因主要是船舶在航行过程中发生碰撞、自沉。近年淮安市水上交通事故主要集中在京杭运河、洪泽湖、淮河等通航水域。淮安市河通航水域2017年以前的水上交通事故（险情）发生呈逐年上升，但随着港口物吞吐量增加，船舶通航更加繁，航行密度增大，事故发生的风险水平仍在不断提升。</w:t>
      </w:r>
    </w:p>
    <w:p w14:paraId="5C5D1AB4">
      <w:pPr>
        <w:pStyle w:val="93"/>
      </w:pPr>
      <w:r>
        <w:rPr>
          <w:rFonts w:hint="eastAsia"/>
        </w:rPr>
        <w:t>现阶段，淮安市尚未发生大规模的船舶污染事故。</w:t>
      </w:r>
    </w:p>
    <w:p w14:paraId="7AD65F14">
      <w:pPr>
        <w:pStyle w:val="86"/>
      </w:pPr>
      <w:r>
        <w:rPr>
          <w:rFonts w:hint="eastAsia"/>
        </w:rPr>
        <w:t xml:space="preserve"> 2014</w:t>
      </w:r>
      <w:r>
        <w:rPr>
          <w:rFonts w:hint="eastAsia"/>
          <w:lang w:eastAsia="zh-CN"/>
        </w:rPr>
        <w:t>—</w:t>
      </w:r>
      <w:r>
        <w:rPr>
          <w:rFonts w:hint="eastAsia"/>
        </w:rPr>
        <w:t>2018年淮安河境水上</w:t>
      </w:r>
      <w:r>
        <w:rPr>
          <w:rFonts w:hint="eastAsia"/>
          <w:lang w:eastAsia="zh-CN"/>
        </w:rPr>
        <w:t>交通事故</w:t>
      </w:r>
      <w:r>
        <w:rPr>
          <w:rFonts w:hint="eastAsia"/>
        </w:rPr>
        <w:t>统计</w:t>
      </w:r>
    </w:p>
    <w:tbl>
      <w:tblPr>
        <w:tblStyle w:val="3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72"/>
        <w:gridCol w:w="1040"/>
        <w:gridCol w:w="750"/>
        <w:gridCol w:w="747"/>
        <w:gridCol w:w="732"/>
        <w:gridCol w:w="732"/>
        <w:gridCol w:w="1139"/>
        <w:gridCol w:w="732"/>
        <w:gridCol w:w="732"/>
        <w:gridCol w:w="732"/>
      </w:tblGrid>
      <w:tr w14:paraId="32BD2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exact"/>
        </w:trPr>
        <w:tc>
          <w:tcPr>
            <w:tcW w:w="585" w:type="pct"/>
            <w:vAlign w:val="center"/>
          </w:tcPr>
          <w:p w14:paraId="0D0A6D7E">
            <w:pPr>
              <w:pStyle w:val="196"/>
              <w:rPr>
                <w:b/>
                <w:bCs/>
              </w:rPr>
            </w:pPr>
            <w:r>
              <w:rPr>
                <w:rFonts w:hint="eastAsia"/>
                <w:b/>
                <w:bCs/>
              </w:rPr>
              <w:t>年度</w:t>
            </w:r>
          </w:p>
        </w:tc>
        <w:tc>
          <w:tcPr>
            <w:tcW w:w="626" w:type="pct"/>
            <w:vAlign w:val="center"/>
          </w:tcPr>
          <w:p w14:paraId="64172B8D">
            <w:pPr>
              <w:pStyle w:val="196"/>
              <w:rPr>
                <w:b/>
                <w:bCs/>
              </w:rPr>
            </w:pPr>
            <w:r>
              <w:rPr>
                <w:rFonts w:hint="eastAsia"/>
                <w:b/>
                <w:bCs/>
              </w:rPr>
              <w:t>遇险种类</w:t>
            </w:r>
          </w:p>
        </w:tc>
        <w:tc>
          <w:tcPr>
            <w:tcW w:w="452" w:type="pct"/>
            <w:vAlign w:val="center"/>
          </w:tcPr>
          <w:p w14:paraId="67EEA393">
            <w:pPr>
              <w:pStyle w:val="196"/>
              <w:rPr>
                <w:b/>
                <w:bCs/>
              </w:rPr>
            </w:pPr>
            <w:r>
              <w:rPr>
                <w:rFonts w:hint="eastAsia"/>
                <w:b/>
                <w:bCs/>
              </w:rPr>
              <w:t>合计</w:t>
            </w:r>
          </w:p>
        </w:tc>
        <w:tc>
          <w:tcPr>
            <w:tcW w:w="449" w:type="pct"/>
            <w:vAlign w:val="center"/>
          </w:tcPr>
          <w:p w14:paraId="4906390F">
            <w:pPr>
              <w:pStyle w:val="196"/>
              <w:rPr>
                <w:b/>
                <w:bCs/>
              </w:rPr>
            </w:pPr>
            <w:r>
              <w:rPr>
                <w:rFonts w:hint="eastAsia"/>
                <w:b/>
                <w:bCs/>
              </w:rPr>
              <w:t>碰撞</w:t>
            </w:r>
          </w:p>
        </w:tc>
        <w:tc>
          <w:tcPr>
            <w:tcW w:w="440" w:type="pct"/>
            <w:vAlign w:val="center"/>
          </w:tcPr>
          <w:p w14:paraId="0EC7DB8E">
            <w:pPr>
              <w:pStyle w:val="196"/>
              <w:rPr>
                <w:b/>
                <w:bCs/>
              </w:rPr>
            </w:pPr>
            <w:r>
              <w:rPr>
                <w:rFonts w:hint="eastAsia"/>
                <w:b/>
                <w:bCs/>
              </w:rPr>
              <w:t>搁浅</w:t>
            </w:r>
          </w:p>
        </w:tc>
        <w:tc>
          <w:tcPr>
            <w:tcW w:w="440" w:type="pct"/>
            <w:vAlign w:val="center"/>
          </w:tcPr>
          <w:p w14:paraId="243E87AA">
            <w:pPr>
              <w:pStyle w:val="196"/>
              <w:rPr>
                <w:b/>
                <w:bCs/>
              </w:rPr>
            </w:pPr>
            <w:r>
              <w:rPr>
                <w:rFonts w:hint="eastAsia"/>
                <w:b/>
                <w:bCs/>
              </w:rPr>
              <w:t>触礁</w:t>
            </w:r>
          </w:p>
        </w:tc>
        <w:tc>
          <w:tcPr>
            <w:tcW w:w="685" w:type="pct"/>
            <w:vAlign w:val="center"/>
          </w:tcPr>
          <w:p w14:paraId="0DE75DA0">
            <w:pPr>
              <w:pStyle w:val="196"/>
              <w:rPr>
                <w:b/>
                <w:bCs/>
              </w:rPr>
            </w:pPr>
            <w:r>
              <w:rPr>
                <w:rFonts w:hint="eastAsia"/>
                <w:b/>
                <w:bCs/>
              </w:rPr>
              <w:t>火灾爆炸</w:t>
            </w:r>
          </w:p>
        </w:tc>
        <w:tc>
          <w:tcPr>
            <w:tcW w:w="440" w:type="pct"/>
            <w:vAlign w:val="center"/>
          </w:tcPr>
          <w:p w14:paraId="7FFF86EE">
            <w:pPr>
              <w:pStyle w:val="196"/>
              <w:rPr>
                <w:b/>
                <w:bCs/>
              </w:rPr>
            </w:pPr>
            <w:r>
              <w:rPr>
                <w:rFonts w:hint="eastAsia"/>
                <w:b/>
                <w:bCs/>
              </w:rPr>
              <w:t>机损</w:t>
            </w:r>
          </w:p>
        </w:tc>
        <w:tc>
          <w:tcPr>
            <w:tcW w:w="440" w:type="pct"/>
            <w:vAlign w:val="center"/>
          </w:tcPr>
          <w:p w14:paraId="08E8676E">
            <w:pPr>
              <w:pStyle w:val="196"/>
              <w:rPr>
                <w:b/>
                <w:bCs/>
              </w:rPr>
            </w:pPr>
            <w:r>
              <w:rPr>
                <w:rFonts w:hint="eastAsia"/>
                <w:b/>
                <w:bCs/>
              </w:rPr>
              <w:t>沉船</w:t>
            </w:r>
          </w:p>
        </w:tc>
        <w:tc>
          <w:tcPr>
            <w:tcW w:w="440" w:type="pct"/>
            <w:vAlign w:val="center"/>
          </w:tcPr>
          <w:p w14:paraId="56D489F4">
            <w:pPr>
              <w:pStyle w:val="196"/>
              <w:rPr>
                <w:b/>
                <w:bCs/>
              </w:rPr>
            </w:pPr>
            <w:r>
              <w:rPr>
                <w:rFonts w:hint="eastAsia"/>
                <w:b/>
                <w:bCs/>
              </w:rPr>
              <w:t>其他</w:t>
            </w:r>
          </w:p>
        </w:tc>
      </w:tr>
      <w:tr w14:paraId="48DF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3" w:hRule="exact"/>
        </w:trPr>
        <w:tc>
          <w:tcPr>
            <w:tcW w:w="585" w:type="pct"/>
            <w:vAlign w:val="center"/>
          </w:tcPr>
          <w:p w14:paraId="1DD37EDE">
            <w:pPr>
              <w:pStyle w:val="196"/>
            </w:pPr>
            <w:r>
              <w:rPr>
                <w:rFonts w:hint="eastAsia"/>
              </w:rPr>
              <w:t>2014</w:t>
            </w:r>
          </w:p>
        </w:tc>
        <w:tc>
          <w:tcPr>
            <w:tcW w:w="626" w:type="pct"/>
            <w:vAlign w:val="center"/>
          </w:tcPr>
          <w:p w14:paraId="55B6D32E">
            <w:pPr>
              <w:pStyle w:val="196"/>
            </w:pPr>
            <w:r>
              <w:rPr>
                <w:rFonts w:hint="eastAsia"/>
              </w:rPr>
              <w:t>/</w:t>
            </w:r>
          </w:p>
        </w:tc>
        <w:tc>
          <w:tcPr>
            <w:tcW w:w="452" w:type="pct"/>
            <w:vAlign w:val="center"/>
          </w:tcPr>
          <w:p w14:paraId="61D05EF4">
            <w:pPr>
              <w:pStyle w:val="196"/>
            </w:pPr>
            <w:r>
              <w:rPr>
                <w:rFonts w:hint="eastAsia"/>
              </w:rPr>
              <w:t>5</w:t>
            </w:r>
          </w:p>
        </w:tc>
        <w:tc>
          <w:tcPr>
            <w:tcW w:w="449" w:type="pct"/>
            <w:vAlign w:val="center"/>
          </w:tcPr>
          <w:p w14:paraId="11D7AF47">
            <w:pPr>
              <w:pStyle w:val="196"/>
            </w:pPr>
            <w:r>
              <w:rPr>
                <w:rFonts w:hint="eastAsia"/>
              </w:rPr>
              <w:t>4</w:t>
            </w:r>
          </w:p>
        </w:tc>
        <w:tc>
          <w:tcPr>
            <w:tcW w:w="440" w:type="pct"/>
            <w:vAlign w:val="center"/>
          </w:tcPr>
          <w:p w14:paraId="1A6BFB35">
            <w:pPr>
              <w:pStyle w:val="196"/>
            </w:pPr>
            <w:r>
              <w:rPr>
                <w:rFonts w:hint="eastAsia"/>
              </w:rPr>
              <w:t>/</w:t>
            </w:r>
          </w:p>
        </w:tc>
        <w:tc>
          <w:tcPr>
            <w:tcW w:w="440" w:type="pct"/>
            <w:vAlign w:val="center"/>
          </w:tcPr>
          <w:p w14:paraId="3B90CD83">
            <w:pPr>
              <w:pStyle w:val="196"/>
            </w:pPr>
            <w:r>
              <w:rPr>
                <w:rFonts w:hint="eastAsia"/>
              </w:rPr>
              <w:t>/</w:t>
            </w:r>
          </w:p>
        </w:tc>
        <w:tc>
          <w:tcPr>
            <w:tcW w:w="685" w:type="pct"/>
            <w:vAlign w:val="center"/>
          </w:tcPr>
          <w:p w14:paraId="3D28E957">
            <w:pPr>
              <w:pStyle w:val="196"/>
            </w:pPr>
            <w:r>
              <w:rPr>
                <w:rFonts w:hint="eastAsia"/>
              </w:rPr>
              <w:t>/</w:t>
            </w:r>
          </w:p>
        </w:tc>
        <w:tc>
          <w:tcPr>
            <w:tcW w:w="440" w:type="pct"/>
            <w:vAlign w:val="center"/>
          </w:tcPr>
          <w:p w14:paraId="658C84C5">
            <w:pPr>
              <w:pStyle w:val="196"/>
            </w:pPr>
            <w:r>
              <w:rPr>
                <w:rFonts w:hint="eastAsia"/>
              </w:rPr>
              <w:t>/</w:t>
            </w:r>
          </w:p>
        </w:tc>
        <w:tc>
          <w:tcPr>
            <w:tcW w:w="440" w:type="pct"/>
            <w:vAlign w:val="center"/>
          </w:tcPr>
          <w:p w14:paraId="5ACE756C">
            <w:pPr>
              <w:pStyle w:val="196"/>
            </w:pPr>
            <w:r>
              <w:rPr>
                <w:rFonts w:hint="eastAsia"/>
              </w:rPr>
              <w:t>1</w:t>
            </w:r>
          </w:p>
        </w:tc>
        <w:tc>
          <w:tcPr>
            <w:tcW w:w="440" w:type="pct"/>
            <w:vAlign w:val="center"/>
          </w:tcPr>
          <w:p w14:paraId="3D7B93BD">
            <w:pPr>
              <w:pStyle w:val="196"/>
            </w:pPr>
            <w:r>
              <w:rPr>
                <w:rFonts w:hint="eastAsia"/>
              </w:rPr>
              <w:t>/</w:t>
            </w:r>
          </w:p>
        </w:tc>
      </w:tr>
      <w:tr w14:paraId="6217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exact"/>
        </w:trPr>
        <w:tc>
          <w:tcPr>
            <w:tcW w:w="585" w:type="pct"/>
            <w:vAlign w:val="center"/>
          </w:tcPr>
          <w:p w14:paraId="456C58B0">
            <w:pPr>
              <w:pStyle w:val="196"/>
            </w:pPr>
            <w:r>
              <w:rPr>
                <w:rFonts w:hint="eastAsia"/>
              </w:rPr>
              <w:t>2015</w:t>
            </w:r>
          </w:p>
        </w:tc>
        <w:tc>
          <w:tcPr>
            <w:tcW w:w="626" w:type="pct"/>
            <w:vAlign w:val="center"/>
          </w:tcPr>
          <w:p w14:paraId="68933020">
            <w:pPr>
              <w:pStyle w:val="196"/>
            </w:pPr>
            <w:r>
              <w:rPr>
                <w:rFonts w:hint="eastAsia"/>
              </w:rPr>
              <w:t>/</w:t>
            </w:r>
          </w:p>
        </w:tc>
        <w:tc>
          <w:tcPr>
            <w:tcW w:w="452" w:type="pct"/>
            <w:vAlign w:val="center"/>
          </w:tcPr>
          <w:p w14:paraId="71AA33CF">
            <w:pPr>
              <w:pStyle w:val="196"/>
            </w:pPr>
            <w:r>
              <w:rPr>
                <w:rFonts w:hint="eastAsia"/>
              </w:rPr>
              <w:t>8</w:t>
            </w:r>
          </w:p>
        </w:tc>
        <w:tc>
          <w:tcPr>
            <w:tcW w:w="449" w:type="pct"/>
            <w:vAlign w:val="center"/>
          </w:tcPr>
          <w:p w14:paraId="29927387">
            <w:pPr>
              <w:pStyle w:val="196"/>
            </w:pPr>
            <w:r>
              <w:rPr>
                <w:rFonts w:hint="eastAsia"/>
              </w:rPr>
              <w:t>5</w:t>
            </w:r>
          </w:p>
        </w:tc>
        <w:tc>
          <w:tcPr>
            <w:tcW w:w="440" w:type="pct"/>
            <w:vAlign w:val="center"/>
          </w:tcPr>
          <w:p w14:paraId="7266C819">
            <w:pPr>
              <w:pStyle w:val="196"/>
            </w:pPr>
            <w:r>
              <w:rPr>
                <w:rFonts w:hint="eastAsia"/>
              </w:rPr>
              <w:t>/</w:t>
            </w:r>
          </w:p>
        </w:tc>
        <w:tc>
          <w:tcPr>
            <w:tcW w:w="440" w:type="pct"/>
            <w:vAlign w:val="center"/>
          </w:tcPr>
          <w:p w14:paraId="6C1760EA">
            <w:pPr>
              <w:pStyle w:val="196"/>
            </w:pPr>
            <w:r>
              <w:rPr>
                <w:rFonts w:hint="eastAsia"/>
              </w:rPr>
              <w:t>/</w:t>
            </w:r>
          </w:p>
        </w:tc>
        <w:tc>
          <w:tcPr>
            <w:tcW w:w="685" w:type="pct"/>
            <w:vAlign w:val="center"/>
          </w:tcPr>
          <w:p w14:paraId="57EDD855">
            <w:pPr>
              <w:pStyle w:val="196"/>
            </w:pPr>
            <w:r>
              <w:rPr>
                <w:rFonts w:hint="eastAsia"/>
              </w:rPr>
              <w:t>/</w:t>
            </w:r>
          </w:p>
        </w:tc>
        <w:tc>
          <w:tcPr>
            <w:tcW w:w="440" w:type="pct"/>
            <w:vAlign w:val="center"/>
          </w:tcPr>
          <w:p w14:paraId="5A91214D">
            <w:pPr>
              <w:pStyle w:val="196"/>
            </w:pPr>
            <w:r>
              <w:rPr>
                <w:rFonts w:hint="eastAsia"/>
              </w:rPr>
              <w:t>/</w:t>
            </w:r>
          </w:p>
        </w:tc>
        <w:tc>
          <w:tcPr>
            <w:tcW w:w="440" w:type="pct"/>
            <w:vAlign w:val="center"/>
          </w:tcPr>
          <w:p w14:paraId="0CB75A72">
            <w:pPr>
              <w:pStyle w:val="196"/>
            </w:pPr>
            <w:r>
              <w:rPr>
                <w:rFonts w:hint="eastAsia"/>
              </w:rPr>
              <w:t>3</w:t>
            </w:r>
          </w:p>
        </w:tc>
        <w:tc>
          <w:tcPr>
            <w:tcW w:w="440" w:type="pct"/>
            <w:vAlign w:val="center"/>
          </w:tcPr>
          <w:p w14:paraId="71158839">
            <w:pPr>
              <w:pStyle w:val="196"/>
            </w:pPr>
            <w:r>
              <w:rPr>
                <w:rFonts w:hint="eastAsia"/>
              </w:rPr>
              <w:t>/</w:t>
            </w:r>
          </w:p>
        </w:tc>
      </w:tr>
      <w:tr w14:paraId="5197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exact"/>
        </w:trPr>
        <w:tc>
          <w:tcPr>
            <w:tcW w:w="585" w:type="pct"/>
            <w:vAlign w:val="center"/>
          </w:tcPr>
          <w:p w14:paraId="4C7DFE6D">
            <w:pPr>
              <w:pStyle w:val="196"/>
            </w:pPr>
            <w:r>
              <w:rPr>
                <w:rFonts w:hint="eastAsia"/>
              </w:rPr>
              <w:t>2016</w:t>
            </w:r>
          </w:p>
        </w:tc>
        <w:tc>
          <w:tcPr>
            <w:tcW w:w="626" w:type="pct"/>
            <w:vAlign w:val="center"/>
          </w:tcPr>
          <w:p w14:paraId="18968626">
            <w:pPr>
              <w:pStyle w:val="196"/>
            </w:pPr>
            <w:r>
              <w:rPr>
                <w:rFonts w:hint="eastAsia"/>
              </w:rPr>
              <w:t>/</w:t>
            </w:r>
          </w:p>
        </w:tc>
        <w:tc>
          <w:tcPr>
            <w:tcW w:w="452" w:type="pct"/>
            <w:vAlign w:val="center"/>
          </w:tcPr>
          <w:p w14:paraId="61A51E85">
            <w:pPr>
              <w:pStyle w:val="196"/>
            </w:pPr>
            <w:r>
              <w:rPr>
                <w:rFonts w:hint="eastAsia"/>
              </w:rPr>
              <w:t>9</w:t>
            </w:r>
          </w:p>
        </w:tc>
        <w:tc>
          <w:tcPr>
            <w:tcW w:w="449" w:type="pct"/>
            <w:vAlign w:val="center"/>
          </w:tcPr>
          <w:p w14:paraId="1690AF6F">
            <w:pPr>
              <w:pStyle w:val="196"/>
            </w:pPr>
            <w:r>
              <w:rPr>
                <w:rFonts w:hint="eastAsia"/>
              </w:rPr>
              <w:t>3</w:t>
            </w:r>
          </w:p>
        </w:tc>
        <w:tc>
          <w:tcPr>
            <w:tcW w:w="440" w:type="pct"/>
            <w:vAlign w:val="center"/>
          </w:tcPr>
          <w:p w14:paraId="47A6E401">
            <w:pPr>
              <w:pStyle w:val="196"/>
            </w:pPr>
            <w:r>
              <w:rPr>
                <w:rFonts w:hint="eastAsia"/>
              </w:rPr>
              <w:t>/</w:t>
            </w:r>
          </w:p>
        </w:tc>
        <w:tc>
          <w:tcPr>
            <w:tcW w:w="440" w:type="pct"/>
            <w:vAlign w:val="center"/>
          </w:tcPr>
          <w:p w14:paraId="6885DA6B">
            <w:pPr>
              <w:pStyle w:val="196"/>
            </w:pPr>
            <w:r>
              <w:rPr>
                <w:rFonts w:hint="eastAsia"/>
              </w:rPr>
              <w:t>/</w:t>
            </w:r>
          </w:p>
        </w:tc>
        <w:tc>
          <w:tcPr>
            <w:tcW w:w="685" w:type="pct"/>
            <w:vAlign w:val="center"/>
          </w:tcPr>
          <w:p w14:paraId="721935D3">
            <w:pPr>
              <w:pStyle w:val="196"/>
            </w:pPr>
            <w:r>
              <w:rPr>
                <w:rFonts w:hint="eastAsia"/>
              </w:rPr>
              <w:t>/</w:t>
            </w:r>
          </w:p>
        </w:tc>
        <w:tc>
          <w:tcPr>
            <w:tcW w:w="440" w:type="pct"/>
            <w:vAlign w:val="center"/>
          </w:tcPr>
          <w:p w14:paraId="4C32E2A0">
            <w:pPr>
              <w:pStyle w:val="196"/>
            </w:pPr>
            <w:r>
              <w:rPr>
                <w:rFonts w:hint="eastAsia"/>
              </w:rPr>
              <w:t>/</w:t>
            </w:r>
          </w:p>
        </w:tc>
        <w:tc>
          <w:tcPr>
            <w:tcW w:w="440" w:type="pct"/>
            <w:vAlign w:val="center"/>
          </w:tcPr>
          <w:p w14:paraId="572D0172">
            <w:pPr>
              <w:pStyle w:val="196"/>
            </w:pPr>
            <w:r>
              <w:rPr>
                <w:rFonts w:hint="eastAsia"/>
              </w:rPr>
              <w:t>6</w:t>
            </w:r>
          </w:p>
        </w:tc>
        <w:tc>
          <w:tcPr>
            <w:tcW w:w="440" w:type="pct"/>
            <w:vAlign w:val="center"/>
          </w:tcPr>
          <w:p w14:paraId="749D4CC6">
            <w:pPr>
              <w:pStyle w:val="196"/>
            </w:pPr>
            <w:r>
              <w:rPr>
                <w:rFonts w:hint="eastAsia"/>
              </w:rPr>
              <w:t>/</w:t>
            </w:r>
          </w:p>
        </w:tc>
      </w:tr>
      <w:tr w14:paraId="1323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exact"/>
        </w:trPr>
        <w:tc>
          <w:tcPr>
            <w:tcW w:w="585" w:type="pct"/>
            <w:vAlign w:val="center"/>
          </w:tcPr>
          <w:p w14:paraId="340D4E38">
            <w:pPr>
              <w:pStyle w:val="196"/>
            </w:pPr>
            <w:r>
              <w:rPr>
                <w:rFonts w:hint="eastAsia"/>
              </w:rPr>
              <w:t>2017</w:t>
            </w:r>
          </w:p>
        </w:tc>
        <w:tc>
          <w:tcPr>
            <w:tcW w:w="626" w:type="pct"/>
            <w:vAlign w:val="center"/>
          </w:tcPr>
          <w:p w14:paraId="7D7E9228">
            <w:pPr>
              <w:pStyle w:val="196"/>
            </w:pPr>
            <w:r>
              <w:rPr>
                <w:rFonts w:hint="eastAsia"/>
              </w:rPr>
              <w:t>/</w:t>
            </w:r>
          </w:p>
        </w:tc>
        <w:tc>
          <w:tcPr>
            <w:tcW w:w="452" w:type="pct"/>
            <w:vAlign w:val="center"/>
          </w:tcPr>
          <w:p w14:paraId="7BBA043C">
            <w:pPr>
              <w:pStyle w:val="196"/>
            </w:pPr>
            <w:r>
              <w:rPr>
                <w:rFonts w:hint="eastAsia"/>
              </w:rPr>
              <w:t>12</w:t>
            </w:r>
          </w:p>
        </w:tc>
        <w:tc>
          <w:tcPr>
            <w:tcW w:w="449" w:type="pct"/>
            <w:vAlign w:val="center"/>
          </w:tcPr>
          <w:p w14:paraId="2A416DCE">
            <w:pPr>
              <w:pStyle w:val="196"/>
            </w:pPr>
            <w:r>
              <w:rPr>
                <w:rFonts w:hint="eastAsia"/>
              </w:rPr>
              <w:t>2</w:t>
            </w:r>
          </w:p>
        </w:tc>
        <w:tc>
          <w:tcPr>
            <w:tcW w:w="440" w:type="pct"/>
            <w:vAlign w:val="center"/>
          </w:tcPr>
          <w:p w14:paraId="2B1E42FE">
            <w:pPr>
              <w:pStyle w:val="196"/>
            </w:pPr>
            <w:r>
              <w:rPr>
                <w:rFonts w:hint="eastAsia"/>
              </w:rPr>
              <w:t>/</w:t>
            </w:r>
          </w:p>
        </w:tc>
        <w:tc>
          <w:tcPr>
            <w:tcW w:w="440" w:type="pct"/>
            <w:vAlign w:val="center"/>
          </w:tcPr>
          <w:p w14:paraId="42FCC4DE">
            <w:pPr>
              <w:pStyle w:val="196"/>
            </w:pPr>
            <w:r>
              <w:rPr>
                <w:rFonts w:hint="eastAsia"/>
              </w:rPr>
              <w:t>/</w:t>
            </w:r>
          </w:p>
        </w:tc>
        <w:tc>
          <w:tcPr>
            <w:tcW w:w="685" w:type="pct"/>
            <w:vAlign w:val="center"/>
          </w:tcPr>
          <w:p w14:paraId="76195422">
            <w:pPr>
              <w:pStyle w:val="196"/>
            </w:pPr>
            <w:r>
              <w:rPr>
                <w:rFonts w:hint="eastAsia"/>
              </w:rPr>
              <w:t>/</w:t>
            </w:r>
          </w:p>
        </w:tc>
        <w:tc>
          <w:tcPr>
            <w:tcW w:w="440" w:type="pct"/>
            <w:vAlign w:val="center"/>
          </w:tcPr>
          <w:p w14:paraId="44BD943D">
            <w:pPr>
              <w:pStyle w:val="196"/>
            </w:pPr>
            <w:r>
              <w:rPr>
                <w:rFonts w:hint="eastAsia"/>
              </w:rPr>
              <w:t>/</w:t>
            </w:r>
          </w:p>
        </w:tc>
        <w:tc>
          <w:tcPr>
            <w:tcW w:w="440" w:type="pct"/>
            <w:vAlign w:val="center"/>
          </w:tcPr>
          <w:p w14:paraId="37ECB39D">
            <w:pPr>
              <w:pStyle w:val="196"/>
            </w:pPr>
            <w:r>
              <w:rPr>
                <w:rFonts w:hint="eastAsia"/>
              </w:rPr>
              <w:t>10</w:t>
            </w:r>
          </w:p>
        </w:tc>
        <w:tc>
          <w:tcPr>
            <w:tcW w:w="440" w:type="pct"/>
            <w:vAlign w:val="center"/>
          </w:tcPr>
          <w:p w14:paraId="0EB36481">
            <w:pPr>
              <w:pStyle w:val="196"/>
            </w:pPr>
            <w:r>
              <w:rPr>
                <w:rFonts w:hint="eastAsia"/>
              </w:rPr>
              <w:t>/</w:t>
            </w:r>
          </w:p>
        </w:tc>
      </w:tr>
      <w:tr w14:paraId="75A6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9" w:hRule="exact"/>
        </w:trPr>
        <w:tc>
          <w:tcPr>
            <w:tcW w:w="585" w:type="pct"/>
            <w:vAlign w:val="center"/>
          </w:tcPr>
          <w:p w14:paraId="5220DEAB">
            <w:pPr>
              <w:pStyle w:val="196"/>
            </w:pPr>
            <w:r>
              <w:rPr>
                <w:rFonts w:hint="eastAsia"/>
              </w:rPr>
              <w:t>2018</w:t>
            </w:r>
          </w:p>
        </w:tc>
        <w:tc>
          <w:tcPr>
            <w:tcW w:w="626" w:type="pct"/>
            <w:vAlign w:val="center"/>
          </w:tcPr>
          <w:p w14:paraId="520B29DA">
            <w:pPr>
              <w:pStyle w:val="196"/>
            </w:pPr>
            <w:r>
              <w:rPr>
                <w:rFonts w:hint="eastAsia"/>
              </w:rPr>
              <w:t>/</w:t>
            </w:r>
          </w:p>
        </w:tc>
        <w:tc>
          <w:tcPr>
            <w:tcW w:w="452" w:type="pct"/>
            <w:vAlign w:val="center"/>
          </w:tcPr>
          <w:p w14:paraId="115160F9">
            <w:pPr>
              <w:pStyle w:val="196"/>
            </w:pPr>
            <w:r>
              <w:rPr>
                <w:rFonts w:hint="eastAsia"/>
              </w:rPr>
              <w:t>7</w:t>
            </w:r>
          </w:p>
        </w:tc>
        <w:tc>
          <w:tcPr>
            <w:tcW w:w="449" w:type="pct"/>
            <w:vAlign w:val="center"/>
          </w:tcPr>
          <w:p w14:paraId="7A01DC96">
            <w:pPr>
              <w:pStyle w:val="196"/>
            </w:pPr>
            <w:r>
              <w:rPr>
                <w:rFonts w:hint="eastAsia"/>
              </w:rPr>
              <w:t>3</w:t>
            </w:r>
          </w:p>
        </w:tc>
        <w:tc>
          <w:tcPr>
            <w:tcW w:w="440" w:type="pct"/>
            <w:vAlign w:val="center"/>
          </w:tcPr>
          <w:p w14:paraId="3478662C">
            <w:pPr>
              <w:pStyle w:val="196"/>
            </w:pPr>
            <w:r>
              <w:rPr>
                <w:rFonts w:hint="eastAsia"/>
              </w:rPr>
              <w:t>/</w:t>
            </w:r>
          </w:p>
        </w:tc>
        <w:tc>
          <w:tcPr>
            <w:tcW w:w="440" w:type="pct"/>
            <w:vAlign w:val="center"/>
          </w:tcPr>
          <w:p w14:paraId="09F46D3F">
            <w:pPr>
              <w:pStyle w:val="196"/>
            </w:pPr>
            <w:r>
              <w:rPr>
                <w:rFonts w:hint="eastAsia"/>
              </w:rPr>
              <w:t>/</w:t>
            </w:r>
          </w:p>
        </w:tc>
        <w:tc>
          <w:tcPr>
            <w:tcW w:w="685" w:type="pct"/>
            <w:vAlign w:val="center"/>
          </w:tcPr>
          <w:p w14:paraId="010FB367">
            <w:pPr>
              <w:pStyle w:val="196"/>
            </w:pPr>
            <w:r>
              <w:rPr>
                <w:rFonts w:hint="eastAsia"/>
              </w:rPr>
              <w:t>/</w:t>
            </w:r>
          </w:p>
        </w:tc>
        <w:tc>
          <w:tcPr>
            <w:tcW w:w="440" w:type="pct"/>
            <w:vAlign w:val="center"/>
          </w:tcPr>
          <w:p w14:paraId="52621BA8">
            <w:pPr>
              <w:pStyle w:val="196"/>
            </w:pPr>
            <w:r>
              <w:rPr>
                <w:rFonts w:hint="eastAsia"/>
              </w:rPr>
              <w:t>/</w:t>
            </w:r>
          </w:p>
        </w:tc>
        <w:tc>
          <w:tcPr>
            <w:tcW w:w="440" w:type="pct"/>
            <w:vAlign w:val="center"/>
          </w:tcPr>
          <w:p w14:paraId="18CBE070">
            <w:pPr>
              <w:pStyle w:val="196"/>
            </w:pPr>
            <w:r>
              <w:rPr>
                <w:rFonts w:hint="eastAsia"/>
              </w:rPr>
              <w:t>4</w:t>
            </w:r>
          </w:p>
        </w:tc>
        <w:tc>
          <w:tcPr>
            <w:tcW w:w="440" w:type="pct"/>
            <w:vAlign w:val="center"/>
          </w:tcPr>
          <w:p w14:paraId="606DF6E9">
            <w:pPr>
              <w:pStyle w:val="196"/>
            </w:pPr>
            <w:r>
              <w:rPr>
                <w:rFonts w:hint="eastAsia"/>
              </w:rPr>
              <w:t>/</w:t>
            </w:r>
          </w:p>
        </w:tc>
      </w:tr>
    </w:tbl>
    <w:p w14:paraId="052916D2">
      <w:pPr>
        <w:pStyle w:val="93"/>
      </w:pPr>
      <w:r>
        <w:rPr>
          <w:rFonts w:hint="eastAsia"/>
        </w:rPr>
        <w:t>淮安海事局统计资料显示，近十年淮安河境未发生一起船舶溢油事故，可见发生溢油事故的风险概率小。项目实施后，船舶交通量和油品运量增长幅度相</w:t>
      </w:r>
      <w:r>
        <w:rPr>
          <w:rFonts w:hint="eastAsia"/>
          <w:lang w:val="en-US"/>
        </w:rPr>
        <w:t>差</w:t>
      </w:r>
      <w:r>
        <w:rPr>
          <w:rFonts w:hint="eastAsia"/>
        </w:rPr>
        <w:t>不大，发生溢油事故的风险概率也小。</w:t>
      </w:r>
    </w:p>
    <w:p w14:paraId="145D30F6">
      <w:pPr>
        <w:pStyle w:val="82"/>
      </w:pPr>
      <w:r>
        <w:rPr>
          <w:rFonts w:hint="eastAsia"/>
        </w:rPr>
        <w:t>风险源项分析</w:t>
      </w:r>
    </w:p>
    <w:p w14:paraId="562C0975">
      <w:pPr>
        <w:pStyle w:val="93"/>
      </w:pPr>
      <w:r>
        <w:rPr>
          <w:rFonts w:hint="eastAsia"/>
        </w:rPr>
        <w:t>一、施工期</w:t>
      </w:r>
    </w:p>
    <w:p w14:paraId="7273C144">
      <w:pPr>
        <w:pStyle w:val="93"/>
      </w:pPr>
      <w:r>
        <w:rPr>
          <w:rFonts w:hint="eastAsia"/>
        </w:rPr>
        <w:t>本项目施工期使用500吨级船舶，运营过程中涉及的危险物质为柴油，施工期发生的溢油事故基本为因操作不当等因素造成施工船舶碰撞或自身操作不当导致事故而引发的溢油事故。</w:t>
      </w:r>
      <w:r>
        <w:rPr>
          <w:rFonts w:hint="eastAsia"/>
          <w:lang w:val="en-US"/>
        </w:rPr>
        <w:t>本项</w:t>
      </w:r>
      <w:r>
        <w:rPr>
          <w:rStyle w:val="140"/>
          <w:rFonts w:hint="eastAsia"/>
          <w:color w:val="auto"/>
        </w:rPr>
        <w:t>目施工期</w:t>
      </w:r>
      <w:r>
        <w:rPr>
          <w:rStyle w:val="140"/>
          <w:rFonts w:hint="eastAsia"/>
          <w:color w:val="auto"/>
          <w:lang w:val="en-US"/>
        </w:rPr>
        <w:t>反铲式挖泥船</w:t>
      </w:r>
      <w:r>
        <w:rPr>
          <w:rFonts w:hint="eastAsia"/>
          <w:lang w:val="en-US"/>
        </w:rPr>
        <w:t>作业时，按1艘船型为500t考虑，燃油总舱容约为46m</w:t>
      </w:r>
      <w:r>
        <w:rPr>
          <w:rFonts w:hint="eastAsia"/>
          <w:vertAlign w:val="superscript"/>
          <w:lang w:val="en-US"/>
        </w:rPr>
        <w:t>3</w:t>
      </w:r>
      <w:r>
        <w:rPr>
          <w:rFonts w:hint="eastAsia"/>
          <w:lang w:val="en-US"/>
        </w:rPr>
        <w:t>（456m</w:t>
      </w:r>
      <w:r>
        <w:rPr>
          <w:rFonts w:hint="eastAsia"/>
          <w:vertAlign w:val="superscript"/>
          <w:lang w:val="en-US"/>
        </w:rPr>
        <w:t>3</w:t>
      </w:r>
      <w:r>
        <w:rPr>
          <w:rFonts w:hint="eastAsia"/>
          <w:lang w:val="en-US"/>
        </w:rPr>
        <w:t>×500/5000），燃油油舱单舱燃油量为6m</w:t>
      </w:r>
      <w:r>
        <w:rPr>
          <w:rFonts w:hint="eastAsia"/>
          <w:vertAlign w:val="superscript"/>
          <w:lang w:val="en-US"/>
        </w:rPr>
        <w:t>3</w:t>
      </w:r>
      <w:r>
        <w:rPr>
          <w:rFonts w:hint="eastAsia"/>
          <w:lang w:val="en-US"/>
        </w:rPr>
        <w:t>（61m</w:t>
      </w:r>
      <w:r>
        <w:rPr>
          <w:rFonts w:hint="eastAsia"/>
          <w:vertAlign w:val="superscript"/>
          <w:lang w:val="en-US"/>
        </w:rPr>
        <w:t>3</w:t>
      </w:r>
      <w:r>
        <w:rPr>
          <w:rFonts w:hint="eastAsia"/>
          <w:lang w:val="en-US"/>
        </w:rPr>
        <w:t>×500/5000）；本次环评燃油密度按照0.85t/m</w:t>
      </w:r>
      <w:r>
        <w:rPr>
          <w:rFonts w:hint="eastAsia"/>
          <w:vertAlign w:val="superscript"/>
          <w:lang w:val="en-US"/>
        </w:rPr>
        <w:t>3</w:t>
      </w:r>
      <w:r>
        <w:rPr>
          <w:rFonts w:hint="eastAsia"/>
          <w:lang w:val="en-US"/>
        </w:rPr>
        <w:t>计，则挖泥船携带燃油总量为39.1t，燃油油舱单舱燃油质量为5.1t。本次预测按照单仓全部泄漏计算</w:t>
      </w:r>
      <w:r>
        <w:rPr>
          <w:rFonts w:hint="eastAsia"/>
        </w:rPr>
        <w:t>，泄漏量为5.1t。</w:t>
      </w:r>
    </w:p>
    <w:p w14:paraId="5DCA3FE4">
      <w:pPr>
        <w:ind w:firstLine="480"/>
      </w:pPr>
      <w:r>
        <w:rPr>
          <w:rFonts w:hint="eastAsia"/>
        </w:rPr>
        <w:t>二、运营期</w:t>
      </w:r>
    </w:p>
    <w:p w14:paraId="33020723">
      <w:pPr>
        <w:pStyle w:val="93"/>
        <w:rPr>
          <w:lang w:val="en-US"/>
        </w:rPr>
      </w:pPr>
      <w:r>
        <w:rPr>
          <w:rFonts w:hint="eastAsia"/>
        </w:rPr>
        <w:t>本项目运营期码头共设置3个1000吨级泊位，其中2个散货泊位、1个散货待泊泊位，运营过程中涉及的危险物质为柴油</w:t>
      </w:r>
      <w:r>
        <w:rPr>
          <w:rFonts w:hint="eastAsia"/>
          <w:lang w:val="en-US"/>
        </w:rPr>
        <w:t>根据建设项目营运期间按3艘1000t级散货船同时在港考虑，燃油总舱容约为91m</w:t>
      </w:r>
      <w:r>
        <w:rPr>
          <w:rFonts w:hint="eastAsia"/>
          <w:vertAlign w:val="superscript"/>
          <w:lang w:val="en-US"/>
        </w:rPr>
        <w:t>3</w:t>
      </w:r>
      <w:r>
        <w:rPr>
          <w:rFonts w:hint="eastAsia"/>
          <w:lang w:val="en-US"/>
        </w:rPr>
        <w:t>（456m</w:t>
      </w:r>
      <w:r>
        <w:rPr>
          <w:rFonts w:hint="eastAsia"/>
          <w:vertAlign w:val="superscript"/>
          <w:lang w:val="en-US"/>
        </w:rPr>
        <w:t>3</w:t>
      </w:r>
      <w:r>
        <w:rPr>
          <w:rFonts w:hint="eastAsia"/>
          <w:lang w:val="en-US"/>
        </w:rPr>
        <w:t>×1000/5000），燃油油舱单舱燃油量为12m</w:t>
      </w:r>
      <w:r>
        <w:rPr>
          <w:rFonts w:hint="eastAsia"/>
          <w:vertAlign w:val="superscript"/>
          <w:lang w:val="en-US"/>
        </w:rPr>
        <w:t>3</w:t>
      </w:r>
      <w:r>
        <w:rPr>
          <w:rFonts w:hint="eastAsia"/>
          <w:lang w:val="en-US"/>
        </w:rPr>
        <w:t>（61m</w:t>
      </w:r>
      <w:r>
        <w:rPr>
          <w:rFonts w:hint="eastAsia"/>
          <w:vertAlign w:val="superscript"/>
          <w:lang w:val="en-US"/>
        </w:rPr>
        <w:t>3</w:t>
      </w:r>
      <w:r>
        <w:rPr>
          <w:rFonts w:hint="eastAsia"/>
          <w:lang w:val="en-US"/>
        </w:rPr>
        <w:t>×1000/5000）；本次环评燃油密度按照0.85t/m</w:t>
      </w:r>
      <w:r>
        <w:rPr>
          <w:rFonts w:hint="eastAsia"/>
          <w:vertAlign w:val="superscript"/>
          <w:lang w:val="en-US"/>
        </w:rPr>
        <w:t>3</w:t>
      </w:r>
      <w:r>
        <w:rPr>
          <w:rFonts w:hint="eastAsia"/>
          <w:lang w:val="en-US"/>
        </w:rPr>
        <w:t>计，则3个1000吨级散货船携带燃油总量为232.05t，燃油油舱单舱燃油质量为10.2t。</w:t>
      </w:r>
    </w:p>
    <w:p w14:paraId="6FD8A679">
      <w:pPr>
        <w:pStyle w:val="93"/>
      </w:pPr>
      <w:r>
        <w:rPr>
          <w:rFonts w:hint="eastAsia"/>
        </w:rPr>
        <w:t>船舶到港进行装卸前，码头工作人员根据操作规程预先放置围油栏，船舶泄漏事故主要为船舶柴油发生泄漏，一旦发现泄漏，船方会立即启动应急程序，对泄漏的柴油进行围堵、蘸、吸，并通知相关部门应急救援，但仍有一部分油会泄漏。</w:t>
      </w:r>
      <w:r>
        <w:rPr>
          <w:rStyle w:val="140"/>
          <w:rFonts w:hint="eastAsia"/>
          <w:color w:val="auto"/>
        </w:rPr>
        <w:t>根据《水上溢油环境风险评估技术导则》（JT/T1143-2017）“7.2.1</w:t>
      </w:r>
      <w:r>
        <w:rPr>
          <w:rStyle w:val="140"/>
          <w:rFonts w:hint="eastAsia"/>
          <w:color w:val="auto"/>
          <w:lang w:val="en-US"/>
        </w:rPr>
        <w:t xml:space="preserve"> 船舶溢油事故溢油量</w:t>
      </w:r>
      <w:r>
        <w:rPr>
          <w:rStyle w:val="140"/>
          <w:rFonts w:hint="eastAsia"/>
          <w:color w:val="auto"/>
        </w:rPr>
        <w:t xml:space="preserve"> 新建水运工程建设项目的最大可信水上溢油事故溢油量，按照设计代表船型所载货油或船用燃料油全部泄漏的数量确定”。</w:t>
      </w:r>
      <w:r>
        <w:rPr>
          <w:rFonts w:hint="eastAsia"/>
        </w:rPr>
        <w:t>本项目船舶发生事故时按</w:t>
      </w:r>
      <w:r>
        <w:rPr>
          <w:rFonts w:hint="eastAsia"/>
          <w:lang w:eastAsia="zh-CN"/>
        </w:rPr>
        <w:t>一艘船</w:t>
      </w:r>
      <w:r>
        <w:rPr>
          <w:rStyle w:val="140"/>
          <w:rFonts w:hint="eastAsia"/>
          <w:color w:val="auto"/>
        </w:rPr>
        <w:t>燃料油全部溢出最可</w:t>
      </w:r>
      <w:r>
        <w:rPr>
          <w:rFonts w:hint="eastAsia"/>
        </w:rPr>
        <w:t>能发生的溢油事故泄漏量约为36m</w:t>
      </w:r>
      <w:r>
        <w:rPr>
          <w:rFonts w:hint="eastAsia"/>
          <w:vertAlign w:val="superscript"/>
        </w:rPr>
        <w:t>3</w:t>
      </w:r>
      <w:r>
        <w:rPr>
          <w:rFonts w:hint="eastAsia"/>
        </w:rPr>
        <w:t>（</w:t>
      </w:r>
      <w:r>
        <w:t>30.6</w:t>
      </w:r>
      <w:r>
        <w:rPr>
          <w:rFonts w:hint="eastAsia"/>
        </w:rPr>
        <w:t>t）。泄漏的石油类首先用吸油垫、围油栏、捞油兜等收油物品阻止或减少溢料下江，然后再经二道围油栏拦截回收。经上述处理后，泄漏入盐河的石油类截留率一般可达到90%，未被截留的油品将随水流向下游扩散，即流入盐河的量约为3.6m</w:t>
      </w:r>
      <w:r>
        <w:rPr>
          <w:rFonts w:hint="eastAsia"/>
          <w:vertAlign w:val="superscript"/>
        </w:rPr>
        <w:t>3</w:t>
      </w:r>
      <w:r>
        <w:rPr>
          <w:rFonts w:hint="eastAsia"/>
        </w:rPr>
        <w:t>（3.06t）。</w:t>
      </w:r>
    </w:p>
    <w:p w14:paraId="65776B36">
      <w:pPr>
        <w:ind w:firstLine="480"/>
      </w:pPr>
      <w:r>
        <w:rPr>
          <w:rFonts w:hint="eastAsia"/>
        </w:rPr>
        <w:t>具体各工况源强见表5.3-7。</w:t>
      </w:r>
    </w:p>
    <w:p w14:paraId="3158EF2E">
      <w:pPr>
        <w:pStyle w:val="86"/>
      </w:pPr>
      <w:r>
        <w:rPr>
          <w:rFonts w:hint="eastAsia"/>
        </w:rPr>
        <w:t>污染预测源强</w:t>
      </w:r>
    </w:p>
    <w:tbl>
      <w:tblPr>
        <w:tblStyle w:val="38"/>
        <w:tblW w:w="5000" w:type="pct"/>
        <w:jc w:val="center"/>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Layout w:type="fixed"/>
        <w:tblCellMar>
          <w:top w:w="0" w:type="dxa"/>
          <w:left w:w="108" w:type="dxa"/>
          <w:bottom w:w="0" w:type="dxa"/>
          <w:right w:w="108" w:type="dxa"/>
        </w:tblCellMar>
      </w:tblPr>
      <w:tblGrid>
        <w:gridCol w:w="1299"/>
        <w:gridCol w:w="1758"/>
        <w:gridCol w:w="1850"/>
        <w:gridCol w:w="1127"/>
        <w:gridCol w:w="1243"/>
        <w:gridCol w:w="1243"/>
      </w:tblGrid>
      <w:tr w14:paraId="7D285479">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75" w:type="dxa"/>
            <w:tcBorders>
              <w:top w:val="single" w:color="auto" w:sz="2" w:space="0"/>
              <w:bottom w:val="single" w:color="auto" w:sz="2" w:space="0"/>
              <w:right w:val="single" w:color="auto" w:sz="2" w:space="0"/>
            </w:tcBorders>
            <w:vAlign w:val="center"/>
          </w:tcPr>
          <w:p w14:paraId="3BDC7527">
            <w:pPr>
              <w:pStyle w:val="196"/>
            </w:pPr>
            <w:r>
              <w:rPr>
                <w:rFonts w:hint="eastAsia"/>
              </w:rPr>
              <w:t>方案</w:t>
            </w:r>
          </w:p>
        </w:tc>
        <w:tc>
          <w:tcPr>
            <w:tcW w:w="1871" w:type="dxa"/>
            <w:tcBorders>
              <w:top w:val="single" w:color="auto" w:sz="2" w:space="0"/>
              <w:left w:val="single" w:color="auto" w:sz="2" w:space="0"/>
              <w:bottom w:val="single" w:color="auto" w:sz="2" w:space="0"/>
              <w:right w:val="single" w:color="auto" w:sz="2" w:space="0"/>
            </w:tcBorders>
            <w:vAlign w:val="center"/>
          </w:tcPr>
          <w:p w14:paraId="138730E9">
            <w:pPr>
              <w:pStyle w:val="196"/>
            </w:pPr>
            <w:r>
              <w:rPr>
                <w:rFonts w:hint="eastAsia"/>
              </w:rPr>
              <w:t>事故风险类别</w:t>
            </w:r>
          </w:p>
        </w:tc>
        <w:tc>
          <w:tcPr>
            <w:tcW w:w="1971" w:type="dxa"/>
            <w:tcBorders>
              <w:top w:val="single" w:color="auto" w:sz="2" w:space="0"/>
              <w:left w:val="single" w:color="auto" w:sz="2" w:space="0"/>
              <w:bottom w:val="single" w:color="auto" w:sz="2" w:space="0"/>
              <w:right w:val="single" w:color="auto" w:sz="2" w:space="0"/>
            </w:tcBorders>
            <w:vAlign w:val="center"/>
          </w:tcPr>
          <w:p w14:paraId="446C2905">
            <w:pPr>
              <w:pStyle w:val="196"/>
            </w:pPr>
            <w:r>
              <w:rPr>
                <w:rFonts w:hint="eastAsia"/>
              </w:rPr>
              <w:t>物质</w:t>
            </w:r>
          </w:p>
        </w:tc>
        <w:tc>
          <w:tcPr>
            <w:tcW w:w="1191" w:type="dxa"/>
            <w:tcBorders>
              <w:top w:val="single" w:color="auto" w:sz="2" w:space="0"/>
              <w:left w:val="single" w:color="auto" w:sz="2" w:space="0"/>
              <w:bottom w:val="single" w:color="auto" w:sz="2" w:space="0"/>
              <w:right w:val="single" w:color="auto" w:sz="2" w:space="0"/>
            </w:tcBorders>
            <w:vAlign w:val="center"/>
          </w:tcPr>
          <w:p w14:paraId="046E7E82">
            <w:pPr>
              <w:pStyle w:val="196"/>
            </w:pPr>
            <w:r>
              <w:rPr>
                <w:rFonts w:hint="eastAsia"/>
              </w:rPr>
              <w:t>释放速率（kg/s）</w:t>
            </w:r>
          </w:p>
        </w:tc>
        <w:tc>
          <w:tcPr>
            <w:tcW w:w="1316" w:type="dxa"/>
            <w:tcBorders>
              <w:top w:val="single" w:color="auto" w:sz="2" w:space="0"/>
              <w:left w:val="single" w:color="auto" w:sz="2" w:space="0"/>
              <w:bottom w:val="single" w:color="auto" w:sz="2" w:space="0"/>
              <w:right w:val="single" w:color="auto" w:sz="2" w:space="0"/>
            </w:tcBorders>
            <w:vAlign w:val="center"/>
          </w:tcPr>
          <w:p w14:paraId="1DF804F7">
            <w:pPr>
              <w:pStyle w:val="196"/>
            </w:pPr>
            <w:r>
              <w:rPr>
                <w:rFonts w:hint="eastAsia"/>
              </w:rPr>
              <w:t>污染船型</w:t>
            </w:r>
          </w:p>
        </w:tc>
        <w:tc>
          <w:tcPr>
            <w:tcW w:w="1316" w:type="dxa"/>
            <w:tcBorders>
              <w:top w:val="single" w:color="auto" w:sz="2" w:space="0"/>
              <w:left w:val="single" w:color="auto" w:sz="2" w:space="0"/>
              <w:bottom w:val="single" w:color="auto" w:sz="2" w:space="0"/>
            </w:tcBorders>
            <w:vAlign w:val="center"/>
          </w:tcPr>
          <w:p w14:paraId="4EE33300">
            <w:pPr>
              <w:pStyle w:val="196"/>
            </w:pPr>
            <w:r>
              <w:rPr>
                <w:rFonts w:hint="eastAsia"/>
              </w:rPr>
              <w:t>排放时间（min）</w:t>
            </w:r>
          </w:p>
        </w:tc>
      </w:tr>
      <w:tr w14:paraId="55EE46A3">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75" w:type="dxa"/>
            <w:tcBorders>
              <w:top w:val="single" w:color="auto" w:sz="2" w:space="0"/>
              <w:bottom w:val="single" w:color="auto" w:sz="2" w:space="0"/>
              <w:right w:val="single" w:color="auto" w:sz="2" w:space="0"/>
            </w:tcBorders>
            <w:vAlign w:val="center"/>
          </w:tcPr>
          <w:p w14:paraId="0F3D9F1F">
            <w:pPr>
              <w:pStyle w:val="196"/>
            </w:pPr>
            <w:r>
              <w:rPr>
                <w:rFonts w:hint="eastAsia"/>
              </w:rPr>
              <w:t>方案一</w:t>
            </w:r>
          </w:p>
        </w:tc>
        <w:tc>
          <w:tcPr>
            <w:tcW w:w="1871" w:type="dxa"/>
            <w:tcBorders>
              <w:top w:val="single" w:color="auto" w:sz="2" w:space="0"/>
              <w:left w:val="single" w:color="auto" w:sz="2" w:space="0"/>
              <w:bottom w:val="single" w:color="auto" w:sz="2" w:space="0"/>
              <w:right w:val="single" w:color="auto" w:sz="2" w:space="0"/>
            </w:tcBorders>
            <w:vAlign w:val="center"/>
          </w:tcPr>
          <w:p w14:paraId="4A0E10CC">
            <w:pPr>
              <w:pStyle w:val="196"/>
            </w:pPr>
            <w:r>
              <w:rPr>
                <w:rFonts w:hint="eastAsia"/>
              </w:rPr>
              <w:t>码头船舶溢油事故（未采取措施）</w:t>
            </w:r>
          </w:p>
        </w:tc>
        <w:tc>
          <w:tcPr>
            <w:tcW w:w="1971" w:type="dxa"/>
            <w:tcBorders>
              <w:top w:val="single" w:color="auto" w:sz="2" w:space="0"/>
              <w:left w:val="single" w:color="auto" w:sz="2" w:space="0"/>
              <w:bottom w:val="single" w:color="auto" w:sz="2" w:space="0"/>
              <w:right w:val="single" w:color="auto" w:sz="2" w:space="0"/>
            </w:tcBorders>
            <w:vAlign w:val="center"/>
          </w:tcPr>
          <w:p w14:paraId="18A74637">
            <w:pPr>
              <w:pStyle w:val="196"/>
            </w:pPr>
            <w:r>
              <w:rPr>
                <w:rFonts w:hint="eastAsia"/>
              </w:rPr>
              <w:t>柴油</w:t>
            </w:r>
          </w:p>
        </w:tc>
        <w:tc>
          <w:tcPr>
            <w:tcW w:w="1191" w:type="dxa"/>
            <w:tcBorders>
              <w:top w:val="single" w:color="auto" w:sz="2" w:space="0"/>
              <w:left w:val="single" w:color="auto" w:sz="2" w:space="0"/>
              <w:bottom w:val="single" w:color="auto" w:sz="2" w:space="0"/>
              <w:right w:val="single" w:color="auto" w:sz="2" w:space="0"/>
            </w:tcBorders>
            <w:vAlign w:val="center"/>
          </w:tcPr>
          <w:p w14:paraId="643D793B">
            <w:pPr>
              <w:pStyle w:val="196"/>
              <w:rPr>
                <w:highlight w:val="yellow"/>
              </w:rPr>
            </w:pPr>
            <w:r>
              <w:rPr>
                <w:rFonts w:hint="eastAsia"/>
              </w:rPr>
              <w:t>51</w:t>
            </w:r>
          </w:p>
        </w:tc>
        <w:tc>
          <w:tcPr>
            <w:tcW w:w="1316" w:type="dxa"/>
            <w:tcBorders>
              <w:top w:val="single" w:color="auto" w:sz="2" w:space="0"/>
              <w:left w:val="single" w:color="auto" w:sz="2" w:space="0"/>
              <w:bottom w:val="single" w:color="auto" w:sz="2" w:space="0"/>
              <w:right w:val="single" w:color="auto" w:sz="2" w:space="0"/>
            </w:tcBorders>
            <w:vAlign w:val="center"/>
          </w:tcPr>
          <w:p w14:paraId="2560B0B1">
            <w:pPr>
              <w:pStyle w:val="196"/>
            </w:pPr>
            <w:r>
              <w:rPr>
                <w:rFonts w:hint="eastAsia"/>
              </w:rPr>
              <w:t>1000t级船</w:t>
            </w:r>
          </w:p>
        </w:tc>
        <w:tc>
          <w:tcPr>
            <w:tcW w:w="1316" w:type="dxa"/>
            <w:tcBorders>
              <w:top w:val="single" w:color="auto" w:sz="2" w:space="0"/>
              <w:left w:val="single" w:color="auto" w:sz="2" w:space="0"/>
              <w:bottom w:val="single" w:color="auto" w:sz="2" w:space="0"/>
            </w:tcBorders>
            <w:vAlign w:val="center"/>
          </w:tcPr>
          <w:p w14:paraId="09672B21">
            <w:pPr>
              <w:pStyle w:val="196"/>
            </w:pPr>
            <w:r>
              <w:rPr>
                <w:rFonts w:hint="eastAsia"/>
              </w:rPr>
              <w:t>10</w:t>
            </w:r>
          </w:p>
        </w:tc>
      </w:tr>
      <w:tr w14:paraId="38E31AF0">
        <w:tblPrEx>
          <w:tblBorders>
            <w:top w:val="single" w:color="auto" w:sz="2" w:space="0"/>
            <w:left w:val="single" w:color="auto" w:sz="2" w:space="0"/>
            <w:bottom w:val="single" w:color="auto" w:sz="2" w:space="0"/>
            <w:right w:val="single" w:color="auto" w:sz="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75" w:type="dxa"/>
            <w:tcBorders>
              <w:top w:val="single" w:color="auto" w:sz="2" w:space="0"/>
              <w:bottom w:val="single" w:color="auto" w:sz="2" w:space="0"/>
              <w:right w:val="single" w:color="auto" w:sz="2" w:space="0"/>
            </w:tcBorders>
            <w:vAlign w:val="center"/>
          </w:tcPr>
          <w:p w14:paraId="3118B727">
            <w:pPr>
              <w:pStyle w:val="196"/>
            </w:pPr>
            <w:r>
              <w:rPr>
                <w:rFonts w:hint="eastAsia"/>
              </w:rPr>
              <w:t>方案二</w:t>
            </w:r>
          </w:p>
        </w:tc>
        <w:tc>
          <w:tcPr>
            <w:tcW w:w="1871" w:type="dxa"/>
            <w:tcBorders>
              <w:top w:val="single" w:color="auto" w:sz="2" w:space="0"/>
              <w:left w:val="single" w:color="auto" w:sz="2" w:space="0"/>
              <w:bottom w:val="single" w:color="auto" w:sz="2" w:space="0"/>
              <w:right w:val="single" w:color="auto" w:sz="2" w:space="0"/>
            </w:tcBorders>
            <w:vAlign w:val="center"/>
          </w:tcPr>
          <w:p w14:paraId="1C372824">
            <w:pPr>
              <w:pStyle w:val="196"/>
            </w:pPr>
            <w:r>
              <w:rPr>
                <w:rFonts w:hint="eastAsia"/>
              </w:rPr>
              <w:t>码头船舶溢油事故（采取措施）</w:t>
            </w:r>
          </w:p>
        </w:tc>
        <w:tc>
          <w:tcPr>
            <w:tcW w:w="1971" w:type="dxa"/>
            <w:tcBorders>
              <w:top w:val="single" w:color="auto" w:sz="2" w:space="0"/>
              <w:left w:val="single" w:color="auto" w:sz="2" w:space="0"/>
              <w:bottom w:val="single" w:color="auto" w:sz="2" w:space="0"/>
              <w:right w:val="single" w:color="auto" w:sz="2" w:space="0"/>
            </w:tcBorders>
            <w:vAlign w:val="center"/>
          </w:tcPr>
          <w:p w14:paraId="0B0B9FCF">
            <w:pPr>
              <w:pStyle w:val="196"/>
            </w:pPr>
            <w:r>
              <w:rPr>
                <w:rFonts w:hint="eastAsia"/>
              </w:rPr>
              <w:t>柴油</w:t>
            </w:r>
          </w:p>
        </w:tc>
        <w:tc>
          <w:tcPr>
            <w:tcW w:w="1191" w:type="dxa"/>
            <w:tcBorders>
              <w:top w:val="single" w:color="auto" w:sz="2" w:space="0"/>
              <w:left w:val="single" w:color="auto" w:sz="2" w:space="0"/>
              <w:bottom w:val="single" w:color="auto" w:sz="2" w:space="0"/>
              <w:right w:val="single" w:color="auto" w:sz="2" w:space="0"/>
            </w:tcBorders>
            <w:vAlign w:val="center"/>
          </w:tcPr>
          <w:p w14:paraId="57FE7A8D">
            <w:pPr>
              <w:pStyle w:val="196"/>
              <w:rPr>
                <w:highlight w:val="yellow"/>
              </w:rPr>
            </w:pPr>
            <w:r>
              <w:rPr>
                <w:rFonts w:hint="eastAsia"/>
              </w:rPr>
              <w:t>5.1</w:t>
            </w:r>
          </w:p>
        </w:tc>
        <w:tc>
          <w:tcPr>
            <w:tcW w:w="1316" w:type="dxa"/>
            <w:tcBorders>
              <w:top w:val="single" w:color="auto" w:sz="2" w:space="0"/>
              <w:left w:val="single" w:color="auto" w:sz="2" w:space="0"/>
              <w:bottom w:val="single" w:color="auto" w:sz="2" w:space="0"/>
              <w:right w:val="single" w:color="auto" w:sz="2" w:space="0"/>
            </w:tcBorders>
            <w:vAlign w:val="center"/>
          </w:tcPr>
          <w:p w14:paraId="58B04F75">
            <w:pPr>
              <w:pStyle w:val="196"/>
            </w:pPr>
            <w:r>
              <w:rPr>
                <w:rFonts w:hint="eastAsia"/>
              </w:rPr>
              <w:t>1000t级船</w:t>
            </w:r>
          </w:p>
        </w:tc>
        <w:tc>
          <w:tcPr>
            <w:tcW w:w="1316" w:type="dxa"/>
            <w:tcBorders>
              <w:top w:val="single" w:color="auto" w:sz="2" w:space="0"/>
              <w:left w:val="single" w:color="auto" w:sz="2" w:space="0"/>
              <w:bottom w:val="single" w:color="auto" w:sz="2" w:space="0"/>
            </w:tcBorders>
            <w:vAlign w:val="center"/>
          </w:tcPr>
          <w:p w14:paraId="7EE52C58">
            <w:pPr>
              <w:pStyle w:val="196"/>
            </w:pPr>
            <w:r>
              <w:rPr>
                <w:rFonts w:hint="eastAsia"/>
              </w:rPr>
              <w:t>10</w:t>
            </w:r>
          </w:p>
        </w:tc>
      </w:tr>
    </w:tbl>
    <w:p w14:paraId="7B8D4379">
      <w:pPr>
        <w:ind w:firstLine="480"/>
      </w:pPr>
      <w:r>
        <w:rPr>
          <w:rFonts w:hint="eastAsia"/>
        </w:rPr>
        <w:t>敏感保护目标见表5.3-8。</w:t>
      </w:r>
    </w:p>
    <w:p w14:paraId="75627470">
      <w:pPr>
        <w:pStyle w:val="86"/>
      </w:pPr>
      <w:r>
        <w:rPr>
          <w:rFonts w:hint="eastAsia"/>
        </w:rPr>
        <w:t>敏感保护目标表</w:t>
      </w:r>
    </w:p>
    <w:tbl>
      <w:tblPr>
        <w:tblStyle w:val="38"/>
        <w:tblW w:w="5163"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0" w:type="dxa"/>
          <w:bottom w:w="0" w:type="dxa"/>
          <w:right w:w="0" w:type="dxa"/>
        </w:tblCellMar>
      </w:tblPr>
      <w:tblGrid>
        <w:gridCol w:w="2784"/>
        <w:gridCol w:w="1553"/>
        <w:gridCol w:w="4245"/>
      </w:tblGrid>
      <w:tr w14:paraId="72CA21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blHeader/>
          <w:jc w:val="center"/>
        </w:trPr>
        <w:tc>
          <w:tcPr>
            <w:tcW w:w="1622" w:type="pct"/>
            <w:shd w:val="clear" w:color="auto" w:fill="FFFFFF"/>
            <w:vAlign w:val="center"/>
          </w:tcPr>
          <w:p w14:paraId="5D19D3B6">
            <w:pPr>
              <w:pStyle w:val="196"/>
            </w:pPr>
            <w:r>
              <w:rPr>
                <w:rFonts w:hint="eastAsia"/>
              </w:rPr>
              <w:t>名称</w:t>
            </w:r>
          </w:p>
        </w:tc>
        <w:tc>
          <w:tcPr>
            <w:tcW w:w="905" w:type="pct"/>
            <w:shd w:val="clear" w:color="auto" w:fill="FFFFFF"/>
            <w:vAlign w:val="center"/>
          </w:tcPr>
          <w:p w14:paraId="42DBE407">
            <w:pPr>
              <w:pStyle w:val="196"/>
            </w:pPr>
            <w:r>
              <w:rPr>
                <w:rFonts w:hint="eastAsia"/>
              </w:rPr>
              <w:t>相对方位</w:t>
            </w:r>
          </w:p>
        </w:tc>
        <w:tc>
          <w:tcPr>
            <w:tcW w:w="2473" w:type="pct"/>
            <w:shd w:val="clear" w:color="auto" w:fill="FFFFFF"/>
            <w:vAlign w:val="center"/>
          </w:tcPr>
          <w:p w14:paraId="08C7C480">
            <w:pPr>
              <w:pStyle w:val="196"/>
            </w:pPr>
            <w:r>
              <w:rPr>
                <w:rFonts w:hint="eastAsia"/>
              </w:rPr>
              <w:t>距本项目厂界最近距离（m）</w:t>
            </w:r>
          </w:p>
        </w:tc>
      </w:tr>
      <w:tr w14:paraId="69ACC2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22" w:type="pct"/>
            <w:shd w:val="clear" w:color="auto" w:fill="FFFFFF"/>
            <w:vAlign w:val="center"/>
          </w:tcPr>
          <w:p w14:paraId="4F80150F">
            <w:pPr>
              <w:pStyle w:val="196"/>
            </w:pPr>
            <w:r>
              <w:rPr>
                <w:rFonts w:hint="eastAsia"/>
              </w:rPr>
              <w:t>盐河</w:t>
            </w:r>
          </w:p>
        </w:tc>
        <w:tc>
          <w:tcPr>
            <w:tcW w:w="905" w:type="pct"/>
            <w:shd w:val="clear" w:color="auto" w:fill="FFFFFF"/>
            <w:vAlign w:val="center"/>
          </w:tcPr>
          <w:p w14:paraId="7FB4BAE2">
            <w:pPr>
              <w:pStyle w:val="196"/>
            </w:pPr>
            <w:r>
              <w:rPr>
                <w:rFonts w:hint="eastAsia"/>
              </w:rPr>
              <w:t>E</w:t>
            </w:r>
          </w:p>
        </w:tc>
        <w:tc>
          <w:tcPr>
            <w:tcW w:w="2473" w:type="pct"/>
            <w:shd w:val="clear" w:color="auto" w:fill="FFFFFF"/>
            <w:vAlign w:val="center"/>
          </w:tcPr>
          <w:p w14:paraId="53727985">
            <w:pPr>
              <w:pStyle w:val="196"/>
            </w:pPr>
            <w:r>
              <w:rPr>
                <w:rFonts w:hint="eastAsia"/>
              </w:rPr>
              <w:t>紧邻</w:t>
            </w:r>
          </w:p>
        </w:tc>
      </w:tr>
      <w:tr w14:paraId="4830CA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jc w:val="center"/>
        </w:trPr>
        <w:tc>
          <w:tcPr>
            <w:tcW w:w="1622" w:type="pct"/>
            <w:shd w:val="clear" w:color="auto" w:fill="FFFFFF"/>
            <w:vAlign w:val="center"/>
          </w:tcPr>
          <w:p w14:paraId="3B1E2BE5">
            <w:pPr>
              <w:pStyle w:val="196"/>
            </w:pPr>
            <w:r>
              <w:rPr>
                <w:rFonts w:hint="eastAsia"/>
              </w:rPr>
              <w:t>盐河袁闸断面</w:t>
            </w:r>
          </w:p>
        </w:tc>
        <w:tc>
          <w:tcPr>
            <w:tcW w:w="905" w:type="pct"/>
            <w:shd w:val="clear" w:color="auto" w:fill="FFFFFF"/>
            <w:vAlign w:val="center"/>
          </w:tcPr>
          <w:p w14:paraId="0F86D13A">
            <w:pPr>
              <w:pStyle w:val="196"/>
            </w:pPr>
            <w:r>
              <w:rPr>
                <w:rFonts w:hint="eastAsia"/>
              </w:rPr>
              <w:t>N</w:t>
            </w:r>
          </w:p>
        </w:tc>
        <w:tc>
          <w:tcPr>
            <w:tcW w:w="2473" w:type="pct"/>
            <w:shd w:val="clear" w:color="auto" w:fill="FFFFFF"/>
            <w:vAlign w:val="center"/>
          </w:tcPr>
          <w:p w14:paraId="42155A2A">
            <w:pPr>
              <w:pStyle w:val="196"/>
              <w:rPr>
                <w:highlight w:val="yellow"/>
              </w:rPr>
            </w:pPr>
            <w:r>
              <w:rPr>
                <w:rFonts w:hint="eastAsia"/>
              </w:rPr>
              <w:t>位于项目下游约30km处</w:t>
            </w:r>
          </w:p>
        </w:tc>
      </w:tr>
    </w:tbl>
    <w:p w14:paraId="12DB813A">
      <w:pPr>
        <w:pStyle w:val="82"/>
      </w:pPr>
      <w:r>
        <w:rPr>
          <w:rFonts w:hint="eastAsia"/>
        </w:rPr>
        <w:t>后果分析</w:t>
      </w:r>
    </w:p>
    <w:p w14:paraId="09F93AA8">
      <w:pPr>
        <w:pStyle w:val="84"/>
      </w:pPr>
      <w:r>
        <w:rPr>
          <w:rFonts w:hint="eastAsia"/>
        </w:rPr>
        <w:t>盐河水环境数学模型建立</w:t>
      </w:r>
    </w:p>
    <w:p w14:paraId="394BF56E">
      <w:pPr>
        <w:pStyle w:val="93"/>
      </w:pPr>
      <w:r>
        <w:rPr>
          <w:rFonts w:hint="eastAsia"/>
        </w:rPr>
        <w:t>①水动力基本方程</w:t>
      </w:r>
    </w:p>
    <w:p w14:paraId="321351DB">
      <w:pPr>
        <w:pStyle w:val="93"/>
      </w:pPr>
      <w:r>
        <w:rPr>
          <w:rFonts w:hint="eastAsia"/>
        </w:rPr>
        <w:t>笛卡尔坐标系下二维水动力控制方程是不可压流体三维雷诺Navier-Stokes平均方程沿水深方向积分的连续方程和动量方程，可用如下方程表示：</w:t>
      </w:r>
    </w:p>
    <w:p w14:paraId="2A3810AF">
      <w:pPr>
        <w:ind w:firstLine="480"/>
      </w:pPr>
      <w:r>
        <w:rPr>
          <w:rFonts w:hint="eastAsia"/>
        </w:rPr>
        <w:t>连续方程：</w:t>
      </w:r>
    </w:p>
    <w:p w14:paraId="43E4C00C">
      <w:pPr>
        <w:ind w:firstLine="480"/>
      </w:pPr>
      <m:oMathPara>
        <m:oMathParaPr>
          <m:jc m:val="center"/>
        </m:oMathParaPr>
        <m:oMath>
          <m:f>
            <m:fPr>
              <m:ctrlPr>
                <w:rPr>
                  <w:rFonts w:hint="eastAsia" w:ascii="Cambria Math" w:hAnsi="Cambria Math"/>
                  <w:lang w:bidi="en-US"/>
                </w:rPr>
              </m:ctrlPr>
            </m:fPr>
            <m:num>
              <m:r>
                <m:rPr/>
                <w:rPr>
                  <w:rFonts w:hint="eastAsia" w:ascii="Cambria Math" w:hAnsi="Cambria Math"/>
                </w:rPr>
                <m:t>∂ℎ</m:t>
              </m:r>
              <m:ctrlPr>
                <w:rPr>
                  <w:rFonts w:hint="eastAsia" w:ascii="Cambria Math" w:hAnsi="Cambria Math"/>
                  <w:lang w:bidi="en-US"/>
                </w:rPr>
              </m:ctrlPr>
            </m:num>
            <m:den>
              <m:r>
                <m:rPr/>
                <w:rPr>
                  <w:rFonts w:hint="eastAsia" w:ascii="Cambria Math" w:hAnsi="Cambria Math"/>
                </w:rPr>
                <m:t>∂t</m:t>
              </m:r>
              <m:ctrlPr>
                <w:rPr>
                  <w:rFonts w:hint="eastAsia" w:ascii="Cambria Math" w:hAnsi="Cambria Math"/>
                  <w:lang w:bidi="en-US"/>
                </w:rPr>
              </m:ctrlPr>
            </m:den>
          </m:f>
          <m:r>
            <m:rPr/>
            <w:rPr>
              <w:rFonts w:hint="eastAsia" w:ascii="Cambria Math" w:hAnsi="Cambria Math"/>
            </w:rPr>
            <m:t>+</m:t>
          </m:r>
          <m:f>
            <m:fPr>
              <m:ctrlPr>
                <w:rPr>
                  <w:rFonts w:hint="eastAsia" w:ascii="Cambria Math" w:hAnsi="Cambria Math"/>
                  <w:lang w:bidi="en-US"/>
                </w:rPr>
              </m:ctrlPr>
            </m:fPr>
            <m:num>
              <m:r>
                <m:rPr/>
                <w:rPr>
                  <w:rFonts w:hint="eastAsia" w:ascii="Cambria Math" w:hAnsi="Cambria Math"/>
                </w:rPr>
                <m:t>∂ℎ</m:t>
              </m:r>
              <m:acc>
                <m:accPr>
                  <m:chr m:val="̄"/>
                  <m:ctrlPr>
                    <w:rPr>
                      <w:rFonts w:hint="eastAsia" w:ascii="Cambria Math" w:hAnsi="Cambria Math"/>
                      <w:lang w:bidi="en-US"/>
                    </w:rPr>
                  </m:ctrlPr>
                </m:accPr>
                <m:e>
                  <m:r>
                    <m:rPr/>
                    <w:rPr>
                      <w:rFonts w:hint="eastAsia" w:ascii="Cambria Math" w:hAnsi="Cambria Math"/>
                    </w:rPr>
                    <m:t>u</m:t>
                  </m:r>
                  <m:ctrlPr>
                    <w:rPr>
                      <w:rFonts w:hint="eastAsia" w:ascii="Cambria Math" w:hAnsi="Cambria Math"/>
                      <w:lang w:bidi="en-US"/>
                    </w:rPr>
                  </m:ctrlPr>
                </m:e>
              </m:acc>
              <m:ctrlPr>
                <w:rPr>
                  <w:rFonts w:hint="eastAsia" w:ascii="Cambria Math" w:hAnsi="Cambria Math"/>
                  <w:lang w:bidi="en-US"/>
                </w:rPr>
              </m:ctrlPr>
            </m:num>
            <m:den>
              <m:r>
                <m:rPr/>
                <w:rPr>
                  <w:rFonts w:hint="eastAsia" w:ascii="Cambria Math" w:hAnsi="Cambria Math"/>
                </w:rPr>
                <m:t>∂x</m:t>
              </m:r>
              <m:ctrlPr>
                <w:rPr>
                  <w:rFonts w:hint="eastAsia" w:ascii="Cambria Math" w:hAnsi="Cambria Math"/>
                  <w:lang w:bidi="en-US"/>
                </w:rPr>
              </m:ctrlPr>
            </m:den>
          </m:f>
          <m:r>
            <m:rPr/>
            <w:rPr>
              <w:rFonts w:hint="eastAsia" w:ascii="Cambria Math" w:hAnsi="Cambria Math"/>
            </w:rPr>
            <m:t>+</m:t>
          </m:r>
          <m:f>
            <m:fPr>
              <m:ctrlPr>
                <w:rPr>
                  <w:rFonts w:hint="eastAsia" w:ascii="Cambria Math" w:hAnsi="Cambria Math"/>
                  <w:lang w:bidi="en-US"/>
                </w:rPr>
              </m:ctrlPr>
            </m:fPr>
            <m:num>
              <m:r>
                <m:rPr/>
                <w:rPr>
                  <w:rFonts w:hint="eastAsia" w:ascii="Cambria Math" w:hAnsi="Cambria Math"/>
                </w:rPr>
                <m:t>∂ℎ</m:t>
              </m:r>
              <m:acc>
                <m:accPr>
                  <m:chr m:val="̄"/>
                  <m:ctrlPr>
                    <w:rPr>
                      <w:rFonts w:hint="eastAsia" w:ascii="Cambria Math" w:hAnsi="Cambria Math"/>
                      <w:lang w:bidi="en-US"/>
                    </w:rPr>
                  </m:ctrlPr>
                </m:accPr>
                <m:e>
                  <m:r>
                    <m:rPr/>
                    <w:rPr>
                      <w:rFonts w:hint="eastAsia" w:ascii="Cambria Math" w:hAnsi="Cambria Math"/>
                    </w:rPr>
                    <m:t>v</m:t>
                  </m:r>
                  <m:ctrlPr>
                    <w:rPr>
                      <w:rFonts w:hint="eastAsia" w:ascii="Cambria Math" w:hAnsi="Cambria Math"/>
                      <w:lang w:bidi="en-US"/>
                    </w:rPr>
                  </m:ctrlPr>
                </m:e>
              </m:acc>
              <m:ctrlPr>
                <w:rPr>
                  <w:rFonts w:hint="eastAsia" w:ascii="Cambria Math" w:hAnsi="Cambria Math"/>
                  <w:lang w:bidi="en-US"/>
                </w:rPr>
              </m:ctrlPr>
            </m:num>
            <m:den>
              <m:r>
                <m:rPr/>
                <w:rPr>
                  <w:rFonts w:hint="eastAsia" w:ascii="Cambria Math" w:hAnsi="Cambria Math"/>
                </w:rPr>
                <m:t>∂y</m:t>
              </m:r>
              <m:ctrlPr>
                <w:rPr>
                  <w:rFonts w:hint="eastAsia" w:ascii="Cambria Math" w:hAnsi="Cambria Math"/>
                  <w:lang w:bidi="en-US"/>
                </w:rPr>
              </m:ctrlPr>
            </m:den>
          </m:f>
          <m:r>
            <m:rPr/>
            <w:rPr>
              <w:rFonts w:hint="eastAsia" w:ascii="Cambria Math" w:hAnsi="Cambria Math"/>
            </w:rPr>
            <m:t>=ℎQ</m:t>
          </m:r>
        </m:oMath>
      </m:oMathPara>
    </w:p>
    <w:p w14:paraId="39A86839">
      <w:pPr>
        <w:ind w:firstLine="480"/>
      </w:pPr>
      <w:r>
        <w:rPr>
          <w:rFonts w:hint="eastAsia"/>
        </w:rPr>
        <w:t>动量方程：</w:t>
      </w:r>
    </w:p>
    <w:p w14:paraId="0CB320B6">
      <w:pPr>
        <w:ind w:firstLine="480"/>
      </w:pPr>
      <w:r>
        <w:rPr>
          <w:rFonts w:hint="eastAsia"/>
        </w:rPr>
        <w:drawing>
          <wp:inline distT="0" distB="0" distL="114300" distR="114300">
            <wp:extent cx="3657600" cy="1000125"/>
            <wp:effectExtent l="0" t="0" r="0" b="9525"/>
            <wp:docPr id="23" name="图片 407"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07" descr="形状&#10;&#10;中度可信度描述已自动生成"/>
                    <pic:cNvPicPr>
                      <a:picLocks noChangeAspect="1"/>
                    </pic:cNvPicPr>
                  </pic:nvPicPr>
                  <pic:blipFill>
                    <a:blip r:embed="rId78"/>
                    <a:stretch>
                      <a:fillRect/>
                    </a:stretch>
                  </pic:blipFill>
                  <pic:spPr>
                    <a:xfrm>
                      <a:off x="0" y="0"/>
                      <a:ext cx="3657600" cy="1000125"/>
                    </a:xfrm>
                    <a:prstGeom prst="rect">
                      <a:avLst/>
                    </a:prstGeom>
                    <a:noFill/>
                    <a:ln>
                      <a:noFill/>
                    </a:ln>
                  </pic:spPr>
                </pic:pic>
              </a:graphicData>
            </a:graphic>
          </wp:inline>
        </w:drawing>
      </w:r>
    </w:p>
    <w:p w14:paraId="4EFA9CF7">
      <w:pPr>
        <w:ind w:firstLine="480"/>
      </w:pPr>
      <w:r>
        <w:rPr>
          <w:rFonts w:hint="eastAsia"/>
        </w:rPr>
        <w:drawing>
          <wp:inline distT="0" distB="0" distL="114300" distR="114300">
            <wp:extent cx="3657600" cy="1000125"/>
            <wp:effectExtent l="0" t="0" r="0" b="8890"/>
            <wp:docPr id="24"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08"/>
                    <pic:cNvPicPr>
                      <a:picLocks noChangeAspect="1"/>
                    </pic:cNvPicPr>
                  </pic:nvPicPr>
                  <pic:blipFill>
                    <a:blip r:embed="rId79"/>
                    <a:stretch>
                      <a:fillRect/>
                    </a:stretch>
                  </pic:blipFill>
                  <pic:spPr>
                    <a:xfrm>
                      <a:off x="0" y="0"/>
                      <a:ext cx="3657600" cy="1000125"/>
                    </a:xfrm>
                    <a:prstGeom prst="rect">
                      <a:avLst/>
                    </a:prstGeom>
                    <a:noFill/>
                    <a:ln>
                      <a:noFill/>
                    </a:ln>
                  </pic:spPr>
                </pic:pic>
              </a:graphicData>
            </a:graphic>
          </wp:inline>
        </w:drawing>
      </w:r>
    </w:p>
    <w:p w14:paraId="7F648811">
      <w:pPr>
        <w:ind w:firstLine="480"/>
      </w:pPr>
      <w:bookmarkStart w:id="294" w:name="_Hlk70425072"/>
      <w:r>
        <w:rPr>
          <w:rFonts w:hint="eastAsia"/>
        </w:rPr>
        <w:t>其中：</w:t>
      </w:r>
      <w:bookmarkStart w:id="295" w:name="_Hlk70425086"/>
      <w:r>
        <w:rPr>
          <w:rFonts w:hint="eastAsia"/>
        </w:rPr>
        <w:object>
          <v:shape id="_x0000_i1025" o:spt="75" type="#_x0000_t75" style="height:15pt;width:6.75pt;" o:ole="t" filled="f" o:preferrelative="t" stroked="f" coordsize="21600,21600">
            <v:path/>
            <v:fill on="f" focussize="0,0"/>
            <v:stroke on="f" joinstyle="miter"/>
            <v:imagedata r:id="rId81" o:title=""/>
            <o:lock v:ext="edit" aspectratio="t"/>
            <w10:wrap type="none"/>
            <w10:anchorlock/>
          </v:shape>
          <o:OLEObject Type="Embed" ProgID="Equation.DSMT4" ShapeID="_x0000_i1025" DrawAspect="Content" ObjectID="_1468075725" r:id="rId80">
            <o:LockedField>false</o:LockedField>
          </o:OLEObject>
        </w:object>
      </w:r>
      <w:bookmarkEnd w:id="295"/>
      <w:r>
        <w:rPr>
          <w:rFonts w:hint="eastAsia"/>
        </w:rPr>
        <w:t>表示时长；</w:t>
      </w:r>
      <w:bookmarkStart w:id="296" w:name="_Hlk70425097"/>
      <w:r>
        <w:rPr>
          <w:rFonts w:hint="eastAsia"/>
        </w:rPr>
        <w:object>
          <v:shape id="_x0000_i1026" o:spt="75" type="#_x0000_t75" style="height:15pt;width:15pt;" o:ole="t" filled="f" o:preferrelative="t" stroked="f" coordsize="21600,21600">
            <v:path/>
            <v:fill on="f" focussize="0,0"/>
            <v:stroke on="f" joinstyle="miter"/>
            <v:imagedata r:id="rId83" o:title=""/>
            <o:lock v:ext="edit" aspectratio="t"/>
            <w10:wrap type="none"/>
            <w10:anchorlock/>
          </v:shape>
          <o:OLEObject Type="Embed" ProgID="Equation.DSMT4" ShapeID="_x0000_i1026" DrawAspect="Content" ObjectID="_1468075726" r:id="rId82">
            <o:LockedField>false</o:LockedField>
          </o:OLEObject>
        </w:object>
      </w:r>
      <w:bookmarkEnd w:id="296"/>
      <w:r>
        <w:rPr>
          <w:rFonts w:hint="eastAsia"/>
        </w:rPr>
        <w:t>、</w:t>
      </w:r>
      <w:bookmarkStart w:id="297" w:name="_Hlk70425105"/>
      <w:r>
        <w:rPr>
          <w:rFonts w:hint="eastAsia"/>
        </w:rPr>
        <w:object>
          <v:shape id="_x0000_i1027" o:spt="75" type="#_x0000_t75" style="height:15pt;width:15pt;" o:ole="t" filled="f" o:preferrelative="t" stroked="f" coordsize="21600,21600">
            <v:path/>
            <v:fill on="f" focussize="0,0"/>
            <v:stroke on="f" joinstyle="miter"/>
            <v:imagedata r:id="rId85" o:title=""/>
            <o:lock v:ext="edit" aspectratio="t"/>
            <w10:wrap type="none"/>
            <w10:anchorlock/>
          </v:shape>
          <o:OLEObject Type="Embed" ProgID="Equation.DSMT4" ShapeID="_x0000_i1027" DrawAspect="Content" ObjectID="_1468075727" r:id="rId84">
            <o:LockedField>false</o:LockedField>
          </o:OLEObject>
        </w:object>
      </w:r>
      <w:bookmarkEnd w:id="297"/>
      <w:r>
        <w:rPr>
          <w:rFonts w:hint="eastAsia"/>
        </w:rPr>
        <w:t>是笛卡尔坐标系下的空间位置；</w:t>
      </w:r>
      <w:bookmarkStart w:id="298" w:name="_Hlk70425116"/>
      <w:r>
        <w:rPr>
          <w:rFonts w:hint="eastAsia"/>
        </w:rPr>
        <w:object>
          <v:shape id="_x0000_i1028" o:spt="75" type="#_x0000_t75" style="height:15pt;width:15pt;" o:ole="t" filled="f" o:preferrelative="t" stroked="f" coordsize="21600,21600">
            <v:path/>
            <v:fill on="f" focussize="0,0"/>
            <v:stroke on="f" joinstyle="miter"/>
            <v:imagedata r:id="rId87" o:title=""/>
            <o:lock v:ext="edit" aspectratio="t"/>
            <w10:wrap type="none"/>
            <w10:anchorlock/>
          </v:shape>
          <o:OLEObject Type="Embed" ProgID="Equation.DSMT4" ShapeID="_x0000_i1028" DrawAspect="Content" ObjectID="_1468075728" r:id="rId86">
            <o:LockedField>false</o:LockedField>
          </o:OLEObject>
        </w:object>
      </w:r>
      <w:bookmarkEnd w:id="298"/>
      <w:r>
        <w:rPr>
          <w:rFonts w:hint="eastAsia"/>
        </w:rPr>
        <w:t>表示总水深；</w:t>
      </w:r>
      <w:r>
        <w:rPr>
          <w:rFonts w:hint="eastAsia"/>
        </w:rPr>
        <w:object>
          <v:shape id="_x0000_i1029" o:spt="75" type="#_x0000_t75" style="height:15pt;width:15pt;" o:ole="t" filled="f" o:preferrelative="t" stroked="f" coordsize="21600,21600">
            <v:path/>
            <v:fill on="f" focussize="0,0"/>
            <v:stroke on="f" joinstyle="miter"/>
            <v:imagedata r:id="rId89" o:title=""/>
            <o:lock v:ext="edit" aspectratio="t"/>
            <w10:wrap type="none"/>
            <w10:anchorlock/>
          </v:shape>
          <o:OLEObject Type="Embed" ProgID="Equation.DSMT4" ShapeID="_x0000_i1029" DrawAspect="Content" ObjectID="_1468075729" r:id="rId88">
            <o:LockedField>false</o:LockedField>
          </o:OLEObject>
        </w:object>
      </w:r>
      <w:r>
        <w:rPr>
          <w:rFonts w:hint="eastAsia"/>
        </w:rPr>
        <w:t>表示水位；</w:t>
      </w:r>
      <w:r>
        <w:rPr>
          <w:rFonts w:hint="eastAsia"/>
        </w:rPr>
        <w:object>
          <v:shape id="_x0000_i1030" o:spt="75" type="#_x0000_t75" style="height:15pt;width:15pt;" o:ole="t" filled="f" o:preferrelative="t" stroked="f" coordsize="21600,21600">
            <v:path/>
            <v:fill on="f" focussize="0,0"/>
            <v:stroke on="f" joinstyle="miter"/>
            <v:imagedata r:id="rId91" o:title=""/>
            <o:lock v:ext="edit" aspectratio="t"/>
            <w10:wrap type="none"/>
            <w10:anchorlock/>
          </v:shape>
          <o:OLEObject Type="Embed" ProgID="Equation.DSMT4" ShapeID="_x0000_i1030" DrawAspect="Content" ObjectID="_1468075730" r:id="rId90">
            <o:LockedField>false</o:LockedField>
          </o:OLEObject>
        </w:object>
      </w:r>
      <w:r>
        <w:rPr>
          <w:rFonts w:hint="eastAsia"/>
        </w:rPr>
        <w:t>表示水的密度；</w:t>
      </w:r>
      <w:r>
        <w:rPr>
          <w:rFonts w:hint="eastAsia"/>
        </w:rPr>
        <w:object>
          <v:shape id="_x0000_i1031" o:spt="75" type="#_x0000_t75" style="height:15pt;width:6.75pt;" o:ole="t" filled="f" o:preferrelative="t" stroked="f" coordsize="21600,21600">
            <v:path/>
            <v:fill on="f" focussize="0,0"/>
            <v:stroke on="f" joinstyle="miter"/>
            <v:imagedata r:id="rId93" o:title=""/>
            <o:lock v:ext="edit" aspectratio="t"/>
            <w10:wrap type="none"/>
            <w10:anchorlock/>
          </v:shape>
          <o:OLEObject Type="Embed" ProgID="Equation.DSMT4" ShapeID="_x0000_i1031" DrawAspect="Content" ObjectID="_1468075731" r:id="rId92">
            <o:LockedField>false</o:LockedField>
          </o:OLEObject>
        </w:object>
      </w:r>
      <w:r>
        <w:rPr>
          <w:rFonts w:hint="eastAsia"/>
        </w:rPr>
        <w:t>和</w:t>
      </w:r>
      <w:r>
        <w:rPr>
          <w:rFonts w:hint="eastAsia"/>
        </w:rPr>
        <w:object>
          <v:shape id="_x0000_i1032" o:spt="75" type="#_x0000_t75" style="height:15pt;width:6.75pt;" o:ole="t" filled="f" o:preferrelative="t" stroked="f" coordsize="21600,21600">
            <v:path/>
            <v:fill on="f" focussize="0,0"/>
            <v:stroke on="f" joinstyle="miter"/>
            <v:imagedata r:id="rId95" o:title=""/>
            <o:lock v:ext="edit" aspectratio="t"/>
            <w10:wrap type="none"/>
            <w10:anchorlock/>
          </v:shape>
          <o:OLEObject Type="Embed" ProgID="Equation.DSMT4" ShapeID="_x0000_i1032" DrawAspect="Content" ObjectID="_1468075732" r:id="rId94">
            <o:LockedField>false</o:LockedField>
          </o:OLEObject>
        </w:object>
      </w:r>
      <w:r>
        <w:rPr>
          <w:rFonts w:hint="eastAsia"/>
        </w:rPr>
        <w:t>为不同方向上的平均流速；</w:t>
      </w:r>
      <w:r>
        <w:rPr>
          <w:rFonts w:hint="eastAsia"/>
        </w:rPr>
        <w:object>
          <v:shape id="_x0000_i1033" o:spt="75" type="#_x0000_t75" style="height:15pt;width:66.75pt;" o:ole="t" filled="f" o:preferrelative="t" stroked="f" coordsize="21600,21600">
            <v:path/>
            <v:fill on="f" focussize="0,0"/>
            <v:stroke on="f" joinstyle="miter"/>
            <v:imagedata r:id="rId97" o:title=""/>
            <o:lock v:ext="edit" aspectratio="t"/>
            <w10:wrap type="none"/>
            <w10:anchorlock/>
          </v:shape>
          <o:OLEObject Type="Embed" ProgID="Equation.DSMT4" ShapeID="_x0000_i1033" DrawAspect="Content" ObjectID="_1468075733" r:id="rId96">
            <o:LockedField>false</o:LockedField>
          </o:OLEObject>
        </w:object>
      </w:r>
      <w:r>
        <w:rPr>
          <w:rFonts w:hint="eastAsia"/>
        </w:rPr>
        <w:t>表示Coriolis因子（</w:t>
      </w:r>
      <w:r>
        <w:rPr>
          <w:rFonts w:hint="eastAsia"/>
        </w:rPr>
        <w:object>
          <v:shape id="_x0000_i1034" o:spt="75" type="#_x0000_t75" style="height:15pt;width:15pt;" o:ole="t" filled="f" o:preferrelative="t" stroked="f" coordsize="21600,21600">
            <v:path/>
            <v:fill on="f" focussize="0,0"/>
            <v:stroke on="f" joinstyle="miter"/>
            <v:imagedata r:id="rId99" o:title=""/>
            <o:lock v:ext="edit" aspectratio="t"/>
            <w10:wrap type="none"/>
            <w10:anchorlock/>
          </v:shape>
          <o:OLEObject Type="Embed" ProgID="Equation.DSMT4" ShapeID="_x0000_i1034" DrawAspect="Content" ObjectID="_1468075734" r:id="rId98">
            <o:LockedField>false</o:LockedField>
          </o:OLEObject>
        </w:object>
      </w:r>
      <w:r>
        <w:rPr>
          <w:rFonts w:hint="eastAsia"/>
        </w:rPr>
        <w:t>是地球自转的角速度，</w:t>
      </w:r>
      <w:r>
        <w:rPr>
          <w:rFonts w:hint="eastAsia"/>
        </w:rPr>
        <w:object>
          <v:shape id="_x0000_i1035" o:spt="75" type="#_x0000_t75" style="height:15pt;width:15pt;" o:ole="t" filled="f" o:preferrelative="t" stroked="f" coordsize="21600,21600">
            <v:path/>
            <v:fill on="f" focussize="0,0"/>
            <v:stroke on="f" joinstyle="miter"/>
            <v:imagedata r:id="rId101" o:title=""/>
            <o:lock v:ext="edit" aspectratio="t"/>
            <w10:wrap type="none"/>
            <w10:anchorlock/>
          </v:shape>
          <o:OLEObject Type="Embed" ProgID="Equation.DSMT4" ShapeID="_x0000_i1035" DrawAspect="Content" ObjectID="_1468075735" r:id="rId100">
            <o:LockedField>false</o:LockedField>
          </o:OLEObject>
        </w:object>
      </w:r>
      <w:r>
        <w:rPr>
          <w:rFonts w:hint="eastAsia"/>
        </w:rPr>
        <w:t>是地理纬度）；</w:t>
      </w:r>
      <w:r>
        <w:rPr>
          <w:rFonts w:hint="eastAsia"/>
        </w:rPr>
        <w:object>
          <v:shape id="_x0000_i1036" o:spt="75" type="#_x0000_t75" style="height:21.75pt;width:21.75pt;" o:ole="t" filled="f" o:preferrelative="t" stroked="f" coordsize="21600,21600">
            <v:path/>
            <v:fill on="f" focussize="0,0"/>
            <v:stroke on="f" joinstyle="miter"/>
            <v:imagedata r:id="rId103" o:title=""/>
            <o:lock v:ext="edit" aspectratio="t"/>
            <w10:wrap type="none"/>
            <w10:anchorlock/>
          </v:shape>
          <o:OLEObject Type="Embed" ProgID="Equation.DSMT4" ShapeID="_x0000_i1036" DrawAspect="Content" ObjectID="_1468075736" r:id="rId102">
            <o:LockedField>false</o:LockedField>
          </o:OLEObject>
        </w:object>
      </w:r>
      <w:r>
        <w:rPr>
          <w:rFonts w:hint="eastAsia"/>
        </w:rPr>
        <w:t>、</w:t>
      </w:r>
      <w:r>
        <w:rPr>
          <w:rFonts w:hint="eastAsia"/>
        </w:rPr>
        <w:object>
          <v:shape id="_x0000_i1037" o:spt="75" type="#_x0000_t75" style="height:21.75pt;width:21.75pt;" o:ole="t" filled="f" o:preferrelative="t" stroked="f" coordsize="21600,21600">
            <v:path/>
            <v:fill on="f" focussize="0,0"/>
            <v:stroke on="f" joinstyle="miter"/>
            <v:imagedata r:id="rId105" o:title=""/>
            <o:lock v:ext="edit" aspectratio="t"/>
            <w10:wrap type="none"/>
            <w10:anchorlock/>
          </v:shape>
          <o:OLEObject Type="Embed" ProgID="Equation.DSMT4" ShapeID="_x0000_i1037" DrawAspect="Content" ObjectID="_1468075737" r:id="rId104">
            <o:LockedField>false</o:LockedField>
          </o:OLEObject>
        </w:object>
      </w:r>
      <w:r>
        <w:rPr>
          <w:rFonts w:hint="eastAsia"/>
        </w:rPr>
        <w:t>和</w:t>
      </w:r>
      <w:r>
        <w:rPr>
          <w:rFonts w:hint="eastAsia"/>
        </w:rPr>
        <w:object>
          <v:shape id="_x0000_i1038" o:spt="75" type="#_x0000_t75" style="height:21.75pt;width:21.75pt;" o:ole="t" filled="f" o:preferrelative="t" stroked="f" coordsize="21600,21600">
            <v:path/>
            <v:fill on="f" focussize="0,0"/>
            <v:stroke on="f" joinstyle="miter"/>
            <v:imagedata r:id="rId107" o:title=""/>
            <o:lock v:ext="edit" aspectratio="t"/>
            <w10:wrap type="none"/>
            <w10:anchorlock/>
          </v:shape>
          <o:OLEObject Type="Embed" ProgID="Equation.DSMT4" ShapeID="_x0000_i1038" DrawAspect="Content" ObjectID="_1468075738" r:id="rId106">
            <o:LockedField>false</o:LockedField>
          </o:OLEObject>
        </w:object>
      </w:r>
      <w:r>
        <w:rPr>
          <w:rFonts w:hint="eastAsia"/>
        </w:rPr>
        <w:t>为radiation应力张量；</w:t>
      </w:r>
      <w:r>
        <w:rPr>
          <w:rFonts w:hint="eastAsia"/>
        </w:rPr>
        <w:object>
          <v:shape id="_x0000_i1039" o:spt="75" type="#_x0000_t75" style="height:21.75pt;width:15pt;" o:ole="t" filled="f" o:preferrelative="t" stroked="f" coordsize="21600,21600">
            <v:path/>
            <v:fill on="f" focussize="0,0"/>
            <v:stroke on="f" joinstyle="miter"/>
            <v:imagedata r:id="rId109" o:title=""/>
            <o:lock v:ext="edit" aspectratio="t"/>
            <w10:wrap type="none"/>
            <w10:anchorlock/>
          </v:shape>
          <o:OLEObject Type="Embed" ProgID="Equation.DSMT4" ShapeID="_x0000_i1039" DrawAspect="Content" ObjectID="_1468075739" r:id="rId108">
            <o:LockedField>false</o:LockedField>
          </o:OLEObject>
        </w:object>
      </w:r>
      <w:r>
        <w:rPr>
          <w:rFonts w:hint="eastAsia"/>
        </w:rPr>
        <w:t>表示大气压；</w:t>
      </w:r>
      <w:r>
        <w:rPr>
          <w:rFonts w:hint="eastAsia"/>
        </w:rPr>
        <w:object>
          <v:shape id="_x0000_i1040" o:spt="75" type="#_x0000_t75" style="height:15pt;width:15pt;" o:ole="t" filled="f" o:preferrelative="t" stroked="f" coordsize="21600,21600">
            <v:path/>
            <v:fill on="f" focussize="0,0"/>
            <v:stroke on="f" joinstyle="miter"/>
            <v:imagedata r:id="rId111" o:title=""/>
            <o:lock v:ext="edit" aspectratio="t"/>
            <w10:wrap type="none"/>
            <w10:anchorlock/>
          </v:shape>
          <o:OLEObject Type="Embed" ProgID="Equation.DSMT4" ShapeID="_x0000_i1040" DrawAspect="Content" ObjectID="_1468075740" r:id="rId110">
            <o:LockedField>false</o:LockedField>
          </o:OLEObject>
        </w:object>
      </w:r>
      <w:r>
        <w:rPr>
          <w:rFonts w:hint="eastAsia"/>
        </w:rPr>
        <w:t>表示源项；</w:t>
      </w:r>
      <w:r>
        <w:rPr>
          <w:rFonts w:hint="eastAsia"/>
        </w:rPr>
        <w:object>
          <v:shape id="_x0000_i1041" o:spt="75" type="#_x0000_t75" style="height:15pt;width:15pt;" o:ole="t" filled="f" o:preferrelative="t" stroked="f" coordsize="21600,21600">
            <v:path/>
            <v:fill on="f" focussize="0,0"/>
            <v:stroke on="f" joinstyle="miter"/>
            <v:imagedata r:id="rId113" o:title=""/>
            <o:lock v:ext="edit" aspectratio="t"/>
            <w10:wrap type="none"/>
            <w10:anchorlock/>
          </v:shape>
          <o:OLEObject Type="Embed" ProgID="Equation.DSMT4" ShapeID="_x0000_i1041" DrawAspect="Content" ObjectID="_1468075741" r:id="rId112">
            <o:LockedField>false</o:LockedField>
          </o:OLEObject>
        </w:object>
      </w:r>
      <w:r>
        <w:rPr>
          <w:rFonts w:hint="eastAsia"/>
        </w:rPr>
        <w:t>表示重力加速度；</w:t>
      </w:r>
      <w:r>
        <w:rPr>
          <w:rFonts w:hint="eastAsia"/>
        </w:rPr>
        <w:object>
          <v:shape id="_x0000_i1042" o:spt="75" type="#_x0000_t75" style="height:30.75pt;width:123pt;" o:ole="t" filled="f" o:preferrelative="t" stroked="f" coordsize="21600,21600">
            <v:path/>
            <v:fill on="f" focussize="0,0"/>
            <v:stroke on="f" joinstyle="miter"/>
            <v:imagedata r:id="rId115" o:title=""/>
            <o:lock v:ext="edit" aspectratio="t"/>
            <w10:wrap type="none"/>
            <w10:anchorlock/>
          </v:shape>
          <o:OLEObject Type="Embed" ProgID="Equation.DSMT4" ShapeID="_x0000_i1042" DrawAspect="Content" ObjectID="_1468075742" r:id="rId114">
            <o:LockedField>false</o:LockedField>
          </o:OLEObject>
        </w:object>
      </w:r>
      <w:r>
        <w:rPr>
          <w:rFonts w:hint="eastAsia"/>
        </w:rPr>
        <w:t>；</w:t>
      </w:r>
      <w:r>
        <w:rPr>
          <w:rFonts w:hint="eastAsia"/>
        </w:rPr>
        <w:object>
          <v:shape id="_x0000_i1043" o:spt="75" type="#_x0000_t75" style="height:21.75pt;width:15pt;" o:ole="t" filled="f" o:preferrelative="t" stroked="f" coordsize="21600,21600">
            <v:path/>
            <v:fill on="f" focussize="0,0"/>
            <v:stroke on="f" joinstyle="miter"/>
            <v:imagedata r:id="rId117" o:title=""/>
            <o:lock v:ext="edit" aspectratio="t"/>
            <w10:wrap type="none"/>
            <w10:anchorlock/>
          </v:shape>
          <o:OLEObject Type="Embed" ProgID="Equation.DSMT4" ShapeID="_x0000_i1043" DrawAspect="Content" ObjectID="_1468075743" r:id="rId116">
            <o:LockedField>false</o:LockedField>
          </o:OLEObject>
        </w:object>
      </w:r>
      <w:r>
        <w:rPr>
          <w:rFonts w:hint="eastAsia"/>
        </w:rPr>
        <w:t>表示水的相对密度；</w:t>
      </w:r>
      <w:r>
        <w:rPr>
          <w:rFonts w:hint="eastAsia"/>
        </w:rPr>
        <w:object>
          <v:shape id="_x0000_i1044" o:spt="75" type="#_x0000_t75" style="height:21.75pt;width:36.75pt;" o:ole="t" filled="f" o:preferrelative="t" stroked="f" coordsize="21600,21600">
            <v:path/>
            <v:fill on="f" focussize="0,0"/>
            <v:stroke on="f" joinstyle="miter"/>
            <v:imagedata r:id="rId119" o:title=""/>
            <o:lock v:ext="edit" aspectratio="t"/>
            <w10:wrap type="none"/>
            <w10:anchorlock/>
          </v:shape>
          <o:OLEObject Type="Embed" ProgID="Equation.DSMT4" ShapeID="_x0000_i1044" DrawAspect="Content" ObjectID="_1468075744" r:id="rId118">
            <o:LockedField>false</o:LockedField>
          </o:OLEObject>
        </w:object>
      </w:r>
      <w:r>
        <w:rPr>
          <w:rFonts w:hint="eastAsia"/>
        </w:rPr>
        <w:t>表示外界排放到环境水体的速率。</w:t>
      </w:r>
    </w:p>
    <w:bookmarkEnd w:id="294"/>
    <w:p w14:paraId="4EC4FA4C">
      <w:pPr>
        <w:ind w:firstLine="480"/>
      </w:pPr>
      <w:r>
        <w:rPr>
          <w:rFonts w:hint="eastAsia"/>
        </w:rPr>
        <w:t>横向应力Tij包括黏滞阻力、紊流摩擦阻力和差动平流摩擦阻力，可用垂向流速平均的涡粘方程来计算：</w:t>
      </w:r>
    </w:p>
    <w:p w14:paraId="75C314D7">
      <w:pPr>
        <w:ind w:firstLine="480"/>
      </w:pPr>
      <w:r>
        <w:rPr>
          <w:rFonts w:hint="eastAsia"/>
        </w:rPr>
        <w:drawing>
          <wp:inline distT="0" distB="0" distL="114300" distR="114300">
            <wp:extent cx="2371725" cy="457200"/>
            <wp:effectExtent l="0" t="0" r="9525" b="0"/>
            <wp:docPr id="25" name="图片 42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9" descr="形状&#10;&#10;中度可信度描述已自动生成"/>
                    <pic:cNvPicPr>
                      <a:picLocks noChangeAspect="1"/>
                    </pic:cNvPicPr>
                  </pic:nvPicPr>
                  <pic:blipFill>
                    <a:blip r:embed="rId120"/>
                    <a:stretch>
                      <a:fillRect/>
                    </a:stretch>
                  </pic:blipFill>
                  <pic:spPr>
                    <a:xfrm>
                      <a:off x="0" y="0"/>
                      <a:ext cx="2371725" cy="457200"/>
                    </a:xfrm>
                    <a:prstGeom prst="rect">
                      <a:avLst/>
                    </a:prstGeom>
                    <a:noFill/>
                    <a:ln>
                      <a:noFill/>
                    </a:ln>
                  </pic:spPr>
                </pic:pic>
              </a:graphicData>
            </a:graphic>
          </wp:inline>
        </w:drawing>
      </w:r>
    </w:p>
    <w:p w14:paraId="58037723">
      <w:pPr>
        <w:ind w:firstLine="480"/>
      </w:pPr>
      <w:r>
        <w:rPr>
          <w:rFonts w:hint="eastAsia"/>
        </w:rPr>
        <w:t>②模型计算区域及计算条件</w:t>
      </w:r>
    </w:p>
    <w:p w14:paraId="17FE5D72">
      <w:pPr>
        <w:ind w:firstLine="480"/>
      </w:pPr>
      <w:r>
        <w:rPr>
          <w:rFonts w:hint="eastAsia"/>
        </w:rPr>
        <w:t>本次建立朱码-袁闸下游1km段水环境数学模型。初始水位设为8m，温度25℃，起始时刻流速设为0。根据《淮安市级骨干河道盐河（盐河闸</w:t>
      </w:r>
      <w:r>
        <w:rPr>
          <w:rFonts w:hint="eastAsia"/>
          <w:lang w:eastAsia="zh-CN"/>
        </w:rPr>
        <w:t>－</w:t>
      </w:r>
      <w:r>
        <w:rPr>
          <w:rFonts w:hint="eastAsia"/>
        </w:rPr>
        <w:t>涟水县殷渡）保护规划》，本次模型上边界取设计流量230m</w:t>
      </w:r>
      <w:r>
        <w:rPr>
          <w:rFonts w:hint="eastAsia"/>
          <w:vertAlign w:val="superscript"/>
        </w:rPr>
        <w:t>3</w:t>
      </w:r>
      <w:r>
        <w:rPr>
          <w:rFonts w:hint="eastAsia"/>
        </w:rPr>
        <w:t>/s，下边界取排涝水位8m。</w:t>
      </w:r>
    </w:p>
    <w:p w14:paraId="1453AF31">
      <w:pPr>
        <w:ind w:firstLine="480"/>
      </w:pPr>
      <w:r>
        <w:rPr>
          <w:rFonts w:hint="eastAsia"/>
        </w:rPr>
        <w:t>在模型计算时，将模型划分三角形网格，模型计算范围见图5.3-1，模型。</w:t>
      </w:r>
    </w:p>
    <w:p w14:paraId="697496EE">
      <w:pPr>
        <w:ind w:firstLine="480"/>
      </w:pPr>
      <w:r>
        <w:rPr>
          <w:rFonts w:hint="eastAsia"/>
        </w:rPr>
        <w:t>模型计算时间步长为t=30s，计算总时长为4天。</w:t>
      </w:r>
    </w:p>
    <w:p w14:paraId="38CF2824">
      <w:pPr>
        <w:pStyle w:val="196"/>
      </w:pPr>
      <w:r>
        <w:drawing>
          <wp:inline distT="0" distB="0" distL="0" distR="0">
            <wp:extent cx="4027805" cy="8234680"/>
            <wp:effectExtent l="0" t="0" r="0" b="0"/>
            <wp:docPr id="26" name="图片 430" descr="66d8f9d048448bfc7130955e581b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30" descr="66d8f9d048448bfc7130955e581b21e"/>
                    <pic:cNvPicPr>
                      <a:picLocks noChangeAspect="1"/>
                    </pic:cNvPicPr>
                  </pic:nvPicPr>
                  <pic:blipFill>
                    <a:blip r:embed="rId121"/>
                    <a:stretch>
                      <a:fillRect/>
                    </a:stretch>
                  </pic:blipFill>
                  <pic:spPr>
                    <a:xfrm>
                      <a:off x="0" y="0"/>
                      <a:ext cx="4041521" cy="8262960"/>
                    </a:xfrm>
                    <a:prstGeom prst="rect">
                      <a:avLst/>
                    </a:prstGeom>
                    <a:noFill/>
                    <a:ln>
                      <a:noFill/>
                    </a:ln>
                  </pic:spPr>
                </pic:pic>
              </a:graphicData>
            </a:graphic>
          </wp:inline>
        </w:drawing>
      </w:r>
    </w:p>
    <w:p w14:paraId="7E43B455">
      <w:pPr>
        <w:pStyle w:val="90"/>
      </w:pPr>
      <w:r>
        <w:rPr>
          <w:rFonts w:hint="eastAsia"/>
        </w:rPr>
        <w:t>图5.3-1 模型计算范围图</w:t>
      </w:r>
    </w:p>
    <w:p w14:paraId="066A171F">
      <w:pPr>
        <w:ind w:firstLine="480"/>
      </w:pPr>
      <w:r>
        <w:rPr>
          <w:rFonts w:hint="eastAsia" w:ascii="宋体" w:hAnsi="宋体" w:eastAsia="宋体" w:cs="宋体"/>
        </w:rPr>
        <w:t>②</w:t>
      </w:r>
      <w:r>
        <w:rPr>
          <w:rFonts w:hint="eastAsia"/>
        </w:rPr>
        <w:t>溢油预测模型</w:t>
      </w:r>
    </w:p>
    <w:p w14:paraId="2F05A5A7">
      <w:pPr>
        <w:pStyle w:val="93"/>
      </w:pPr>
      <w:r>
        <w:rPr>
          <w:rFonts w:hint="eastAsia"/>
        </w:rPr>
        <w:t>溢油进入水体后发生扩展、漂移、扩散等油膜组分保持恒定的输移过程和蒸发、溶解、乳化等油膜组分发生变化的风化过程。本次采用油粒子模型对船舶溢油风险进行预测，该模型可以很好地模拟上述物理化学过程，另外，“油粒子”模型是基于拉格朗日体系具有稳定性和高效率</w:t>
      </w:r>
      <w:r>
        <w:rPr>
          <w:rFonts w:hint="eastAsia"/>
          <w:lang w:eastAsia="zh-CN"/>
        </w:rPr>
        <w:t>性的</w:t>
      </w:r>
      <w:r>
        <w:rPr>
          <w:rFonts w:hint="eastAsia"/>
        </w:rPr>
        <w:t>特点。“油粒子”模型就是把溢油离散为大量的油粒子，每个油粒子代表一定的油量，油膜就是由这些大量的油粒子所组成的“云团”。</w:t>
      </w:r>
    </w:p>
    <w:p w14:paraId="06B0C3A6">
      <w:pPr>
        <w:ind w:firstLine="480"/>
      </w:pPr>
      <w:r>
        <w:rPr>
          <w:rFonts w:hint="eastAsia"/>
        </w:rPr>
        <w:t>1）输移过程</w:t>
      </w:r>
    </w:p>
    <w:p w14:paraId="464E71D3">
      <w:pPr>
        <w:pStyle w:val="93"/>
      </w:pPr>
      <w:r>
        <w:rPr>
          <w:rFonts w:hint="eastAsia"/>
        </w:rPr>
        <w:t>油粒子的输移包括了扩展、漂移、扩散等过程，这些过程是油粒子位置发生变化的主要原因，而油粒子的组分在这些过程中不发生变化。</w:t>
      </w:r>
    </w:p>
    <w:p w14:paraId="4A71802C">
      <w:pPr>
        <w:ind w:firstLine="480"/>
      </w:pPr>
      <w:r>
        <w:rPr>
          <w:rFonts w:hint="eastAsia"/>
        </w:rPr>
        <w:t>①扩展运动</w:t>
      </w:r>
    </w:p>
    <w:p w14:paraId="7F4EEDA0">
      <w:pPr>
        <w:ind w:firstLine="480"/>
      </w:pPr>
      <w:r>
        <w:rPr>
          <w:rFonts w:hint="eastAsia"/>
        </w:rPr>
        <w:drawing>
          <wp:inline distT="0" distB="0" distL="114300" distR="114300">
            <wp:extent cx="1706880" cy="494030"/>
            <wp:effectExtent l="0" t="0" r="7620" b="1270"/>
            <wp:docPr id="27" name="图片 43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1" descr="形状&#10;&#10;中度可信度描述已自动生成"/>
                    <pic:cNvPicPr>
                      <a:picLocks noChangeAspect="1"/>
                    </pic:cNvPicPr>
                  </pic:nvPicPr>
                  <pic:blipFill>
                    <a:blip r:embed="rId122"/>
                    <a:stretch>
                      <a:fillRect/>
                    </a:stretch>
                  </pic:blipFill>
                  <pic:spPr>
                    <a:xfrm>
                      <a:off x="0" y="0"/>
                      <a:ext cx="1706880" cy="494030"/>
                    </a:xfrm>
                    <a:prstGeom prst="rect">
                      <a:avLst/>
                    </a:prstGeom>
                    <a:noFill/>
                    <a:ln>
                      <a:noFill/>
                    </a:ln>
                  </pic:spPr>
                </pic:pic>
              </a:graphicData>
            </a:graphic>
          </wp:inline>
        </w:drawing>
      </w:r>
    </w:p>
    <w:p w14:paraId="11FF0492">
      <w:pPr>
        <w:ind w:firstLine="480"/>
      </w:pPr>
      <w:r>
        <w:rPr>
          <w:rFonts w:hint="eastAsia"/>
        </w:rPr>
        <w:t>式中</w:t>
      </w:r>
      <w:r>
        <w:rPr>
          <w:rFonts w:hint="eastAsia"/>
        </w:rPr>
        <w:drawing>
          <wp:inline distT="0" distB="0" distL="114300" distR="114300">
            <wp:extent cx="228600" cy="209550"/>
            <wp:effectExtent l="0" t="0" r="0" b="0"/>
            <wp:docPr id="28"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32"/>
                    <pic:cNvPicPr>
                      <a:picLocks noChangeAspect="1"/>
                    </pic:cNvPicPr>
                  </pic:nvPicPr>
                  <pic:blipFill>
                    <a:blip r:embed="rId123"/>
                    <a:stretch>
                      <a:fillRect/>
                    </a:stretch>
                  </pic:blipFill>
                  <pic:spPr>
                    <a:xfrm>
                      <a:off x="0" y="0"/>
                      <a:ext cx="228600" cy="209550"/>
                    </a:xfrm>
                    <a:prstGeom prst="rect">
                      <a:avLst/>
                    </a:prstGeom>
                    <a:noFill/>
                    <a:ln>
                      <a:noFill/>
                    </a:ln>
                  </pic:spPr>
                </pic:pic>
              </a:graphicData>
            </a:graphic>
          </wp:inline>
        </w:drawing>
      </w:r>
      <w:r>
        <w:rPr>
          <w:rFonts w:hint="eastAsia"/>
        </w:rPr>
        <w:t>为油膜面积，</w:t>
      </w:r>
      <w:r>
        <w:rPr>
          <w:rFonts w:hint="eastAsia"/>
        </w:rPr>
        <w:drawing>
          <wp:inline distT="0" distB="0" distL="114300" distR="114300">
            <wp:extent cx="628650" cy="228600"/>
            <wp:effectExtent l="0" t="0" r="0" b="0"/>
            <wp:docPr id="29"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33"/>
                    <pic:cNvPicPr>
                      <a:picLocks noChangeAspect="1"/>
                    </pic:cNvPicPr>
                  </pic:nvPicPr>
                  <pic:blipFill>
                    <a:blip r:embed="rId124"/>
                    <a:stretch>
                      <a:fillRect/>
                    </a:stretch>
                  </pic:blipFill>
                  <pic:spPr>
                    <a:xfrm>
                      <a:off x="0" y="0"/>
                      <a:ext cx="628650" cy="228600"/>
                    </a:xfrm>
                    <a:prstGeom prst="rect">
                      <a:avLst/>
                    </a:prstGeom>
                    <a:noFill/>
                    <a:ln>
                      <a:noFill/>
                    </a:ln>
                  </pic:spPr>
                </pic:pic>
              </a:graphicData>
            </a:graphic>
          </wp:inline>
        </w:drawing>
      </w:r>
      <w:r>
        <w:rPr>
          <w:rFonts w:hint="eastAsia"/>
        </w:rPr>
        <w:t>；</w:t>
      </w:r>
      <w:r>
        <w:rPr>
          <w:rFonts w:hint="eastAsia"/>
        </w:rPr>
        <w:drawing>
          <wp:inline distT="0" distB="0" distL="114300" distR="114300">
            <wp:extent cx="228600" cy="228600"/>
            <wp:effectExtent l="0" t="0" r="0" b="0"/>
            <wp:docPr id="30"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4"/>
                    <pic:cNvPicPr>
                      <a:picLocks noChangeAspect="1"/>
                    </pic:cNvPicPr>
                  </pic:nvPicPr>
                  <pic:blipFill>
                    <a:blip r:embed="rId125"/>
                    <a:stretch>
                      <a:fillRect/>
                    </a:stretch>
                  </pic:blipFill>
                  <pic:spPr>
                    <a:xfrm>
                      <a:off x="0" y="0"/>
                      <a:ext cx="228600" cy="228600"/>
                    </a:xfrm>
                    <a:prstGeom prst="rect">
                      <a:avLst/>
                    </a:prstGeom>
                    <a:noFill/>
                    <a:ln>
                      <a:noFill/>
                    </a:ln>
                  </pic:spPr>
                </pic:pic>
              </a:graphicData>
            </a:graphic>
          </wp:inline>
        </w:drawing>
      </w:r>
      <w:r>
        <w:rPr>
          <w:rFonts w:hint="eastAsia"/>
        </w:rPr>
        <w:t>为油膜直径；</w:t>
      </w:r>
      <w:r>
        <w:rPr>
          <w:rFonts w:hint="eastAsia"/>
        </w:rPr>
        <w:drawing>
          <wp:inline distT="0" distB="0" distL="114300" distR="114300">
            <wp:extent cx="209550" cy="209550"/>
            <wp:effectExtent l="0" t="0" r="0" b="0"/>
            <wp:docPr id="31"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5"/>
                    <pic:cNvPicPr>
                      <a:picLocks noChangeAspect="1"/>
                    </pic:cNvPicPr>
                  </pic:nvPicPr>
                  <pic:blipFill>
                    <a:blip r:embed="rId126"/>
                    <a:stretch>
                      <a:fillRect/>
                    </a:stretch>
                  </pic:blipFill>
                  <pic:spPr>
                    <a:xfrm>
                      <a:off x="0" y="0"/>
                      <a:ext cx="209550" cy="209550"/>
                    </a:xfrm>
                    <a:prstGeom prst="rect">
                      <a:avLst/>
                    </a:prstGeom>
                    <a:noFill/>
                    <a:ln>
                      <a:noFill/>
                    </a:ln>
                  </pic:spPr>
                </pic:pic>
              </a:graphicData>
            </a:graphic>
          </wp:inline>
        </w:drawing>
      </w:r>
      <w:r>
        <w:rPr>
          <w:rFonts w:hint="eastAsia"/>
        </w:rPr>
        <w:t>为系数；</w:t>
      </w:r>
      <w:r>
        <w:rPr>
          <w:rFonts w:hint="eastAsia"/>
        </w:rPr>
        <w:drawing>
          <wp:inline distT="0" distB="0" distL="114300" distR="114300">
            <wp:extent cx="85725" cy="152400"/>
            <wp:effectExtent l="0" t="0" r="9525" b="0"/>
            <wp:docPr id="32"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6"/>
                    <pic:cNvPicPr>
                      <a:picLocks noChangeAspect="1"/>
                    </pic:cNvPicPr>
                  </pic:nvPicPr>
                  <pic:blipFill>
                    <a:blip r:embed="rId127"/>
                    <a:stretch>
                      <a:fillRect/>
                    </a:stretch>
                  </pic:blipFill>
                  <pic:spPr>
                    <a:xfrm>
                      <a:off x="0" y="0"/>
                      <a:ext cx="85725" cy="152400"/>
                    </a:xfrm>
                    <a:prstGeom prst="rect">
                      <a:avLst/>
                    </a:prstGeom>
                    <a:noFill/>
                    <a:ln>
                      <a:noFill/>
                    </a:ln>
                  </pic:spPr>
                </pic:pic>
              </a:graphicData>
            </a:graphic>
          </wp:inline>
        </w:drawing>
      </w:r>
      <w:r>
        <w:rPr>
          <w:rFonts w:hint="eastAsia"/>
        </w:rPr>
        <w:t>为时间；油膜体积为：</w:t>
      </w:r>
    </w:p>
    <w:p w14:paraId="7F5F08D0">
      <w:pPr>
        <w:ind w:firstLine="480"/>
      </w:pPr>
      <w:r>
        <w:rPr>
          <w:rFonts w:hint="eastAsia"/>
        </w:rPr>
        <w:drawing>
          <wp:inline distT="0" distB="0" distL="114300" distR="114300">
            <wp:extent cx="963295" cy="231775"/>
            <wp:effectExtent l="0" t="0" r="8255" b="15875"/>
            <wp:docPr id="33"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37"/>
                    <pic:cNvPicPr>
                      <a:picLocks noChangeAspect="1"/>
                    </pic:cNvPicPr>
                  </pic:nvPicPr>
                  <pic:blipFill>
                    <a:blip r:embed="rId128"/>
                    <a:stretch>
                      <a:fillRect/>
                    </a:stretch>
                  </pic:blipFill>
                  <pic:spPr>
                    <a:xfrm>
                      <a:off x="0" y="0"/>
                      <a:ext cx="963295" cy="231775"/>
                    </a:xfrm>
                    <a:prstGeom prst="rect">
                      <a:avLst/>
                    </a:prstGeom>
                    <a:noFill/>
                    <a:ln>
                      <a:noFill/>
                    </a:ln>
                  </pic:spPr>
                </pic:pic>
              </a:graphicData>
            </a:graphic>
          </wp:inline>
        </w:drawing>
      </w:r>
    </w:p>
    <w:p w14:paraId="7BE2011B">
      <w:pPr>
        <w:ind w:firstLine="480"/>
      </w:pPr>
      <w:r>
        <w:rPr>
          <w:rFonts w:hint="eastAsia"/>
        </w:rPr>
        <w:t>初始油膜厚度：</w:t>
      </w:r>
    </w:p>
    <w:p w14:paraId="2851583B">
      <w:pPr>
        <w:ind w:firstLine="480"/>
      </w:pPr>
      <w:r>
        <w:rPr>
          <w:rFonts w:hint="eastAsia"/>
        </w:rPr>
        <w:drawing>
          <wp:inline distT="0" distB="0" distL="114300" distR="114300">
            <wp:extent cx="171450" cy="209550"/>
            <wp:effectExtent l="0" t="0" r="0" b="0"/>
            <wp:docPr id="34"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38"/>
                    <pic:cNvPicPr>
                      <a:picLocks noChangeAspect="1"/>
                    </pic:cNvPicPr>
                  </pic:nvPicPr>
                  <pic:blipFill>
                    <a:blip r:embed="rId129"/>
                    <a:stretch>
                      <a:fillRect/>
                    </a:stretch>
                  </pic:blipFill>
                  <pic:spPr>
                    <a:xfrm>
                      <a:off x="0" y="0"/>
                      <a:ext cx="171450" cy="209550"/>
                    </a:xfrm>
                    <a:prstGeom prst="rect">
                      <a:avLst/>
                    </a:prstGeom>
                    <a:noFill/>
                    <a:ln>
                      <a:noFill/>
                    </a:ln>
                  </pic:spPr>
                </pic:pic>
              </a:graphicData>
            </a:graphic>
          </wp:inline>
        </w:drawing>
      </w:r>
      <w:r>
        <w:rPr>
          <w:rFonts w:hint="eastAsia"/>
        </w:rPr>
        <w:t>=10cm</w:t>
      </w:r>
    </w:p>
    <w:p w14:paraId="53B286CE">
      <w:pPr>
        <w:ind w:firstLine="480"/>
      </w:pPr>
      <w:r>
        <w:rPr>
          <w:rFonts w:hint="eastAsia"/>
        </w:rPr>
        <w:t>②漂移运动</w:t>
      </w:r>
    </w:p>
    <w:p w14:paraId="02EA6F98">
      <w:pPr>
        <w:ind w:firstLine="480"/>
      </w:pPr>
      <w:r>
        <w:rPr>
          <w:rFonts w:hint="eastAsia"/>
        </w:rPr>
        <w:t>油粒子漂移的作用力是水流和风拽力，油粒子总漂移速度由以下权重公式计算：</w:t>
      </w:r>
    </w:p>
    <w:p w14:paraId="76C7DD20">
      <w:pPr>
        <w:ind w:firstLine="480"/>
      </w:pPr>
      <w:r>
        <w:rPr>
          <w:rFonts w:hint="eastAsia"/>
        </w:rPr>
        <w:drawing>
          <wp:inline distT="0" distB="0" distL="114300" distR="114300">
            <wp:extent cx="1304925" cy="255905"/>
            <wp:effectExtent l="0" t="0" r="9525" b="12065"/>
            <wp:docPr id="35"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39"/>
                    <pic:cNvPicPr>
                      <a:picLocks noChangeAspect="1"/>
                    </pic:cNvPicPr>
                  </pic:nvPicPr>
                  <pic:blipFill>
                    <a:blip r:embed="rId130"/>
                    <a:stretch>
                      <a:fillRect/>
                    </a:stretch>
                  </pic:blipFill>
                  <pic:spPr>
                    <a:xfrm>
                      <a:off x="0" y="0"/>
                      <a:ext cx="1304925" cy="255905"/>
                    </a:xfrm>
                    <a:prstGeom prst="rect">
                      <a:avLst/>
                    </a:prstGeom>
                    <a:noFill/>
                    <a:ln>
                      <a:noFill/>
                    </a:ln>
                  </pic:spPr>
                </pic:pic>
              </a:graphicData>
            </a:graphic>
          </wp:inline>
        </w:drawing>
      </w:r>
    </w:p>
    <w:p w14:paraId="6C7B1CB2">
      <w:pPr>
        <w:pStyle w:val="93"/>
      </w:pPr>
      <w:r>
        <w:rPr>
          <w:rFonts w:hint="eastAsia"/>
        </w:rPr>
        <w:t>其中</w:t>
      </w:r>
      <w:r>
        <w:rPr>
          <w:rFonts w:hint="eastAsia"/>
        </w:rPr>
        <w:drawing>
          <wp:inline distT="0" distB="0" distL="114300" distR="114300">
            <wp:extent cx="209550" cy="209550"/>
            <wp:effectExtent l="0" t="0" r="0" b="0"/>
            <wp:docPr id="36"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0"/>
                    <pic:cNvPicPr>
                      <a:picLocks noChangeAspect="1"/>
                    </pic:cNvPicPr>
                  </pic:nvPicPr>
                  <pic:blipFill>
                    <a:blip r:embed="rId131"/>
                    <a:stretch>
                      <a:fillRect/>
                    </a:stretch>
                  </pic:blipFill>
                  <pic:spPr>
                    <a:xfrm>
                      <a:off x="0" y="0"/>
                      <a:ext cx="209550" cy="209550"/>
                    </a:xfrm>
                    <a:prstGeom prst="rect">
                      <a:avLst/>
                    </a:prstGeom>
                    <a:noFill/>
                    <a:ln>
                      <a:noFill/>
                    </a:ln>
                  </pic:spPr>
                </pic:pic>
              </a:graphicData>
            </a:graphic>
          </wp:inline>
        </w:drawing>
      </w:r>
      <w:r>
        <w:rPr>
          <w:rFonts w:hint="eastAsia"/>
        </w:rPr>
        <w:t>为水面以上10m处的风速；</w:t>
      </w:r>
      <w:r>
        <w:rPr>
          <w:rFonts w:hint="eastAsia"/>
        </w:rPr>
        <w:drawing>
          <wp:inline distT="0" distB="0" distL="114300" distR="114300">
            <wp:extent cx="190500" cy="209550"/>
            <wp:effectExtent l="0" t="0" r="0" b="0"/>
            <wp:docPr id="37"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41"/>
                    <pic:cNvPicPr>
                      <a:picLocks noChangeAspect="1"/>
                    </pic:cNvPicPr>
                  </pic:nvPicPr>
                  <pic:blipFill>
                    <a:blip r:embed="rId132"/>
                    <a:stretch>
                      <a:fillRect/>
                    </a:stretch>
                  </pic:blipFill>
                  <pic:spPr>
                    <a:xfrm>
                      <a:off x="0" y="0"/>
                      <a:ext cx="190500" cy="209550"/>
                    </a:xfrm>
                    <a:prstGeom prst="rect">
                      <a:avLst/>
                    </a:prstGeom>
                    <a:noFill/>
                    <a:ln>
                      <a:noFill/>
                    </a:ln>
                  </pic:spPr>
                </pic:pic>
              </a:graphicData>
            </a:graphic>
          </wp:inline>
        </w:drawing>
      </w:r>
      <w:r>
        <w:rPr>
          <w:rFonts w:hint="eastAsia"/>
        </w:rPr>
        <w:t>为表明流速；</w:t>
      </w:r>
      <w:r>
        <w:rPr>
          <w:rFonts w:hint="eastAsia"/>
        </w:rPr>
        <w:drawing>
          <wp:inline distT="0" distB="0" distL="114300" distR="114300">
            <wp:extent cx="180975" cy="209550"/>
            <wp:effectExtent l="0" t="0" r="9525" b="0"/>
            <wp:docPr id="38"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2"/>
                    <pic:cNvPicPr>
                      <a:picLocks noChangeAspect="1"/>
                    </pic:cNvPicPr>
                  </pic:nvPicPr>
                  <pic:blipFill>
                    <a:blip r:embed="rId133"/>
                    <a:stretch>
                      <a:fillRect/>
                    </a:stretch>
                  </pic:blipFill>
                  <pic:spPr>
                    <a:xfrm>
                      <a:off x="0" y="0"/>
                      <a:ext cx="180975" cy="209550"/>
                    </a:xfrm>
                    <a:prstGeom prst="rect">
                      <a:avLst/>
                    </a:prstGeom>
                    <a:noFill/>
                    <a:ln>
                      <a:noFill/>
                    </a:ln>
                  </pic:spPr>
                </pic:pic>
              </a:graphicData>
            </a:graphic>
          </wp:inline>
        </w:drawing>
      </w:r>
      <w:r>
        <w:rPr>
          <w:rFonts w:hint="eastAsia"/>
        </w:rPr>
        <w:t>为风漂移系数，一般在0.03和0.04之间。</w:t>
      </w:r>
    </w:p>
    <w:p w14:paraId="4A08C430">
      <w:pPr>
        <w:ind w:firstLine="480"/>
      </w:pPr>
      <w:r>
        <w:rPr>
          <w:rFonts w:hint="eastAsia"/>
        </w:rPr>
        <w:t>风场数据从气象部门获得，而流场从二维水动力模型计算结果获得。但是一般二维水动力模型计算出的是垂向平均值，必须据此估算流速的垂向分布。假定其符合对数关系：</w:t>
      </w:r>
    </w:p>
    <w:p w14:paraId="4D5B3217">
      <w:pPr>
        <w:ind w:firstLine="480"/>
      </w:pPr>
      <w:r>
        <w:rPr>
          <w:rFonts w:hint="eastAsia"/>
        </w:rPr>
        <w:drawing>
          <wp:inline distT="0" distB="0" distL="114300" distR="114300">
            <wp:extent cx="1487805" cy="487680"/>
            <wp:effectExtent l="0" t="0" r="17145" b="7620"/>
            <wp:docPr id="39"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43"/>
                    <pic:cNvPicPr>
                      <a:picLocks noChangeAspect="1"/>
                    </pic:cNvPicPr>
                  </pic:nvPicPr>
                  <pic:blipFill>
                    <a:blip r:embed="rId134"/>
                    <a:stretch>
                      <a:fillRect/>
                    </a:stretch>
                  </pic:blipFill>
                  <pic:spPr>
                    <a:xfrm>
                      <a:off x="0" y="0"/>
                      <a:ext cx="1487805" cy="487680"/>
                    </a:xfrm>
                    <a:prstGeom prst="rect">
                      <a:avLst/>
                    </a:prstGeom>
                    <a:noFill/>
                    <a:ln>
                      <a:noFill/>
                    </a:ln>
                  </pic:spPr>
                </pic:pic>
              </a:graphicData>
            </a:graphic>
          </wp:inline>
        </w:drawing>
      </w:r>
    </w:p>
    <w:p w14:paraId="3E9D6F3A">
      <w:pPr>
        <w:ind w:firstLine="480"/>
      </w:pPr>
      <w:r>
        <w:rPr>
          <w:rFonts w:hint="eastAsia"/>
        </w:rPr>
        <w:t>其中</w:t>
      </w:r>
      <w:r>
        <w:rPr>
          <w:rFonts w:hint="eastAsia"/>
        </w:rPr>
        <w:drawing>
          <wp:inline distT="0" distB="0" distL="114300" distR="114300">
            <wp:extent cx="133350" cy="133350"/>
            <wp:effectExtent l="0" t="0" r="0" b="0"/>
            <wp:docPr id="40"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4"/>
                    <pic:cNvPicPr>
                      <a:picLocks noChangeAspect="1"/>
                    </pic:cNvPicPr>
                  </pic:nvPicPr>
                  <pic:blipFill>
                    <a:blip r:embed="rId135"/>
                    <a:stretch>
                      <a:fillRect/>
                    </a:stretch>
                  </pic:blipFill>
                  <pic:spPr>
                    <a:xfrm>
                      <a:off x="0" y="0"/>
                      <a:ext cx="133350" cy="133350"/>
                    </a:xfrm>
                    <a:prstGeom prst="rect">
                      <a:avLst/>
                    </a:prstGeom>
                    <a:noFill/>
                    <a:ln>
                      <a:noFill/>
                    </a:ln>
                  </pic:spPr>
                </pic:pic>
              </a:graphicData>
            </a:graphic>
          </wp:inline>
        </w:drawing>
      </w:r>
      <w:r>
        <w:rPr>
          <w:rFonts w:hint="eastAsia"/>
        </w:rPr>
        <w:t>为水面以下深度；</w:t>
      </w:r>
      <w:r>
        <w:rPr>
          <w:rFonts w:hint="eastAsia"/>
        </w:rPr>
        <w:drawing>
          <wp:inline distT="0" distB="0" distL="114300" distR="114300">
            <wp:extent cx="352425" cy="257175"/>
            <wp:effectExtent l="0" t="0" r="9525" b="8255"/>
            <wp:docPr id="41"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45"/>
                    <pic:cNvPicPr>
                      <a:picLocks noChangeAspect="1"/>
                    </pic:cNvPicPr>
                  </pic:nvPicPr>
                  <pic:blipFill>
                    <a:blip r:embed="rId136"/>
                    <a:stretch>
                      <a:fillRect/>
                    </a:stretch>
                  </pic:blipFill>
                  <pic:spPr>
                    <a:xfrm>
                      <a:off x="0" y="0"/>
                      <a:ext cx="352425" cy="257175"/>
                    </a:xfrm>
                    <a:prstGeom prst="rect">
                      <a:avLst/>
                    </a:prstGeom>
                    <a:noFill/>
                    <a:ln>
                      <a:noFill/>
                    </a:ln>
                  </pic:spPr>
                </pic:pic>
              </a:graphicData>
            </a:graphic>
          </wp:inline>
        </w:drawing>
      </w:r>
      <w:r>
        <w:rPr>
          <w:rFonts w:hint="eastAsia"/>
        </w:rPr>
        <w:t>为对数流速关系；</w:t>
      </w:r>
      <w:r>
        <w:rPr>
          <w:rFonts w:hint="eastAsia"/>
        </w:rPr>
        <w:drawing>
          <wp:inline distT="0" distB="0" distL="114300" distR="114300">
            <wp:extent cx="133350" cy="133350"/>
            <wp:effectExtent l="0" t="0" r="0" b="0"/>
            <wp:docPr id="42"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46"/>
                    <pic:cNvPicPr>
                      <a:picLocks noChangeAspect="1"/>
                    </pic:cNvPicPr>
                  </pic:nvPicPr>
                  <pic:blipFill>
                    <a:blip r:embed="rId137"/>
                    <a:stretch>
                      <a:fillRect/>
                    </a:stretch>
                  </pic:blipFill>
                  <pic:spPr>
                    <a:xfrm>
                      <a:off x="0" y="0"/>
                      <a:ext cx="133350" cy="133350"/>
                    </a:xfrm>
                    <a:prstGeom prst="rect">
                      <a:avLst/>
                    </a:prstGeom>
                    <a:noFill/>
                    <a:ln>
                      <a:noFill/>
                    </a:ln>
                  </pic:spPr>
                </pic:pic>
              </a:graphicData>
            </a:graphic>
          </wp:inline>
        </w:drawing>
      </w:r>
      <w:r>
        <w:rPr>
          <w:rFonts w:hint="eastAsia"/>
        </w:rPr>
        <w:t>为冯卡门常数（0.42）；</w:t>
      </w:r>
      <w:r>
        <w:rPr>
          <w:rFonts w:hint="eastAsia"/>
        </w:rPr>
        <w:drawing>
          <wp:inline distT="0" distB="0" distL="114300" distR="114300">
            <wp:extent cx="171450" cy="209550"/>
            <wp:effectExtent l="0" t="0" r="0" b="0"/>
            <wp:docPr id="43"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7"/>
                    <pic:cNvPicPr>
                      <a:picLocks noChangeAspect="1"/>
                    </pic:cNvPicPr>
                  </pic:nvPicPr>
                  <pic:blipFill>
                    <a:blip r:embed="rId138"/>
                    <a:stretch>
                      <a:fillRect/>
                    </a:stretch>
                  </pic:blipFill>
                  <pic:spPr>
                    <a:xfrm>
                      <a:off x="0" y="0"/>
                      <a:ext cx="171450" cy="209550"/>
                    </a:xfrm>
                    <a:prstGeom prst="rect">
                      <a:avLst/>
                    </a:prstGeom>
                    <a:noFill/>
                    <a:ln>
                      <a:noFill/>
                    </a:ln>
                  </pic:spPr>
                </pic:pic>
              </a:graphicData>
            </a:graphic>
          </wp:inline>
        </w:drawing>
      </w:r>
      <w:r>
        <w:rPr>
          <w:rFonts w:hint="eastAsia"/>
        </w:rPr>
        <w:t>为Nikuradse阻力系数；</w:t>
      </w:r>
      <w:r>
        <w:rPr>
          <w:rFonts w:hint="eastAsia"/>
        </w:rPr>
        <w:drawing>
          <wp:inline distT="0" distB="0" distL="114300" distR="114300">
            <wp:extent cx="209550" cy="228600"/>
            <wp:effectExtent l="0" t="0" r="0" b="0"/>
            <wp:docPr id="44"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8"/>
                    <pic:cNvPicPr>
                      <a:picLocks noChangeAspect="1"/>
                    </pic:cNvPicPr>
                  </pic:nvPicPr>
                  <pic:blipFill>
                    <a:blip r:embed="rId139"/>
                    <a:stretch>
                      <a:fillRect/>
                    </a:stretch>
                  </pic:blipFill>
                  <pic:spPr>
                    <a:xfrm>
                      <a:off x="0" y="0"/>
                      <a:ext cx="209550" cy="228600"/>
                    </a:xfrm>
                    <a:prstGeom prst="rect">
                      <a:avLst/>
                    </a:prstGeom>
                    <a:noFill/>
                    <a:ln>
                      <a:noFill/>
                    </a:ln>
                  </pic:spPr>
                </pic:pic>
              </a:graphicData>
            </a:graphic>
          </wp:inline>
        </w:drawing>
      </w:r>
      <w:r>
        <w:rPr>
          <w:rFonts w:hint="eastAsia"/>
        </w:rPr>
        <w:t>为摩阻速度，定义为：</w:t>
      </w:r>
    </w:p>
    <w:p w14:paraId="38C0D9DD">
      <w:pPr>
        <w:ind w:firstLine="480"/>
      </w:pPr>
      <w:r>
        <w:rPr>
          <w:rFonts w:hint="eastAsia"/>
        </w:rPr>
        <w:drawing>
          <wp:inline distT="0" distB="0" distL="114300" distR="114300">
            <wp:extent cx="1438910" cy="969645"/>
            <wp:effectExtent l="0" t="0" r="8890" b="1905"/>
            <wp:docPr id="45"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9"/>
                    <pic:cNvPicPr>
                      <a:picLocks noChangeAspect="1"/>
                    </pic:cNvPicPr>
                  </pic:nvPicPr>
                  <pic:blipFill>
                    <a:blip r:embed="rId140"/>
                    <a:stretch>
                      <a:fillRect/>
                    </a:stretch>
                  </pic:blipFill>
                  <pic:spPr>
                    <a:xfrm>
                      <a:off x="0" y="0"/>
                      <a:ext cx="1438910" cy="969645"/>
                    </a:xfrm>
                    <a:prstGeom prst="rect">
                      <a:avLst/>
                    </a:prstGeom>
                    <a:noFill/>
                    <a:ln>
                      <a:noFill/>
                    </a:ln>
                  </pic:spPr>
                </pic:pic>
              </a:graphicData>
            </a:graphic>
          </wp:inline>
        </w:drawing>
      </w:r>
    </w:p>
    <w:p w14:paraId="5972CC4C">
      <w:pPr>
        <w:ind w:firstLine="480"/>
      </w:pPr>
      <w:r>
        <w:rPr>
          <w:rFonts w:hint="eastAsia"/>
        </w:rPr>
        <w:t>其中</w:t>
      </w:r>
      <w:r>
        <w:rPr>
          <w:rFonts w:hint="eastAsia"/>
        </w:rPr>
        <w:drawing>
          <wp:inline distT="0" distB="0" distL="114300" distR="114300">
            <wp:extent cx="323850" cy="209550"/>
            <wp:effectExtent l="0" t="0" r="0" b="0"/>
            <wp:docPr id="46"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0"/>
                    <pic:cNvPicPr>
                      <a:picLocks noChangeAspect="1"/>
                    </pic:cNvPicPr>
                  </pic:nvPicPr>
                  <pic:blipFill>
                    <a:blip r:embed="rId141"/>
                    <a:stretch>
                      <a:fillRect/>
                    </a:stretch>
                  </pic:blipFill>
                  <pic:spPr>
                    <a:xfrm>
                      <a:off x="0" y="0"/>
                      <a:ext cx="323850" cy="209550"/>
                    </a:xfrm>
                    <a:prstGeom prst="rect">
                      <a:avLst/>
                    </a:prstGeom>
                    <a:noFill/>
                    <a:ln>
                      <a:noFill/>
                    </a:ln>
                  </pic:spPr>
                </pic:pic>
              </a:graphicData>
            </a:graphic>
          </wp:inline>
        </w:drawing>
      </w:r>
      <w:r>
        <w:rPr>
          <w:rFonts w:hint="eastAsia"/>
        </w:rPr>
        <w:t>为平均流速。</w:t>
      </w:r>
    </w:p>
    <w:p w14:paraId="241477B9">
      <w:pPr>
        <w:ind w:firstLine="480"/>
      </w:pPr>
      <w:r>
        <w:rPr>
          <w:rFonts w:hint="eastAsia"/>
        </w:rPr>
        <w:t>当两式满足等于0时：</w:t>
      </w:r>
    </w:p>
    <w:p w14:paraId="4041AE34">
      <w:pPr>
        <w:ind w:firstLine="480"/>
      </w:pPr>
      <w:r>
        <w:rPr>
          <w:rFonts w:hint="eastAsia"/>
        </w:rPr>
        <w:drawing>
          <wp:inline distT="0" distB="0" distL="114300" distR="114300">
            <wp:extent cx="658495" cy="389890"/>
            <wp:effectExtent l="0" t="0" r="8255" b="10795"/>
            <wp:docPr id="47" name="图片 451"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1" descr="形状&#10;&#10;中度可信度描述已自动生成"/>
                    <pic:cNvPicPr>
                      <a:picLocks noChangeAspect="1"/>
                    </pic:cNvPicPr>
                  </pic:nvPicPr>
                  <pic:blipFill>
                    <a:blip r:embed="rId142"/>
                    <a:stretch>
                      <a:fillRect/>
                    </a:stretch>
                  </pic:blipFill>
                  <pic:spPr>
                    <a:xfrm>
                      <a:off x="0" y="0"/>
                      <a:ext cx="658495" cy="389890"/>
                    </a:xfrm>
                    <a:prstGeom prst="rect">
                      <a:avLst/>
                    </a:prstGeom>
                    <a:noFill/>
                    <a:ln>
                      <a:noFill/>
                    </a:ln>
                  </pic:spPr>
                </pic:pic>
              </a:graphicData>
            </a:graphic>
          </wp:inline>
        </w:drawing>
      </w:r>
    </w:p>
    <w:p w14:paraId="32C4CAFF">
      <w:pPr>
        <w:ind w:firstLine="480"/>
      </w:pPr>
      <w:r>
        <w:rPr>
          <w:rFonts w:hint="eastAsia"/>
        </w:rPr>
        <w:t>当水深大于此位置时模型假定对流速度为0。</w:t>
      </w:r>
    </w:p>
    <w:p w14:paraId="42AC64C4">
      <w:pPr>
        <w:ind w:firstLine="480"/>
      </w:pPr>
      <w:r>
        <w:rPr>
          <w:rFonts w:hint="eastAsia"/>
        </w:rPr>
        <w:t>当z=0时，即可求出表面流速</w:t>
      </w:r>
      <w:r>
        <w:rPr>
          <w:rFonts w:hint="eastAsia"/>
        </w:rPr>
        <w:drawing>
          <wp:inline distT="0" distB="0" distL="114300" distR="114300">
            <wp:extent cx="209550" cy="209550"/>
            <wp:effectExtent l="0" t="0" r="0" b="0"/>
            <wp:docPr id="48"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2"/>
                    <pic:cNvPicPr>
                      <a:picLocks noChangeAspect="1"/>
                    </pic:cNvPicPr>
                  </pic:nvPicPr>
                  <pic:blipFill>
                    <a:blip r:embed="rId143"/>
                    <a:stretch>
                      <a:fillRect/>
                    </a:stretch>
                  </pic:blipFill>
                  <pic:spPr>
                    <a:xfrm>
                      <a:off x="0" y="0"/>
                      <a:ext cx="209550" cy="209550"/>
                    </a:xfrm>
                    <a:prstGeom prst="rect">
                      <a:avLst/>
                    </a:prstGeom>
                    <a:noFill/>
                    <a:ln>
                      <a:noFill/>
                    </a:ln>
                  </pic:spPr>
                </pic:pic>
              </a:graphicData>
            </a:graphic>
          </wp:inline>
        </w:drawing>
      </w:r>
      <w:r>
        <w:rPr>
          <w:rFonts w:hint="eastAsia"/>
        </w:rPr>
        <w:t>：</w:t>
      </w:r>
    </w:p>
    <w:p w14:paraId="6AA27BA8">
      <w:pPr>
        <w:ind w:firstLine="480"/>
      </w:pPr>
      <w:r>
        <w:rPr>
          <w:rFonts w:hint="eastAsia"/>
        </w:rPr>
        <w:drawing>
          <wp:inline distT="0" distB="0" distL="114300" distR="114300">
            <wp:extent cx="688975" cy="255905"/>
            <wp:effectExtent l="0" t="0" r="15875" b="12065"/>
            <wp:docPr id="49"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53"/>
                    <pic:cNvPicPr>
                      <a:picLocks noChangeAspect="1"/>
                    </pic:cNvPicPr>
                  </pic:nvPicPr>
                  <pic:blipFill>
                    <a:blip r:embed="rId144"/>
                    <a:stretch>
                      <a:fillRect/>
                    </a:stretch>
                  </pic:blipFill>
                  <pic:spPr>
                    <a:xfrm>
                      <a:off x="0" y="0"/>
                      <a:ext cx="688975" cy="255905"/>
                    </a:xfrm>
                    <a:prstGeom prst="rect">
                      <a:avLst/>
                    </a:prstGeom>
                    <a:noFill/>
                    <a:ln>
                      <a:noFill/>
                    </a:ln>
                  </pic:spPr>
                </pic:pic>
              </a:graphicData>
            </a:graphic>
          </wp:inline>
        </w:drawing>
      </w:r>
    </w:p>
    <w:p w14:paraId="766ECEAB">
      <w:pPr>
        <w:ind w:firstLine="480"/>
      </w:pPr>
      <w:r>
        <w:rPr>
          <w:rFonts w:hint="eastAsia"/>
        </w:rPr>
        <w:t>二维水动力计算结果中的流速计算点位于各离散的网格点，而“油粒子”模型中绝大部分时间里粒子不是正好处于这些点上，因此需要对流速值内插。因此本文采用双线内插值法：</w:t>
      </w:r>
    </w:p>
    <w:p w14:paraId="13FB72E1">
      <w:pPr>
        <w:ind w:firstLine="480"/>
      </w:pPr>
      <w:r>
        <w:rPr>
          <w:rFonts w:hint="eastAsia"/>
        </w:rPr>
        <w:drawing>
          <wp:inline distT="0" distB="0" distL="114300" distR="114300">
            <wp:extent cx="3621405" cy="255905"/>
            <wp:effectExtent l="0" t="0" r="17145" b="12065"/>
            <wp:docPr id="50"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4"/>
                    <pic:cNvPicPr>
                      <a:picLocks noChangeAspect="1"/>
                    </pic:cNvPicPr>
                  </pic:nvPicPr>
                  <pic:blipFill>
                    <a:blip r:embed="rId145"/>
                    <a:stretch>
                      <a:fillRect/>
                    </a:stretch>
                  </pic:blipFill>
                  <pic:spPr>
                    <a:xfrm>
                      <a:off x="0" y="0"/>
                      <a:ext cx="3621405" cy="255905"/>
                    </a:xfrm>
                    <a:prstGeom prst="rect">
                      <a:avLst/>
                    </a:prstGeom>
                    <a:noFill/>
                    <a:ln>
                      <a:noFill/>
                    </a:ln>
                  </pic:spPr>
                </pic:pic>
              </a:graphicData>
            </a:graphic>
          </wp:inline>
        </w:drawing>
      </w:r>
    </w:p>
    <w:p w14:paraId="3072E5D9">
      <w:pPr>
        <w:ind w:firstLine="480"/>
      </w:pPr>
      <w:r>
        <w:rPr>
          <w:rFonts w:hint="eastAsia"/>
        </w:rPr>
        <w:t>其中</w:t>
      </w:r>
      <w:r>
        <w:rPr>
          <w:rFonts w:hint="eastAsia"/>
        </w:rPr>
        <w:drawing>
          <wp:inline distT="0" distB="0" distL="114300" distR="114300">
            <wp:extent cx="171450" cy="209550"/>
            <wp:effectExtent l="0" t="0" r="0" b="0"/>
            <wp:docPr id="51"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55"/>
                    <pic:cNvPicPr>
                      <a:picLocks noChangeAspect="1"/>
                    </pic:cNvPicPr>
                  </pic:nvPicPr>
                  <pic:blipFill>
                    <a:blip r:embed="rId146"/>
                    <a:stretch>
                      <a:fillRect/>
                    </a:stretch>
                  </pic:blipFill>
                  <pic:spPr>
                    <a:xfrm>
                      <a:off x="0" y="0"/>
                      <a:ext cx="171450" cy="209550"/>
                    </a:xfrm>
                    <a:prstGeom prst="rect">
                      <a:avLst/>
                    </a:prstGeom>
                    <a:noFill/>
                    <a:ln>
                      <a:noFill/>
                    </a:ln>
                  </pic:spPr>
                </pic:pic>
              </a:graphicData>
            </a:graphic>
          </wp:inline>
        </w:drawing>
      </w:r>
      <w:r>
        <w:rPr>
          <w:rFonts w:hint="eastAsia"/>
        </w:rPr>
        <w:t>、</w:t>
      </w:r>
      <w:r>
        <w:rPr>
          <w:rFonts w:hint="eastAsia"/>
        </w:rPr>
        <w:drawing>
          <wp:inline distT="0" distB="0" distL="114300" distR="114300">
            <wp:extent cx="180975" cy="209550"/>
            <wp:effectExtent l="0" t="0" r="8890" b="0"/>
            <wp:docPr id="52"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56"/>
                    <pic:cNvPicPr>
                      <a:picLocks noChangeAspect="1"/>
                    </pic:cNvPicPr>
                  </pic:nvPicPr>
                  <pic:blipFill>
                    <a:blip r:embed="rId147"/>
                    <a:stretch>
                      <a:fillRect/>
                    </a:stretch>
                  </pic:blipFill>
                  <pic:spPr>
                    <a:xfrm>
                      <a:off x="0" y="0"/>
                      <a:ext cx="180975" cy="209550"/>
                    </a:xfrm>
                    <a:prstGeom prst="rect">
                      <a:avLst/>
                    </a:prstGeom>
                    <a:noFill/>
                    <a:ln>
                      <a:noFill/>
                    </a:ln>
                  </pic:spPr>
                </pic:pic>
              </a:graphicData>
            </a:graphic>
          </wp:inline>
        </w:drawing>
      </w:r>
      <w:r>
        <w:rPr>
          <w:rFonts w:hint="eastAsia"/>
        </w:rPr>
        <w:t>、</w:t>
      </w:r>
      <w:r>
        <w:rPr>
          <w:rFonts w:hint="eastAsia"/>
        </w:rPr>
        <w:drawing>
          <wp:inline distT="0" distB="0" distL="114300" distR="114300">
            <wp:extent cx="180975" cy="209550"/>
            <wp:effectExtent l="0" t="0" r="9525" b="0"/>
            <wp:docPr id="53"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7"/>
                    <pic:cNvPicPr>
                      <a:picLocks noChangeAspect="1"/>
                    </pic:cNvPicPr>
                  </pic:nvPicPr>
                  <pic:blipFill>
                    <a:blip r:embed="rId148"/>
                    <a:stretch>
                      <a:fillRect/>
                    </a:stretch>
                  </pic:blipFill>
                  <pic:spPr>
                    <a:xfrm>
                      <a:off x="0" y="0"/>
                      <a:ext cx="180975" cy="209550"/>
                    </a:xfrm>
                    <a:prstGeom prst="rect">
                      <a:avLst/>
                    </a:prstGeom>
                    <a:noFill/>
                    <a:ln>
                      <a:noFill/>
                    </a:ln>
                  </pic:spPr>
                </pic:pic>
              </a:graphicData>
            </a:graphic>
          </wp:inline>
        </w:drawing>
      </w:r>
      <w:r>
        <w:rPr>
          <w:rFonts w:hint="eastAsia"/>
        </w:rPr>
        <w:t>、</w:t>
      </w:r>
      <w:r>
        <w:rPr>
          <w:rFonts w:hint="eastAsia"/>
        </w:rPr>
        <w:drawing>
          <wp:inline distT="0" distB="0" distL="114300" distR="114300">
            <wp:extent cx="180975" cy="209550"/>
            <wp:effectExtent l="0" t="0" r="9525" b="0"/>
            <wp:docPr id="54"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58"/>
                    <pic:cNvPicPr>
                      <a:picLocks noChangeAspect="1"/>
                    </pic:cNvPicPr>
                  </pic:nvPicPr>
                  <pic:blipFill>
                    <a:blip r:embed="rId149"/>
                    <a:stretch>
                      <a:fillRect/>
                    </a:stretch>
                  </pic:blipFill>
                  <pic:spPr>
                    <a:xfrm>
                      <a:off x="0" y="0"/>
                      <a:ext cx="180975" cy="209550"/>
                    </a:xfrm>
                    <a:prstGeom prst="rect">
                      <a:avLst/>
                    </a:prstGeom>
                    <a:noFill/>
                    <a:ln>
                      <a:noFill/>
                    </a:ln>
                  </pic:spPr>
                </pic:pic>
              </a:graphicData>
            </a:graphic>
          </wp:inline>
        </w:drawing>
      </w:r>
      <w:r>
        <w:rPr>
          <w:rFonts w:hint="eastAsia"/>
        </w:rPr>
        <w:t>是网格点的已知流速；x、y为距离。</w:t>
      </w:r>
    </w:p>
    <w:p w14:paraId="42E893F1">
      <w:pPr>
        <w:ind w:firstLine="480"/>
      </w:pPr>
      <w:r>
        <w:rPr>
          <w:rFonts w:hint="eastAsia"/>
        </w:rPr>
        <w:t>③紊动扩散</w:t>
      </w:r>
    </w:p>
    <w:p w14:paraId="6F8063C8">
      <w:pPr>
        <w:ind w:firstLine="480"/>
      </w:pPr>
      <w:r>
        <w:rPr>
          <w:rFonts w:hint="eastAsia"/>
        </w:rPr>
        <w:t>假定水平扩散各向同性，一个时间步长内</w:t>
      </w:r>
      <w:r>
        <w:rPr>
          <w:rFonts w:hint="eastAsia"/>
        </w:rPr>
        <w:drawing>
          <wp:inline distT="0" distB="0" distL="114300" distR="114300">
            <wp:extent cx="152400" cy="133350"/>
            <wp:effectExtent l="0" t="0" r="0" b="0"/>
            <wp:docPr id="55"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9"/>
                    <pic:cNvPicPr>
                      <a:picLocks noChangeAspect="1"/>
                    </pic:cNvPicPr>
                  </pic:nvPicPr>
                  <pic:blipFill>
                    <a:blip r:embed="rId150"/>
                    <a:stretch>
                      <a:fillRect/>
                    </a:stretch>
                  </pic:blipFill>
                  <pic:spPr>
                    <a:xfrm>
                      <a:off x="0" y="0"/>
                      <a:ext cx="152400" cy="133350"/>
                    </a:xfrm>
                    <a:prstGeom prst="rect">
                      <a:avLst/>
                    </a:prstGeom>
                    <a:noFill/>
                    <a:ln>
                      <a:noFill/>
                    </a:ln>
                  </pic:spPr>
                </pic:pic>
              </a:graphicData>
            </a:graphic>
          </wp:inline>
        </w:drawing>
      </w:r>
      <w:r>
        <w:rPr>
          <w:rFonts w:hint="eastAsia"/>
        </w:rPr>
        <w:t>方向上的可能扩散距离</w:t>
      </w:r>
      <w:r>
        <w:rPr>
          <w:rFonts w:hint="eastAsia"/>
        </w:rPr>
        <w:drawing>
          <wp:inline distT="0" distB="0" distL="114300" distR="114300">
            <wp:extent cx="190500" cy="209550"/>
            <wp:effectExtent l="0" t="0" r="0" b="0"/>
            <wp:docPr id="56"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0"/>
                    <pic:cNvPicPr>
                      <a:picLocks noChangeAspect="1"/>
                    </pic:cNvPicPr>
                  </pic:nvPicPr>
                  <pic:blipFill>
                    <a:blip r:embed="rId151"/>
                    <a:stretch>
                      <a:fillRect/>
                    </a:stretch>
                  </pic:blipFill>
                  <pic:spPr>
                    <a:xfrm>
                      <a:off x="0" y="0"/>
                      <a:ext cx="190500" cy="209550"/>
                    </a:xfrm>
                    <a:prstGeom prst="rect">
                      <a:avLst/>
                    </a:prstGeom>
                    <a:noFill/>
                    <a:ln>
                      <a:noFill/>
                    </a:ln>
                  </pic:spPr>
                </pic:pic>
              </a:graphicData>
            </a:graphic>
          </wp:inline>
        </w:drawing>
      </w:r>
      <w:r>
        <w:rPr>
          <w:rFonts w:hint="eastAsia"/>
        </w:rPr>
        <w:t>可表示为：</w:t>
      </w:r>
    </w:p>
    <w:p w14:paraId="2B80EAB1">
      <w:pPr>
        <w:ind w:firstLine="480"/>
      </w:pPr>
      <w:r>
        <w:rPr>
          <w:rFonts w:hint="eastAsia"/>
        </w:rPr>
        <w:drawing>
          <wp:inline distT="0" distB="0" distL="114300" distR="114300">
            <wp:extent cx="1475105" cy="292735"/>
            <wp:effectExtent l="0" t="0" r="10795" b="12700"/>
            <wp:docPr id="57"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61"/>
                    <pic:cNvPicPr>
                      <a:picLocks noChangeAspect="1"/>
                    </pic:cNvPicPr>
                  </pic:nvPicPr>
                  <pic:blipFill>
                    <a:blip r:embed="rId152"/>
                    <a:stretch>
                      <a:fillRect/>
                    </a:stretch>
                  </pic:blipFill>
                  <pic:spPr>
                    <a:xfrm>
                      <a:off x="0" y="0"/>
                      <a:ext cx="1475105" cy="292735"/>
                    </a:xfrm>
                    <a:prstGeom prst="rect">
                      <a:avLst/>
                    </a:prstGeom>
                    <a:noFill/>
                    <a:ln>
                      <a:noFill/>
                    </a:ln>
                  </pic:spPr>
                </pic:pic>
              </a:graphicData>
            </a:graphic>
          </wp:inline>
        </w:drawing>
      </w:r>
    </w:p>
    <w:p w14:paraId="0BB845AC">
      <w:pPr>
        <w:ind w:firstLine="480"/>
      </w:pPr>
      <w:r>
        <w:rPr>
          <w:rFonts w:hint="eastAsia"/>
        </w:rPr>
        <w:t>其中</w:t>
      </w:r>
      <w:r>
        <w:rPr>
          <w:rFonts w:hint="eastAsia"/>
        </w:rPr>
        <w:drawing>
          <wp:inline distT="0" distB="0" distL="114300" distR="114300">
            <wp:extent cx="342900" cy="276225"/>
            <wp:effectExtent l="0" t="0" r="0" b="7620"/>
            <wp:docPr id="58"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62"/>
                    <pic:cNvPicPr>
                      <a:picLocks noChangeAspect="1"/>
                    </pic:cNvPicPr>
                  </pic:nvPicPr>
                  <pic:blipFill>
                    <a:blip r:embed="rId153"/>
                    <a:stretch>
                      <a:fillRect/>
                    </a:stretch>
                  </pic:blipFill>
                  <pic:spPr>
                    <a:xfrm>
                      <a:off x="0" y="0"/>
                      <a:ext cx="342900" cy="276225"/>
                    </a:xfrm>
                    <a:prstGeom prst="rect">
                      <a:avLst/>
                    </a:prstGeom>
                    <a:noFill/>
                    <a:ln>
                      <a:noFill/>
                    </a:ln>
                  </pic:spPr>
                </pic:pic>
              </a:graphicData>
            </a:graphic>
          </wp:inline>
        </w:drawing>
      </w:r>
      <w:r>
        <w:rPr>
          <w:rFonts w:hint="eastAsia"/>
        </w:rPr>
        <w:t>为-1到1的随机数，</w:t>
      </w:r>
      <w:r>
        <w:rPr>
          <w:rFonts w:hint="eastAsia"/>
        </w:rPr>
        <w:drawing>
          <wp:inline distT="0" distB="0" distL="114300" distR="114300">
            <wp:extent cx="209550" cy="209550"/>
            <wp:effectExtent l="0" t="0" r="0" b="0"/>
            <wp:docPr id="59"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3"/>
                    <pic:cNvPicPr>
                      <a:picLocks noChangeAspect="1"/>
                    </pic:cNvPicPr>
                  </pic:nvPicPr>
                  <pic:blipFill>
                    <a:blip r:embed="rId154"/>
                    <a:stretch>
                      <a:fillRect/>
                    </a:stretch>
                  </pic:blipFill>
                  <pic:spPr>
                    <a:xfrm>
                      <a:off x="0" y="0"/>
                      <a:ext cx="209550" cy="209550"/>
                    </a:xfrm>
                    <a:prstGeom prst="rect">
                      <a:avLst/>
                    </a:prstGeom>
                    <a:noFill/>
                    <a:ln>
                      <a:noFill/>
                    </a:ln>
                  </pic:spPr>
                </pic:pic>
              </a:graphicData>
            </a:graphic>
          </wp:inline>
        </w:drawing>
      </w:r>
      <w:r>
        <w:rPr>
          <w:rFonts w:hint="eastAsia"/>
        </w:rPr>
        <w:t>为</w:t>
      </w:r>
      <w:r>
        <w:rPr>
          <w:rFonts w:hint="eastAsia"/>
        </w:rPr>
        <w:drawing>
          <wp:inline distT="0" distB="0" distL="114300" distR="114300">
            <wp:extent cx="152400" cy="133350"/>
            <wp:effectExtent l="0" t="0" r="0" b="0"/>
            <wp:docPr id="60"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64"/>
                    <pic:cNvPicPr>
                      <a:picLocks noChangeAspect="1"/>
                    </pic:cNvPicPr>
                  </pic:nvPicPr>
                  <pic:blipFill>
                    <a:blip r:embed="rId150"/>
                    <a:stretch>
                      <a:fillRect/>
                    </a:stretch>
                  </pic:blipFill>
                  <pic:spPr>
                    <a:xfrm>
                      <a:off x="0" y="0"/>
                      <a:ext cx="152400" cy="133350"/>
                    </a:xfrm>
                    <a:prstGeom prst="rect">
                      <a:avLst/>
                    </a:prstGeom>
                    <a:noFill/>
                    <a:ln>
                      <a:noFill/>
                    </a:ln>
                  </pic:spPr>
                </pic:pic>
              </a:graphicData>
            </a:graphic>
          </wp:inline>
        </w:drawing>
      </w:r>
      <w:r>
        <w:rPr>
          <w:rFonts w:hint="eastAsia"/>
        </w:rPr>
        <w:t>方向上的扩散系数。</w:t>
      </w:r>
    </w:p>
    <w:p w14:paraId="375581E5">
      <w:pPr>
        <w:ind w:firstLine="480"/>
      </w:pPr>
      <w:r>
        <w:rPr>
          <w:rFonts w:hint="eastAsia"/>
        </w:rPr>
        <w:t>2）风化过程</w:t>
      </w:r>
    </w:p>
    <w:p w14:paraId="666500AF">
      <w:pPr>
        <w:ind w:firstLine="480"/>
      </w:pPr>
      <w:r>
        <w:rPr>
          <w:rFonts w:hint="eastAsia"/>
        </w:rPr>
        <w:t>油粒子的风化包括蒸发、溶解和形成乳化物等过程，在这些过程中油粒子的组成发生改变，但油粒子水平位置没有变化。</w:t>
      </w:r>
    </w:p>
    <w:p w14:paraId="4BD83940">
      <w:pPr>
        <w:ind w:firstLine="480"/>
      </w:pPr>
      <w:r>
        <w:rPr>
          <w:rFonts w:hint="eastAsia"/>
        </w:rPr>
        <w:t>①蒸发</w:t>
      </w:r>
    </w:p>
    <w:p w14:paraId="411939DF">
      <w:pPr>
        <w:ind w:firstLine="480"/>
      </w:pPr>
      <w:r>
        <w:rPr>
          <w:rFonts w:hint="eastAsia"/>
        </w:rPr>
        <w:t>油膜蒸发受油分、气温和水温、溢油面积、风速、太阳辐射和油膜厚度等因素的影响。假定：</w:t>
      </w:r>
    </w:p>
    <w:p w14:paraId="7FCDEFE2">
      <w:pPr>
        <w:ind w:firstLine="480"/>
      </w:pPr>
      <w:r>
        <w:rPr>
          <w:rFonts w:hint="eastAsia"/>
        </w:rPr>
        <w:t>在油膜内部扩散不受限制（气温高于0℃以及油膜厚度低于5</w:t>
      </w:r>
      <w:r>
        <w:rPr>
          <w:rFonts w:hint="eastAsia"/>
          <w:lang w:eastAsia="zh-CN"/>
        </w:rPr>
        <w:t>—</w:t>
      </w:r>
      <w:r>
        <w:rPr>
          <w:rFonts w:hint="eastAsia"/>
        </w:rPr>
        <w:t>10cm时基本如此）；</w:t>
      </w:r>
    </w:p>
    <w:p w14:paraId="1A78A312">
      <w:pPr>
        <w:ind w:firstLine="480"/>
      </w:pPr>
      <w:r>
        <w:rPr>
          <w:rFonts w:hint="eastAsia"/>
        </w:rPr>
        <w:t>油膜完全混合；</w:t>
      </w:r>
    </w:p>
    <w:p w14:paraId="2114A7A8">
      <w:pPr>
        <w:ind w:firstLine="480"/>
      </w:pPr>
      <w:r>
        <w:rPr>
          <w:rFonts w:hint="eastAsia"/>
        </w:rPr>
        <w:t>油组分在大气中的分压与蒸汽压相比可忽略不计。</w:t>
      </w:r>
    </w:p>
    <w:p w14:paraId="3070A1C3">
      <w:pPr>
        <w:ind w:firstLine="480"/>
      </w:pPr>
      <w:r>
        <w:rPr>
          <w:rFonts w:hint="eastAsia"/>
        </w:rPr>
        <w:t>蒸发率可由下式表示：</w:t>
      </w:r>
    </w:p>
    <w:p w14:paraId="6BFA857C">
      <w:pPr>
        <w:ind w:firstLine="480"/>
      </w:pPr>
      <w:r>
        <w:rPr>
          <w:rFonts w:hint="eastAsia"/>
        </w:rPr>
        <w:drawing>
          <wp:inline distT="0" distB="0" distL="114300" distR="114300">
            <wp:extent cx="2371725" cy="469265"/>
            <wp:effectExtent l="0" t="0" r="9525" b="6350"/>
            <wp:docPr id="61"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5"/>
                    <pic:cNvPicPr>
                      <a:picLocks noChangeAspect="1"/>
                    </pic:cNvPicPr>
                  </pic:nvPicPr>
                  <pic:blipFill>
                    <a:blip r:embed="rId155"/>
                    <a:stretch>
                      <a:fillRect/>
                    </a:stretch>
                  </pic:blipFill>
                  <pic:spPr>
                    <a:xfrm>
                      <a:off x="0" y="0"/>
                      <a:ext cx="2371725" cy="469265"/>
                    </a:xfrm>
                    <a:prstGeom prst="rect">
                      <a:avLst/>
                    </a:prstGeom>
                    <a:noFill/>
                    <a:ln>
                      <a:noFill/>
                    </a:ln>
                  </pic:spPr>
                </pic:pic>
              </a:graphicData>
            </a:graphic>
          </wp:inline>
        </w:drawing>
      </w:r>
    </w:p>
    <w:p w14:paraId="04DFE97A">
      <w:pPr>
        <w:ind w:firstLine="480"/>
      </w:pPr>
      <w:r>
        <w:rPr>
          <w:rFonts w:hint="eastAsia"/>
        </w:rPr>
        <w:t>式中N为蒸发率；</w:t>
      </w:r>
      <w:r>
        <w:rPr>
          <w:rFonts w:hint="eastAsia"/>
        </w:rPr>
        <w:drawing>
          <wp:inline distT="0" distB="0" distL="114300" distR="114300">
            <wp:extent cx="171450" cy="209550"/>
            <wp:effectExtent l="0" t="0" r="0" b="0"/>
            <wp:docPr id="62"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66"/>
                    <pic:cNvPicPr>
                      <a:picLocks noChangeAspect="1"/>
                    </pic:cNvPicPr>
                  </pic:nvPicPr>
                  <pic:blipFill>
                    <a:blip r:embed="rId156"/>
                    <a:stretch>
                      <a:fillRect/>
                    </a:stretch>
                  </pic:blipFill>
                  <pic:spPr>
                    <a:xfrm>
                      <a:off x="0" y="0"/>
                      <a:ext cx="171450" cy="209550"/>
                    </a:xfrm>
                    <a:prstGeom prst="rect">
                      <a:avLst/>
                    </a:prstGeom>
                    <a:noFill/>
                    <a:ln>
                      <a:noFill/>
                    </a:ln>
                  </pic:spPr>
                </pic:pic>
              </a:graphicData>
            </a:graphic>
          </wp:inline>
        </w:drawing>
      </w:r>
      <w:r>
        <w:rPr>
          <w:rFonts w:hint="eastAsia"/>
        </w:rPr>
        <w:t>为物质输移系数；</w:t>
      </w:r>
      <w:r>
        <w:rPr>
          <w:rFonts w:hint="eastAsia"/>
        </w:rPr>
        <w:drawing>
          <wp:inline distT="0" distB="0" distL="114300" distR="114300">
            <wp:extent cx="323850" cy="228600"/>
            <wp:effectExtent l="0" t="0" r="0" b="0"/>
            <wp:docPr id="63"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7"/>
                    <pic:cNvPicPr>
                      <a:picLocks noChangeAspect="1"/>
                    </pic:cNvPicPr>
                  </pic:nvPicPr>
                  <pic:blipFill>
                    <a:blip r:embed="rId157"/>
                    <a:stretch>
                      <a:fillRect/>
                    </a:stretch>
                  </pic:blipFill>
                  <pic:spPr>
                    <a:xfrm>
                      <a:off x="0" y="0"/>
                      <a:ext cx="323850" cy="228600"/>
                    </a:xfrm>
                    <a:prstGeom prst="rect">
                      <a:avLst/>
                    </a:prstGeom>
                    <a:noFill/>
                    <a:ln>
                      <a:noFill/>
                    </a:ln>
                  </pic:spPr>
                </pic:pic>
              </a:graphicData>
            </a:graphic>
          </wp:inline>
        </w:drawing>
      </w:r>
      <w:r>
        <w:rPr>
          <w:rFonts w:hint="eastAsia"/>
        </w:rPr>
        <w:t>为蒸汽压；R为气体常数；T为温度；M为分子量；</w:t>
      </w:r>
      <w:r>
        <w:rPr>
          <w:rFonts w:hint="eastAsia"/>
        </w:rPr>
        <w:drawing>
          <wp:inline distT="0" distB="0" distL="114300" distR="114300">
            <wp:extent cx="152400" cy="171450"/>
            <wp:effectExtent l="0" t="0" r="0" b="0"/>
            <wp:docPr id="64"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68"/>
                    <pic:cNvPicPr>
                      <a:picLocks noChangeAspect="1"/>
                    </pic:cNvPicPr>
                  </pic:nvPicPr>
                  <pic:blipFill>
                    <a:blip r:embed="rId158"/>
                    <a:stretch>
                      <a:fillRect/>
                    </a:stretch>
                  </pic:blipFill>
                  <pic:spPr>
                    <a:xfrm>
                      <a:off x="0" y="0"/>
                      <a:ext cx="152400" cy="171450"/>
                    </a:xfrm>
                    <a:prstGeom prst="rect">
                      <a:avLst/>
                    </a:prstGeom>
                    <a:noFill/>
                    <a:ln>
                      <a:noFill/>
                    </a:ln>
                  </pic:spPr>
                </pic:pic>
              </a:graphicData>
            </a:graphic>
          </wp:inline>
        </w:drawing>
      </w:r>
      <w:r>
        <w:rPr>
          <w:rFonts w:hint="eastAsia"/>
        </w:rPr>
        <w:t>为油组分密度；i为各种油组分。</w:t>
      </w:r>
      <w:r>
        <w:rPr>
          <w:rFonts w:hint="eastAsia"/>
        </w:rPr>
        <w:drawing>
          <wp:inline distT="0" distB="0" distL="114300" distR="114300">
            <wp:extent cx="190500" cy="228600"/>
            <wp:effectExtent l="0" t="0" r="0" b="0"/>
            <wp:docPr id="65"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9"/>
                    <pic:cNvPicPr>
                      <a:picLocks noChangeAspect="1"/>
                    </pic:cNvPicPr>
                  </pic:nvPicPr>
                  <pic:blipFill>
                    <a:blip r:embed="rId159"/>
                    <a:stretch>
                      <a:fillRect/>
                    </a:stretch>
                  </pic:blipFill>
                  <pic:spPr>
                    <a:xfrm>
                      <a:off x="0" y="0"/>
                      <a:ext cx="190500" cy="228600"/>
                    </a:xfrm>
                    <a:prstGeom prst="rect">
                      <a:avLst/>
                    </a:prstGeom>
                    <a:noFill/>
                    <a:ln>
                      <a:noFill/>
                    </a:ln>
                  </pic:spPr>
                </pic:pic>
              </a:graphicData>
            </a:graphic>
          </wp:inline>
        </w:drawing>
      </w:r>
      <w:r>
        <w:rPr>
          <w:rFonts w:hint="eastAsia"/>
        </w:rPr>
        <w:t>由下式估算：</w:t>
      </w:r>
    </w:p>
    <w:p w14:paraId="1D0C9183">
      <w:pPr>
        <w:ind w:firstLine="480"/>
      </w:pPr>
      <w:r>
        <w:rPr>
          <w:rFonts w:hint="eastAsia"/>
        </w:rPr>
        <w:drawing>
          <wp:inline distT="0" distB="0" distL="114300" distR="114300">
            <wp:extent cx="1603375" cy="231775"/>
            <wp:effectExtent l="0" t="0" r="15875" b="15875"/>
            <wp:docPr id="66"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0"/>
                    <pic:cNvPicPr>
                      <a:picLocks noChangeAspect="1"/>
                    </pic:cNvPicPr>
                  </pic:nvPicPr>
                  <pic:blipFill>
                    <a:blip r:embed="rId160"/>
                    <a:stretch>
                      <a:fillRect/>
                    </a:stretch>
                  </pic:blipFill>
                  <pic:spPr>
                    <a:xfrm>
                      <a:off x="0" y="0"/>
                      <a:ext cx="1603375" cy="231775"/>
                    </a:xfrm>
                    <a:prstGeom prst="rect">
                      <a:avLst/>
                    </a:prstGeom>
                    <a:noFill/>
                    <a:ln>
                      <a:noFill/>
                    </a:ln>
                  </pic:spPr>
                </pic:pic>
              </a:graphicData>
            </a:graphic>
          </wp:inline>
        </w:drawing>
      </w:r>
    </w:p>
    <w:p w14:paraId="06371E2B">
      <w:pPr>
        <w:ind w:firstLine="480"/>
      </w:pPr>
      <w:r>
        <w:rPr>
          <w:rFonts w:hint="eastAsia"/>
        </w:rPr>
        <w:t>其中k为蒸发系数；</w:t>
      </w:r>
      <w:r>
        <w:rPr>
          <w:rFonts w:hint="eastAsia"/>
        </w:rPr>
        <w:drawing>
          <wp:inline distT="0" distB="0" distL="114300" distR="114300">
            <wp:extent cx="209550" cy="209550"/>
            <wp:effectExtent l="0" t="0" r="0" b="0"/>
            <wp:docPr id="67"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71"/>
                    <pic:cNvPicPr>
                      <a:picLocks noChangeAspect="1"/>
                    </pic:cNvPicPr>
                  </pic:nvPicPr>
                  <pic:blipFill>
                    <a:blip r:embed="rId161"/>
                    <a:stretch>
                      <a:fillRect/>
                    </a:stretch>
                  </pic:blipFill>
                  <pic:spPr>
                    <a:xfrm>
                      <a:off x="0" y="0"/>
                      <a:ext cx="209550" cy="209550"/>
                    </a:xfrm>
                    <a:prstGeom prst="rect">
                      <a:avLst/>
                    </a:prstGeom>
                    <a:noFill/>
                    <a:ln>
                      <a:noFill/>
                    </a:ln>
                  </pic:spPr>
                </pic:pic>
              </a:graphicData>
            </a:graphic>
          </wp:inline>
        </w:drawing>
      </w:r>
      <w:r>
        <w:rPr>
          <w:rFonts w:hint="eastAsia"/>
        </w:rPr>
        <w:t>为组分i的蒸气Schmidts数。</w:t>
      </w:r>
    </w:p>
    <w:p w14:paraId="0B8D075B">
      <w:pPr>
        <w:ind w:firstLine="480"/>
      </w:pPr>
      <w:r>
        <w:rPr>
          <w:rFonts w:hint="eastAsia"/>
        </w:rPr>
        <w:t>②乳化</w:t>
      </w:r>
    </w:p>
    <w:p w14:paraId="3C5FD639">
      <w:pPr>
        <w:ind w:firstLine="480"/>
      </w:pPr>
      <w:r>
        <w:rPr>
          <w:rFonts w:hint="eastAsia"/>
        </w:rPr>
        <w:t>a．形成水包油乳化物过程</w:t>
      </w:r>
    </w:p>
    <w:p w14:paraId="43AA09F8">
      <w:pPr>
        <w:ind w:firstLine="480"/>
      </w:pPr>
      <w:r>
        <w:rPr>
          <w:rFonts w:hint="eastAsia"/>
        </w:rPr>
        <w:t>油向水体中的运动机理包括溶解、扩散、沉淀等。扩散是溢油发生后最初几星期内最重要的过程。扩散是一种机械过程，水流的紊动能量将油膜撕裂成油滴，形成水包油的乳化。这些乳化物可以被表面活性剂稳定，防止油滴返回到油膜。在恶劣天气状况下最主要的扩散作用力是波浪破碎，而在平静的天气状况下主要的扩散作用力是油膜的伸展压缩运动。从油膜扩散到水体中的油分损失量计算</w:t>
      </w:r>
      <w:r>
        <w:rPr>
          <w:rFonts w:hint="eastAsia"/>
          <w:lang w:eastAsia="zh-CN"/>
        </w:rPr>
        <w:t>：</w:t>
      </w:r>
    </w:p>
    <w:p w14:paraId="6D4D50F3">
      <w:pPr>
        <w:ind w:firstLine="480"/>
      </w:pPr>
      <w:r>
        <w:rPr>
          <w:rFonts w:hint="eastAsia"/>
        </w:rPr>
        <w:drawing>
          <wp:inline distT="0" distB="0" distL="114300" distR="114300">
            <wp:extent cx="725170" cy="207010"/>
            <wp:effectExtent l="0" t="0" r="17780" b="1905"/>
            <wp:docPr id="68"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72"/>
                    <pic:cNvPicPr>
                      <a:picLocks noChangeAspect="1"/>
                    </pic:cNvPicPr>
                  </pic:nvPicPr>
                  <pic:blipFill>
                    <a:blip r:embed="rId162"/>
                    <a:stretch>
                      <a:fillRect/>
                    </a:stretch>
                  </pic:blipFill>
                  <pic:spPr>
                    <a:xfrm>
                      <a:off x="0" y="0"/>
                      <a:ext cx="725170" cy="207010"/>
                    </a:xfrm>
                    <a:prstGeom prst="rect">
                      <a:avLst/>
                    </a:prstGeom>
                    <a:noFill/>
                    <a:ln>
                      <a:noFill/>
                    </a:ln>
                  </pic:spPr>
                </pic:pic>
              </a:graphicData>
            </a:graphic>
          </wp:inline>
        </w:drawing>
      </w:r>
    </w:p>
    <w:p w14:paraId="4A275CA8">
      <w:pPr>
        <w:ind w:firstLine="480"/>
      </w:pPr>
      <w:r>
        <w:rPr>
          <w:rFonts w:hint="eastAsia"/>
        </w:rPr>
        <w:t>其中</w:t>
      </w:r>
      <w:r>
        <w:rPr>
          <w:rFonts w:hint="eastAsia"/>
        </w:rPr>
        <w:drawing>
          <wp:inline distT="0" distB="0" distL="114300" distR="114300">
            <wp:extent cx="200025" cy="209550"/>
            <wp:effectExtent l="0" t="0" r="9525" b="0"/>
            <wp:docPr id="69"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73"/>
                    <pic:cNvPicPr>
                      <a:picLocks noChangeAspect="1"/>
                    </pic:cNvPicPr>
                  </pic:nvPicPr>
                  <pic:blipFill>
                    <a:blip r:embed="rId163"/>
                    <a:stretch>
                      <a:fillRect/>
                    </a:stretch>
                  </pic:blipFill>
                  <pic:spPr>
                    <a:xfrm>
                      <a:off x="0" y="0"/>
                      <a:ext cx="200025" cy="209550"/>
                    </a:xfrm>
                    <a:prstGeom prst="rect">
                      <a:avLst/>
                    </a:prstGeom>
                    <a:noFill/>
                    <a:ln>
                      <a:noFill/>
                    </a:ln>
                  </pic:spPr>
                </pic:pic>
              </a:graphicData>
            </a:graphic>
          </wp:inline>
        </w:drawing>
      </w:r>
      <w:r>
        <w:rPr>
          <w:rFonts w:hint="eastAsia"/>
        </w:rPr>
        <w:t>是进入到水体的分量；</w:t>
      </w:r>
      <w:r>
        <w:rPr>
          <w:rFonts w:hint="eastAsia"/>
        </w:rPr>
        <w:drawing>
          <wp:inline distT="0" distB="0" distL="114300" distR="114300">
            <wp:extent cx="200025" cy="209550"/>
            <wp:effectExtent l="0" t="0" r="9525" b="0"/>
            <wp:docPr id="70"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74"/>
                    <pic:cNvPicPr>
                      <a:picLocks noChangeAspect="1"/>
                    </pic:cNvPicPr>
                  </pic:nvPicPr>
                  <pic:blipFill>
                    <a:blip r:embed="rId164"/>
                    <a:stretch>
                      <a:fillRect/>
                    </a:stretch>
                  </pic:blipFill>
                  <pic:spPr>
                    <a:xfrm>
                      <a:off x="0" y="0"/>
                      <a:ext cx="200025" cy="209550"/>
                    </a:xfrm>
                    <a:prstGeom prst="rect">
                      <a:avLst/>
                    </a:prstGeom>
                    <a:noFill/>
                    <a:ln>
                      <a:noFill/>
                    </a:ln>
                  </pic:spPr>
                </pic:pic>
              </a:graphicData>
            </a:graphic>
          </wp:inline>
        </w:drawing>
      </w:r>
      <w:r>
        <w:rPr>
          <w:rFonts w:hint="eastAsia"/>
        </w:rPr>
        <w:t>是进入到水体后没有返回的分量：</w:t>
      </w:r>
    </w:p>
    <w:p w14:paraId="631A85E6">
      <w:pPr>
        <w:ind w:firstLine="480"/>
      </w:pPr>
      <w:r>
        <w:rPr>
          <w:rFonts w:hint="eastAsia"/>
        </w:rPr>
        <w:drawing>
          <wp:inline distT="0" distB="0" distL="114300" distR="114300">
            <wp:extent cx="1188720" cy="402590"/>
            <wp:effectExtent l="0" t="0" r="11430" b="16510"/>
            <wp:docPr id="71" name="图片 47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75" descr="形状&#10;&#10;中度可信度描述已自动生成"/>
                    <pic:cNvPicPr>
                      <a:picLocks noChangeAspect="1"/>
                    </pic:cNvPicPr>
                  </pic:nvPicPr>
                  <pic:blipFill>
                    <a:blip r:embed="rId165"/>
                    <a:stretch>
                      <a:fillRect/>
                    </a:stretch>
                  </pic:blipFill>
                  <pic:spPr>
                    <a:xfrm>
                      <a:off x="0" y="0"/>
                      <a:ext cx="1188720" cy="402590"/>
                    </a:xfrm>
                    <a:prstGeom prst="rect">
                      <a:avLst/>
                    </a:prstGeom>
                    <a:noFill/>
                    <a:ln>
                      <a:noFill/>
                    </a:ln>
                  </pic:spPr>
                </pic:pic>
              </a:graphicData>
            </a:graphic>
          </wp:inline>
        </w:drawing>
      </w:r>
    </w:p>
    <w:p w14:paraId="0B8FC5D7">
      <w:pPr>
        <w:ind w:firstLine="480"/>
      </w:pPr>
      <w:r>
        <w:rPr>
          <w:rFonts w:hint="eastAsia"/>
        </w:rPr>
        <w:drawing>
          <wp:inline distT="0" distB="0" distL="114300" distR="114300">
            <wp:extent cx="1383665" cy="426720"/>
            <wp:effectExtent l="0" t="0" r="6985" b="12065"/>
            <wp:docPr id="72" name="图片 476"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76" descr="形状&#10;&#10;中度可信度描述已自动生成"/>
                    <pic:cNvPicPr>
                      <a:picLocks noChangeAspect="1"/>
                    </pic:cNvPicPr>
                  </pic:nvPicPr>
                  <pic:blipFill>
                    <a:blip r:embed="rId166"/>
                    <a:stretch>
                      <a:fillRect/>
                    </a:stretch>
                  </pic:blipFill>
                  <pic:spPr>
                    <a:xfrm>
                      <a:off x="0" y="0"/>
                      <a:ext cx="1383665" cy="426720"/>
                    </a:xfrm>
                    <a:prstGeom prst="rect">
                      <a:avLst/>
                    </a:prstGeom>
                    <a:noFill/>
                    <a:ln>
                      <a:noFill/>
                    </a:ln>
                  </pic:spPr>
                </pic:pic>
              </a:graphicData>
            </a:graphic>
          </wp:inline>
        </w:drawing>
      </w:r>
    </w:p>
    <w:p w14:paraId="25A57132">
      <w:pPr>
        <w:ind w:firstLine="480"/>
      </w:pPr>
      <w:r>
        <w:rPr>
          <w:rFonts w:hint="eastAsia"/>
        </w:rPr>
        <w:t>其中</w:t>
      </w:r>
      <w:r>
        <w:rPr>
          <w:rFonts w:hint="eastAsia"/>
        </w:rPr>
        <w:drawing>
          <wp:inline distT="0" distB="0" distL="114300" distR="114300">
            <wp:extent cx="228600" cy="209550"/>
            <wp:effectExtent l="0" t="0" r="0" b="0"/>
            <wp:docPr id="73"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77"/>
                    <pic:cNvPicPr>
                      <a:picLocks noChangeAspect="1"/>
                    </pic:cNvPicPr>
                  </pic:nvPicPr>
                  <pic:blipFill>
                    <a:blip r:embed="rId167"/>
                    <a:stretch>
                      <a:fillRect/>
                    </a:stretch>
                  </pic:blipFill>
                  <pic:spPr>
                    <a:xfrm>
                      <a:off x="0" y="0"/>
                      <a:ext cx="228600" cy="209550"/>
                    </a:xfrm>
                    <a:prstGeom prst="rect">
                      <a:avLst/>
                    </a:prstGeom>
                    <a:noFill/>
                    <a:ln>
                      <a:noFill/>
                    </a:ln>
                  </pic:spPr>
                </pic:pic>
              </a:graphicData>
            </a:graphic>
          </wp:inline>
        </w:drawing>
      </w:r>
      <w:r>
        <w:rPr>
          <w:rFonts w:hint="eastAsia"/>
        </w:rPr>
        <w:t>为油</w:t>
      </w:r>
      <w:r>
        <w:rPr>
          <w:rFonts w:hint="eastAsia"/>
          <w:lang w:eastAsia="zh-CN"/>
        </w:rPr>
        <w:t>的黏度</w:t>
      </w:r>
      <w:r>
        <w:rPr>
          <w:rFonts w:hint="eastAsia"/>
        </w:rPr>
        <w:t>；</w:t>
      </w:r>
      <w:r>
        <w:rPr>
          <w:rFonts w:hint="eastAsia"/>
        </w:rPr>
        <w:drawing>
          <wp:inline distT="0" distB="0" distL="114300" distR="114300">
            <wp:extent cx="190500" cy="209550"/>
            <wp:effectExtent l="0" t="0" r="0" b="0"/>
            <wp:docPr id="74"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78"/>
                    <pic:cNvPicPr>
                      <a:picLocks noChangeAspect="1"/>
                    </pic:cNvPicPr>
                  </pic:nvPicPr>
                  <pic:blipFill>
                    <a:blip r:embed="rId168"/>
                    <a:stretch>
                      <a:fillRect/>
                    </a:stretch>
                  </pic:blipFill>
                  <pic:spPr>
                    <a:xfrm>
                      <a:off x="0" y="0"/>
                      <a:ext cx="190500" cy="209550"/>
                    </a:xfrm>
                    <a:prstGeom prst="rect">
                      <a:avLst/>
                    </a:prstGeom>
                    <a:noFill/>
                    <a:ln>
                      <a:noFill/>
                    </a:ln>
                  </pic:spPr>
                </pic:pic>
              </a:graphicData>
            </a:graphic>
          </wp:inline>
        </w:drawing>
      </w:r>
      <w:r>
        <w:rPr>
          <w:rFonts w:hint="eastAsia"/>
        </w:rPr>
        <w:t>为油</w:t>
      </w:r>
      <w:r>
        <w:rPr>
          <w:rFonts w:hint="eastAsia"/>
          <w:lang w:eastAsia="zh-CN"/>
        </w:rPr>
        <w:t>一水</w:t>
      </w:r>
      <w:r>
        <w:rPr>
          <w:rFonts w:hint="eastAsia"/>
        </w:rPr>
        <w:t>界面张力。</w:t>
      </w:r>
    </w:p>
    <w:p w14:paraId="56F44575">
      <w:pPr>
        <w:ind w:firstLine="480"/>
      </w:pPr>
      <w:r>
        <w:rPr>
          <w:rFonts w:hint="eastAsia"/>
        </w:rPr>
        <w:t>油滴返回油膜的速率为</w:t>
      </w:r>
      <w:r>
        <w:rPr>
          <w:rFonts w:hint="eastAsia"/>
          <w:lang w:eastAsia="zh-CN"/>
        </w:rPr>
        <w:t>：</w:t>
      </w:r>
    </w:p>
    <w:p w14:paraId="74197F7A">
      <w:pPr>
        <w:ind w:firstLine="480"/>
      </w:pPr>
      <w:r>
        <w:rPr>
          <w:rFonts w:hint="eastAsia"/>
        </w:rPr>
        <w:drawing>
          <wp:inline distT="0" distB="0" distL="114300" distR="114300">
            <wp:extent cx="1207135" cy="426720"/>
            <wp:effectExtent l="0" t="0" r="12065" b="12065"/>
            <wp:docPr id="75" name="图片 479"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79" descr="形状&#10;&#10;中度可信度描述已自动生成"/>
                    <pic:cNvPicPr>
                      <a:picLocks noChangeAspect="1"/>
                    </pic:cNvPicPr>
                  </pic:nvPicPr>
                  <pic:blipFill>
                    <a:blip r:embed="rId169"/>
                    <a:stretch>
                      <a:fillRect/>
                    </a:stretch>
                  </pic:blipFill>
                  <pic:spPr>
                    <a:xfrm>
                      <a:off x="0" y="0"/>
                      <a:ext cx="1207135" cy="426720"/>
                    </a:xfrm>
                    <a:prstGeom prst="rect">
                      <a:avLst/>
                    </a:prstGeom>
                    <a:noFill/>
                    <a:ln>
                      <a:noFill/>
                    </a:ln>
                  </pic:spPr>
                </pic:pic>
              </a:graphicData>
            </a:graphic>
          </wp:inline>
        </w:drawing>
      </w:r>
    </w:p>
    <w:p w14:paraId="113C73B1">
      <w:pPr>
        <w:ind w:firstLine="480"/>
      </w:pPr>
      <w:r>
        <w:rPr>
          <w:rFonts w:hint="eastAsia"/>
        </w:rPr>
        <w:t>b．形成油包水乳化物过程</w:t>
      </w:r>
    </w:p>
    <w:p w14:paraId="572F1741">
      <w:pPr>
        <w:ind w:firstLine="480"/>
      </w:pPr>
      <w:r>
        <w:rPr>
          <w:rFonts w:hint="eastAsia"/>
        </w:rPr>
        <w:t>油中含水率变化可由下式平衡方程表示：</w:t>
      </w:r>
    </w:p>
    <w:p w14:paraId="449BFD2B">
      <w:pPr>
        <w:ind w:firstLine="480"/>
      </w:pPr>
      <w:r>
        <w:rPr>
          <w:rFonts w:hint="eastAsia"/>
        </w:rPr>
        <w:drawing>
          <wp:inline distT="0" distB="0" distL="114300" distR="114300">
            <wp:extent cx="841375" cy="426720"/>
            <wp:effectExtent l="0" t="0" r="15875" b="12065"/>
            <wp:docPr id="76" name="图片 480"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80" descr="形状&#10;&#10;中度可信度描述已自动生成"/>
                    <pic:cNvPicPr>
                      <a:picLocks noChangeAspect="1"/>
                    </pic:cNvPicPr>
                  </pic:nvPicPr>
                  <pic:blipFill>
                    <a:blip r:embed="rId170"/>
                    <a:stretch>
                      <a:fillRect/>
                    </a:stretch>
                  </pic:blipFill>
                  <pic:spPr>
                    <a:xfrm>
                      <a:off x="0" y="0"/>
                      <a:ext cx="841375" cy="426720"/>
                    </a:xfrm>
                    <a:prstGeom prst="rect">
                      <a:avLst/>
                    </a:prstGeom>
                    <a:noFill/>
                    <a:ln>
                      <a:noFill/>
                    </a:ln>
                  </pic:spPr>
                </pic:pic>
              </a:graphicData>
            </a:graphic>
          </wp:inline>
        </w:drawing>
      </w:r>
    </w:p>
    <w:p w14:paraId="2F4C2B52">
      <w:pPr>
        <w:ind w:firstLine="480"/>
      </w:pPr>
      <w:r>
        <w:rPr>
          <w:rFonts w:hint="eastAsia"/>
        </w:rPr>
        <w:drawing>
          <wp:inline distT="0" distB="0" distL="114300" distR="114300">
            <wp:extent cx="161925" cy="219075"/>
            <wp:effectExtent l="0" t="0" r="9525" b="6985"/>
            <wp:docPr id="77"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81"/>
                    <pic:cNvPicPr>
                      <a:picLocks noChangeAspect="1"/>
                    </pic:cNvPicPr>
                  </pic:nvPicPr>
                  <pic:blipFill>
                    <a:blip r:embed="rId171"/>
                    <a:stretch>
                      <a:fillRect/>
                    </a:stretch>
                  </pic:blipFill>
                  <pic:spPr>
                    <a:xfrm>
                      <a:off x="0" y="0"/>
                      <a:ext cx="161925" cy="219075"/>
                    </a:xfrm>
                    <a:prstGeom prst="rect">
                      <a:avLst/>
                    </a:prstGeom>
                    <a:noFill/>
                    <a:ln>
                      <a:noFill/>
                    </a:ln>
                  </pic:spPr>
                </pic:pic>
              </a:graphicData>
            </a:graphic>
          </wp:inline>
        </w:drawing>
      </w:r>
      <w:r>
        <w:rPr>
          <w:rFonts w:hint="eastAsia"/>
        </w:rPr>
        <w:t>和</w:t>
      </w:r>
      <w:r>
        <w:rPr>
          <w:rFonts w:hint="eastAsia"/>
        </w:rPr>
        <w:drawing>
          <wp:inline distT="0" distB="0" distL="114300" distR="114300">
            <wp:extent cx="190500" cy="209550"/>
            <wp:effectExtent l="0" t="0" r="0" b="0"/>
            <wp:docPr id="78"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82"/>
                    <pic:cNvPicPr>
                      <a:picLocks noChangeAspect="1"/>
                    </pic:cNvPicPr>
                  </pic:nvPicPr>
                  <pic:blipFill>
                    <a:blip r:embed="rId172"/>
                    <a:stretch>
                      <a:fillRect/>
                    </a:stretch>
                  </pic:blipFill>
                  <pic:spPr>
                    <a:xfrm>
                      <a:off x="0" y="0"/>
                      <a:ext cx="190500" cy="209550"/>
                    </a:xfrm>
                    <a:prstGeom prst="rect">
                      <a:avLst/>
                    </a:prstGeom>
                    <a:noFill/>
                    <a:ln>
                      <a:noFill/>
                    </a:ln>
                  </pic:spPr>
                </pic:pic>
              </a:graphicData>
            </a:graphic>
          </wp:inline>
        </w:drawing>
      </w:r>
      <w:r>
        <w:rPr>
          <w:rFonts w:hint="eastAsia"/>
        </w:rPr>
        <w:t>分别为水的吸收速率和释出速率，</w:t>
      </w:r>
    </w:p>
    <w:p w14:paraId="1826B452">
      <w:pPr>
        <w:ind w:firstLine="480"/>
      </w:pPr>
      <w:r>
        <w:rPr>
          <w:rFonts w:hint="eastAsia"/>
        </w:rPr>
        <w:drawing>
          <wp:inline distT="0" distB="0" distL="114300" distR="114300">
            <wp:extent cx="1865630" cy="469265"/>
            <wp:effectExtent l="0" t="0" r="1270" b="6350"/>
            <wp:docPr id="79" name="图片 483"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83" descr="形状&#10;&#10;中度可信度描述已自动生成"/>
                    <pic:cNvPicPr>
                      <a:picLocks noChangeAspect="1"/>
                    </pic:cNvPicPr>
                  </pic:nvPicPr>
                  <pic:blipFill>
                    <a:blip r:embed="rId173"/>
                    <a:stretch>
                      <a:fillRect/>
                    </a:stretch>
                  </pic:blipFill>
                  <pic:spPr>
                    <a:xfrm>
                      <a:off x="0" y="0"/>
                      <a:ext cx="1865630" cy="469265"/>
                    </a:xfrm>
                    <a:prstGeom prst="rect">
                      <a:avLst/>
                    </a:prstGeom>
                    <a:noFill/>
                    <a:ln>
                      <a:noFill/>
                    </a:ln>
                  </pic:spPr>
                </pic:pic>
              </a:graphicData>
            </a:graphic>
          </wp:inline>
        </w:drawing>
      </w:r>
    </w:p>
    <w:p w14:paraId="1FE064DD">
      <w:pPr>
        <w:ind w:firstLine="480"/>
      </w:pPr>
      <w:r>
        <w:rPr>
          <w:rFonts w:hint="eastAsia"/>
        </w:rPr>
        <w:drawing>
          <wp:inline distT="0" distB="0" distL="114300" distR="114300">
            <wp:extent cx="1627505" cy="426720"/>
            <wp:effectExtent l="0" t="0" r="10795" b="12065"/>
            <wp:docPr id="80" name="图片 484"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84" descr="形状&#10;&#10;中度可信度描述已自动生成"/>
                    <pic:cNvPicPr>
                      <a:picLocks noChangeAspect="1"/>
                    </pic:cNvPicPr>
                  </pic:nvPicPr>
                  <pic:blipFill>
                    <a:blip r:embed="rId174"/>
                    <a:stretch>
                      <a:fillRect/>
                    </a:stretch>
                  </pic:blipFill>
                  <pic:spPr>
                    <a:xfrm>
                      <a:off x="0" y="0"/>
                      <a:ext cx="1627505" cy="426720"/>
                    </a:xfrm>
                    <a:prstGeom prst="rect">
                      <a:avLst/>
                    </a:prstGeom>
                    <a:noFill/>
                    <a:ln>
                      <a:noFill/>
                    </a:ln>
                  </pic:spPr>
                </pic:pic>
              </a:graphicData>
            </a:graphic>
          </wp:inline>
        </w:drawing>
      </w:r>
    </w:p>
    <w:p w14:paraId="7E8A392A">
      <w:pPr>
        <w:ind w:firstLine="480"/>
      </w:pPr>
      <w:r>
        <w:rPr>
          <w:rFonts w:hint="eastAsia"/>
        </w:rPr>
        <w:t>其中</w:t>
      </w:r>
      <w:r>
        <w:rPr>
          <w:rFonts w:hint="eastAsia"/>
        </w:rPr>
        <w:drawing>
          <wp:inline distT="0" distB="0" distL="114300" distR="114300">
            <wp:extent cx="295275" cy="228600"/>
            <wp:effectExtent l="0" t="0" r="0" b="0"/>
            <wp:docPr id="81"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85"/>
                    <pic:cNvPicPr>
                      <a:picLocks noChangeAspect="1"/>
                    </pic:cNvPicPr>
                  </pic:nvPicPr>
                  <pic:blipFill>
                    <a:blip r:embed="rId175"/>
                    <a:stretch>
                      <a:fillRect/>
                    </a:stretch>
                  </pic:blipFill>
                  <pic:spPr>
                    <a:xfrm>
                      <a:off x="0" y="0"/>
                      <a:ext cx="295275" cy="228600"/>
                    </a:xfrm>
                    <a:prstGeom prst="rect">
                      <a:avLst/>
                    </a:prstGeom>
                    <a:noFill/>
                    <a:ln>
                      <a:noFill/>
                    </a:ln>
                  </pic:spPr>
                </pic:pic>
              </a:graphicData>
            </a:graphic>
          </wp:inline>
        </w:drawing>
      </w:r>
      <w:r>
        <w:rPr>
          <w:rFonts w:hint="eastAsia"/>
        </w:rPr>
        <w:t>为最大含水率；</w:t>
      </w:r>
      <w:r>
        <w:rPr>
          <w:rFonts w:hint="eastAsia"/>
        </w:rPr>
        <w:drawing>
          <wp:inline distT="0" distB="0" distL="114300" distR="114300">
            <wp:extent cx="190500" cy="228600"/>
            <wp:effectExtent l="0" t="0" r="0" b="0"/>
            <wp:docPr id="82"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86"/>
                    <pic:cNvPicPr>
                      <a:picLocks noChangeAspect="1"/>
                    </pic:cNvPicPr>
                  </pic:nvPicPr>
                  <pic:blipFill>
                    <a:blip r:embed="rId176"/>
                    <a:stretch>
                      <a:fillRect/>
                    </a:stretch>
                  </pic:blipFill>
                  <pic:spPr>
                    <a:xfrm>
                      <a:off x="0" y="0"/>
                      <a:ext cx="190500" cy="228600"/>
                    </a:xfrm>
                    <a:prstGeom prst="rect">
                      <a:avLst/>
                    </a:prstGeom>
                    <a:noFill/>
                    <a:ln>
                      <a:noFill/>
                    </a:ln>
                  </pic:spPr>
                </pic:pic>
              </a:graphicData>
            </a:graphic>
          </wp:inline>
        </w:drawing>
      </w:r>
      <w:r>
        <w:rPr>
          <w:rFonts w:hint="eastAsia"/>
        </w:rPr>
        <w:t>为实际含水率；</w:t>
      </w:r>
      <w:r>
        <w:rPr>
          <w:rFonts w:hint="eastAsia"/>
        </w:rPr>
        <w:drawing>
          <wp:inline distT="0" distB="0" distL="114300" distR="114300">
            <wp:extent cx="209550" cy="180975"/>
            <wp:effectExtent l="0" t="0" r="0" b="8890"/>
            <wp:docPr id="83"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87"/>
                    <pic:cNvPicPr>
                      <a:picLocks noChangeAspect="1"/>
                    </pic:cNvPicPr>
                  </pic:nvPicPr>
                  <pic:blipFill>
                    <a:blip r:embed="rId177"/>
                    <a:stretch>
                      <a:fillRect/>
                    </a:stretch>
                  </pic:blipFill>
                  <pic:spPr>
                    <a:xfrm>
                      <a:off x="0" y="0"/>
                      <a:ext cx="209550" cy="180975"/>
                    </a:xfrm>
                    <a:prstGeom prst="rect">
                      <a:avLst/>
                    </a:prstGeom>
                    <a:noFill/>
                    <a:ln>
                      <a:noFill/>
                    </a:ln>
                  </pic:spPr>
                </pic:pic>
              </a:graphicData>
            </a:graphic>
          </wp:inline>
        </w:drawing>
      </w:r>
      <w:r>
        <w:rPr>
          <w:rFonts w:hint="eastAsia"/>
        </w:rPr>
        <w:t>为油中沥青含量（重量比）；</w:t>
      </w:r>
      <w:r>
        <w:rPr>
          <w:rFonts w:hint="eastAsia"/>
        </w:rPr>
        <w:drawing>
          <wp:inline distT="0" distB="0" distL="114300" distR="114300">
            <wp:extent cx="323850" cy="180975"/>
            <wp:effectExtent l="0" t="0" r="0" b="8890"/>
            <wp:docPr id="84"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88"/>
                    <pic:cNvPicPr>
                      <a:picLocks noChangeAspect="1"/>
                    </pic:cNvPicPr>
                  </pic:nvPicPr>
                  <pic:blipFill>
                    <a:blip r:embed="rId178"/>
                    <a:stretch>
                      <a:fillRect/>
                    </a:stretch>
                  </pic:blipFill>
                  <pic:spPr>
                    <a:xfrm>
                      <a:off x="0" y="0"/>
                      <a:ext cx="323850" cy="180975"/>
                    </a:xfrm>
                    <a:prstGeom prst="rect">
                      <a:avLst/>
                    </a:prstGeom>
                    <a:noFill/>
                    <a:ln>
                      <a:noFill/>
                    </a:ln>
                  </pic:spPr>
                </pic:pic>
              </a:graphicData>
            </a:graphic>
          </wp:inline>
        </w:drawing>
      </w:r>
      <w:r>
        <w:rPr>
          <w:rFonts w:hint="eastAsia"/>
        </w:rPr>
        <w:t>为油中总石蜡含量（重量比）；</w:t>
      </w:r>
      <w:r>
        <w:rPr>
          <w:rFonts w:hint="eastAsia"/>
        </w:rPr>
        <w:drawing>
          <wp:inline distT="0" distB="0" distL="114300" distR="114300">
            <wp:extent cx="190500" cy="209550"/>
            <wp:effectExtent l="0" t="0" r="0" b="0"/>
            <wp:docPr id="85"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89"/>
                    <pic:cNvPicPr>
                      <a:picLocks noChangeAspect="1"/>
                    </pic:cNvPicPr>
                  </pic:nvPicPr>
                  <pic:blipFill>
                    <a:blip r:embed="rId179"/>
                    <a:stretch>
                      <a:fillRect/>
                    </a:stretch>
                  </pic:blipFill>
                  <pic:spPr>
                    <a:xfrm>
                      <a:off x="0" y="0"/>
                      <a:ext cx="190500" cy="209550"/>
                    </a:xfrm>
                    <a:prstGeom prst="rect">
                      <a:avLst/>
                    </a:prstGeom>
                    <a:noFill/>
                    <a:ln>
                      <a:noFill/>
                    </a:ln>
                  </pic:spPr>
                </pic:pic>
              </a:graphicData>
            </a:graphic>
          </wp:inline>
        </w:drawing>
      </w:r>
      <w:r>
        <w:rPr>
          <w:rFonts w:hint="eastAsia"/>
        </w:rPr>
        <w:t>、</w:t>
      </w:r>
      <w:r>
        <w:rPr>
          <w:rFonts w:hint="eastAsia"/>
        </w:rPr>
        <w:drawing>
          <wp:inline distT="0" distB="0" distL="114300" distR="114300">
            <wp:extent cx="200025" cy="209550"/>
            <wp:effectExtent l="0" t="0" r="9525" b="0"/>
            <wp:docPr id="86"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90"/>
                    <pic:cNvPicPr>
                      <a:picLocks noChangeAspect="1"/>
                    </pic:cNvPicPr>
                  </pic:nvPicPr>
                  <pic:blipFill>
                    <a:blip r:embed="rId180"/>
                    <a:stretch>
                      <a:fillRect/>
                    </a:stretch>
                  </pic:blipFill>
                  <pic:spPr>
                    <a:xfrm>
                      <a:off x="0" y="0"/>
                      <a:ext cx="200025" cy="209550"/>
                    </a:xfrm>
                    <a:prstGeom prst="rect">
                      <a:avLst/>
                    </a:prstGeom>
                    <a:noFill/>
                    <a:ln>
                      <a:noFill/>
                    </a:ln>
                  </pic:spPr>
                </pic:pic>
              </a:graphicData>
            </a:graphic>
          </wp:inline>
        </w:drawing>
      </w:r>
      <w:r>
        <w:rPr>
          <w:rFonts w:hint="eastAsia"/>
        </w:rPr>
        <w:t>分别为吸收系数和释放系数。</w:t>
      </w:r>
    </w:p>
    <w:p w14:paraId="17BFFA05">
      <w:pPr>
        <w:ind w:firstLine="480"/>
      </w:pPr>
      <w:r>
        <w:rPr>
          <w:rFonts w:hint="eastAsia"/>
        </w:rPr>
        <w:t>③溶解</w:t>
      </w:r>
    </w:p>
    <w:p w14:paraId="3AE74BBD">
      <w:pPr>
        <w:ind w:firstLine="480"/>
      </w:pPr>
      <w:r>
        <w:rPr>
          <w:rFonts w:hint="eastAsia"/>
        </w:rPr>
        <w:t>溶解率用下式表示：</w:t>
      </w:r>
    </w:p>
    <w:p w14:paraId="565154CB">
      <w:pPr>
        <w:ind w:firstLine="480"/>
      </w:pPr>
      <w:r>
        <w:rPr>
          <w:rFonts w:hint="eastAsia"/>
        </w:rPr>
        <w:drawing>
          <wp:inline distT="0" distB="0" distL="114300" distR="114300">
            <wp:extent cx="1981200" cy="426720"/>
            <wp:effectExtent l="0" t="0" r="0" b="12065"/>
            <wp:docPr id="87"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91"/>
                    <pic:cNvPicPr>
                      <a:picLocks noChangeAspect="1"/>
                    </pic:cNvPicPr>
                  </pic:nvPicPr>
                  <pic:blipFill>
                    <a:blip r:embed="rId181"/>
                    <a:stretch>
                      <a:fillRect/>
                    </a:stretch>
                  </pic:blipFill>
                  <pic:spPr>
                    <a:xfrm>
                      <a:off x="0" y="0"/>
                      <a:ext cx="1981200" cy="426720"/>
                    </a:xfrm>
                    <a:prstGeom prst="rect">
                      <a:avLst/>
                    </a:prstGeom>
                    <a:noFill/>
                    <a:ln>
                      <a:noFill/>
                    </a:ln>
                  </pic:spPr>
                </pic:pic>
              </a:graphicData>
            </a:graphic>
          </wp:inline>
        </w:drawing>
      </w:r>
    </w:p>
    <w:p w14:paraId="092EE65C">
      <w:pPr>
        <w:ind w:firstLine="480"/>
      </w:pPr>
      <w:r>
        <w:rPr>
          <w:rFonts w:hint="eastAsia"/>
        </w:rPr>
        <w:t>其中</w:t>
      </w:r>
      <w:r>
        <w:rPr>
          <w:rFonts w:hint="eastAsia"/>
        </w:rPr>
        <w:drawing>
          <wp:inline distT="0" distB="0" distL="114300" distR="114300">
            <wp:extent cx="257175" cy="228600"/>
            <wp:effectExtent l="0" t="0" r="9525" b="0"/>
            <wp:docPr id="88"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92"/>
                    <pic:cNvPicPr>
                      <a:picLocks noChangeAspect="1"/>
                    </pic:cNvPicPr>
                  </pic:nvPicPr>
                  <pic:blipFill>
                    <a:blip r:embed="rId182"/>
                    <a:stretch>
                      <a:fillRect/>
                    </a:stretch>
                  </pic:blipFill>
                  <pic:spPr>
                    <a:xfrm>
                      <a:off x="0" y="0"/>
                      <a:ext cx="257175" cy="228600"/>
                    </a:xfrm>
                    <a:prstGeom prst="rect">
                      <a:avLst/>
                    </a:prstGeom>
                    <a:noFill/>
                    <a:ln>
                      <a:noFill/>
                    </a:ln>
                  </pic:spPr>
                </pic:pic>
              </a:graphicData>
            </a:graphic>
          </wp:inline>
        </w:drawing>
      </w:r>
      <w:r>
        <w:rPr>
          <w:rFonts w:hint="eastAsia"/>
        </w:rPr>
        <w:t>为组分i的溶解度；</w:t>
      </w:r>
      <w:r>
        <w:rPr>
          <w:rFonts w:hint="eastAsia"/>
        </w:rPr>
        <w:drawing>
          <wp:inline distT="0" distB="0" distL="114300" distR="114300">
            <wp:extent cx="352425" cy="228600"/>
            <wp:effectExtent l="0" t="0" r="8890" b="0"/>
            <wp:docPr id="89"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93"/>
                    <pic:cNvPicPr>
                      <a:picLocks noChangeAspect="1"/>
                    </pic:cNvPicPr>
                  </pic:nvPicPr>
                  <pic:blipFill>
                    <a:blip r:embed="rId183"/>
                    <a:stretch>
                      <a:fillRect/>
                    </a:stretch>
                  </pic:blipFill>
                  <pic:spPr>
                    <a:xfrm>
                      <a:off x="0" y="0"/>
                      <a:ext cx="352425" cy="228600"/>
                    </a:xfrm>
                    <a:prstGeom prst="rect">
                      <a:avLst/>
                    </a:prstGeom>
                    <a:noFill/>
                    <a:ln>
                      <a:noFill/>
                    </a:ln>
                  </pic:spPr>
                </pic:pic>
              </a:graphicData>
            </a:graphic>
          </wp:inline>
        </w:drawing>
      </w:r>
      <w:r>
        <w:rPr>
          <w:rFonts w:hint="eastAsia"/>
        </w:rPr>
        <w:t>为组分的摩尔分数；</w:t>
      </w:r>
      <w:r>
        <w:rPr>
          <w:rFonts w:hint="eastAsia"/>
        </w:rPr>
        <w:drawing>
          <wp:inline distT="0" distB="0" distL="114300" distR="114300">
            <wp:extent cx="209550" cy="209550"/>
            <wp:effectExtent l="0" t="0" r="0" b="0"/>
            <wp:docPr id="90"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94"/>
                    <pic:cNvPicPr>
                      <a:picLocks noChangeAspect="1"/>
                    </pic:cNvPicPr>
                  </pic:nvPicPr>
                  <pic:blipFill>
                    <a:blip r:embed="rId184"/>
                    <a:stretch>
                      <a:fillRect/>
                    </a:stretch>
                  </pic:blipFill>
                  <pic:spPr>
                    <a:xfrm>
                      <a:off x="0" y="0"/>
                      <a:ext cx="209550" cy="209550"/>
                    </a:xfrm>
                    <a:prstGeom prst="rect">
                      <a:avLst/>
                    </a:prstGeom>
                    <a:noFill/>
                    <a:ln>
                      <a:noFill/>
                    </a:ln>
                  </pic:spPr>
                </pic:pic>
              </a:graphicData>
            </a:graphic>
          </wp:inline>
        </w:drawing>
      </w:r>
      <w:r>
        <w:rPr>
          <w:rFonts w:hint="eastAsia"/>
        </w:rPr>
        <w:t>为组分i的摩尔重量、</w:t>
      </w:r>
      <w:r>
        <w:rPr>
          <w:rFonts w:hint="eastAsia"/>
        </w:rPr>
        <w:drawing>
          <wp:inline distT="0" distB="0" distL="114300" distR="114300">
            <wp:extent cx="228600" cy="209550"/>
            <wp:effectExtent l="0" t="0" r="0" b="0"/>
            <wp:docPr id="91"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95"/>
                    <pic:cNvPicPr>
                      <a:picLocks noChangeAspect="1"/>
                    </pic:cNvPicPr>
                  </pic:nvPicPr>
                  <pic:blipFill>
                    <a:blip r:embed="rId185"/>
                    <a:stretch>
                      <a:fillRect/>
                    </a:stretch>
                  </pic:blipFill>
                  <pic:spPr>
                    <a:xfrm>
                      <a:off x="0" y="0"/>
                      <a:ext cx="228600" cy="209550"/>
                    </a:xfrm>
                    <a:prstGeom prst="rect">
                      <a:avLst/>
                    </a:prstGeom>
                    <a:noFill/>
                    <a:ln>
                      <a:noFill/>
                    </a:ln>
                  </pic:spPr>
                </pic:pic>
              </a:graphicData>
            </a:graphic>
          </wp:inline>
        </w:drawing>
      </w:r>
      <w:r>
        <w:rPr>
          <w:rFonts w:hint="eastAsia"/>
        </w:rPr>
        <w:t>为溶解传质系数，由下式估算：</w:t>
      </w:r>
    </w:p>
    <w:p w14:paraId="67481F80">
      <w:pPr>
        <w:ind w:firstLine="480"/>
      </w:pPr>
      <w:r>
        <w:rPr>
          <w:rFonts w:hint="eastAsia"/>
        </w:rPr>
        <w:drawing>
          <wp:inline distT="0" distB="0" distL="114300" distR="114300">
            <wp:extent cx="1097280" cy="231775"/>
            <wp:effectExtent l="0" t="0" r="7620" b="15875"/>
            <wp:docPr id="92"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96"/>
                    <pic:cNvPicPr>
                      <a:picLocks noChangeAspect="1"/>
                    </pic:cNvPicPr>
                  </pic:nvPicPr>
                  <pic:blipFill>
                    <a:blip r:embed="rId186"/>
                    <a:stretch>
                      <a:fillRect/>
                    </a:stretch>
                  </pic:blipFill>
                  <pic:spPr>
                    <a:xfrm>
                      <a:off x="0" y="0"/>
                      <a:ext cx="1097280" cy="231775"/>
                    </a:xfrm>
                    <a:prstGeom prst="rect">
                      <a:avLst/>
                    </a:prstGeom>
                    <a:noFill/>
                    <a:ln>
                      <a:noFill/>
                    </a:ln>
                  </pic:spPr>
                </pic:pic>
              </a:graphicData>
            </a:graphic>
          </wp:inline>
        </w:drawing>
      </w:r>
    </w:p>
    <w:p w14:paraId="54ED67A9">
      <w:pPr>
        <w:ind w:firstLine="480"/>
      </w:pPr>
      <w:r>
        <w:rPr>
          <w:rFonts w:hint="eastAsia"/>
        </w:rPr>
        <w:t>其中</w:t>
      </w:r>
      <w:r>
        <w:rPr>
          <w:rFonts w:hint="eastAsia"/>
        </w:rPr>
        <w:drawing>
          <wp:inline distT="0" distB="0" distL="114300" distR="114300">
            <wp:extent cx="1076325" cy="714375"/>
            <wp:effectExtent l="0" t="0" r="9525" b="8890"/>
            <wp:docPr id="93"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97"/>
                    <pic:cNvPicPr>
                      <a:picLocks noChangeAspect="1"/>
                    </pic:cNvPicPr>
                  </pic:nvPicPr>
                  <pic:blipFill>
                    <a:blip r:embed="rId187"/>
                    <a:stretch>
                      <a:fillRect/>
                    </a:stretch>
                  </pic:blipFill>
                  <pic:spPr>
                    <a:xfrm>
                      <a:off x="0" y="0"/>
                      <a:ext cx="1076325" cy="714375"/>
                    </a:xfrm>
                    <a:prstGeom prst="rect">
                      <a:avLst/>
                    </a:prstGeom>
                    <a:noFill/>
                    <a:ln>
                      <a:noFill/>
                    </a:ln>
                  </pic:spPr>
                </pic:pic>
              </a:graphicData>
            </a:graphic>
          </wp:inline>
        </w:drawing>
      </w:r>
    </w:p>
    <w:p w14:paraId="32AEA965">
      <w:pPr>
        <w:pStyle w:val="139"/>
        <w:ind w:firstLine="480"/>
        <w:rPr>
          <w:color w:val="auto"/>
        </w:rPr>
      </w:pPr>
      <w:r>
        <w:rPr>
          <w:rFonts w:hint="eastAsia"/>
          <w:color w:val="auto"/>
        </w:rPr>
        <w:t>Oilspill模块主要（部分）参数取值如下表所示。本项目二维溢油模型是在二维水动力模型基础上建立的</w:t>
      </w:r>
      <w:r>
        <w:rPr>
          <w:rFonts w:hint="eastAsia" w:cs="Times New Roman"/>
          <w:color w:val="auto"/>
        </w:rPr>
        <w:t>，</w:t>
      </w:r>
      <w:r>
        <w:rPr>
          <w:rFonts w:hint="eastAsia"/>
          <w:color w:val="auto"/>
        </w:rPr>
        <w:t>其主要的工作在于定义各种模型参数值。模型中部分参数在各种应用场合中变化幅度较小</w:t>
      </w:r>
      <w:r>
        <w:rPr>
          <w:rFonts w:hint="eastAsia" w:cs="Times New Roman"/>
          <w:color w:val="auto"/>
        </w:rPr>
        <w:t>，</w:t>
      </w:r>
      <w:r>
        <w:rPr>
          <w:rFonts w:hint="eastAsia"/>
          <w:color w:val="auto"/>
        </w:rPr>
        <w:t>在合理取值范围内对结果影响不大</w:t>
      </w:r>
      <w:r>
        <w:rPr>
          <w:rFonts w:hint="eastAsia" w:cs="Times New Roman"/>
          <w:color w:val="auto"/>
        </w:rPr>
        <w:t>，</w:t>
      </w:r>
      <w:r>
        <w:rPr>
          <w:rFonts w:hint="eastAsia"/>
          <w:color w:val="auto"/>
        </w:rPr>
        <w:t>采用相关文献的推荐值（</w:t>
      </w:r>
      <w:r>
        <w:rPr>
          <w:i/>
          <w:iCs/>
          <w:color w:val="auto"/>
          <w:lang w:val="en-US"/>
        </w:rPr>
        <w:t>姜卫星</w:t>
      </w:r>
      <w:r>
        <w:rPr>
          <w:rFonts w:hint="eastAsia"/>
          <w:i/>
          <w:iCs/>
          <w:color w:val="auto"/>
          <w:lang w:val="en-US"/>
        </w:rPr>
        <w:t>.</w:t>
      </w:r>
      <w:r>
        <w:rPr>
          <w:i/>
          <w:iCs/>
          <w:color w:val="auto"/>
          <w:lang w:val="en-US"/>
        </w:rPr>
        <w:t>黄浦江溢油事故的数值模拟研究［D］</w:t>
      </w:r>
      <w:r>
        <w:rPr>
          <w:rFonts w:hint="eastAsia"/>
          <w:i/>
          <w:iCs/>
          <w:color w:val="auto"/>
          <w:lang w:val="en-US"/>
        </w:rPr>
        <w:t>.</w:t>
      </w:r>
      <w:r>
        <w:rPr>
          <w:i/>
          <w:iCs/>
          <w:color w:val="auto"/>
          <w:lang w:val="en-US"/>
        </w:rPr>
        <w:t>上海:同济大学</w:t>
      </w:r>
      <w:r>
        <w:rPr>
          <w:rFonts w:hint="eastAsia"/>
          <w:i/>
          <w:iCs/>
          <w:color w:val="auto"/>
          <w:lang w:val="en-US"/>
        </w:rPr>
        <w:t>,</w:t>
      </w:r>
      <w:r>
        <w:rPr>
          <w:i/>
          <w:iCs/>
          <w:color w:val="auto"/>
          <w:lang w:val="en-US"/>
        </w:rPr>
        <w:t>2007</w:t>
      </w:r>
      <w:r>
        <w:rPr>
          <w:rFonts w:hint="eastAsia"/>
          <w:i/>
          <w:iCs/>
          <w:color w:val="auto"/>
          <w:lang w:val="en-US"/>
        </w:rPr>
        <w:t>.</w:t>
      </w:r>
      <w:r>
        <w:rPr>
          <w:rFonts w:hint="eastAsia"/>
          <w:color w:val="auto"/>
        </w:rPr>
        <w:t>）。</w:t>
      </w:r>
    </w:p>
    <w:p w14:paraId="71A549DA">
      <w:pPr>
        <w:pStyle w:val="86"/>
      </w:pPr>
      <w:r>
        <w:rPr>
          <w:rFonts w:hint="eastAsia"/>
        </w:rPr>
        <w:t xml:space="preserve"> 溢油模型主要参数取值</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5"/>
        <w:gridCol w:w="3179"/>
        <w:gridCol w:w="2207"/>
      </w:tblGrid>
      <w:tr w14:paraId="559C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1839" w:type="pct"/>
            <w:noWrap/>
            <w:vAlign w:val="center"/>
          </w:tcPr>
          <w:p w14:paraId="6D0F18F1">
            <w:pPr>
              <w:pStyle w:val="196"/>
            </w:pPr>
            <w:r>
              <w:rPr>
                <w:rFonts w:hint="eastAsia"/>
              </w:rPr>
              <w:t>系数</w:t>
            </w:r>
          </w:p>
        </w:tc>
        <w:tc>
          <w:tcPr>
            <w:tcW w:w="1865" w:type="pct"/>
            <w:noWrap/>
            <w:vAlign w:val="center"/>
          </w:tcPr>
          <w:p w14:paraId="773CD35A">
            <w:pPr>
              <w:pStyle w:val="196"/>
            </w:pPr>
            <w:r>
              <w:rPr>
                <w:rFonts w:hint="eastAsia"/>
              </w:rPr>
              <w:t>过程</w:t>
            </w:r>
          </w:p>
        </w:tc>
        <w:tc>
          <w:tcPr>
            <w:tcW w:w="1294" w:type="pct"/>
            <w:noWrap/>
            <w:vAlign w:val="center"/>
          </w:tcPr>
          <w:p w14:paraId="738522FF">
            <w:pPr>
              <w:pStyle w:val="196"/>
            </w:pPr>
            <w:r>
              <w:rPr>
                <w:rFonts w:hint="eastAsia"/>
              </w:rPr>
              <w:t>取值</w:t>
            </w:r>
          </w:p>
        </w:tc>
      </w:tr>
      <w:tr w14:paraId="0776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702E73B7">
            <w:pPr>
              <w:pStyle w:val="196"/>
            </w:pPr>
            <w:r>
              <w:rPr>
                <w:rFonts w:hint="eastAsia"/>
              </w:rPr>
              <w:t>风漂移系数CW</w:t>
            </w:r>
          </w:p>
        </w:tc>
        <w:tc>
          <w:tcPr>
            <w:tcW w:w="1865" w:type="pct"/>
            <w:noWrap/>
            <w:vAlign w:val="center"/>
          </w:tcPr>
          <w:p w14:paraId="411A266C">
            <w:pPr>
              <w:pStyle w:val="196"/>
            </w:pPr>
            <w:r>
              <w:rPr>
                <w:rFonts w:hint="eastAsia"/>
              </w:rPr>
              <w:t>对流</w:t>
            </w:r>
          </w:p>
        </w:tc>
        <w:tc>
          <w:tcPr>
            <w:tcW w:w="1294" w:type="pct"/>
            <w:noWrap/>
            <w:vAlign w:val="center"/>
          </w:tcPr>
          <w:p w14:paraId="2340C94A">
            <w:pPr>
              <w:pStyle w:val="196"/>
            </w:pPr>
            <w:r>
              <w:rPr>
                <w:rFonts w:hint="eastAsia"/>
              </w:rPr>
              <w:t>0.02</w:t>
            </w:r>
          </w:p>
        </w:tc>
      </w:tr>
      <w:tr w14:paraId="16BE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761755E8">
            <w:pPr>
              <w:pStyle w:val="196"/>
            </w:pPr>
            <w:r>
              <w:rPr>
                <w:rFonts w:hint="eastAsia"/>
              </w:rPr>
              <w:t>油的最大含水率</w:t>
            </w:r>
          </w:p>
        </w:tc>
        <w:tc>
          <w:tcPr>
            <w:tcW w:w="1865" w:type="pct"/>
            <w:noWrap/>
            <w:vAlign w:val="center"/>
          </w:tcPr>
          <w:p w14:paraId="7847A1A9">
            <w:pPr>
              <w:pStyle w:val="196"/>
            </w:pPr>
            <w:r>
              <w:rPr>
                <w:rFonts w:hint="eastAsia"/>
              </w:rPr>
              <w:t>乳化</w:t>
            </w:r>
          </w:p>
        </w:tc>
        <w:tc>
          <w:tcPr>
            <w:tcW w:w="1294" w:type="pct"/>
            <w:noWrap/>
            <w:vAlign w:val="center"/>
          </w:tcPr>
          <w:p w14:paraId="6F11BE50">
            <w:pPr>
              <w:pStyle w:val="196"/>
            </w:pPr>
            <w:r>
              <w:rPr>
                <w:rFonts w:hint="eastAsia"/>
              </w:rPr>
              <w:t>0.85</w:t>
            </w:r>
          </w:p>
        </w:tc>
      </w:tr>
      <w:tr w14:paraId="6F7D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35DF3CA1">
            <w:pPr>
              <w:pStyle w:val="196"/>
            </w:pPr>
            <w:r>
              <w:rPr>
                <w:rFonts w:hint="eastAsia"/>
              </w:rPr>
              <w:t>吸收系数K1</w:t>
            </w:r>
          </w:p>
        </w:tc>
        <w:tc>
          <w:tcPr>
            <w:tcW w:w="1865" w:type="pct"/>
            <w:noWrap/>
            <w:vAlign w:val="center"/>
          </w:tcPr>
          <w:p w14:paraId="5025AEE0">
            <w:pPr>
              <w:pStyle w:val="196"/>
            </w:pPr>
            <w:r>
              <w:rPr>
                <w:rFonts w:hint="eastAsia"/>
              </w:rPr>
              <w:t>乳化</w:t>
            </w:r>
          </w:p>
        </w:tc>
        <w:tc>
          <w:tcPr>
            <w:tcW w:w="1294" w:type="pct"/>
            <w:noWrap/>
            <w:vAlign w:val="center"/>
          </w:tcPr>
          <w:p w14:paraId="50B29EAA">
            <w:pPr>
              <w:pStyle w:val="196"/>
            </w:pPr>
            <w:r>
              <w:rPr>
                <w:rFonts w:hint="eastAsia"/>
              </w:rPr>
              <w:t>5E10-7</w:t>
            </w:r>
          </w:p>
        </w:tc>
      </w:tr>
      <w:tr w14:paraId="1C33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48C9ABC6">
            <w:pPr>
              <w:pStyle w:val="196"/>
            </w:pPr>
            <w:r>
              <w:rPr>
                <w:rFonts w:hint="eastAsia"/>
              </w:rPr>
              <w:t>释出系数K2</w:t>
            </w:r>
          </w:p>
        </w:tc>
        <w:tc>
          <w:tcPr>
            <w:tcW w:w="1865" w:type="pct"/>
            <w:noWrap/>
            <w:vAlign w:val="center"/>
          </w:tcPr>
          <w:p w14:paraId="7BCFB2DA">
            <w:pPr>
              <w:pStyle w:val="196"/>
            </w:pPr>
            <w:r>
              <w:rPr>
                <w:rFonts w:hint="eastAsia"/>
              </w:rPr>
              <w:t>乳化</w:t>
            </w:r>
          </w:p>
        </w:tc>
        <w:tc>
          <w:tcPr>
            <w:tcW w:w="1294" w:type="pct"/>
            <w:noWrap/>
            <w:vAlign w:val="center"/>
          </w:tcPr>
          <w:p w14:paraId="6A0D52EC">
            <w:pPr>
              <w:pStyle w:val="196"/>
            </w:pPr>
            <w:r>
              <w:rPr>
                <w:rFonts w:hint="eastAsia"/>
              </w:rPr>
              <w:t>1.2E-5</w:t>
            </w:r>
          </w:p>
        </w:tc>
      </w:tr>
      <w:tr w14:paraId="7FD4D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7065014E">
            <w:pPr>
              <w:pStyle w:val="196"/>
            </w:pPr>
            <w:r>
              <w:rPr>
                <w:rFonts w:hint="eastAsia"/>
              </w:rPr>
              <w:t>传质系数Ksi</w:t>
            </w:r>
          </w:p>
        </w:tc>
        <w:tc>
          <w:tcPr>
            <w:tcW w:w="1865" w:type="pct"/>
            <w:noWrap/>
            <w:vAlign w:val="center"/>
          </w:tcPr>
          <w:p w14:paraId="6DF013AE">
            <w:pPr>
              <w:pStyle w:val="196"/>
            </w:pPr>
            <w:r>
              <w:rPr>
                <w:rFonts w:hint="eastAsia"/>
              </w:rPr>
              <w:t>溶解</w:t>
            </w:r>
          </w:p>
        </w:tc>
        <w:tc>
          <w:tcPr>
            <w:tcW w:w="1294" w:type="pct"/>
            <w:noWrap/>
            <w:vAlign w:val="center"/>
          </w:tcPr>
          <w:p w14:paraId="2E2FEE47">
            <w:pPr>
              <w:pStyle w:val="196"/>
            </w:pPr>
            <w:r>
              <w:rPr>
                <w:rFonts w:hint="eastAsia"/>
              </w:rPr>
              <w:t>2.36E-6</w:t>
            </w:r>
          </w:p>
        </w:tc>
      </w:tr>
      <w:tr w14:paraId="2FA3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23EA49B0">
            <w:pPr>
              <w:pStyle w:val="196"/>
            </w:pPr>
            <w:r>
              <w:rPr>
                <w:rFonts w:hint="eastAsia"/>
              </w:rPr>
              <w:t>蒸发系数k</w:t>
            </w:r>
          </w:p>
        </w:tc>
        <w:tc>
          <w:tcPr>
            <w:tcW w:w="1865" w:type="pct"/>
            <w:noWrap/>
            <w:vAlign w:val="center"/>
          </w:tcPr>
          <w:p w14:paraId="6E1998B6">
            <w:pPr>
              <w:pStyle w:val="196"/>
            </w:pPr>
            <w:r>
              <w:rPr>
                <w:rFonts w:hint="eastAsia"/>
              </w:rPr>
              <w:t>蒸发</w:t>
            </w:r>
          </w:p>
        </w:tc>
        <w:tc>
          <w:tcPr>
            <w:tcW w:w="1294" w:type="pct"/>
            <w:noWrap/>
            <w:vAlign w:val="center"/>
          </w:tcPr>
          <w:p w14:paraId="67046BA9">
            <w:pPr>
              <w:pStyle w:val="196"/>
            </w:pPr>
            <w:r>
              <w:rPr>
                <w:rFonts w:hint="eastAsia"/>
              </w:rPr>
              <w:t>0.029</w:t>
            </w:r>
          </w:p>
        </w:tc>
      </w:tr>
      <w:tr w14:paraId="58CF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2055063A">
            <w:pPr>
              <w:pStyle w:val="196"/>
            </w:pPr>
            <w:r>
              <w:rPr>
                <w:rFonts w:hint="eastAsia"/>
              </w:rPr>
              <w:t>油辐射率loil</w:t>
            </w:r>
          </w:p>
        </w:tc>
        <w:tc>
          <w:tcPr>
            <w:tcW w:w="1865" w:type="pct"/>
            <w:noWrap/>
            <w:vAlign w:val="center"/>
          </w:tcPr>
          <w:p w14:paraId="78DC947E">
            <w:pPr>
              <w:pStyle w:val="196"/>
            </w:pPr>
            <w:r>
              <w:rPr>
                <w:rFonts w:hint="eastAsia"/>
              </w:rPr>
              <w:t>热量迁移</w:t>
            </w:r>
          </w:p>
        </w:tc>
        <w:tc>
          <w:tcPr>
            <w:tcW w:w="1294" w:type="pct"/>
            <w:noWrap/>
            <w:vAlign w:val="center"/>
          </w:tcPr>
          <w:p w14:paraId="4139932B">
            <w:pPr>
              <w:pStyle w:val="196"/>
            </w:pPr>
            <w:r>
              <w:rPr>
                <w:rFonts w:hint="eastAsia"/>
              </w:rPr>
              <w:t>0.82</w:t>
            </w:r>
          </w:p>
        </w:tc>
      </w:tr>
      <w:tr w14:paraId="6346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341D9D9C">
            <w:pPr>
              <w:pStyle w:val="196"/>
            </w:pPr>
            <w:r>
              <w:rPr>
                <w:rFonts w:hint="eastAsia"/>
              </w:rPr>
              <w:t>水辐射率lwater</w:t>
            </w:r>
          </w:p>
        </w:tc>
        <w:tc>
          <w:tcPr>
            <w:tcW w:w="1865" w:type="pct"/>
            <w:noWrap/>
            <w:vAlign w:val="center"/>
          </w:tcPr>
          <w:p w14:paraId="6F342696">
            <w:pPr>
              <w:pStyle w:val="196"/>
            </w:pPr>
            <w:r>
              <w:rPr>
                <w:rFonts w:hint="eastAsia"/>
              </w:rPr>
              <w:t>热量迁移</w:t>
            </w:r>
          </w:p>
        </w:tc>
        <w:tc>
          <w:tcPr>
            <w:tcW w:w="1294" w:type="pct"/>
            <w:noWrap/>
            <w:vAlign w:val="center"/>
          </w:tcPr>
          <w:p w14:paraId="3EB93C2F">
            <w:pPr>
              <w:pStyle w:val="196"/>
            </w:pPr>
            <w:r>
              <w:rPr>
                <w:rFonts w:hint="eastAsia"/>
              </w:rPr>
              <w:t>0.96</w:t>
            </w:r>
          </w:p>
        </w:tc>
      </w:tr>
      <w:tr w14:paraId="608D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26D8F6E5">
            <w:pPr>
              <w:pStyle w:val="196"/>
            </w:pPr>
            <w:r>
              <w:rPr>
                <w:rFonts w:hint="eastAsia"/>
              </w:rPr>
              <w:t>大气辐射率lair</w:t>
            </w:r>
          </w:p>
        </w:tc>
        <w:tc>
          <w:tcPr>
            <w:tcW w:w="1865" w:type="pct"/>
            <w:noWrap/>
            <w:vAlign w:val="center"/>
          </w:tcPr>
          <w:p w14:paraId="6C846536">
            <w:pPr>
              <w:pStyle w:val="196"/>
            </w:pPr>
            <w:r>
              <w:rPr>
                <w:rFonts w:hint="eastAsia"/>
              </w:rPr>
              <w:t>热量迁移</w:t>
            </w:r>
          </w:p>
        </w:tc>
        <w:tc>
          <w:tcPr>
            <w:tcW w:w="1294" w:type="pct"/>
            <w:noWrap/>
            <w:vAlign w:val="center"/>
          </w:tcPr>
          <w:p w14:paraId="2E2BC766">
            <w:pPr>
              <w:pStyle w:val="196"/>
            </w:pPr>
            <w:r>
              <w:rPr>
                <w:rFonts w:hint="eastAsia"/>
              </w:rPr>
              <w:t>0.82</w:t>
            </w:r>
          </w:p>
        </w:tc>
      </w:tr>
      <w:tr w14:paraId="3484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39" w:type="pct"/>
            <w:noWrap/>
            <w:vAlign w:val="center"/>
          </w:tcPr>
          <w:p w14:paraId="28EC67D6">
            <w:pPr>
              <w:pStyle w:val="196"/>
            </w:pPr>
            <w:r>
              <w:rPr>
                <w:rFonts w:hint="eastAsia"/>
              </w:rPr>
              <w:t>漫射系数（Albedo）a</w:t>
            </w:r>
          </w:p>
        </w:tc>
        <w:tc>
          <w:tcPr>
            <w:tcW w:w="1865" w:type="pct"/>
            <w:noWrap/>
            <w:vAlign w:val="center"/>
          </w:tcPr>
          <w:p w14:paraId="105843DA">
            <w:pPr>
              <w:pStyle w:val="196"/>
            </w:pPr>
            <w:r>
              <w:rPr>
                <w:rFonts w:hint="eastAsia"/>
              </w:rPr>
              <w:t>热量迁移</w:t>
            </w:r>
          </w:p>
        </w:tc>
        <w:tc>
          <w:tcPr>
            <w:tcW w:w="1294" w:type="pct"/>
            <w:noWrap/>
            <w:vAlign w:val="center"/>
          </w:tcPr>
          <w:p w14:paraId="252FC422">
            <w:pPr>
              <w:pStyle w:val="196"/>
            </w:pPr>
            <w:r>
              <w:rPr>
                <w:rFonts w:hint="eastAsia"/>
              </w:rPr>
              <w:t>0.10</w:t>
            </w:r>
          </w:p>
        </w:tc>
      </w:tr>
    </w:tbl>
    <w:p w14:paraId="4BD401D1">
      <w:pPr>
        <w:pStyle w:val="84"/>
      </w:pPr>
      <w:bookmarkStart w:id="299" w:name="_Hlk182167005"/>
      <w:r>
        <w:rPr>
          <w:rFonts w:hint="eastAsia"/>
        </w:rPr>
        <w:t>船舶溢油风险影响预测</w:t>
      </w:r>
    </w:p>
    <w:bookmarkEnd w:id="299"/>
    <w:p w14:paraId="1F569F19">
      <w:pPr>
        <w:ind w:firstLine="480"/>
      </w:pPr>
      <w:r>
        <w:rPr>
          <w:rFonts w:hint="eastAsia"/>
        </w:rPr>
        <w:t>1、施工期</w:t>
      </w:r>
    </w:p>
    <w:p w14:paraId="59223256">
      <w:pPr>
        <w:pStyle w:val="93"/>
      </w:pPr>
      <w:r>
        <w:rPr>
          <w:rFonts w:hint="eastAsia"/>
        </w:rPr>
        <w:t>（1）预测方案</w:t>
      </w:r>
    </w:p>
    <w:p w14:paraId="0FF1E62F">
      <w:pPr>
        <w:ind w:firstLine="480"/>
      </w:pPr>
      <w:r>
        <w:rPr>
          <w:rFonts w:hint="eastAsia"/>
        </w:rPr>
        <w:t>本项目船舶柴油泄漏事故按突发性瞬间点源考虑，事故发生后，对事故点上、下游均会造成一定的影响。按照单仓全部泄漏量5.1t计算。</w:t>
      </w:r>
    </w:p>
    <w:p w14:paraId="4E1863DA">
      <w:pPr>
        <w:pStyle w:val="86"/>
      </w:pPr>
      <w:r>
        <w:rPr>
          <w:rFonts w:hint="eastAsia"/>
        </w:rPr>
        <w:t>模型计算工况设定</w:t>
      </w:r>
    </w:p>
    <w:tbl>
      <w:tblPr>
        <w:tblStyle w:val="3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1157"/>
        <w:gridCol w:w="1357"/>
        <w:gridCol w:w="1355"/>
        <w:gridCol w:w="1351"/>
        <w:gridCol w:w="1352"/>
      </w:tblGrid>
      <w:tr w14:paraId="5065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41" w:type="pct"/>
            <w:vAlign w:val="center"/>
          </w:tcPr>
          <w:p w14:paraId="18BB86AD">
            <w:pPr>
              <w:pStyle w:val="196"/>
            </w:pPr>
            <w:r>
              <w:rPr>
                <w:rFonts w:hint="eastAsia"/>
              </w:rPr>
              <w:t>事故风险类别</w:t>
            </w:r>
          </w:p>
        </w:tc>
        <w:tc>
          <w:tcPr>
            <w:tcW w:w="679" w:type="pct"/>
            <w:vAlign w:val="center"/>
          </w:tcPr>
          <w:p w14:paraId="6D2A6493">
            <w:pPr>
              <w:pStyle w:val="196"/>
            </w:pPr>
            <w:r>
              <w:rPr>
                <w:rFonts w:hint="eastAsia"/>
              </w:rPr>
              <w:t>物质</w:t>
            </w:r>
          </w:p>
        </w:tc>
        <w:tc>
          <w:tcPr>
            <w:tcW w:w="796" w:type="pct"/>
            <w:vAlign w:val="center"/>
          </w:tcPr>
          <w:p w14:paraId="0E61516B">
            <w:pPr>
              <w:pStyle w:val="196"/>
            </w:pPr>
            <w:r>
              <w:rPr>
                <w:rFonts w:hint="eastAsia"/>
              </w:rPr>
              <w:t>释放速率（kg/s）</w:t>
            </w:r>
          </w:p>
        </w:tc>
        <w:tc>
          <w:tcPr>
            <w:tcW w:w="795" w:type="pct"/>
            <w:vAlign w:val="center"/>
          </w:tcPr>
          <w:p w14:paraId="467D2CA5">
            <w:pPr>
              <w:pStyle w:val="196"/>
            </w:pPr>
            <w:r>
              <w:rPr>
                <w:rFonts w:hint="eastAsia"/>
              </w:rPr>
              <w:t>污染船型</w:t>
            </w:r>
          </w:p>
        </w:tc>
        <w:tc>
          <w:tcPr>
            <w:tcW w:w="793" w:type="pct"/>
            <w:vAlign w:val="center"/>
          </w:tcPr>
          <w:p w14:paraId="4B268750">
            <w:pPr>
              <w:pStyle w:val="196"/>
            </w:pPr>
            <w:r>
              <w:rPr>
                <w:rFonts w:hint="eastAsia"/>
              </w:rPr>
              <w:t>排放时间（min）</w:t>
            </w:r>
          </w:p>
        </w:tc>
        <w:tc>
          <w:tcPr>
            <w:tcW w:w="793" w:type="pct"/>
            <w:vAlign w:val="center"/>
          </w:tcPr>
          <w:p w14:paraId="2021EBF2">
            <w:pPr>
              <w:pStyle w:val="196"/>
            </w:pPr>
            <w:r>
              <w:rPr>
                <w:rFonts w:hint="eastAsia"/>
              </w:rPr>
              <w:t>排放量（t）</w:t>
            </w:r>
          </w:p>
        </w:tc>
      </w:tr>
      <w:tr w14:paraId="7CE4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1" w:type="pct"/>
            <w:vAlign w:val="center"/>
          </w:tcPr>
          <w:p w14:paraId="5B6AE398">
            <w:pPr>
              <w:pStyle w:val="196"/>
            </w:pPr>
            <w:r>
              <w:rPr>
                <w:rFonts w:hint="eastAsia"/>
              </w:rPr>
              <w:t>码头船舶溢油事故</w:t>
            </w:r>
          </w:p>
        </w:tc>
        <w:tc>
          <w:tcPr>
            <w:tcW w:w="679" w:type="pct"/>
            <w:vAlign w:val="center"/>
          </w:tcPr>
          <w:p w14:paraId="2EAA1849">
            <w:pPr>
              <w:pStyle w:val="196"/>
            </w:pPr>
            <w:r>
              <w:rPr>
                <w:rFonts w:hint="eastAsia"/>
              </w:rPr>
              <w:t>柴油</w:t>
            </w:r>
          </w:p>
        </w:tc>
        <w:tc>
          <w:tcPr>
            <w:tcW w:w="796" w:type="pct"/>
            <w:vAlign w:val="center"/>
          </w:tcPr>
          <w:p w14:paraId="4E7268BC">
            <w:pPr>
              <w:pStyle w:val="196"/>
            </w:pPr>
            <w:r>
              <w:rPr>
                <w:rFonts w:hint="eastAsia"/>
              </w:rPr>
              <w:t>8.33</w:t>
            </w:r>
          </w:p>
        </w:tc>
        <w:tc>
          <w:tcPr>
            <w:tcW w:w="795" w:type="pct"/>
            <w:vAlign w:val="center"/>
          </w:tcPr>
          <w:p w14:paraId="1628C153">
            <w:pPr>
              <w:pStyle w:val="196"/>
            </w:pPr>
            <w:r>
              <w:rPr>
                <w:rFonts w:hint="eastAsia"/>
              </w:rPr>
              <w:t>500吨</w:t>
            </w:r>
          </w:p>
        </w:tc>
        <w:tc>
          <w:tcPr>
            <w:tcW w:w="793" w:type="pct"/>
            <w:vAlign w:val="center"/>
          </w:tcPr>
          <w:p w14:paraId="348D5C81">
            <w:pPr>
              <w:pStyle w:val="196"/>
            </w:pPr>
            <w:r>
              <w:rPr>
                <w:rFonts w:hint="eastAsia"/>
              </w:rPr>
              <w:t>10</w:t>
            </w:r>
          </w:p>
        </w:tc>
        <w:tc>
          <w:tcPr>
            <w:tcW w:w="793" w:type="pct"/>
            <w:vAlign w:val="center"/>
          </w:tcPr>
          <w:p w14:paraId="2E22820D">
            <w:pPr>
              <w:pStyle w:val="196"/>
            </w:pPr>
            <w:r>
              <w:rPr>
                <w:rFonts w:hint="eastAsia"/>
              </w:rPr>
              <w:t>5.1</w:t>
            </w:r>
          </w:p>
        </w:tc>
      </w:tr>
    </w:tbl>
    <w:p w14:paraId="5304D22C">
      <w:pPr>
        <w:ind w:firstLine="480"/>
      </w:pPr>
      <w:r>
        <w:rPr>
          <w:rFonts w:hint="eastAsia"/>
        </w:rPr>
        <w:t>（2）预测结果</w:t>
      </w:r>
    </w:p>
    <w:p w14:paraId="7AFFCE67">
      <w:pPr>
        <w:ind w:firstLine="480"/>
      </w:pPr>
      <w:r>
        <w:rPr>
          <w:rFonts w:hint="eastAsia" w:ascii="宋体" w:hAnsi="宋体" w:eastAsia="宋体" w:cs="宋体"/>
        </w:rPr>
        <w:t>①</w:t>
      </w:r>
      <w:r>
        <w:rPr>
          <w:rFonts w:hint="eastAsia"/>
        </w:rPr>
        <w:t>对取水口影响</w:t>
      </w:r>
    </w:p>
    <w:p w14:paraId="429E3F40">
      <w:pPr>
        <w:pStyle w:val="93"/>
      </w:pPr>
      <w:r>
        <w:rPr>
          <w:rFonts w:hint="eastAsia"/>
        </w:rPr>
        <w:t>施工期</w:t>
      </w:r>
      <w:r>
        <w:t>船舶溢油事故发生后，</w:t>
      </w:r>
      <w:r>
        <w:rPr>
          <w:rFonts w:hint="eastAsia"/>
        </w:rPr>
        <w:t>1.22h</w:t>
      </w:r>
      <w:r>
        <w:t>后将到</w:t>
      </w:r>
      <w:r>
        <w:rPr>
          <w:rFonts w:hint="eastAsia"/>
        </w:rPr>
        <w:t>取水口</w:t>
      </w:r>
      <w:r>
        <w:t>，此时</w:t>
      </w:r>
      <w:r>
        <w:rPr>
          <w:rFonts w:hint="eastAsia"/>
        </w:rPr>
        <w:t>取水口</w:t>
      </w:r>
      <w:r>
        <w:t>油膜厚度</w:t>
      </w:r>
      <w:r>
        <w:rPr>
          <w:rFonts w:hint="eastAsia"/>
        </w:rPr>
        <w:t>约0.56</w:t>
      </w:r>
      <w:r>
        <w:t>mm</w:t>
      </w:r>
      <w:r>
        <w:rPr>
          <w:rFonts w:hint="eastAsia"/>
        </w:rPr>
        <w:t>，1.27h后对取水口影响最大，此时取水口油膜厚度为0.58mm，1.37h后将离开取水口，此时取水口油膜厚度为0.55mm。见图5.</w:t>
      </w:r>
      <w:r>
        <w:t>3</w:t>
      </w:r>
      <w:r>
        <w:rPr>
          <w:rFonts w:hint="eastAsia"/>
        </w:rPr>
        <w:t>-2</w:t>
      </w:r>
      <w:r>
        <w:t>。</w:t>
      </w:r>
    </w:p>
    <w:p w14:paraId="64CC8A72">
      <w:pPr>
        <w:ind w:firstLine="480"/>
      </w:pPr>
      <w:r>
        <w:rPr>
          <w:rFonts w:hint="eastAsia" w:ascii="宋体" w:hAnsi="宋体" w:eastAsia="宋体" w:cs="宋体"/>
        </w:rPr>
        <w:t>②</w:t>
      </w:r>
      <w:r>
        <w:rPr>
          <w:rFonts w:hint="eastAsia"/>
        </w:rPr>
        <w:t>对袁闸断面影响</w:t>
      </w:r>
    </w:p>
    <w:p w14:paraId="15E835E5">
      <w:pPr>
        <w:pStyle w:val="93"/>
      </w:pPr>
      <w:r>
        <w:rPr>
          <w:rFonts w:hint="eastAsia"/>
        </w:rPr>
        <w:t>施工期</w:t>
      </w:r>
      <w:r>
        <w:t>船舶溢油事故发生后，</w:t>
      </w:r>
      <w:r>
        <w:rPr>
          <w:rFonts w:hint="eastAsia"/>
        </w:rPr>
        <w:t>21.15h</w:t>
      </w:r>
      <w:r>
        <w:t>后将到达袁闸</w:t>
      </w:r>
      <w:r>
        <w:rPr>
          <w:rFonts w:hint="eastAsia"/>
        </w:rPr>
        <w:t>断面</w:t>
      </w:r>
      <w:r>
        <w:t>，此时袁闸</w:t>
      </w:r>
      <w:r>
        <w:rPr>
          <w:rFonts w:hint="eastAsia"/>
        </w:rPr>
        <w:t>断面</w:t>
      </w:r>
      <w:r>
        <w:t>油膜厚度</w:t>
      </w:r>
      <w:r>
        <w:rPr>
          <w:rFonts w:hint="eastAsia"/>
        </w:rPr>
        <w:t>约0.135</w:t>
      </w:r>
      <w:r>
        <w:t>mm</w:t>
      </w:r>
      <w:r>
        <w:rPr>
          <w:rFonts w:hint="eastAsia"/>
        </w:rPr>
        <w:t>，21.18h后对</w:t>
      </w:r>
      <w:r>
        <w:t>袁闸</w:t>
      </w:r>
      <w:r>
        <w:rPr>
          <w:rFonts w:hint="eastAsia"/>
        </w:rPr>
        <w:t>断面影响最大，此时</w:t>
      </w:r>
      <w:r>
        <w:t>袁闸</w:t>
      </w:r>
      <w:r>
        <w:rPr>
          <w:rFonts w:hint="eastAsia"/>
        </w:rPr>
        <w:t>断面油膜厚度为0.136mm，21.3h后将离开</w:t>
      </w:r>
      <w:r>
        <w:t>袁闸</w:t>
      </w:r>
      <w:r>
        <w:rPr>
          <w:rFonts w:hint="eastAsia"/>
        </w:rPr>
        <w:t>断面，此时</w:t>
      </w:r>
      <w:r>
        <w:t>袁闸</w:t>
      </w:r>
      <w:r>
        <w:rPr>
          <w:rFonts w:hint="eastAsia"/>
        </w:rPr>
        <w:t>断面油膜厚度为0.135mm。见图5.</w:t>
      </w:r>
      <w:r>
        <w:t>3</w:t>
      </w:r>
      <w:r>
        <w:rPr>
          <w:rFonts w:hint="eastAsia"/>
        </w:rPr>
        <w:t>-3</w:t>
      </w:r>
      <w:r>
        <w:t>。</w:t>
      </w:r>
    </w:p>
    <w:p w14:paraId="2B61C136">
      <w:pPr>
        <w:pStyle w:val="93"/>
      </w:pPr>
      <w:r>
        <w:rPr>
          <w:rFonts w:hint="eastAsia"/>
        </w:rPr>
        <w:t>2、运营期</w:t>
      </w:r>
    </w:p>
    <w:p w14:paraId="603DEED6">
      <w:pPr>
        <w:ind w:firstLine="480"/>
      </w:pPr>
      <w:r>
        <w:rPr>
          <w:rFonts w:hint="eastAsia"/>
        </w:rPr>
        <w:t>（1）预测方案</w:t>
      </w:r>
    </w:p>
    <w:p w14:paraId="430066C0">
      <w:pPr>
        <w:ind w:firstLine="480"/>
      </w:pPr>
      <w:r>
        <w:rPr>
          <w:rFonts w:hint="eastAsia"/>
        </w:rPr>
        <w:t>本项目船舶柴油泄漏事故按突发性瞬间点源考虑，事故发生后，对事故点上、下游均会造成一定的影响。结合工程实际情况，考虑船舶发生碰撞导致漏油现象，船方会立即启动应急程序，对柴油进行位图、蘸、吸，并通过海事、航道等部门应急救援。本次预测考虑发生事故后采取和未采取措施，设置两种预测工况，确定船舶溢油预测方案见表5.</w:t>
      </w:r>
      <w:r>
        <w:t>3</w:t>
      </w:r>
      <w:r>
        <w:rPr>
          <w:rFonts w:hint="eastAsia"/>
        </w:rPr>
        <w:t>-</w:t>
      </w:r>
      <w:r>
        <w:t>11</w:t>
      </w:r>
      <w:r>
        <w:rPr>
          <w:rFonts w:hint="eastAsia"/>
        </w:rPr>
        <w:t>。</w:t>
      </w:r>
    </w:p>
    <w:p w14:paraId="0172B9E2">
      <w:pPr>
        <w:pStyle w:val="86"/>
      </w:pPr>
      <w:r>
        <w:rPr>
          <w:rFonts w:hint="eastAsia"/>
        </w:rPr>
        <w:t>模型计算工况设定</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568"/>
        <w:gridCol w:w="1219"/>
        <w:gridCol w:w="1219"/>
        <w:gridCol w:w="1217"/>
        <w:gridCol w:w="1215"/>
        <w:gridCol w:w="1215"/>
      </w:tblGrid>
      <w:tr w14:paraId="3DA4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10" w:type="pct"/>
            <w:vAlign w:val="center"/>
          </w:tcPr>
          <w:p w14:paraId="2951B652">
            <w:pPr>
              <w:pStyle w:val="196"/>
            </w:pPr>
            <w:r>
              <w:rPr>
                <w:rFonts w:hint="eastAsia"/>
              </w:rPr>
              <w:t>方案</w:t>
            </w:r>
          </w:p>
        </w:tc>
        <w:tc>
          <w:tcPr>
            <w:tcW w:w="920" w:type="pct"/>
            <w:vAlign w:val="center"/>
          </w:tcPr>
          <w:p w14:paraId="3ECC2981">
            <w:pPr>
              <w:pStyle w:val="196"/>
            </w:pPr>
            <w:r>
              <w:rPr>
                <w:rFonts w:hint="eastAsia"/>
              </w:rPr>
              <w:t>事故风险类别</w:t>
            </w:r>
          </w:p>
        </w:tc>
        <w:tc>
          <w:tcPr>
            <w:tcW w:w="715" w:type="pct"/>
            <w:vAlign w:val="center"/>
          </w:tcPr>
          <w:p w14:paraId="3961044E">
            <w:pPr>
              <w:pStyle w:val="196"/>
            </w:pPr>
            <w:r>
              <w:rPr>
                <w:rFonts w:hint="eastAsia"/>
              </w:rPr>
              <w:t>物质</w:t>
            </w:r>
          </w:p>
        </w:tc>
        <w:tc>
          <w:tcPr>
            <w:tcW w:w="715" w:type="pct"/>
            <w:vAlign w:val="center"/>
          </w:tcPr>
          <w:p w14:paraId="59EEFC9A">
            <w:pPr>
              <w:pStyle w:val="196"/>
            </w:pPr>
            <w:r>
              <w:rPr>
                <w:rFonts w:hint="eastAsia"/>
              </w:rPr>
              <w:t>释放速率（kg/s）</w:t>
            </w:r>
          </w:p>
        </w:tc>
        <w:tc>
          <w:tcPr>
            <w:tcW w:w="714" w:type="pct"/>
            <w:vAlign w:val="center"/>
          </w:tcPr>
          <w:p w14:paraId="405D78BC">
            <w:pPr>
              <w:pStyle w:val="196"/>
            </w:pPr>
            <w:r>
              <w:rPr>
                <w:rFonts w:hint="eastAsia"/>
              </w:rPr>
              <w:t>污染船型</w:t>
            </w:r>
          </w:p>
        </w:tc>
        <w:tc>
          <w:tcPr>
            <w:tcW w:w="713" w:type="pct"/>
            <w:vAlign w:val="center"/>
          </w:tcPr>
          <w:p w14:paraId="5CEDA780">
            <w:pPr>
              <w:pStyle w:val="196"/>
            </w:pPr>
            <w:r>
              <w:rPr>
                <w:rFonts w:hint="eastAsia"/>
              </w:rPr>
              <w:t>排放时间（min）</w:t>
            </w:r>
          </w:p>
        </w:tc>
        <w:tc>
          <w:tcPr>
            <w:tcW w:w="713" w:type="pct"/>
            <w:vAlign w:val="center"/>
          </w:tcPr>
          <w:p w14:paraId="243FC639">
            <w:pPr>
              <w:pStyle w:val="196"/>
            </w:pPr>
            <w:r>
              <w:rPr>
                <w:rFonts w:hint="eastAsia"/>
              </w:rPr>
              <w:t>排放量（t）</w:t>
            </w:r>
          </w:p>
        </w:tc>
      </w:tr>
      <w:tr w14:paraId="783C8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6178D3A1">
            <w:pPr>
              <w:pStyle w:val="196"/>
            </w:pPr>
            <w:r>
              <w:rPr>
                <w:rFonts w:hint="eastAsia"/>
              </w:rPr>
              <w:t>方案一</w:t>
            </w:r>
          </w:p>
        </w:tc>
        <w:tc>
          <w:tcPr>
            <w:tcW w:w="920" w:type="pct"/>
            <w:vAlign w:val="center"/>
          </w:tcPr>
          <w:p w14:paraId="735BA765">
            <w:pPr>
              <w:pStyle w:val="196"/>
            </w:pPr>
            <w:r>
              <w:rPr>
                <w:rFonts w:hint="eastAsia"/>
              </w:rPr>
              <w:t>码头船舶溢油事故（未采取措施）</w:t>
            </w:r>
          </w:p>
        </w:tc>
        <w:tc>
          <w:tcPr>
            <w:tcW w:w="715" w:type="pct"/>
            <w:vAlign w:val="center"/>
          </w:tcPr>
          <w:p w14:paraId="1E31BAB7">
            <w:pPr>
              <w:pStyle w:val="196"/>
            </w:pPr>
            <w:r>
              <w:rPr>
                <w:rFonts w:hint="eastAsia"/>
              </w:rPr>
              <w:t>柴油</w:t>
            </w:r>
          </w:p>
        </w:tc>
        <w:tc>
          <w:tcPr>
            <w:tcW w:w="715" w:type="pct"/>
            <w:vAlign w:val="center"/>
          </w:tcPr>
          <w:p w14:paraId="74D4BD0B">
            <w:pPr>
              <w:pStyle w:val="196"/>
            </w:pPr>
            <w:r>
              <w:rPr>
                <w:rFonts w:hint="eastAsia"/>
              </w:rPr>
              <w:t>51</w:t>
            </w:r>
          </w:p>
        </w:tc>
        <w:tc>
          <w:tcPr>
            <w:tcW w:w="714" w:type="pct"/>
            <w:vAlign w:val="center"/>
          </w:tcPr>
          <w:p w14:paraId="2065428A">
            <w:pPr>
              <w:pStyle w:val="196"/>
            </w:pPr>
            <w:r>
              <w:rPr>
                <w:rFonts w:hint="eastAsia"/>
              </w:rPr>
              <w:t>1000t级船</w:t>
            </w:r>
          </w:p>
        </w:tc>
        <w:tc>
          <w:tcPr>
            <w:tcW w:w="713" w:type="pct"/>
            <w:vAlign w:val="center"/>
          </w:tcPr>
          <w:p w14:paraId="67B65F34">
            <w:pPr>
              <w:pStyle w:val="196"/>
            </w:pPr>
            <w:r>
              <w:rPr>
                <w:rFonts w:hint="eastAsia"/>
              </w:rPr>
              <w:t>10</w:t>
            </w:r>
          </w:p>
        </w:tc>
        <w:tc>
          <w:tcPr>
            <w:tcW w:w="713" w:type="pct"/>
            <w:vAlign w:val="center"/>
          </w:tcPr>
          <w:p w14:paraId="5A6F3B23">
            <w:pPr>
              <w:pStyle w:val="196"/>
            </w:pPr>
            <w:r>
              <w:rPr>
                <w:rFonts w:hint="eastAsia"/>
              </w:rPr>
              <w:t>30.6</w:t>
            </w:r>
          </w:p>
        </w:tc>
      </w:tr>
      <w:tr w14:paraId="41A7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Align w:val="center"/>
          </w:tcPr>
          <w:p w14:paraId="4431EF61">
            <w:pPr>
              <w:pStyle w:val="196"/>
            </w:pPr>
            <w:r>
              <w:rPr>
                <w:rFonts w:hint="eastAsia"/>
              </w:rPr>
              <w:t>方案二</w:t>
            </w:r>
          </w:p>
        </w:tc>
        <w:tc>
          <w:tcPr>
            <w:tcW w:w="920" w:type="pct"/>
            <w:vAlign w:val="center"/>
          </w:tcPr>
          <w:p w14:paraId="4AB93EC5">
            <w:pPr>
              <w:pStyle w:val="196"/>
            </w:pPr>
            <w:r>
              <w:rPr>
                <w:rFonts w:hint="eastAsia"/>
              </w:rPr>
              <w:t>码头船舶溢油事故（采取措施）</w:t>
            </w:r>
          </w:p>
        </w:tc>
        <w:tc>
          <w:tcPr>
            <w:tcW w:w="715" w:type="pct"/>
            <w:vAlign w:val="center"/>
          </w:tcPr>
          <w:p w14:paraId="3FA9DFF0">
            <w:pPr>
              <w:pStyle w:val="196"/>
            </w:pPr>
            <w:r>
              <w:rPr>
                <w:rFonts w:hint="eastAsia"/>
              </w:rPr>
              <w:t>柴油</w:t>
            </w:r>
          </w:p>
        </w:tc>
        <w:tc>
          <w:tcPr>
            <w:tcW w:w="715" w:type="pct"/>
            <w:vAlign w:val="center"/>
          </w:tcPr>
          <w:p w14:paraId="7300C1E4">
            <w:pPr>
              <w:pStyle w:val="196"/>
            </w:pPr>
            <w:r>
              <w:rPr>
                <w:rFonts w:hint="eastAsia"/>
              </w:rPr>
              <w:t>5.1</w:t>
            </w:r>
          </w:p>
        </w:tc>
        <w:tc>
          <w:tcPr>
            <w:tcW w:w="714" w:type="pct"/>
            <w:vAlign w:val="center"/>
          </w:tcPr>
          <w:p w14:paraId="7F1B4182">
            <w:pPr>
              <w:pStyle w:val="196"/>
            </w:pPr>
            <w:r>
              <w:rPr>
                <w:rFonts w:hint="eastAsia"/>
              </w:rPr>
              <w:t>1000t级船</w:t>
            </w:r>
          </w:p>
        </w:tc>
        <w:tc>
          <w:tcPr>
            <w:tcW w:w="713" w:type="pct"/>
            <w:vAlign w:val="center"/>
          </w:tcPr>
          <w:p w14:paraId="53AD17D4">
            <w:pPr>
              <w:pStyle w:val="196"/>
            </w:pPr>
            <w:r>
              <w:rPr>
                <w:rFonts w:hint="eastAsia"/>
              </w:rPr>
              <w:t>10</w:t>
            </w:r>
          </w:p>
        </w:tc>
        <w:tc>
          <w:tcPr>
            <w:tcW w:w="713" w:type="pct"/>
            <w:vAlign w:val="center"/>
          </w:tcPr>
          <w:p w14:paraId="327806BE">
            <w:pPr>
              <w:pStyle w:val="196"/>
            </w:pPr>
            <w:r>
              <w:rPr>
                <w:rFonts w:hint="eastAsia"/>
              </w:rPr>
              <w:t>3.06</w:t>
            </w:r>
          </w:p>
        </w:tc>
      </w:tr>
    </w:tbl>
    <w:p w14:paraId="52328E04">
      <w:pPr>
        <w:pStyle w:val="93"/>
      </w:pPr>
      <w:r>
        <w:rPr>
          <w:rFonts w:hint="eastAsia"/>
        </w:rPr>
        <w:t>（2）预测结果</w:t>
      </w:r>
    </w:p>
    <w:p w14:paraId="787F17C0">
      <w:pPr>
        <w:ind w:firstLine="480"/>
      </w:pPr>
      <w:r>
        <w:rPr>
          <w:rFonts w:hint="eastAsia"/>
        </w:rPr>
        <w:t>1）方案一风险影响预测分析</w:t>
      </w:r>
    </w:p>
    <w:p w14:paraId="3EBF1AF5">
      <w:pPr>
        <w:ind w:firstLine="480"/>
      </w:pPr>
      <w:r>
        <w:rPr>
          <w:rFonts w:hint="eastAsia"/>
        </w:rPr>
        <w:t>①对取水口影响</w:t>
      </w:r>
    </w:p>
    <w:p w14:paraId="447A0CBC">
      <w:pPr>
        <w:pStyle w:val="93"/>
      </w:pPr>
      <w:r>
        <w:t>船舶溢油事故发生后，在未采取措施的情况下，</w:t>
      </w:r>
      <w:r>
        <w:rPr>
          <w:rFonts w:hint="eastAsia"/>
        </w:rPr>
        <w:t>1.22h</w:t>
      </w:r>
      <w:r>
        <w:t>后将到</w:t>
      </w:r>
      <w:r>
        <w:rPr>
          <w:rFonts w:hint="eastAsia"/>
        </w:rPr>
        <w:t>取水口</w:t>
      </w:r>
      <w:r>
        <w:t>，此时</w:t>
      </w:r>
      <w:r>
        <w:rPr>
          <w:rFonts w:hint="eastAsia"/>
        </w:rPr>
        <w:t>取水口</w:t>
      </w:r>
      <w:r>
        <w:t>油膜厚度</w:t>
      </w:r>
      <w:r>
        <w:rPr>
          <w:rFonts w:hint="eastAsia"/>
        </w:rPr>
        <w:t>约1.23</w:t>
      </w:r>
      <w:r>
        <w:t>mm</w:t>
      </w:r>
      <w:r>
        <w:rPr>
          <w:rFonts w:hint="eastAsia"/>
        </w:rPr>
        <w:t>，1.27h后对取水口影响最大，此时取水口油膜厚度为1.28mm，1.37h后将离开取水口，此时取水口油膜厚度为1.23mm。见图5.</w:t>
      </w:r>
      <w:r>
        <w:t>3</w:t>
      </w:r>
      <w:r>
        <w:rPr>
          <w:rFonts w:hint="eastAsia"/>
        </w:rPr>
        <w:t>-4</w:t>
      </w:r>
      <w:r>
        <w:t>。</w:t>
      </w:r>
    </w:p>
    <w:p w14:paraId="0EF4FEEE">
      <w:pPr>
        <w:ind w:firstLine="480"/>
      </w:pPr>
      <w:r>
        <w:rPr>
          <w:rFonts w:hint="eastAsia"/>
        </w:rPr>
        <w:t>②对袁闸断面影响</w:t>
      </w:r>
    </w:p>
    <w:p w14:paraId="67E4A86E">
      <w:pPr>
        <w:pStyle w:val="93"/>
      </w:pPr>
      <w:r>
        <w:t>船舶溢油事故发生后，在未采取措施的情况下，</w:t>
      </w:r>
      <w:r>
        <w:rPr>
          <w:rFonts w:hint="eastAsia"/>
        </w:rPr>
        <w:t>21.15h</w:t>
      </w:r>
      <w:r>
        <w:t>后将到达袁闸</w:t>
      </w:r>
      <w:r>
        <w:rPr>
          <w:rFonts w:hint="eastAsia"/>
        </w:rPr>
        <w:t>断面</w:t>
      </w:r>
      <w:r>
        <w:t>，此时袁闸</w:t>
      </w:r>
      <w:r>
        <w:rPr>
          <w:rFonts w:hint="eastAsia"/>
        </w:rPr>
        <w:t>断面</w:t>
      </w:r>
      <w:r>
        <w:t>油膜厚度</w:t>
      </w:r>
      <w:r>
        <w:rPr>
          <w:rFonts w:hint="eastAsia"/>
        </w:rPr>
        <w:t>约0.296</w:t>
      </w:r>
      <w:r>
        <w:t>mm</w:t>
      </w:r>
      <w:r>
        <w:rPr>
          <w:rFonts w:hint="eastAsia"/>
        </w:rPr>
        <w:t>，21.18hh后对</w:t>
      </w:r>
      <w:r>
        <w:t>袁闸</w:t>
      </w:r>
      <w:r>
        <w:rPr>
          <w:rFonts w:hint="eastAsia"/>
        </w:rPr>
        <w:t>断面影响最大，此时</w:t>
      </w:r>
      <w:r>
        <w:t>袁闸</w:t>
      </w:r>
      <w:r>
        <w:rPr>
          <w:rFonts w:hint="eastAsia"/>
        </w:rPr>
        <w:t>断面油膜厚度为0.297mm，21.3h后将离开</w:t>
      </w:r>
      <w:r>
        <w:t>袁闸</w:t>
      </w:r>
      <w:r>
        <w:rPr>
          <w:rFonts w:hint="eastAsia"/>
        </w:rPr>
        <w:t>断面，此时</w:t>
      </w:r>
      <w:r>
        <w:t>袁闸</w:t>
      </w:r>
      <w:r>
        <w:rPr>
          <w:rFonts w:hint="eastAsia"/>
        </w:rPr>
        <w:t>断面油膜厚度为0.296mm。见图5.</w:t>
      </w:r>
      <w:r>
        <w:t>3</w:t>
      </w:r>
      <w:r>
        <w:rPr>
          <w:rFonts w:hint="eastAsia"/>
        </w:rPr>
        <w:t>-5</w:t>
      </w:r>
      <w:r>
        <w:t>。</w:t>
      </w:r>
    </w:p>
    <w:p w14:paraId="44C1D7DA">
      <w:pPr>
        <w:ind w:firstLine="480"/>
      </w:pPr>
      <w:r>
        <w:rPr>
          <w:rFonts w:hint="eastAsia"/>
        </w:rPr>
        <w:t>2）方案二风险影响预测分析</w:t>
      </w:r>
    </w:p>
    <w:p w14:paraId="5B82A8E0">
      <w:pPr>
        <w:ind w:firstLine="480"/>
      </w:pPr>
      <w:r>
        <w:rPr>
          <w:rFonts w:hint="eastAsia"/>
        </w:rPr>
        <w:t>①对取水口影响</w:t>
      </w:r>
    </w:p>
    <w:p w14:paraId="3E957BAE">
      <w:pPr>
        <w:pStyle w:val="93"/>
      </w:pPr>
      <w:r>
        <w:t>船舶溢油事故发生后，在采取措施的情况下，</w:t>
      </w:r>
      <w:r>
        <w:rPr>
          <w:rFonts w:hint="eastAsia"/>
        </w:rPr>
        <w:t>1.22h</w:t>
      </w:r>
      <w:r>
        <w:t>后将到</w:t>
      </w:r>
      <w:r>
        <w:rPr>
          <w:rFonts w:hint="eastAsia"/>
        </w:rPr>
        <w:t>取水口</w:t>
      </w:r>
      <w:r>
        <w:t>，此时</w:t>
      </w:r>
      <w:r>
        <w:rPr>
          <w:rFonts w:hint="eastAsia"/>
        </w:rPr>
        <w:t>取水口</w:t>
      </w:r>
      <w:r>
        <w:t>油膜厚度</w:t>
      </w:r>
      <w:r>
        <w:rPr>
          <w:rFonts w:hint="eastAsia"/>
        </w:rPr>
        <w:t>约0.57</w:t>
      </w:r>
      <w:r>
        <w:t>mm</w:t>
      </w:r>
      <w:r>
        <w:rPr>
          <w:rFonts w:hint="eastAsia"/>
        </w:rPr>
        <w:t>，1.27h后对取水口影响最大，此时取水口油膜厚度为0.58mm，1.37h后将离开取水口，此时取水口油膜厚度为0.57mm。见图5.</w:t>
      </w:r>
      <w:r>
        <w:t>3</w:t>
      </w:r>
      <w:r>
        <w:rPr>
          <w:rFonts w:hint="eastAsia"/>
        </w:rPr>
        <w:t>-6</w:t>
      </w:r>
      <w:r>
        <w:t>。</w:t>
      </w:r>
    </w:p>
    <w:p w14:paraId="17DF8723">
      <w:pPr>
        <w:ind w:firstLine="480"/>
      </w:pPr>
      <w:r>
        <w:rPr>
          <w:rFonts w:hint="eastAsia"/>
        </w:rPr>
        <w:t>②对袁闸断面影响</w:t>
      </w:r>
    </w:p>
    <w:p w14:paraId="18609619">
      <w:pPr>
        <w:pStyle w:val="93"/>
      </w:pPr>
      <w:r>
        <w:t>船舶溢油事故发生后，在采取措施的情况下，</w:t>
      </w:r>
      <w:r>
        <w:rPr>
          <w:rFonts w:hint="eastAsia"/>
        </w:rPr>
        <w:t>21.15h</w:t>
      </w:r>
      <w:r>
        <w:t>后将到达袁闸</w:t>
      </w:r>
      <w:r>
        <w:rPr>
          <w:rFonts w:hint="eastAsia"/>
        </w:rPr>
        <w:t>断面</w:t>
      </w:r>
      <w:r>
        <w:t>，此时袁闸</w:t>
      </w:r>
      <w:r>
        <w:rPr>
          <w:rFonts w:hint="eastAsia"/>
        </w:rPr>
        <w:t>断面</w:t>
      </w:r>
      <w:r>
        <w:t>油膜厚度</w:t>
      </w:r>
      <w:r>
        <w:rPr>
          <w:rFonts w:hint="eastAsia"/>
        </w:rPr>
        <w:t>约0.137</w:t>
      </w:r>
      <w:r>
        <w:t>mm</w:t>
      </w:r>
      <w:r>
        <w:rPr>
          <w:rFonts w:hint="eastAsia"/>
        </w:rPr>
        <w:t>，21.18hh后对</w:t>
      </w:r>
      <w:r>
        <w:t>袁闸</w:t>
      </w:r>
      <w:r>
        <w:rPr>
          <w:rFonts w:hint="eastAsia"/>
        </w:rPr>
        <w:t>断面影响最大，此时</w:t>
      </w:r>
      <w:r>
        <w:t>袁闸</w:t>
      </w:r>
      <w:r>
        <w:rPr>
          <w:rFonts w:hint="eastAsia"/>
        </w:rPr>
        <w:t>断面油膜厚度为0.138mm，21.3h后将离开</w:t>
      </w:r>
      <w:r>
        <w:t>袁闸</w:t>
      </w:r>
      <w:r>
        <w:rPr>
          <w:rFonts w:hint="eastAsia"/>
        </w:rPr>
        <w:t>断面，此时</w:t>
      </w:r>
      <w:r>
        <w:t>袁闸</w:t>
      </w:r>
      <w:r>
        <w:rPr>
          <w:rFonts w:hint="eastAsia"/>
        </w:rPr>
        <w:t>断面油膜厚度为0.137mm。见图5</w:t>
      </w:r>
      <w:r>
        <w:t>.3</w:t>
      </w:r>
      <w:r>
        <w:rPr>
          <w:rFonts w:hint="eastAsia"/>
        </w:rPr>
        <w:t>-7</w:t>
      </w:r>
      <w:r>
        <w:t>。</w:t>
      </w:r>
    </w:p>
    <w:p w14:paraId="36526C95">
      <w:pPr>
        <w:pStyle w:val="93"/>
      </w:pPr>
      <w:r>
        <w:rPr>
          <w:rFonts w:hint="eastAsia"/>
        </w:rPr>
        <w:t>3、小结</w:t>
      </w:r>
    </w:p>
    <w:p w14:paraId="131C6C98">
      <w:pPr>
        <w:pStyle w:val="93"/>
      </w:pPr>
      <w:r>
        <w:rPr>
          <w:rFonts w:hint="eastAsia"/>
        </w:rPr>
        <w:t>根据预测结果，施工期</w:t>
      </w:r>
      <w:r>
        <w:t>舶溢油事故发生后，</w:t>
      </w:r>
      <w:r>
        <w:rPr>
          <w:rFonts w:hint="eastAsia"/>
        </w:rPr>
        <w:t>1.22h</w:t>
      </w:r>
      <w:r>
        <w:t>后将到</w:t>
      </w:r>
      <w:r>
        <w:rPr>
          <w:rFonts w:hint="eastAsia"/>
        </w:rPr>
        <w:t>取水口</w:t>
      </w:r>
      <w:r>
        <w:t>，</w:t>
      </w:r>
      <w:r>
        <w:rPr>
          <w:rFonts w:hint="eastAsia"/>
        </w:rPr>
        <w:t>1.37h后将离开取水口，取水口油膜厚度为0.58mm；21.15h</w:t>
      </w:r>
      <w:r>
        <w:t>后将到达袁闸</w:t>
      </w:r>
      <w:r>
        <w:rPr>
          <w:rFonts w:hint="eastAsia"/>
        </w:rPr>
        <w:t>断面</w:t>
      </w:r>
      <w:r>
        <w:t>，</w:t>
      </w:r>
      <w:r>
        <w:rPr>
          <w:rFonts w:hint="eastAsia"/>
        </w:rPr>
        <w:t>21.3h后将离开</w:t>
      </w:r>
      <w:r>
        <w:t>袁闸</w:t>
      </w:r>
      <w:r>
        <w:rPr>
          <w:rFonts w:hint="eastAsia"/>
        </w:rPr>
        <w:t>断面，</w:t>
      </w:r>
      <w:r>
        <w:t>袁闸</w:t>
      </w:r>
      <w:r>
        <w:rPr>
          <w:rFonts w:hint="eastAsia"/>
        </w:rPr>
        <w:t>断面油膜厚度为0.136mm。运营期</w:t>
      </w:r>
      <w:r>
        <w:t>舶溢油事故发生后</w:t>
      </w:r>
      <w:r>
        <w:rPr>
          <w:rFonts w:hint="eastAsia"/>
        </w:rPr>
        <w:t>，在未采取措施的情况下，1.22h</w:t>
      </w:r>
      <w:r>
        <w:t>后将到</w:t>
      </w:r>
      <w:r>
        <w:rPr>
          <w:rFonts w:hint="eastAsia"/>
        </w:rPr>
        <w:t>取水口</w:t>
      </w:r>
      <w:r>
        <w:t>，</w:t>
      </w:r>
      <w:r>
        <w:rPr>
          <w:rFonts w:hint="eastAsia"/>
        </w:rPr>
        <w:t>1.37h后将离开取水口，取水口油膜厚度为1.28mm；21.15h</w:t>
      </w:r>
      <w:r>
        <w:t>后将到达袁闸</w:t>
      </w:r>
      <w:r>
        <w:rPr>
          <w:rFonts w:hint="eastAsia"/>
        </w:rPr>
        <w:t>断面</w:t>
      </w:r>
      <w:r>
        <w:t>，</w:t>
      </w:r>
      <w:r>
        <w:rPr>
          <w:rFonts w:hint="eastAsia"/>
        </w:rPr>
        <w:t>21.3h后将离开</w:t>
      </w:r>
      <w:r>
        <w:t>袁闸</w:t>
      </w:r>
      <w:r>
        <w:rPr>
          <w:rFonts w:hint="eastAsia"/>
        </w:rPr>
        <w:t>断面，</w:t>
      </w:r>
      <w:r>
        <w:t>袁闸</w:t>
      </w:r>
      <w:r>
        <w:rPr>
          <w:rFonts w:hint="eastAsia"/>
        </w:rPr>
        <w:t>断面油膜厚度为0.297mm。运营期</w:t>
      </w:r>
      <w:r>
        <w:t>舶溢油事故发生后</w:t>
      </w:r>
      <w:r>
        <w:rPr>
          <w:rFonts w:hint="eastAsia"/>
        </w:rPr>
        <w:t>，在采取措施的情况下，1.22h</w:t>
      </w:r>
      <w:r>
        <w:t>后将到</w:t>
      </w:r>
      <w:r>
        <w:rPr>
          <w:rFonts w:hint="eastAsia"/>
        </w:rPr>
        <w:t>取水口</w:t>
      </w:r>
      <w:r>
        <w:t>，</w:t>
      </w:r>
      <w:r>
        <w:rPr>
          <w:rFonts w:hint="eastAsia"/>
        </w:rPr>
        <w:t>1.37h后将离开取水口，取水口油膜厚度为0.58mm；21.15h</w:t>
      </w:r>
      <w:r>
        <w:t>后将到达袁闸</w:t>
      </w:r>
      <w:r>
        <w:rPr>
          <w:rFonts w:hint="eastAsia"/>
        </w:rPr>
        <w:t>断面</w:t>
      </w:r>
      <w:r>
        <w:t>，</w:t>
      </w:r>
      <w:r>
        <w:rPr>
          <w:rFonts w:hint="eastAsia"/>
        </w:rPr>
        <w:t>21.3h后将离开</w:t>
      </w:r>
      <w:r>
        <w:t>袁闸</w:t>
      </w:r>
      <w:r>
        <w:rPr>
          <w:rFonts w:hint="eastAsia"/>
        </w:rPr>
        <w:t>断面，</w:t>
      </w:r>
      <w:r>
        <w:t>袁闸</w:t>
      </w:r>
      <w:r>
        <w:rPr>
          <w:rFonts w:hint="eastAsia"/>
        </w:rPr>
        <w:t>断面油膜厚度为0.138mm。</w:t>
      </w:r>
    </w:p>
    <w:p w14:paraId="447EBC3D">
      <w:pPr>
        <w:ind w:firstLine="480"/>
        <w:rPr>
          <w:rFonts w:cs="Times New Roman"/>
          <w:sz w:val="21"/>
        </w:rPr>
      </w:pPr>
      <w:r>
        <w:rPr>
          <w:rFonts w:ascii="宋体" w:hAnsi="宋体" w:cs="Calibri"/>
          <w:szCs w:val="24"/>
        </w:rPr>
        <w:t>由于溢油事故本身对</w:t>
      </w:r>
      <w:r>
        <w:rPr>
          <w:rFonts w:hint="eastAsia" w:ascii="宋体" w:hAnsi="宋体" w:cs="Calibri"/>
          <w:szCs w:val="24"/>
        </w:rPr>
        <w:t>水</w:t>
      </w:r>
      <w:r>
        <w:rPr>
          <w:rFonts w:ascii="宋体" w:hAnsi="宋体" w:cs="Calibri"/>
          <w:szCs w:val="24"/>
        </w:rPr>
        <w:t>环境的影响较大，因此应加强管理，合理调配，尽可能避免溢油事故的发生，在船舶施工作业时要及时布设围油栏，防止可能出现的泄漏风险事故对周边水环境的影响；在作业时严格执行事故风险防范措施，在作业前布设围油栏，把溢油事故污染控制在围油栏所包围水域内。</w:t>
      </w:r>
    </w:p>
    <w:p w14:paraId="4D0852C4">
      <w:pPr>
        <w:pStyle w:val="82"/>
      </w:pPr>
      <w:r>
        <w:rPr>
          <w:rFonts w:hint="eastAsia"/>
        </w:rPr>
        <w:t>次生/伴生环境风险分析</w:t>
      </w:r>
    </w:p>
    <w:p w14:paraId="535C048A">
      <w:pPr>
        <w:pStyle w:val="93"/>
      </w:pPr>
      <w:bookmarkStart w:id="300" w:name="_Hlk111028950"/>
      <w:r>
        <w:rPr>
          <w:rFonts w:hint="eastAsia"/>
        </w:rPr>
        <w:t>本项目主要的伴生/次生污染事故为由于可燃物发生火灾爆炸时，燃烧会产生有毒有害气体扩散至周边大气环境中，从而对周边环境空气质量及居民造成不良影响，火灾燃烧废气污染物对周围大气环境的影响是短时间的，且本项目选址所在区域空旷，场地内建筑构物少，最近的居民点与码头距离超过500m，总体上，火灾产生的污染物对周边居民点的环境影响较小，主要是码头工作人员在发生火灾时暴露于一氧化碳中，会导致中毒、休克，甚至死亡。</w:t>
      </w:r>
    </w:p>
    <w:p w14:paraId="0C270C16">
      <w:pPr>
        <w:ind w:firstLine="480"/>
      </w:pPr>
      <w:r>
        <w:rPr>
          <w:rFonts w:hint="eastAsia"/>
        </w:rPr>
        <w:t>如果码头发生火灾事故后，若在相应时间内未能及时扑灭火灾并引发连锁事故，消防废水产生量有可能会超过厂区事故池容积，从而导致部分消防废水未经处理直接排入外环境，从而对码头附近的盐河水质造成不利影响。</w:t>
      </w:r>
    </w:p>
    <w:p w14:paraId="51075553">
      <w:pPr>
        <w:ind w:firstLine="480"/>
      </w:pPr>
      <w:r>
        <w:rPr>
          <w:rFonts w:hint="eastAsia"/>
        </w:rPr>
        <w:t>柴油泄漏进入自然水体中，会对水中鱼类及微生物的生长、代谢带来危害，破坏水生生态环境。</w:t>
      </w:r>
    </w:p>
    <w:bookmarkEnd w:id="300"/>
    <w:p w14:paraId="216126DF">
      <w:pPr>
        <w:pStyle w:val="82"/>
      </w:pPr>
      <w:bookmarkStart w:id="301" w:name="_Toc386124228"/>
      <w:bookmarkStart w:id="302" w:name="_Toc384741378"/>
      <w:r>
        <w:rPr>
          <w:rFonts w:hint="eastAsia"/>
        </w:rPr>
        <w:t>风险评价结论</w:t>
      </w:r>
      <w:bookmarkEnd w:id="301"/>
      <w:bookmarkEnd w:id="302"/>
    </w:p>
    <w:p w14:paraId="271D0B0F">
      <w:pPr>
        <w:pStyle w:val="93"/>
        <w:rPr>
          <w:highlight w:val="yellow"/>
        </w:rPr>
      </w:pPr>
      <w:r>
        <w:t>根据上述分析，本项目装卸物质无有毒有害物质，发生事故类型主要为船舶碰撞油污排放入</w:t>
      </w:r>
      <w:r>
        <w:rPr>
          <w:rFonts w:hint="eastAsia"/>
        </w:rPr>
        <w:t>盐河</w:t>
      </w:r>
      <w:r>
        <w:t>污染</w:t>
      </w:r>
      <w:r>
        <w:rPr>
          <w:rFonts w:hint="eastAsia"/>
        </w:rPr>
        <w:t>盐河</w:t>
      </w:r>
      <w:r>
        <w:t>水体，</w:t>
      </w:r>
      <w:r>
        <w:rPr>
          <w:rFonts w:hint="eastAsia"/>
        </w:rPr>
        <w:t>在</w:t>
      </w:r>
      <w:r>
        <w:t>及时采取拦油设施，控制表面油层扩散，反复吸油</w:t>
      </w:r>
      <w:r>
        <w:rPr>
          <w:rFonts w:hint="eastAsia"/>
        </w:rPr>
        <w:t>等措施的情况下，21.15h</w:t>
      </w:r>
      <w:r>
        <w:rPr>
          <w:rFonts w:cs="Calibri"/>
        </w:rPr>
        <w:t>后将到达袁闸</w:t>
      </w:r>
      <w:r>
        <w:rPr>
          <w:rFonts w:hint="eastAsia" w:cs="Calibri"/>
        </w:rPr>
        <w:t>断面</w:t>
      </w:r>
      <w:r>
        <w:rPr>
          <w:rFonts w:cs="Calibri"/>
        </w:rPr>
        <w:t>，在水文和气象条件不变的情况下，最大油膜厚度</w:t>
      </w:r>
      <w:r>
        <w:rPr>
          <w:rFonts w:hint="eastAsia" w:cs="Calibri"/>
        </w:rPr>
        <w:t>约</w:t>
      </w:r>
      <w:r>
        <w:rPr>
          <w:rFonts w:hint="eastAsia"/>
        </w:rPr>
        <w:t>0.138</w:t>
      </w:r>
      <w:r>
        <w:rPr>
          <w:rFonts w:cs="Calibri"/>
        </w:rPr>
        <w:t>mm。</w:t>
      </w:r>
    </w:p>
    <w:p w14:paraId="203E1452">
      <w:pPr>
        <w:pStyle w:val="93"/>
      </w:pPr>
      <w:r>
        <w:rPr>
          <w:rFonts w:hint="eastAsia"/>
        </w:rPr>
        <w:t>所以当溢油事故发生时，企业应及时通知相关取水公司，在油膜到达取水口断面前停止取水。盐河为航道，根据调查，本项目上下游未设置饮用水取水口，沿线主要为工业取水，无应急水源，在发生环境风险事故时，工业取水暂停，采取自来水用水。同步开展应急监测，直至事故满足应急终止条件后方可恢复取水口取水。采取以上措施后，本项目发生的环境风险可以控制在较低的水平，风险发生概率及危害也较低，本项目的事故风险处于可接受水平。</w:t>
      </w:r>
    </w:p>
    <w:p w14:paraId="3B2654C5">
      <w:pPr>
        <w:ind w:firstLine="480"/>
      </w:pPr>
      <w:r>
        <w:rPr>
          <w:rFonts w:hint="eastAsia"/>
        </w:rPr>
        <w:t>本项目建设项目环境风险简单分析内容表见表5.3-12。</w:t>
      </w:r>
    </w:p>
    <w:p w14:paraId="488EEA4C">
      <w:pPr>
        <w:pStyle w:val="86"/>
      </w:pPr>
      <w:r>
        <w:rPr>
          <w:rFonts w:hint="eastAsia"/>
        </w:rPr>
        <w:t>建设项目环境风险简单分析内容表</w:t>
      </w:r>
    </w:p>
    <w:tbl>
      <w:tblPr>
        <w:tblStyle w:val="3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52"/>
        <w:gridCol w:w="1151"/>
        <w:gridCol w:w="1416"/>
        <w:gridCol w:w="1151"/>
        <w:gridCol w:w="991"/>
        <w:gridCol w:w="1660"/>
      </w:tblGrid>
      <w:tr w14:paraId="60C5B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2DBF528E">
            <w:pPr>
              <w:pStyle w:val="196"/>
            </w:pPr>
            <w:r>
              <w:rPr>
                <w:rFonts w:hint="eastAsia"/>
              </w:rPr>
              <w:t>建设项目名称</w:t>
            </w:r>
          </w:p>
        </w:tc>
        <w:tc>
          <w:tcPr>
            <w:tcW w:w="3735" w:type="pct"/>
            <w:gridSpan w:val="5"/>
            <w:vAlign w:val="center"/>
          </w:tcPr>
          <w:p w14:paraId="1FCEEF79">
            <w:pPr>
              <w:pStyle w:val="196"/>
            </w:pPr>
            <w:r>
              <w:rPr>
                <w:rFonts w:hint="eastAsia"/>
              </w:rPr>
              <w:t>淮安港涟水港区薛行作业区国能涟水一期热电联产项目配套码头工程</w:t>
            </w:r>
          </w:p>
        </w:tc>
      </w:tr>
      <w:tr w14:paraId="389A9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1D48348E">
            <w:pPr>
              <w:pStyle w:val="196"/>
            </w:pPr>
            <w:r>
              <w:rPr>
                <w:rFonts w:hint="eastAsia"/>
              </w:rPr>
              <w:t>建设地点</w:t>
            </w:r>
          </w:p>
        </w:tc>
        <w:tc>
          <w:tcPr>
            <w:tcW w:w="678" w:type="pct"/>
            <w:vAlign w:val="center"/>
          </w:tcPr>
          <w:p w14:paraId="7614E7AD">
            <w:pPr>
              <w:pStyle w:val="196"/>
            </w:pPr>
            <w:r>
              <w:rPr>
                <w:rFonts w:hint="eastAsia"/>
              </w:rPr>
              <w:t>（江苏）省</w:t>
            </w:r>
          </w:p>
        </w:tc>
        <w:tc>
          <w:tcPr>
            <w:tcW w:w="819" w:type="pct"/>
            <w:vAlign w:val="center"/>
          </w:tcPr>
          <w:p w14:paraId="1B08CB9D">
            <w:pPr>
              <w:pStyle w:val="196"/>
            </w:pPr>
            <w:r>
              <w:rPr>
                <w:rFonts w:hint="eastAsia"/>
              </w:rPr>
              <w:t>（淮安）市</w:t>
            </w:r>
          </w:p>
        </w:tc>
        <w:tc>
          <w:tcPr>
            <w:tcW w:w="678" w:type="pct"/>
            <w:vAlign w:val="center"/>
          </w:tcPr>
          <w:p w14:paraId="3B7811F0">
            <w:pPr>
              <w:pStyle w:val="196"/>
            </w:pPr>
            <w:r>
              <w:rPr>
                <w:rFonts w:hint="eastAsia"/>
                <w:lang w:eastAsia="zh-CN"/>
              </w:rPr>
              <w:t>（</w:t>
            </w:r>
            <w:r>
              <w:rPr>
                <w:rFonts w:hint="eastAsia"/>
              </w:rPr>
              <w:t>）区</w:t>
            </w:r>
          </w:p>
        </w:tc>
        <w:tc>
          <w:tcPr>
            <w:tcW w:w="584" w:type="pct"/>
            <w:vAlign w:val="center"/>
          </w:tcPr>
          <w:p w14:paraId="0854FE1B">
            <w:pPr>
              <w:pStyle w:val="196"/>
            </w:pPr>
            <w:r>
              <w:rPr>
                <w:rFonts w:hint="eastAsia"/>
              </w:rPr>
              <w:t>（涟水）县</w:t>
            </w:r>
          </w:p>
        </w:tc>
        <w:tc>
          <w:tcPr>
            <w:tcW w:w="975" w:type="pct"/>
            <w:vAlign w:val="center"/>
          </w:tcPr>
          <w:p w14:paraId="3FA50416">
            <w:pPr>
              <w:pStyle w:val="196"/>
            </w:pPr>
            <w:r>
              <w:rPr>
                <w:rFonts w:hint="eastAsia"/>
              </w:rPr>
              <w:t>朱码街道高台村</w:t>
            </w:r>
          </w:p>
        </w:tc>
      </w:tr>
      <w:tr w14:paraId="23A05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1D5CF9F1">
            <w:pPr>
              <w:pStyle w:val="196"/>
            </w:pPr>
            <w:r>
              <w:rPr>
                <w:rFonts w:hint="eastAsia"/>
              </w:rPr>
              <w:t>地理坐标</w:t>
            </w:r>
          </w:p>
        </w:tc>
        <w:tc>
          <w:tcPr>
            <w:tcW w:w="678" w:type="pct"/>
            <w:vAlign w:val="center"/>
          </w:tcPr>
          <w:p w14:paraId="12ED5AC9">
            <w:pPr>
              <w:pStyle w:val="196"/>
            </w:pPr>
            <w:r>
              <w:rPr>
                <w:rFonts w:hint="eastAsia"/>
              </w:rPr>
              <w:t>经度</w:t>
            </w:r>
          </w:p>
        </w:tc>
        <w:tc>
          <w:tcPr>
            <w:tcW w:w="819" w:type="pct"/>
            <w:vAlign w:val="center"/>
          </w:tcPr>
          <w:p w14:paraId="36C08864">
            <w:pPr>
              <w:pStyle w:val="196"/>
            </w:pPr>
            <w:r>
              <w:rPr>
                <w:rFonts w:hint="eastAsia"/>
              </w:rPr>
              <w:t>119.31262985</w:t>
            </w:r>
          </w:p>
        </w:tc>
        <w:tc>
          <w:tcPr>
            <w:tcW w:w="678" w:type="pct"/>
            <w:vAlign w:val="center"/>
          </w:tcPr>
          <w:p w14:paraId="133D4716">
            <w:pPr>
              <w:pStyle w:val="196"/>
            </w:pPr>
            <w:r>
              <w:rPr>
                <w:rFonts w:hint="eastAsia"/>
              </w:rPr>
              <w:t>纬度</w:t>
            </w:r>
          </w:p>
        </w:tc>
        <w:tc>
          <w:tcPr>
            <w:tcW w:w="1560" w:type="pct"/>
            <w:gridSpan w:val="2"/>
            <w:vAlign w:val="center"/>
          </w:tcPr>
          <w:p w14:paraId="30DCD9E8">
            <w:pPr>
              <w:pStyle w:val="196"/>
            </w:pPr>
            <w:r>
              <w:rPr>
                <w:rFonts w:hint="eastAsia"/>
              </w:rPr>
              <w:t>33.82972009</w:t>
            </w:r>
          </w:p>
        </w:tc>
      </w:tr>
      <w:tr w14:paraId="7A793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58DB5291">
            <w:pPr>
              <w:pStyle w:val="196"/>
            </w:pPr>
            <w:r>
              <w:rPr>
                <w:rFonts w:hint="eastAsia"/>
              </w:rPr>
              <w:t>主要危险物质及分布</w:t>
            </w:r>
          </w:p>
        </w:tc>
        <w:tc>
          <w:tcPr>
            <w:tcW w:w="3735" w:type="pct"/>
            <w:gridSpan w:val="5"/>
            <w:vAlign w:val="center"/>
          </w:tcPr>
          <w:p w14:paraId="70FB79B6">
            <w:pPr>
              <w:pStyle w:val="196"/>
            </w:pPr>
            <w:r>
              <w:rPr>
                <w:rFonts w:hint="eastAsia"/>
              </w:rPr>
              <w:t>油污，航运船舶</w:t>
            </w:r>
          </w:p>
        </w:tc>
      </w:tr>
      <w:tr w14:paraId="476E41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164D5CE7">
            <w:pPr>
              <w:pStyle w:val="196"/>
            </w:pPr>
            <w:r>
              <w:rPr>
                <w:rFonts w:hint="eastAsia"/>
              </w:rPr>
              <w:t>环境影响途径及危害后果（大气、地表水、地下水等）</w:t>
            </w:r>
          </w:p>
        </w:tc>
        <w:tc>
          <w:tcPr>
            <w:tcW w:w="3735" w:type="pct"/>
            <w:gridSpan w:val="5"/>
            <w:vAlign w:val="center"/>
          </w:tcPr>
          <w:p w14:paraId="30F1CDBB">
            <w:pPr>
              <w:pStyle w:val="196"/>
              <w:rPr>
                <w:highlight w:val="yellow"/>
              </w:rPr>
            </w:pPr>
            <w:r>
              <w:rPr>
                <w:rFonts w:hint="eastAsia"/>
              </w:rPr>
              <w:t>船舶溢油事故发生后，在及时采取应急措施的情况下，21.15h后将到达袁闸断面，在水文和气象条件不变的情况下，最大油膜厚度约0.138mm。</w:t>
            </w:r>
          </w:p>
        </w:tc>
      </w:tr>
      <w:tr w14:paraId="54FAF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6BC6FE56">
            <w:pPr>
              <w:pStyle w:val="196"/>
            </w:pPr>
            <w:r>
              <w:rPr>
                <w:rFonts w:hint="eastAsia"/>
              </w:rPr>
              <w:t>风险防范措施要求</w:t>
            </w:r>
          </w:p>
        </w:tc>
        <w:tc>
          <w:tcPr>
            <w:tcW w:w="3735" w:type="pct"/>
            <w:gridSpan w:val="5"/>
            <w:vAlign w:val="center"/>
          </w:tcPr>
          <w:p w14:paraId="4C1822C7">
            <w:pPr>
              <w:pStyle w:val="196"/>
            </w:pPr>
            <w:r>
              <w:rPr>
                <w:rFonts w:hint="eastAsia"/>
              </w:rPr>
              <w:t>编制应急预案、加强管理。</w:t>
            </w:r>
          </w:p>
        </w:tc>
      </w:tr>
      <w:tr w14:paraId="48A8C3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 w:hRule="atLeast"/>
          <w:jc w:val="center"/>
        </w:trPr>
        <w:tc>
          <w:tcPr>
            <w:tcW w:w="1265" w:type="pct"/>
            <w:vAlign w:val="center"/>
          </w:tcPr>
          <w:p w14:paraId="3AFF30DB">
            <w:pPr>
              <w:pStyle w:val="196"/>
            </w:pPr>
            <w:r>
              <w:rPr>
                <w:rFonts w:hint="eastAsia"/>
              </w:rPr>
              <w:t>填表说明</w:t>
            </w:r>
          </w:p>
        </w:tc>
        <w:tc>
          <w:tcPr>
            <w:tcW w:w="3735" w:type="pct"/>
            <w:gridSpan w:val="5"/>
            <w:vAlign w:val="center"/>
          </w:tcPr>
          <w:p w14:paraId="6B020C8F">
            <w:pPr>
              <w:pStyle w:val="196"/>
            </w:pPr>
            <w:r>
              <w:rPr>
                <w:rFonts w:hint="eastAsia"/>
              </w:rPr>
              <w:t>本项目属于码头项目，共设置3个1000吨级泊位，其中2个燃煤散货泊位、1个燃煤散货待泊泊位，运营过程中涉及的危险物质为柴油，涉及的危险物质数量与临界量的比值Q小于1，项目风险潜势为I，可开展简单分析。</w:t>
            </w:r>
          </w:p>
        </w:tc>
      </w:tr>
      <w:bookmarkEnd w:id="292"/>
    </w:tbl>
    <w:p w14:paraId="0D5A779D">
      <w:pPr>
        <w:ind w:firstLine="482"/>
        <w:rPr>
          <w:b/>
          <w:bCs/>
        </w:rPr>
      </w:pPr>
      <w:r>
        <w:rPr>
          <w:rFonts w:hint="eastAsia"/>
          <w:b/>
          <w:bCs/>
        </w:rPr>
        <w:br w:type="page"/>
      </w:r>
    </w:p>
    <w:p w14:paraId="62AB6C71">
      <w:pPr>
        <w:pStyle w:val="76"/>
      </w:pPr>
      <w:bookmarkStart w:id="303" w:name="_Toc3395"/>
      <w:bookmarkEnd w:id="303"/>
      <w:bookmarkStart w:id="304" w:name="_Toc6504"/>
      <w:bookmarkStart w:id="305" w:name="_Toc182171825"/>
      <w:r>
        <w:rPr>
          <w:rFonts w:hint="eastAsia"/>
        </w:rPr>
        <w:t>环境</w:t>
      </w:r>
      <w:bookmarkEnd w:id="304"/>
      <w:r>
        <w:rPr>
          <w:rFonts w:hint="eastAsia"/>
        </w:rPr>
        <w:t>保护措施及其可行性论证</w:t>
      </w:r>
      <w:bookmarkEnd w:id="305"/>
    </w:p>
    <w:p w14:paraId="656C23E8">
      <w:pPr>
        <w:pStyle w:val="80"/>
      </w:pPr>
      <w:bookmarkStart w:id="306" w:name="_Toc13562"/>
      <w:bookmarkEnd w:id="306"/>
      <w:bookmarkStart w:id="307" w:name="_Toc182171826"/>
      <w:bookmarkStart w:id="308" w:name="_Toc25866"/>
      <w:r>
        <w:rPr>
          <w:rFonts w:hint="eastAsia"/>
        </w:rPr>
        <w:t>施工期污染防治措施</w:t>
      </w:r>
      <w:bookmarkEnd w:id="307"/>
      <w:bookmarkEnd w:id="308"/>
    </w:p>
    <w:p w14:paraId="00AA7AF7">
      <w:pPr>
        <w:pStyle w:val="82"/>
      </w:pPr>
      <w:r>
        <w:rPr>
          <w:rFonts w:hint="eastAsia"/>
        </w:rPr>
        <w:t>大气污染防治措施</w:t>
      </w:r>
    </w:p>
    <w:p w14:paraId="273BF6A0">
      <w:pPr>
        <w:pStyle w:val="93"/>
      </w:pPr>
      <w:r>
        <w:rPr>
          <w:rFonts w:hint="eastAsia"/>
        </w:rPr>
        <w:t>在施工过程中，大气污染物主要为扬尘、船舶、施工车辆排放的尾气、水下土方干化场恶臭废气、临时堆场扬尘、运输砂石料粉尘。施工期间对大气污染物的主要防治措施有：</w:t>
      </w:r>
    </w:p>
    <w:p w14:paraId="42712800">
      <w:pPr>
        <w:ind w:firstLine="480"/>
      </w:pPr>
      <w:bookmarkStart w:id="309" w:name="_Toc20355"/>
      <w:bookmarkEnd w:id="309"/>
      <w:r>
        <w:rPr>
          <w:rFonts w:hint="eastAsia"/>
        </w:rPr>
        <w:t>1、扬尘污染防治措施</w:t>
      </w:r>
    </w:p>
    <w:p w14:paraId="0A185F1C">
      <w:pPr>
        <w:pStyle w:val="93"/>
      </w:pPr>
      <w:r>
        <w:rPr>
          <w:rFonts w:hint="eastAsia"/>
        </w:rPr>
        <w:t>为加快改善环境空气质量，国务院颁布了《国务院关于印发打赢蓝天保卫战三年行动计划的通知》（国发〔2018〕22号），省政府颁布了《江苏省打赢蓝天保卫战三年行动计划实施方案》（苏政发〔2018〕122号），对照上述文件要求，提出加强扬尘综合治理的要求，将施工工地扬尘污染防治纳入文明施工管理范畴，建立扬尘控制责任制度，做到施工工地周边100%围挡、物料堆放100%覆盖、出入车辆100%冲洗、施工现场地面100%硬化、拆迁工地100%湿法作业、渣土车辆100%密闭运输，具体建议采取措施如下：</w:t>
      </w:r>
    </w:p>
    <w:p w14:paraId="64055B89">
      <w:pPr>
        <w:pStyle w:val="93"/>
      </w:pPr>
      <w:r>
        <w:rPr>
          <w:rFonts w:hint="eastAsia"/>
        </w:rPr>
        <w:t>（1）施工场地周边封闭围挡。建筑工地应采用硬质封闭围挡，鼓励采用装配式围挡。围挡下方设置不低于20厘米高的防溢座。围挡应环绕工地四周连续设置，按规定布设符合标准的公益广告。施工工地内应设置车辆清洗设施以及配套的排水、泥浆沉淀设施，运输车辆应在除泥、冲洗干净后方可驶出工地。</w:t>
      </w:r>
    </w:p>
    <w:p w14:paraId="3C95709C">
      <w:pPr>
        <w:pStyle w:val="93"/>
      </w:pPr>
      <w:r>
        <w:rPr>
          <w:rFonts w:hint="eastAsia"/>
        </w:rPr>
        <w:t>（2）裸土与物料堆放覆盖。对易干燥起尘的裸露场地和堆放土方，超过4小时的，必须采取覆盖（六针以上密目网）、绿化或固化等防尘措施。施工现场料具堆放整齐，产生扬尘的材料露天堆放时，应采取定期洒水、防尘网覆盖等措施。施工现场应分类设置建筑垃圾堆放场地和垃圾池，上部应有覆盖密闭措施，起尘时应及时湿润。建筑垃圾宜日产日清，严禁凌空抛掷和现场焚烧。参照类似码头施工期如图6.1-1。</w:t>
      </w:r>
    </w:p>
    <w:p w14:paraId="4C0DE258">
      <w:pPr>
        <w:ind w:firstLine="480"/>
      </w:pPr>
      <w:r>
        <w:rPr>
          <w:rFonts w:hint="eastAsia"/>
        </w:rPr>
        <w:br w:type="page"/>
      </w:r>
    </w:p>
    <w:tbl>
      <w:tblPr>
        <w:tblStyle w:val="38"/>
        <w:tblW w:w="4998" w:type="pct"/>
        <w:jc w:val="center"/>
        <w:tblLayout w:type="autofit"/>
        <w:tblCellMar>
          <w:top w:w="0" w:type="dxa"/>
          <w:left w:w="108" w:type="dxa"/>
          <w:bottom w:w="0" w:type="dxa"/>
          <w:right w:w="108" w:type="dxa"/>
        </w:tblCellMar>
      </w:tblPr>
      <w:tblGrid>
        <w:gridCol w:w="3150"/>
        <w:gridCol w:w="2684"/>
        <w:gridCol w:w="2684"/>
      </w:tblGrid>
      <w:tr w14:paraId="29463689">
        <w:tblPrEx>
          <w:tblCellMar>
            <w:top w:w="0" w:type="dxa"/>
            <w:left w:w="108" w:type="dxa"/>
            <w:bottom w:w="0" w:type="dxa"/>
            <w:right w:w="108" w:type="dxa"/>
          </w:tblCellMar>
        </w:tblPrEx>
        <w:trPr>
          <w:jc w:val="center"/>
        </w:trPr>
        <w:tc>
          <w:tcPr>
            <w:tcW w:w="1849" w:type="pct"/>
            <w:tcBorders>
              <w:top w:val="nil"/>
              <w:left w:val="nil"/>
              <w:bottom w:val="nil"/>
              <w:right w:val="nil"/>
            </w:tcBorders>
          </w:tcPr>
          <w:p w14:paraId="4BB1235C">
            <w:pPr>
              <w:pStyle w:val="196"/>
            </w:pPr>
            <w:r>
              <w:rPr>
                <w:rFonts w:hint="eastAsia"/>
              </w:rPr>
              <w:drawing>
                <wp:inline distT="0" distB="0" distL="0" distR="0">
                  <wp:extent cx="1854200" cy="1541145"/>
                  <wp:effectExtent l="0" t="0" r="0" b="1905"/>
                  <wp:docPr id="906661757" name="图片 18" descr="街道边的轨道上行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61757" name="图片 18" descr="街道边的轨道上行驶&#10;&#10;中度可信度描述已自动生成"/>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a:xfrm>
                            <a:off x="0" y="0"/>
                            <a:ext cx="1854200" cy="1541145"/>
                          </a:xfrm>
                          <a:prstGeom prst="rect">
                            <a:avLst/>
                          </a:prstGeom>
                          <a:noFill/>
                          <a:ln>
                            <a:noFill/>
                          </a:ln>
                        </pic:spPr>
                      </pic:pic>
                    </a:graphicData>
                  </a:graphic>
                </wp:inline>
              </w:drawing>
            </w:r>
          </w:p>
          <w:p w14:paraId="65A64EA5">
            <w:pPr>
              <w:pStyle w:val="196"/>
            </w:pPr>
            <w:r>
              <w:rPr>
                <w:rFonts w:hint="eastAsia"/>
              </w:rPr>
              <w:t>施工现场主要道路硬化处理</w:t>
            </w:r>
          </w:p>
        </w:tc>
        <w:tc>
          <w:tcPr>
            <w:tcW w:w="1575" w:type="pct"/>
            <w:tcBorders>
              <w:top w:val="nil"/>
              <w:left w:val="nil"/>
              <w:bottom w:val="nil"/>
              <w:right w:val="nil"/>
            </w:tcBorders>
          </w:tcPr>
          <w:p w14:paraId="3824020F">
            <w:pPr>
              <w:pStyle w:val="196"/>
            </w:pPr>
            <w:r>
              <w:rPr>
                <w:rFonts w:hint="eastAsia"/>
              </w:rPr>
              <w:drawing>
                <wp:inline distT="0" distB="0" distL="0" distR="0">
                  <wp:extent cx="1557655" cy="1541145"/>
                  <wp:effectExtent l="0" t="0" r="4445" b="1905"/>
                  <wp:docPr id="1132233844" name="图片 17" descr="公路上的卡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233844" name="图片 17" descr="公路上的卡车&#10;&#10;描述已自动生成"/>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a:xfrm>
                            <a:off x="0" y="0"/>
                            <a:ext cx="1557655" cy="1541145"/>
                          </a:xfrm>
                          <a:prstGeom prst="rect">
                            <a:avLst/>
                          </a:prstGeom>
                          <a:noFill/>
                          <a:ln>
                            <a:noFill/>
                          </a:ln>
                        </pic:spPr>
                      </pic:pic>
                    </a:graphicData>
                  </a:graphic>
                </wp:inline>
              </w:drawing>
            </w:r>
          </w:p>
          <w:p w14:paraId="586FC56D">
            <w:pPr>
              <w:pStyle w:val="196"/>
            </w:pPr>
            <w:r>
              <w:rPr>
                <w:rFonts w:hint="eastAsia"/>
              </w:rPr>
              <w:t>施工现场道路洒水作业</w:t>
            </w:r>
          </w:p>
        </w:tc>
        <w:tc>
          <w:tcPr>
            <w:tcW w:w="1575" w:type="pct"/>
            <w:tcBorders>
              <w:top w:val="nil"/>
              <w:left w:val="nil"/>
              <w:bottom w:val="nil"/>
              <w:right w:val="nil"/>
            </w:tcBorders>
          </w:tcPr>
          <w:p w14:paraId="52F5C77B">
            <w:pPr>
              <w:pStyle w:val="196"/>
            </w:pPr>
            <w:r>
              <w:rPr>
                <w:rFonts w:hint="eastAsia"/>
              </w:rPr>
              <w:drawing>
                <wp:inline distT="0" distB="0" distL="0" distR="0">
                  <wp:extent cx="1557655" cy="1557655"/>
                  <wp:effectExtent l="0" t="0" r="4445" b="4445"/>
                  <wp:docPr id="1515043442" name="图片 16" descr="卡车停在路边&#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43442" name="图片 16" descr="卡车停在路边&#10;&#10;中度可信度描述已自动生成"/>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a:xfrm>
                            <a:off x="0" y="0"/>
                            <a:ext cx="1557655" cy="1557655"/>
                          </a:xfrm>
                          <a:prstGeom prst="rect">
                            <a:avLst/>
                          </a:prstGeom>
                          <a:noFill/>
                          <a:ln>
                            <a:noFill/>
                          </a:ln>
                        </pic:spPr>
                      </pic:pic>
                    </a:graphicData>
                  </a:graphic>
                </wp:inline>
              </w:drawing>
            </w:r>
          </w:p>
          <w:p w14:paraId="39F28E34">
            <w:pPr>
              <w:pStyle w:val="196"/>
            </w:pPr>
            <w:r>
              <w:rPr>
                <w:rFonts w:hint="eastAsia"/>
              </w:rPr>
              <w:t>施工现场车辆自动冲洗</w:t>
            </w:r>
          </w:p>
        </w:tc>
      </w:tr>
    </w:tbl>
    <w:p w14:paraId="05A6F0DA">
      <w:pPr>
        <w:pStyle w:val="90"/>
      </w:pPr>
      <w:r>
        <w:rPr>
          <w:rFonts w:hint="eastAsia"/>
        </w:rPr>
        <w:t>图6.1-1  施工期防尘措施参照图</w:t>
      </w:r>
    </w:p>
    <w:p w14:paraId="70728ED1">
      <w:pPr>
        <w:pStyle w:val="93"/>
      </w:pPr>
      <w:r>
        <w:rPr>
          <w:rFonts w:hint="eastAsia"/>
        </w:rPr>
        <w:t>（3）施工现场土方作业时，应在喷淋降尘系统无法覆盖的区域布设满足抑尘需要的雾炮机并正常使用；按要求配足保洁人员，及时对工地内建筑垃圾运输车辆行进路线等进行打扫、洒水、保洁。建（构）筑物拆除，桩头、路面破碎，材料切割、打磨或钻孔，本项目桥梁拆除施工进行铣刨时，应设置专用封闭式作业空间。</w:t>
      </w:r>
    </w:p>
    <w:p w14:paraId="75DDEDE5">
      <w:pPr>
        <w:pStyle w:val="93"/>
      </w:pPr>
      <w:r>
        <w:rPr>
          <w:rFonts w:hint="eastAsia"/>
        </w:rPr>
        <w:t>（4）路面与场地硬化。施工现场出入口、场内主要道路、脚手架底部、主要操作场地以及生活、办公区主要道路必须进行硬化处理，及时洒水降尘，保持路面湿润、清洁。基坑边坡车辆出入通道采用混凝土浇筑或满铺钢板（钢板铺设道路可在底部铺设碎石和防尘网）等硬化措施，并及时打扫清洁。</w:t>
      </w:r>
    </w:p>
    <w:p w14:paraId="5DFC61B3">
      <w:pPr>
        <w:pStyle w:val="93"/>
      </w:pPr>
      <w:r>
        <w:rPr>
          <w:rFonts w:hint="eastAsia"/>
        </w:rPr>
        <w:t>（5）出入车辆有效清洗。建筑工地主出入口处应设置成套定型化自动冲洗设施，场地狭小不具备设置条件的应配备高压水枪进行冲洗，配套浇筑符合标准的排水沟和沉淀池，确保车身、车轮、牌照及混凝土搅拌车出料口冲洗干净、泥浆水有序排放，排水沟和沉淀池应及时清理。</w:t>
      </w:r>
    </w:p>
    <w:p w14:paraId="363D0571">
      <w:pPr>
        <w:pStyle w:val="93"/>
      </w:pPr>
      <w:r>
        <w:rPr>
          <w:rFonts w:hint="eastAsia"/>
        </w:rPr>
        <w:t>（6）水泥和其他易飞扬的细颗粒散体材料，应严密遮盖，运输时防止洒漏、飞扬，卸运尽量在仓库内进行并洒水湿润。施工中尽量使用商品混凝土。</w:t>
      </w:r>
    </w:p>
    <w:p w14:paraId="5E068BBA">
      <w:pPr>
        <w:pStyle w:val="93"/>
      </w:pPr>
      <w:r>
        <w:rPr>
          <w:rFonts w:hint="eastAsia"/>
        </w:rPr>
        <w:t>（7）施工垃圾应及时清运、适量洒水，以减少扬尘。</w:t>
      </w:r>
    </w:p>
    <w:p w14:paraId="3C2B49F1">
      <w:pPr>
        <w:ind w:firstLine="480"/>
      </w:pPr>
      <w:r>
        <w:rPr>
          <w:rFonts w:hint="eastAsia"/>
        </w:rPr>
        <w:t>（8）在平整场地陆域形成后，尽快铺设遮盖设施，减小土方形成和场地铺砌之间的时间间隔，减少施工期间的场地风力扬尘对环境空气的影响。各类推土施工作业应做到随土随压、随夯，减少水土流失。</w:t>
      </w:r>
    </w:p>
    <w:p w14:paraId="63C0878D">
      <w:pPr>
        <w:pStyle w:val="93"/>
      </w:pPr>
      <w:r>
        <w:rPr>
          <w:rFonts w:hint="eastAsia"/>
        </w:rPr>
        <w:t>（9）针对在土石方作业过程中产生的扬尘污染，评价要求施工单位在大风天气应停止土方开挖等容易产生扬尘的施工作业，禁止在施工现场焚烧有毒有害物质。</w:t>
      </w:r>
    </w:p>
    <w:p w14:paraId="6C1D26BA">
      <w:pPr>
        <w:pStyle w:val="93"/>
      </w:pPr>
      <w:bookmarkStart w:id="310" w:name="_Toc24141"/>
      <w:bookmarkEnd w:id="310"/>
      <w:r>
        <w:rPr>
          <w:rFonts w:hint="eastAsia"/>
        </w:rPr>
        <w:t>2、车辆及运输机械尾气</w:t>
      </w:r>
    </w:p>
    <w:p w14:paraId="3563AD19">
      <w:pPr>
        <w:ind w:firstLine="480"/>
      </w:pPr>
      <w:r>
        <w:rPr>
          <w:rFonts w:hint="eastAsia"/>
        </w:rPr>
        <w:t>（1）尽量选用低能耗、低污染排放的施工机械和车辆，选用有环保合格和车辆检验合格标志、排气达标的车辆，不得使用不符合排放标准的车辆。</w:t>
      </w:r>
    </w:p>
    <w:p w14:paraId="4BF477EA">
      <w:pPr>
        <w:ind w:firstLine="480"/>
      </w:pPr>
      <w:r>
        <w:rPr>
          <w:rFonts w:hint="eastAsia"/>
        </w:rPr>
        <w:t>（2）加强机械和车辆的管理和维护，减少因机械和车辆状况不佳造成的空气污染。</w:t>
      </w:r>
    </w:p>
    <w:p w14:paraId="7CA9320F">
      <w:pPr>
        <w:ind w:firstLine="480"/>
      </w:pPr>
      <w:r>
        <w:rPr>
          <w:rFonts w:hint="eastAsia"/>
        </w:rPr>
        <w:t>（3）使用品质高的汽油和柴油作为燃料。</w:t>
      </w:r>
    </w:p>
    <w:p w14:paraId="01F2526E">
      <w:pPr>
        <w:ind w:firstLine="480"/>
      </w:pPr>
      <w:bookmarkStart w:id="311" w:name="_Toc7277"/>
      <w:bookmarkEnd w:id="311"/>
      <w:r>
        <w:rPr>
          <w:rFonts w:hint="eastAsia"/>
        </w:rPr>
        <w:t>3、水下土方堆存废气</w:t>
      </w:r>
    </w:p>
    <w:p w14:paraId="4850E581">
      <w:pPr>
        <w:pStyle w:val="93"/>
      </w:pPr>
      <w:r>
        <w:rPr>
          <w:rFonts w:hint="eastAsia"/>
        </w:rPr>
        <w:t>本项目水下土方干化场设置一定的围堰或围挡。水下土方堆放时间很短，沉淀排水后的水下土方主要用于临时用地恢复。加强挖泥船和泥驳船作业管理，加快水下土方回填作业。</w:t>
      </w:r>
    </w:p>
    <w:p w14:paraId="628171C3">
      <w:pPr>
        <w:pStyle w:val="82"/>
      </w:pPr>
      <w:r>
        <w:rPr>
          <w:rFonts w:hint="eastAsia"/>
        </w:rPr>
        <w:t>水污染防治措施</w:t>
      </w:r>
    </w:p>
    <w:p w14:paraId="1AF625E7">
      <w:pPr>
        <w:pStyle w:val="93"/>
      </w:pPr>
      <w:bookmarkStart w:id="312" w:name="_Toc20864"/>
      <w:bookmarkEnd w:id="312"/>
      <w:r>
        <w:rPr>
          <w:rFonts w:hint="eastAsia"/>
        </w:rPr>
        <w:t>1、疏浚作业对水体的减缓措施</w:t>
      </w:r>
    </w:p>
    <w:p w14:paraId="7018BD25">
      <w:pPr>
        <w:pStyle w:val="93"/>
      </w:pPr>
      <w:r>
        <w:rPr>
          <w:rFonts w:hint="eastAsia"/>
        </w:rPr>
        <w:t>（1）减少挖泥量：要求施工单位配备GPS定位系统，准确确定需要开挖区域的范围、深度，减少疏浚作业中不必要的超宽、超深挖泥量，从而减少悬浮物产生量。</w:t>
      </w:r>
    </w:p>
    <w:p w14:paraId="001D376C">
      <w:pPr>
        <w:pStyle w:val="139"/>
        <w:ind w:firstLine="480"/>
        <w:rPr>
          <w:color w:val="auto"/>
        </w:rPr>
      </w:pPr>
      <w:r>
        <w:rPr>
          <w:rFonts w:hint="eastAsia"/>
          <w:color w:val="auto"/>
        </w:rPr>
        <w:t>（2）采用环保的疏浚设备及疏浚方式：水下施工中SS发生量取决于施工机械、施工方法等因素，本项目工程疏浚采用反铲式挖泥船疏浚技术，其原理见图6.1-</w:t>
      </w:r>
      <w:r>
        <w:rPr>
          <w:color w:val="auto"/>
        </w:rPr>
        <w:t>2</w:t>
      </w:r>
      <w:r>
        <w:rPr>
          <w:rFonts w:hint="eastAsia"/>
          <w:color w:val="auto"/>
        </w:rPr>
        <w:t>。</w:t>
      </w:r>
    </w:p>
    <w:p w14:paraId="7BE3CAD3">
      <w:pPr>
        <w:pStyle w:val="196"/>
      </w:pPr>
      <w:r>
        <w:drawing>
          <wp:inline distT="0" distB="0" distL="0" distR="0">
            <wp:extent cx="5273675" cy="2919730"/>
            <wp:effectExtent l="0" t="0" r="3175" b="0"/>
            <wp:docPr id="5943896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89626" name="图片 1"/>
                    <pic:cNvPicPr>
                      <a:picLocks noChangeAspect="1"/>
                    </pic:cNvPicPr>
                  </pic:nvPicPr>
                  <pic:blipFill>
                    <a:blip r:embed="rId191"/>
                    <a:stretch>
                      <a:fillRect/>
                    </a:stretch>
                  </pic:blipFill>
                  <pic:spPr>
                    <a:xfrm>
                      <a:off x="0" y="0"/>
                      <a:ext cx="5273675" cy="2919730"/>
                    </a:xfrm>
                    <a:prstGeom prst="rect">
                      <a:avLst/>
                    </a:prstGeom>
                  </pic:spPr>
                </pic:pic>
              </a:graphicData>
            </a:graphic>
          </wp:inline>
        </w:drawing>
      </w:r>
      <w:r>
        <w:rPr>
          <w:rFonts w:hint="eastAsia"/>
        </w:rPr>
        <w:t xml:space="preserve"> </w:t>
      </w:r>
    </w:p>
    <w:p w14:paraId="6CE90161">
      <w:pPr>
        <w:pStyle w:val="90"/>
      </w:pPr>
      <w:r>
        <w:rPr>
          <w:rFonts w:hint="eastAsia"/>
        </w:rPr>
        <w:t>图6.1-</w:t>
      </w:r>
      <w:r>
        <w:t>2</w:t>
      </w:r>
      <w:r>
        <w:rPr>
          <w:rFonts w:hint="eastAsia"/>
        </w:rPr>
        <w:t xml:space="preserve">  反铲式挖泥船</w:t>
      </w:r>
    </w:p>
    <w:p w14:paraId="41E6D0B6">
      <w:pPr>
        <w:pStyle w:val="139"/>
        <w:ind w:firstLine="480"/>
        <w:rPr>
          <w:color w:val="auto"/>
        </w:rPr>
      </w:pPr>
      <w:r>
        <w:rPr>
          <w:rFonts w:hint="eastAsia"/>
          <w:color w:val="auto"/>
        </w:rPr>
        <w:t>反铲挖泥船是一种安装在轮船或者驳船上的机器，也叫水上挖机平台。它被用来浚挖河床，从而能够</w:t>
      </w:r>
      <w:r>
        <w:rPr>
          <w:rFonts w:hint="eastAsia"/>
          <w:color w:val="auto"/>
          <w:lang w:eastAsia="zh-CN"/>
        </w:rPr>
        <w:t>使</w:t>
      </w:r>
      <w:r>
        <w:rPr>
          <w:rFonts w:hint="eastAsia"/>
          <w:color w:val="auto"/>
        </w:rPr>
        <w:t>大型的船舶能够在河道上航行。反铲挖</w:t>
      </w:r>
      <w:r>
        <w:rPr>
          <w:rFonts w:hint="eastAsia"/>
          <w:color w:val="auto"/>
          <w:lang w:eastAsia="zh-CN"/>
        </w:rPr>
        <w:t>泥船</w:t>
      </w:r>
      <w:r>
        <w:rPr>
          <w:rFonts w:hint="eastAsia"/>
          <w:color w:val="auto"/>
        </w:rPr>
        <w:t>和陆地上使用的反铲挖掘机很相似，并且，可以通过在轮船或者驳船上安装挖掘机来制造这种挖泥船。具体措施如下：</w:t>
      </w:r>
    </w:p>
    <w:p w14:paraId="4EE1B44D">
      <w:pPr>
        <w:pStyle w:val="139"/>
        <w:ind w:firstLine="480"/>
        <w:rPr>
          <w:color w:val="auto"/>
        </w:rPr>
      </w:pPr>
      <w:r>
        <w:rPr>
          <w:color w:val="auto"/>
        </w:rPr>
        <w:t>（</w:t>
      </w:r>
      <w:r>
        <w:rPr>
          <w:rFonts w:hint="eastAsia"/>
          <w:color w:val="auto"/>
        </w:rPr>
        <w:t>1</w:t>
      </w:r>
      <w:r>
        <w:rPr>
          <w:color w:val="auto"/>
        </w:rPr>
        <w:t>）本次疏浚应选择在枯水季节进行，合理安排疏浚计划，疏浚和围堰等施工作业尽量缩短施工期，集中安排施工期。在满足建设进度的情况下，尽量减少在同一水域的挖泥船数量，减少施工对水体的扰动。施工结束后施工场地应及时清场，建筑垃圾不得弃至航道中。</w:t>
      </w:r>
    </w:p>
    <w:p w14:paraId="43CED42D">
      <w:pPr>
        <w:pStyle w:val="139"/>
        <w:ind w:firstLine="480"/>
        <w:rPr>
          <w:color w:val="auto"/>
        </w:rPr>
      </w:pPr>
      <w:r>
        <w:rPr>
          <w:color w:val="auto"/>
        </w:rPr>
        <w:t>（</w:t>
      </w:r>
      <w:r>
        <w:rPr>
          <w:rFonts w:hint="eastAsia"/>
          <w:color w:val="auto"/>
        </w:rPr>
        <w:t>2</w:t>
      </w:r>
      <w:r>
        <w:rPr>
          <w:color w:val="auto"/>
        </w:rPr>
        <w:t>）疏浚前应开展河道底泥摸底性调查，切实掌握底泥分布特点和核实污染状况，科学确定疏浚深度和土方量，合理安排疏浚作业方法，疏浚、挖泥作业采用产生悬浮泥沙较少的</w:t>
      </w:r>
      <w:r>
        <w:rPr>
          <w:rFonts w:hint="eastAsia"/>
          <w:color w:val="auto"/>
        </w:rPr>
        <w:t>反铲</w:t>
      </w:r>
      <w:r>
        <w:rPr>
          <w:color w:val="auto"/>
        </w:rPr>
        <w:t>式挖泥船，严格到指定</w:t>
      </w:r>
      <w:r>
        <w:rPr>
          <w:rFonts w:hint="eastAsia"/>
          <w:color w:val="auto"/>
        </w:rPr>
        <w:t>水下土方</w:t>
      </w:r>
      <w:r>
        <w:rPr>
          <w:color w:val="auto"/>
        </w:rPr>
        <w:t>干化场堆放。</w:t>
      </w:r>
    </w:p>
    <w:p w14:paraId="70AE92E5">
      <w:pPr>
        <w:pStyle w:val="139"/>
        <w:ind w:firstLine="480"/>
        <w:rPr>
          <w:color w:val="auto"/>
        </w:rPr>
      </w:pPr>
      <w:r>
        <w:rPr>
          <w:color w:val="auto"/>
        </w:rPr>
        <w:t>（</w:t>
      </w:r>
      <w:r>
        <w:rPr>
          <w:rFonts w:hint="eastAsia"/>
          <w:color w:val="auto"/>
        </w:rPr>
        <w:t>3</w:t>
      </w:r>
      <w:r>
        <w:rPr>
          <w:color w:val="auto"/>
        </w:rPr>
        <w:t>）疏浚泥沙应严格按照施工方案确定的地点抛弃，禁止乱抛乱弃进入淮河入海水道和苏北灌溉总渠。</w:t>
      </w:r>
    </w:p>
    <w:p w14:paraId="74463F25">
      <w:pPr>
        <w:pStyle w:val="139"/>
        <w:ind w:firstLine="480"/>
        <w:rPr>
          <w:color w:val="auto"/>
        </w:rPr>
      </w:pPr>
      <w:r>
        <w:rPr>
          <w:color w:val="auto"/>
        </w:rPr>
        <w:t>（</w:t>
      </w:r>
      <w:r>
        <w:rPr>
          <w:rFonts w:hint="eastAsia"/>
          <w:color w:val="auto"/>
        </w:rPr>
        <w:t>4</w:t>
      </w:r>
      <w:r>
        <w:rPr>
          <w:color w:val="auto"/>
        </w:rPr>
        <w:t>）施工期间不得向淮河入海水道和苏北灌溉总渠排放任何污水。</w:t>
      </w:r>
    </w:p>
    <w:p w14:paraId="45F15445">
      <w:pPr>
        <w:pStyle w:val="139"/>
        <w:ind w:firstLine="480"/>
        <w:rPr>
          <w:color w:val="auto"/>
        </w:rPr>
      </w:pPr>
      <w:r>
        <w:rPr>
          <w:color w:val="auto"/>
        </w:rPr>
        <w:t>（</w:t>
      </w:r>
      <w:r>
        <w:rPr>
          <w:rFonts w:hint="eastAsia"/>
          <w:color w:val="auto"/>
        </w:rPr>
        <w:t>5</w:t>
      </w:r>
      <w:r>
        <w:rPr>
          <w:color w:val="auto"/>
        </w:rPr>
        <w:t>）疏浚土开挖及运输过程中的措施</w:t>
      </w:r>
    </w:p>
    <w:p w14:paraId="563AAF36">
      <w:pPr>
        <w:pStyle w:val="139"/>
        <w:ind w:firstLine="480"/>
        <w:rPr>
          <w:b/>
          <w:color w:val="auto"/>
        </w:rPr>
      </w:pPr>
      <w:r>
        <w:rPr>
          <w:rFonts w:ascii="Cambria Math" w:hAnsi="Cambria Math" w:cs="Cambria Math"/>
          <w:color w:val="auto"/>
        </w:rPr>
        <w:t>①</w:t>
      </w:r>
      <w:r>
        <w:rPr>
          <w:color w:val="auto"/>
        </w:rPr>
        <w:t>泥驳必须在疏浚施工水域溢流完成后才能启航运输，防止运输环节发生溢流污染。</w:t>
      </w:r>
      <w:r>
        <w:rPr>
          <w:rFonts w:ascii="Cambria Math" w:hAnsi="Cambria Math" w:cs="Cambria Math"/>
          <w:color w:val="auto"/>
        </w:rPr>
        <w:t>②</w:t>
      </w:r>
      <w:r>
        <w:rPr>
          <w:color w:val="auto"/>
        </w:rPr>
        <w:t>在泥驳从挖泥点到指定的抛泥区运输过程中，泥舱不能过于装满，避免溢舱泥浆对航行过程中的水污染，避免大风期的作业，保障船只安全和减少泥浆洒落对水环境的影响。泥驳需安装GPS系统及视频监控系统，确保运泥路线正确以及便于对运泥船抛泥过程进行实时监控。</w:t>
      </w:r>
      <w:r>
        <w:rPr>
          <w:rFonts w:ascii="Cambria Math" w:hAnsi="Cambria Math" w:cs="Cambria Math"/>
          <w:color w:val="auto"/>
        </w:rPr>
        <w:t>③</w:t>
      </w:r>
      <w:r>
        <w:rPr>
          <w:color w:val="auto"/>
        </w:rPr>
        <w:t>疏浚过程中，应保证泥舱处于密封状态。施工单位应加强泥驳日常维护与保养，确保其良好性能，尤其是泥舱密封条的严密性能和控制泥门开启与关闭的传动部分，及时更换</w:t>
      </w:r>
      <w:r>
        <w:rPr>
          <w:rFonts w:hint="eastAsia"/>
          <w:color w:val="auto"/>
          <w:lang w:eastAsia="zh-CN"/>
        </w:rPr>
        <w:t>箱门封条</w:t>
      </w:r>
      <w:r>
        <w:rPr>
          <w:color w:val="auto"/>
        </w:rPr>
        <w:t>和液压杆上的密封圈，以免液压系统失控或密封条失灵而导致泥门关闭不严的现象发生。</w:t>
      </w:r>
    </w:p>
    <w:p w14:paraId="246083C9">
      <w:pPr>
        <w:ind w:firstLine="480"/>
      </w:pPr>
      <w:bookmarkStart w:id="313" w:name="_Toc5920"/>
      <w:bookmarkEnd w:id="313"/>
      <w:r>
        <w:rPr>
          <w:rFonts w:hint="eastAsia"/>
        </w:rPr>
        <w:t>2、水下土方干化场场余水</w:t>
      </w:r>
    </w:p>
    <w:p w14:paraId="25AC6F57">
      <w:pPr>
        <w:pStyle w:val="93"/>
      </w:pPr>
      <w:r>
        <w:rPr>
          <w:rFonts w:hint="eastAsia"/>
        </w:rPr>
        <w:t>本项目运至水下土方干化场土方量共约2.4万m</w:t>
      </w:r>
      <w:r>
        <w:rPr>
          <w:rFonts w:hint="eastAsia"/>
          <w:vertAlign w:val="superscript"/>
        </w:rPr>
        <w:t>3</w:t>
      </w:r>
      <w:r>
        <w:rPr>
          <w:rFonts w:hint="eastAsia"/>
        </w:rPr>
        <w:t>，根据工程分析可知，经围堰内初期沉淀后，其主要污染物为SS，若直接排入盐河，对盐河水质影响较大，为进一步减少对地表水的影响，水下土方干化场采取以下措施：</w:t>
      </w:r>
    </w:p>
    <w:p w14:paraId="633834B8">
      <w:pPr>
        <w:ind w:firstLine="480"/>
      </w:pPr>
      <w:r>
        <w:rPr>
          <w:rFonts w:hint="eastAsia"/>
        </w:rPr>
        <w:t>（1）围堰</w:t>
      </w:r>
    </w:p>
    <w:p w14:paraId="7E4B680F">
      <w:pPr>
        <w:pStyle w:val="93"/>
      </w:pPr>
      <w:r>
        <w:rPr>
          <w:rFonts w:hint="eastAsia"/>
        </w:rPr>
        <w:t>水下土方堆场直接利用挖掘机开挖，将中间挖方堆在四周并夯实，并利用基坑开挖土方，制成土围堰，围堰堆高需高出水面，以防起风时水浪外溢。</w:t>
      </w:r>
    </w:p>
    <w:p w14:paraId="2DE3F2E6">
      <w:pPr>
        <w:ind w:firstLine="480"/>
      </w:pPr>
      <w:r>
        <w:rPr>
          <w:rFonts w:hint="eastAsia"/>
        </w:rPr>
        <w:t>（2）泄水口</w:t>
      </w:r>
    </w:p>
    <w:p w14:paraId="1CEA2751">
      <w:pPr>
        <w:pStyle w:val="93"/>
      </w:pPr>
      <w:r>
        <w:rPr>
          <w:rFonts w:hint="eastAsia"/>
        </w:rPr>
        <w:t>泄水口又称水门，是泥浆在堆场内沉淀后余水的排泄口门，它的作用是调节泥浆流程，控制排泄流量，改善泥沙沉淀效果，减少流失及提高平整度等。</w:t>
      </w:r>
    </w:p>
    <w:p w14:paraId="5DF30605">
      <w:pPr>
        <w:ind w:firstLine="480"/>
      </w:pPr>
      <w:r>
        <w:rPr>
          <w:rFonts w:hint="eastAsia"/>
        </w:rPr>
        <w:t>根据工程实际情况，考虑到施工容易、易于拆迁、经济耐用等方面因素，本工程选用闸式泄水口，且在泄水口内侧筑一封闭式溢流堰以调节泄流水位。</w:t>
      </w:r>
    </w:p>
    <w:p w14:paraId="4F3AE57A">
      <w:pPr>
        <w:pStyle w:val="93"/>
      </w:pPr>
      <w:r>
        <w:rPr>
          <w:rFonts w:hint="eastAsia"/>
        </w:rPr>
        <w:t>（3）后续沉淀池</w:t>
      </w:r>
    </w:p>
    <w:p w14:paraId="2182563C">
      <w:pPr>
        <w:pStyle w:val="93"/>
      </w:pPr>
      <w:r>
        <w:rPr>
          <w:rFonts w:hint="eastAsia"/>
        </w:rPr>
        <w:t>疏浚的污泥余水中存在大量细小污染物，为保证余水达标排放，将污泥堆场设计分为排泥池、沉淀池、澄清池三块连续区域，且在各池内设置数条隔梗，以增加水力停留时间，增强悬浮颗粒物自身重力沉降的作用。</w:t>
      </w:r>
    </w:p>
    <w:p w14:paraId="2032F844">
      <w:pPr>
        <w:pStyle w:val="93"/>
      </w:pPr>
      <w:r>
        <w:rPr>
          <w:rFonts w:hint="eastAsia"/>
        </w:rPr>
        <w:t>疏浚水下土方经过泥驳运入水下土方堆场，利用悬浮固体颗粒物的自然沉淀性能，使泥浆在底泥堆场自然沉淀，通过控制疏浚余水水力停留时间、沉降有效水深、流速等达到去除固体悬浮物（SS）及其他污染物的目的。在排泥池里产生的余水通过泄水口进入沉淀池，向余水中均匀投加絮凝药剂，通过水力混合在沉淀池内形成初沉，经过初沉的余水再通过第二道泄水口进入澄清池，悬浮物及其他污染物随絮凝体沉积在澄清池后，满足《污水综合排放标准》（GB8978-1996）表4一级标准就近排入盐河。其处理工艺流程设计如图6.</w:t>
      </w:r>
      <w:r>
        <w:t>2-1</w:t>
      </w:r>
      <w:r>
        <w:rPr>
          <w:rFonts w:hint="eastAsia"/>
        </w:rPr>
        <w:t>所示。</w:t>
      </w:r>
    </w:p>
    <w:p w14:paraId="5E6B1295">
      <w:pPr>
        <w:ind w:firstLine="480"/>
      </w:pPr>
      <w:r>
        <w:rPr>
          <w:rFonts w:hint="eastAsia"/>
        </w:rPr>
        <w:t xml:space="preserve"> </w:t>
      </w:r>
    </w:p>
    <w:p w14:paraId="4CB4BBB7">
      <w:pPr>
        <w:pStyle w:val="196"/>
      </w:pPr>
      <w:r>
        <w:drawing>
          <wp:inline distT="0" distB="0" distL="0" distR="0">
            <wp:extent cx="4315460" cy="997585"/>
            <wp:effectExtent l="0" t="0" r="8890" b="0"/>
            <wp:docPr id="1497423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23054" name="图片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a:xfrm>
                      <a:off x="0" y="0"/>
                      <a:ext cx="4315460" cy="997585"/>
                    </a:xfrm>
                    <a:prstGeom prst="rect">
                      <a:avLst/>
                    </a:prstGeom>
                    <a:noFill/>
                    <a:ln>
                      <a:noFill/>
                    </a:ln>
                  </pic:spPr>
                </pic:pic>
              </a:graphicData>
            </a:graphic>
          </wp:inline>
        </w:drawing>
      </w:r>
    </w:p>
    <w:p w14:paraId="4C92304D">
      <w:pPr>
        <w:pStyle w:val="90"/>
      </w:pPr>
      <w:r>
        <w:rPr>
          <w:rFonts w:hint="eastAsia"/>
        </w:rPr>
        <w:t>图6.</w:t>
      </w:r>
      <w:r>
        <w:t>2-1</w:t>
      </w:r>
      <w:r>
        <w:rPr>
          <w:rFonts w:hint="eastAsia"/>
        </w:rPr>
        <w:t xml:space="preserve">  疏浚污泥余水处理工艺图</w:t>
      </w:r>
    </w:p>
    <w:p w14:paraId="1F53C521">
      <w:pPr>
        <w:pStyle w:val="93"/>
      </w:pPr>
      <w:r>
        <w:rPr>
          <w:rFonts w:hint="eastAsia"/>
        </w:rPr>
        <w:t>当泄水口流量增大、SS浓度增高时，可下放木闸板抬高排泥场内的水位，使得排泥场内的水流处于暂时的静止状态，同时减少了泄水口余水流量，使淤泥悬浮颗粒有充分的沉淀区域，并可起到增加余水水力停留时间的效果，减轻余水处理的压力。</w:t>
      </w:r>
    </w:p>
    <w:p w14:paraId="6BBE3D94">
      <w:pPr>
        <w:pStyle w:val="93"/>
      </w:pPr>
      <w:r>
        <w:rPr>
          <w:rFonts w:hint="eastAsia"/>
        </w:rPr>
        <w:t>施工后期排泥场内没有足够数量的水体，不能为施工余水中的土颗粒提供充分的沉淀区域和时间，这样会导致余水排放超标，可向余水中投加絮凝药剂，加速余水中泥土颗粒絮凝，使悬浮颗粒迅速沉淀，达到泥水快速分离的效果。</w:t>
      </w:r>
    </w:p>
    <w:p w14:paraId="7C4D589D">
      <w:pPr>
        <w:pStyle w:val="93"/>
      </w:pPr>
      <w:r>
        <w:rPr>
          <w:rFonts w:hint="eastAsia"/>
        </w:rPr>
        <w:t>张志芳等采用以上处理方案对梅梁湖生态清淤余水进行处理（</w:t>
      </w:r>
      <w:r>
        <w:rPr>
          <w:rFonts w:hint="eastAsia"/>
          <w:i/>
          <w:iCs/>
        </w:rPr>
        <w:t>张志芳，《内陆河湖生态疏浚余水处理工程设计运用》</w:t>
      </w:r>
      <w:r>
        <w:rPr>
          <w:rFonts w:hint="eastAsia"/>
        </w:rPr>
        <w:t>），实施过程抽样监测，余水主要控制因子SS最高监测值仅为18mg/L，达到地表水II类水质标准要求。</w:t>
      </w:r>
    </w:p>
    <w:p w14:paraId="3E4D76FF">
      <w:pPr>
        <w:pStyle w:val="93"/>
      </w:pPr>
      <w:r>
        <w:rPr>
          <w:rFonts w:hint="eastAsia"/>
        </w:rPr>
        <w:t>本项目通过以上处理方案，将疏浚水下土方进行预处理，处理后的余水</w:t>
      </w:r>
      <w:r>
        <w:rPr>
          <w:rFonts w:hint="eastAsia"/>
          <w:bCs/>
        </w:rPr>
        <w:t>满足《污水综合排放标准》（GB8978-1996）表4一级标准就近排入盐河</w:t>
      </w:r>
      <w:r>
        <w:rPr>
          <w:rFonts w:hint="eastAsia"/>
        </w:rPr>
        <w:t>。</w:t>
      </w:r>
    </w:p>
    <w:p w14:paraId="3CDAE722">
      <w:pPr>
        <w:pStyle w:val="93"/>
      </w:pPr>
      <w:bookmarkStart w:id="314" w:name="_Toc15914"/>
      <w:bookmarkEnd w:id="314"/>
      <w:r>
        <w:rPr>
          <w:rFonts w:hint="eastAsia"/>
        </w:rPr>
        <w:t>3、施工船舶污水、施工车辆及机械冲洗废水</w:t>
      </w:r>
    </w:p>
    <w:p w14:paraId="34E1DCAB">
      <w:pPr>
        <w:pStyle w:val="93"/>
      </w:pPr>
      <w:r>
        <w:rPr>
          <w:rFonts w:hint="eastAsia"/>
        </w:rPr>
        <w:t>（1）严格管理施工船舶和施工机械，严禁油料泄漏或倾倒废油料，严禁施工船舶向水域排放未经过处理的机舱水、生活废水、施工车辆及机械冲洗废水。</w:t>
      </w:r>
    </w:p>
    <w:p w14:paraId="57DB5360">
      <w:pPr>
        <w:pStyle w:val="93"/>
      </w:pPr>
      <w:r>
        <w:rPr>
          <w:rFonts w:hint="eastAsia"/>
        </w:rPr>
        <w:t>（2）禁止施工船舶直接将含油废水直接排入水体，施工船舶生活污水、洗舱废水、舱底油污水均由船舶带走，不在本河段排放。</w:t>
      </w:r>
    </w:p>
    <w:p w14:paraId="141A801D">
      <w:pPr>
        <w:pStyle w:val="93"/>
      </w:pPr>
      <w:bookmarkStart w:id="315" w:name="_Toc11769"/>
      <w:bookmarkEnd w:id="315"/>
      <w:r>
        <w:rPr>
          <w:rFonts w:hint="eastAsia"/>
        </w:rPr>
        <w:t>4、陆域形成施工悬浮物污染防治措施</w:t>
      </w:r>
    </w:p>
    <w:p w14:paraId="57B1A423">
      <w:pPr>
        <w:ind w:firstLine="480"/>
      </w:pPr>
      <w:r>
        <w:rPr>
          <w:rFonts w:hint="eastAsia"/>
        </w:rPr>
        <w:t>①陆域回填区设置临时分级围堰，陆域回填应在码头及护岸水工结构基本完成后进行，严格按照先围后填的施工工艺进行。</w:t>
      </w:r>
    </w:p>
    <w:p w14:paraId="54F2B71E">
      <w:pPr>
        <w:ind w:firstLine="480"/>
      </w:pPr>
      <w:r>
        <w:rPr>
          <w:rFonts w:hint="eastAsia"/>
        </w:rPr>
        <w:t>②合理安排溢流口，应设置在回填区的末端，并在溢流口增设防污栏。</w:t>
      </w:r>
    </w:p>
    <w:p w14:paraId="7E67E305">
      <w:pPr>
        <w:pStyle w:val="93"/>
      </w:pPr>
      <w:r>
        <w:rPr>
          <w:rFonts w:hint="eastAsia"/>
        </w:rPr>
        <w:t>③疏浚物通过泥驳送到后方电厂水下土方干化场，经围堰、泄水口及多级沉淀后</w:t>
      </w:r>
      <w:r>
        <w:rPr>
          <w:rFonts w:hint="eastAsia"/>
          <w:bCs/>
        </w:rPr>
        <w:t>满足《污水综合排放标准》（GB8978-1996）表4一级标准就近排入盐河</w:t>
      </w:r>
      <w:r>
        <w:rPr>
          <w:rFonts w:hint="eastAsia"/>
        </w:rPr>
        <w:t>，对周边地表水环境影响较小。</w:t>
      </w:r>
    </w:p>
    <w:p w14:paraId="727D30F2">
      <w:pPr>
        <w:ind w:firstLine="480"/>
      </w:pPr>
      <w:bookmarkStart w:id="316" w:name="_Toc2485"/>
      <w:bookmarkEnd w:id="316"/>
      <w:r>
        <w:rPr>
          <w:rFonts w:hint="eastAsia"/>
        </w:rPr>
        <w:t>5、陆域生活污水的污染防治措施</w:t>
      </w:r>
    </w:p>
    <w:p w14:paraId="47CBB71D">
      <w:pPr>
        <w:pStyle w:val="93"/>
      </w:pPr>
      <w:r>
        <w:rPr>
          <w:rFonts w:hint="eastAsia"/>
        </w:rPr>
        <w:t>本项目施工现场设置施工营地，施工人员产生少量的生活污水，其中生活污水主要含有COD、BOD</w:t>
      </w:r>
      <w:r>
        <w:rPr>
          <w:rFonts w:hint="eastAsia"/>
          <w:vertAlign w:val="subscript"/>
        </w:rPr>
        <w:t>5</w:t>
      </w:r>
      <w:r>
        <w:rPr>
          <w:rFonts w:hint="eastAsia"/>
        </w:rPr>
        <w:t>、SS、氨氮等污染物，生活污水和垃圾也是施工过程中临时排放的污染物。务必要加强管理，避免对环境造成污染。施工营地产生的生活污水经临时化粪池预处理后接管排入国能涟水一期热电联产项目厂区内处理。</w:t>
      </w:r>
    </w:p>
    <w:p w14:paraId="6D3CAF78">
      <w:pPr>
        <w:pStyle w:val="82"/>
      </w:pPr>
      <w:r>
        <w:rPr>
          <w:rFonts w:hint="eastAsia"/>
        </w:rPr>
        <w:t>噪声污染防治措施</w:t>
      </w:r>
    </w:p>
    <w:p w14:paraId="4C2489ED">
      <w:pPr>
        <w:pStyle w:val="93"/>
      </w:pPr>
      <w:r>
        <w:rPr>
          <w:rFonts w:hint="eastAsia"/>
        </w:rPr>
        <w:t>1、合理布局施工场地，优化作业方案和运输方案，尽量降低施工现场附近敏感点噪声强度，避免噪声对周围环境的干扰。</w:t>
      </w:r>
    </w:p>
    <w:p w14:paraId="30CC2257">
      <w:pPr>
        <w:pStyle w:val="93"/>
      </w:pPr>
      <w:r>
        <w:rPr>
          <w:rFonts w:hint="eastAsia"/>
        </w:rPr>
        <w:t>2严格控制作业时间，尽量避免夜间施工，以避免对周围施工现场周边动物的休息；对环境的污染不能控制在规定的范围内的，要尽量采取措施降低噪声。</w:t>
      </w:r>
    </w:p>
    <w:p w14:paraId="224E23E5">
      <w:pPr>
        <w:pStyle w:val="93"/>
      </w:pPr>
      <w:r>
        <w:rPr>
          <w:rFonts w:hint="eastAsia"/>
        </w:rPr>
        <w:t>3、夜间运输材料的车辆进入施工现场，严禁鸣笛和乱轰油门、装卸材料要做到轻拿轻放。</w:t>
      </w:r>
    </w:p>
    <w:p w14:paraId="2AC3DC30">
      <w:pPr>
        <w:pStyle w:val="93"/>
      </w:pPr>
      <w:r>
        <w:rPr>
          <w:rFonts w:hint="eastAsia"/>
        </w:rPr>
        <w:t>4、进入施工现场不得高声喊叫和乱吹哨、不得无故甩打模板、钢筋和工具设备等，严禁使用高音喇叭、机械设备空转和不</w:t>
      </w:r>
      <w:r>
        <w:rPr>
          <w:rFonts w:hint="eastAsia"/>
          <w:lang w:eastAsia="zh-CN"/>
        </w:rPr>
        <w:t>当</w:t>
      </w:r>
      <w:r>
        <w:rPr>
          <w:rFonts w:hint="eastAsia"/>
        </w:rPr>
        <w:t>地碰撞其他物件（如混凝土振捣器碰撞钢筋或模板等），减少噪声对周围环境的干扰。</w:t>
      </w:r>
    </w:p>
    <w:p w14:paraId="36E2E8AB">
      <w:pPr>
        <w:pStyle w:val="93"/>
      </w:pPr>
      <w:r>
        <w:rPr>
          <w:rFonts w:hint="eastAsia"/>
        </w:rPr>
        <w:t>5、加强各种机械设备的维修保养，缩短维修保养周期，尽可能降低机械设备噪声的排放。</w:t>
      </w:r>
    </w:p>
    <w:p w14:paraId="3A04A9AF">
      <w:pPr>
        <w:pStyle w:val="93"/>
      </w:pPr>
      <w:bookmarkStart w:id="317" w:name="_Toc10043"/>
      <w:bookmarkEnd w:id="317"/>
      <w:r>
        <w:rPr>
          <w:rFonts w:hint="eastAsia"/>
        </w:rPr>
        <w:t>6、施工现场超噪声值的声源，采取如下措施降低噪声或转移声源：</w:t>
      </w:r>
    </w:p>
    <w:p w14:paraId="5FEE75F0">
      <w:pPr>
        <w:pStyle w:val="93"/>
      </w:pPr>
      <w:r>
        <w:rPr>
          <w:rFonts w:hint="eastAsia"/>
        </w:rPr>
        <w:t>（1）尽量选用低噪声设备和工艺来替代高噪声设备和工艺（如用电动空压机代替柴油空压机；用静压桩施工方法代替锤击桩施工方法等），降低噪声。</w:t>
      </w:r>
    </w:p>
    <w:p w14:paraId="5A2F7072">
      <w:pPr>
        <w:pStyle w:val="93"/>
      </w:pPr>
      <w:r>
        <w:rPr>
          <w:rFonts w:hint="eastAsia"/>
        </w:rPr>
        <w:t>（2）在声源处安装消声器消声，即在鼓风机、内燃机、压缩机各类排气装置等进出风管的适当位置设置消声器（如阻性消声器、抗性消声器、阻抗复合消声器、穿微孔板消声器等），降低噪声。</w:t>
      </w:r>
    </w:p>
    <w:p w14:paraId="68F9B3B5">
      <w:pPr>
        <w:pStyle w:val="93"/>
      </w:pPr>
      <w:r>
        <w:rPr>
          <w:rFonts w:hint="eastAsia"/>
        </w:rPr>
        <w:t>（3）加工成品、半成品的作业（如预制混凝土构件、制作门窗等），尽量放在工厂车间生产，以转移声源来消除噪声。</w:t>
      </w:r>
    </w:p>
    <w:p w14:paraId="4E700EFB">
      <w:pPr>
        <w:pStyle w:val="93"/>
      </w:pPr>
      <w:r>
        <w:rPr>
          <w:rFonts w:hint="eastAsia"/>
        </w:rPr>
        <w:t>7、在施工现场噪声的传播途径上，采取隔声屏障、利用现有绿化带等声学处理方法来降低噪声。</w:t>
      </w:r>
    </w:p>
    <w:p w14:paraId="3BFB8010">
      <w:pPr>
        <w:pStyle w:val="93"/>
      </w:pPr>
      <w:r>
        <w:rPr>
          <w:rFonts w:hint="eastAsia"/>
        </w:rPr>
        <w:t>8、建筑施工过程中场界环境噪声不得超过《建筑施工场界环境噪声排放标准》（GB12523-2011）规定的排放限值。夜间噪声最大声级超过限值的幅度不得高于15dB(A)。</w:t>
      </w:r>
    </w:p>
    <w:p w14:paraId="3A6CA73A">
      <w:pPr>
        <w:pStyle w:val="82"/>
      </w:pPr>
      <w:r>
        <w:rPr>
          <w:rFonts w:hint="eastAsia"/>
        </w:rPr>
        <w:t>固废污染防治措施</w:t>
      </w:r>
    </w:p>
    <w:p w14:paraId="7558257F">
      <w:pPr>
        <w:pStyle w:val="93"/>
      </w:pPr>
      <w:r>
        <w:rPr>
          <w:rFonts w:hint="eastAsia"/>
        </w:rPr>
        <w:t>施工期固废主要是生活垃圾、建筑垃圾和弃方。</w:t>
      </w:r>
    </w:p>
    <w:p w14:paraId="51A379A3">
      <w:pPr>
        <w:pStyle w:val="93"/>
      </w:pPr>
      <w:r>
        <w:rPr>
          <w:rFonts w:hint="eastAsia"/>
        </w:rPr>
        <w:t>1、施工现场设立专门的固体废弃物临时贮存场所，用砖砌成池，废弃物应分类存放，对有可能造成二次污染的废弃物必须单独贮存、设置安全防范措施且有醒目标识。对储存物应及时收集并处理，可回收的废弃物做到回收再利用。</w:t>
      </w:r>
    </w:p>
    <w:p w14:paraId="077E4FD7">
      <w:pPr>
        <w:pStyle w:val="93"/>
      </w:pPr>
      <w:r>
        <w:rPr>
          <w:rFonts w:hint="eastAsia"/>
        </w:rPr>
        <w:t>2、固体废弃物的运输应采取分类、密封、覆盖、避免泄漏、遗漏，并送到政府批准的单位或场所进行处理。</w:t>
      </w:r>
    </w:p>
    <w:p w14:paraId="13C9949E">
      <w:pPr>
        <w:pStyle w:val="93"/>
      </w:pPr>
      <w:r>
        <w:rPr>
          <w:rFonts w:hint="eastAsia"/>
        </w:rPr>
        <w:t>3、施工现场应使用环保型的建筑材料、工器具、临时设施、灭火器和各种物质的包装箱袋等，减少固体废弃物污染。</w:t>
      </w:r>
    </w:p>
    <w:p w14:paraId="37573D00">
      <w:pPr>
        <w:pStyle w:val="93"/>
      </w:pPr>
      <w:r>
        <w:rPr>
          <w:rFonts w:hint="eastAsia"/>
        </w:rPr>
        <w:t>4、提高工程施工质量，减少或杜绝工程返工，避免产生固体废弃物的污染。</w:t>
      </w:r>
    </w:p>
    <w:p w14:paraId="28CC0D68">
      <w:pPr>
        <w:pStyle w:val="93"/>
      </w:pPr>
      <w:r>
        <w:rPr>
          <w:rFonts w:hint="eastAsia"/>
        </w:rPr>
        <w:t>5、施工中及时回收利用落地灰和其他施工材料，做到工完料尽，减少固体废弃物污染。</w:t>
      </w:r>
    </w:p>
    <w:p w14:paraId="372B118B">
      <w:pPr>
        <w:pStyle w:val="93"/>
      </w:pPr>
      <w:r>
        <w:rPr>
          <w:rFonts w:hint="eastAsia"/>
        </w:rPr>
        <w:t>6、施工场地设置干化场地，港池和水工结构开挖的土方用于回填水工结构；疏浚开挖的土方在水下土方干化场沉淀处理后用于后方临时用地恢复，本项目无弃方产生，不会对区域环境造成影响。</w:t>
      </w:r>
    </w:p>
    <w:p w14:paraId="0A4CD545">
      <w:pPr>
        <w:pStyle w:val="93"/>
        <w:rPr>
          <w:bCs/>
        </w:rPr>
      </w:pPr>
      <w:r>
        <w:rPr>
          <w:rFonts w:hint="eastAsia"/>
        </w:rPr>
        <w:t>土方利用的合理性分析：本项目港池及水工结构挖方经简单翻干后用于陆域回填，表层素土及疏浚后的干化水下土方均作为后方场地回填。</w:t>
      </w:r>
      <w:r>
        <w:rPr>
          <w:rFonts w:hint="eastAsia"/>
          <w:bCs/>
        </w:rPr>
        <w:t>疏浚开挖的土方在</w:t>
      </w:r>
      <w:r>
        <w:rPr>
          <w:rFonts w:hint="eastAsia"/>
        </w:rPr>
        <w:t>水下土方干化场</w:t>
      </w:r>
      <w:r>
        <w:rPr>
          <w:rFonts w:hint="eastAsia"/>
          <w:bCs/>
        </w:rPr>
        <w:t>沉淀处理后用于后方电厂项目临时用地回填。</w:t>
      </w:r>
    </w:p>
    <w:p w14:paraId="409E6E64">
      <w:pPr>
        <w:pStyle w:val="93"/>
      </w:pPr>
      <w:r>
        <w:rPr>
          <w:rFonts w:hint="eastAsia"/>
        </w:rPr>
        <w:t>根据报告</w:t>
      </w:r>
      <w:r>
        <w:t>4</w:t>
      </w:r>
      <w:r>
        <w:rPr>
          <w:rFonts w:hint="eastAsia"/>
        </w:rPr>
        <w:t>.3.4底泥环境质量现状监测和评价章节，本项目拟开挖港池处河道底泥的重金属指标能够满足《土壤环境质量 农用地土壤污染风险管控标准（试行）》（GB15618-2018）中其他类标准，其余指标均能够满足《土壤环境质量 建设用地土壤污染风险管控标准（试行）》（GB36600-2018）中表1中第二类用地筛选值。因此，本项目港池和水工结构开挖的土方用于回填项目水工结构合理可行。疏浚水下土方用于后方电厂项目临时用地回填合理可行。</w:t>
      </w:r>
    </w:p>
    <w:p w14:paraId="18FDC042">
      <w:pPr>
        <w:pStyle w:val="93"/>
      </w:pPr>
      <w:r>
        <w:rPr>
          <w:rFonts w:hint="eastAsia"/>
        </w:rPr>
        <w:t>项目土方再利用过程中需重点关注施工粉尘对周边环境的影响，土方临时堆放场需设置围挡、排水沟、防尘网苫盖并及时洒水降尘。另外，水下疏浚水下土方运至水下土方干化场沉淀产生的废水采取的主要措施详见报告</w:t>
      </w:r>
      <w:r>
        <w:t>6</w:t>
      </w:r>
      <w:r>
        <w:rPr>
          <w:rFonts w:hint="eastAsia"/>
        </w:rPr>
        <w:t>.1.2章节，经围堰、泄水口及多级沉淀后用于场地洒水抑尘，不外排，对周边地表水环境影响很小。</w:t>
      </w:r>
    </w:p>
    <w:p w14:paraId="59C553DB">
      <w:pPr>
        <w:pStyle w:val="82"/>
      </w:pPr>
      <w:r>
        <w:rPr>
          <w:rFonts w:hint="eastAsia"/>
        </w:rPr>
        <w:t>生态保护措施</w:t>
      </w:r>
    </w:p>
    <w:p w14:paraId="022ED506">
      <w:pPr>
        <w:pStyle w:val="93"/>
      </w:pPr>
      <w:r>
        <w:rPr>
          <w:rFonts w:hint="eastAsia"/>
        </w:rPr>
        <w:t>根据项目建设对生态的影响分析，提出有针对性地控制措施，以减少和降低对生态环境的影响。</w:t>
      </w:r>
    </w:p>
    <w:p w14:paraId="59AF0033">
      <w:pPr>
        <w:pStyle w:val="84"/>
      </w:pPr>
      <w:r>
        <w:rPr>
          <w:rFonts w:hint="eastAsia"/>
        </w:rPr>
        <w:t xml:space="preserve">缩减岸线使用、保护自然岸线 </w:t>
      </w:r>
    </w:p>
    <w:p w14:paraId="29A78723">
      <w:pPr>
        <w:pStyle w:val="93"/>
      </w:pPr>
      <w:r>
        <w:rPr>
          <w:rFonts w:hint="eastAsia"/>
        </w:rPr>
        <w:t xml:space="preserve">自然岸线是一种独特的不能替代的资源，它对维持生态安全、维护生物多样性具有不可忽视的价值，同时自然岸线对水体周期性变化起到缓冲作用。 </w:t>
      </w:r>
    </w:p>
    <w:p w14:paraId="1AF815B2">
      <w:pPr>
        <w:pStyle w:val="93"/>
      </w:pPr>
      <w:r>
        <w:rPr>
          <w:rFonts w:hint="eastAsia"/>
        </w:rPr>
        <w:t>2020年江苏省交通运输厅印发《江苏内河航运高质量发展实施方案》，方案提出：内河港口宜采用挖入式港池，减少自然岸线的使用量。为此，本项目采取挖入港池方式在陆域开挖，形成宽约90m，长约196m的港池，可布置3个泊位，泊位长度达220m。不仅如此，本项目在方案设计时不断优化，尽可能地把场地布置在后方陆域，将使用岸线长度由原方案246m缩减至182m，减少对盐河生态环境的影响。</w:t>
      </w:r>
    </w:p>
    <w:p w14:paraId="3A65082F">
      <w:pPr>
        <w:pStyle w:val="84"/>
      </w:pPr>
      <w:bookmarkStart w:id="318" w:name="_Hlk182170011"/>
      <w:r>
        <w:rPr>
          <w:rFonts w:hint="eastAsia"/>
        </w:rPr>
        <w:t>陆域生态保护措施</w:t>
      </w:r>
    </w:p>
    <w:bookmarkEnd w:id="318"/>
    <w:p w14:paraId="2C576C3A">
      <w:pPr>
        <w:pStyle w:val="139"/>
        <w:ind w:firstLine="480"/>
        <w:rPr>
          <w:color w:val="auto"/>
        </w:rPr>
      </w:pPr>
      <w:r>
        <w:rPr>
          <w:rFonts w:hint="eastAsia"/>
          <w:color w:val="auto"/>
        </w:rPr>
        <w:t xml:space="preserve">（1）陆域生态保护措施 </w:t>
      </w:r>
    </w:p>
    <w:p w14:paraId="30DFBE85">
      <w:pPr>
        <w:pStyle w:val="139"/>
        <w:ind w:firstLine="480"/>
        <w:rPr>
          <w:color w:val="auto"/>
        </w:rPr>
      </w:pPr>
      <w:r>
        <w:rPr>
          <w:rFonts w:hint="eastAsia"/>
          <w:color w:val="auto"/>
        </w:rPr>
        <w:t xml:space="preserve">①做好土石方挖填平衡工作，注意时序的衔接，争取挖填方一次到位，尽量减少临时堆放及土石搬运带来的水土流失。 </w:t>
      </w:r>
    </w:p>
    <w:p w14:paraId="129CB8CE">
      <w:pPr>
        <w:pStyle w:val="139"/>
        <w:ind w:firstLine="480"/>
        <w:rPr>
          <w:color w:val="auto"/>
        </w:rPr>
      </w:pPr>
      <w:r>
        <w:rPr>
          <w:rFonts w:hint="eastAsia"/>
          <w:color w:val="auto"/>
        </w:rPr>
        <w:t xml:space="preserve">②对临时土石方堆放点应有遮盖物。 </w:t>
      </w:r>
    </w:p>
    <w:p w14:paraId="216A6B10">
      <w:pPr>
        <w:pStyle w:val="139"/>
        <w:ind w:firstLine="480"/>
        <w:rPr>
          <w:color w:val="auto"/>
        </w:rPr>
      </w:pPr>
      <w:r>
        <w:rPr>
          <w:rFonts w:hint="eastAsia"/>
          <w:color w:val="auto"/>
        </w:rPr>
        <w:t xml:space="preserve">③根据项目的施工进度及时对地面进行硬化处理和绿化工作； </w:t>
      </w:r>
    </w:p>
    <w:p w14:paraId="0A9A0F72">
      <w:pPr>
        <w:pStyle w:val="139"/>
        <w:ind w:firstLine="480"/>
        <w:rPr>
          <w:color w:val="auto"/>
        </w:rPr>
      </w:pPr>
      <w:r>
        <w:rPr>
          <w:rFonts w:hint="eastAsia"/>
          <w:color w:val="auto"/>
        </w:rPr>
        <w:t xml:space="preserve">④土方搬运堆填过程应避开雨季施工。 </w:t>
      </w:r>
    </w:p>
    <w:p w14:paraId="534F3898">
      <w:pPr>
        <w:pStyle w:val="139"/>
        <w:ind w:firstLine="480"/>
        <w:rPr>
          <w:color w:val="auto"/>
        </w:rPr>
      </w:pPr>
      <w:r>
        <w:rPr>
          <w:rFonts w:hint="eastAsia"/>
          <w:color w:val="auto"/>
        </w:rPr>
        <w:t xml:space="preserve">⑤剥离并保存好占地范围内的表土，并做好临时堆放遮挡措施。待施工完成后，可用作厂区绿化用土。在表土临时堆放场四周设排水沟，排水进入临时沉淀池沉淀处理后回用于周边绿化。表土堆放场采用苫布遮盖。 </w:t>
      </w:r>
    </w:p>
    <w:p w14:paraId="213AF131">
      <w:pPr>
        <w:pStyle w:val="139"/>
        <w:ind w:firstLine="480"/>
        <w:rPr>
          <w:color w:val="auto"/>
        </w:rPr>
      </w:pPr>
      <w:r>
        <w:rPr>
          <w:rFonts w:hint="eastAsia"/>
          <w:color w:val="auto"/>
        </w:rPr>
        <w:t xml:space="preserve">⑥打桩泥浆晒干后应作为填方土使用，不宜在河边永久弃置，以免引起新的水土流失。 </w:t>
      </w:r>
    </w:p>
    <w:p w14:paraId="6D43B3B3">
      <w:pPr>
        <w:pStyle w:val="139"/>
        <w:ind w:firstLine="480"/>
        <w:rPr>
          <w:color w:val="auto"/>
        </w:rPr>
      </w:pPr>
      <w:r>
        <w:rPr>
          <w:rFonts w:hint="eastAsia"/>
          <w:color w:val="auto"/>
        </w:rPr>
        <w:t xml:space="preserve">（2）临时工程优化设计措施 </w:t>
      </w:r>
    </w:p>
    <w:p w14:paraId="5951BE21">
      <w:pPr>
        <w:pStyle w:val="139"/>
        <w:ind w:firstLine="480"/>
        <w:rPr>
          <w:color w:val="auto"/>
        </w:rPr>
      </w:pPr>
      <w:r>
        <w:rPr>
          <w:rFonts w:hint="eastAsia"/>
          <w:color w:val="auto"/>
        </w:rPr>
        <w:t xml:space="preserve">合理布置施工场地，尽量布置在码头永久占地范围内。 </w:t>
      </w:r>
    </w:p>
    <w:p w14:paraId="2FF7EB9B">
      <w:pPr>
        <w:pStyle w:val="139"/>
        <w:ind w:firstLine="480"/>
        <w:rPr>
          <w:color w:val="auto"/>
        </w:rPr>
      </w:pPr>
      <w:r>
        <w:rPr>
          <w:rFonts w:hint="eastAsia"/>
          <w:color w:val="auto"/>
        </w:rPr>
        <w:t>①进一步优化地基方案减少土石方量</w:t>
      </w:r>
    </w:p>
    <w:p w14:paraId="55165733">
      <w:pPr>
        <w:pStyle w:val="139"/>
        <w:ind w:firstLine="480"/>
        <w:rPr>
          <w:color w:val="auto"/>
        </w:rPr>
      </w:pPr>
      <w:r>
        <w:rPr>
          <w:rFonts w:hint="eastAsia"/>
          <w:color w:val="auto"/>
        </w:rPr>
        <w:t xml:space="preserve">做好地基土石方平衡和建设场地位置设计，避免大填大挖，保护好环境，减少水土流失。 </w:t>
      </w:r>
    </w:p>
    <w:p w14:paraId="551C1AB7">
      <w:pPr>
        <w:pStyle w:val="139"/>
        <w:ind w:firstLine="480"/>
        <w:rPr>
          <w:color w:val="auto"/>
        </w:rPr>
      </w:pPr>
      <w:r>
        <w:rPr>
          <w:rFonts w:hint="eastAsia"/>
          <w:color w:val="auto"/>
        </w:rPr>
        <w:t xml:space="preserve">②施工场地选址原则要求及调整建议 </w:t>
      </w:r>
    </w:p>
    <w:p w14:paraId="3239BA7E">
      <w:pPr>
        <w:pStyle w:val="139"/>
        <w:ind w:firstLine="480"/>
        <w:rPr>
          <w:color w:val="auto"/>
        </w:rPr>
      </w:pPr>
      <w:r>
        <w:rPr>
          <w:rFonts w:hint="eastAsia"/>
          <w:color w:val="auto"/>
        </w:rPr>
        <w:t xml:space="preserve">施工场地选址应充分考虑生态破坏和不良影响，布置于热电及码头占地范围内，尽可能远离水体及河滩地。同时对临时占地设置合理的生态保护和恢复方案，采取植物恢复措施，尽量恢复原地貌和景观。施工场地应尽量利用项目本身已征用建设场地占地区。 </w:t>
      </w:r>
    </w:p>
    <w:p w14:paraId="6BB44FB5">
      <w:pPr>
        <w:pStyle w:val="139"/>
        <w:ind w:firstLine="480"/>
        <w:rPr>
          <w:color w:val="auto"/>
        </w:rPr>
      </w:pPr>
      <w:r>
        <w:rPr>
          <w:rFonts w:hint="eastAsia"/>
          <w:color w:val="auto"/>
        </w:rPr>
        <w:t>工程依托热电项目设置的1处施工场地，居民点距离场地最近距离超过1000m，施工场地扬尘或沥青烟对居民影响较小；办公生活污水收集后定期由环卫部门清运，不得外排，施工生产废水经处理后回用，亦不得外排；施工生产废水经处理达标后应优先回用。在落实上述措施的前提下，工程设置的施工场地环境可行。</w:t>
      </w:r>
    </w:p>
    <w:p w14:paraId="7F62CE15">
      <w:pPr>
        <w:pStyle w:val="139"/>
        <w:ind w:firstLine="480"/>
        <w:rPr>
          <w:color w:val="auto"/>
        </w:rPr>
      </w:pPr>
      <w:r>
        <w:rPr>
          <w:rFonts w:hint="eastAsia"/>
          <w:color w:val="auto"/>
        </w:rPr>
        <w:t>③施工场地、临时表土堆场在施工结束一年内进行土地平整，进行场地绿化。弃土场、排泥场进行土地平整由热电项目使用。</w:t>
      </w:r>
    </w:p>
    <w:p w14:paraId="0C88FB3C">
      <w:pPr>
        <w:pStyle w:val="139"/>
        <w:ind w:firstLine="480"/>
        <w:rPr>
          <w:color w:val="auto"/>
        </w:rPr>
      </w:pPr>
      <w:r>
        <w:rPr>
          <w:rFonts w:hint="eastAsia"/>
          <w:color w:val="auto"/>
        </w:rPr>
        <w:t>（3）施工期水保措施</w:t>
      </w:r>
    </w:p>
    <w:p w14:paraId="7E1AED28">
      <w:pPr>
        <w:pStyle w:val="139"/>
        <w:ind w:firstLine="480"/>
        <w:rPr>
          <w:color w:val="auto"/>
        </w:rPr>
      </w:pPr>
      <w:r>
        <w:rPr>
          <w:rFonts w:hint="eastAsia"/>
          <w:color w:val="auto"/>
        </w:rPr>
        <w:t>根据项目水保方案，本项目在施工期采取的水保措施如下：</w:t>
      </w:r>
    </w:p>
    <w:p w14:paraId="6A0918DB">
      <w:pPr>
        <w:pStyle w:val="139"/>
        <w:ind w:firstLine="480"/>
        <w:rPr>
          <w:color w:val="auto"/>
        </w:rPr>
      </w:pPr>
      <w:r>
        <w:rPr>
          <w:rFonts w:hint="eastAsia"/>
          <w:color w:val="auto"/>
        </w:rPr>
        <w:t>①施工场地</w:t>
      </w:r>
    </w:p>
    <w:p w14:paraId="7A0B772D">
      <w:pPr>
        <w:pStyle w:val="139"/>
        <w:ind w:firstLine="480"/>
        <w:rPr>
          <w:color w:val="auto"/>
        </w:rPr>
      </w:pPr>
      <w:r>
        <w:rPr>
          <w:rFonts w:hint="eastAsia"/>
          <w:color w:val="auto"/>
        </w:rPr>
        <w:t>施工场地四周设置临时排水沟，为避免在降雨对临时堆放的建筑材料冲刷造成水土流失，在施工过程中采用一定的防尘网在降雨时对临时堆料进行苫盖，减少雨水冲刷造成水土流失，拦挡的雨水汇入临时排水沟，经沉淀后回用。</w:t>
      </w:r>
    </w:p>
    <w:p w14:paraId="24E7EF96">
      <w:pPr>
        <w:pStyle w:val="139"/>
        <w:ind w:firstLine="480"/>
        <w:rPr>
          <w:color w:val="auto"/>
        </w:rPr>
      </w:pPr>
      <w:r>
        <w:rPr>
          <w:rFonts w:hint="eastAsia"/>
          <w:color w:val="auto"/>
        </w:rPr>
        <w:t>②临时表土堆土场</w:t>
      </w:r>
    </w:p>
    <w:p w14:paraId="70DF193E">
      <w:pPr>
        <w:pStyle w:val="139"/>
        <w:ind w:firstLine="480"/>
        <w:rPr>
          <w:color w:val="auto"/>
        </w:rPr>
      </w:pPr>
      <w:r>
        <w:rPr>
          <w:rFonts w:hint="eastAsia"/>
          <w:color w:val="auto"/>
        </w:rPr>
        <w:t>本项目临时堆土场位于项目红线内，主要堆放表土，基础施工完成后及时回填，由于本项目工期紧凑，土方临时堆放时间较短，因此采用防尘网对堆土场进行苫盖，并在坡脚开挖临时排水沟，连通场地排水沟，排水沟末端设置沉淀池。施工结束后进行场地绿化。</w:t>
      </w:r>
    </w:p>
    <w:p w14:paraId="39D851DD">
      <w:pPr>
        <w:pStyle w:val="139"/>
        <w:ind w:firstLine="480"/>
        <w:rPr>
          <w:color w:val="auto"/>
        </w:rPr>
      </w:pPr>
      <w:r>
        <w:rPr>
          <w:rFonts w:hint="eastAsia"/>
          <w:color w:val="auto"/>
        </w:rPr>
        <w:t>③临时堆土场</w:t>
      </w:r>
    </w:p>
    <w:p w14:paraId="691B48B0">
      <w:pPr>
        <w:pStyle w:val="139"/>
        <w:ind w:firstLine="480"/>
        <w:rPr>
          <w:color w:val="auto"/>
        </w:rPr>
      </w:pPr>
      <w:r>
        <w:rPr>
          <w:rFonts w:hint="eastAsia"/>
          <w:color w:val="auto"/>
        </w:rPr>
        <w:t>临时堆土场采用二级放坡，边坡按1:1.5~1:2进行控制，堆土高度控制在4</w:t>
      </w:r>
      <w:r>
        <w:rPr>
          <w:rFonts w:hint="eastAsia"/>
          <w:color w:val="auto"/>
          <w:lang w:eastAsia="zh-CN"/>
        </w:rPr>
        <w:t>～</w:t>
      </w:r>
      <w:r>
        <w:rPr>
          <w:rFonts w:hint="eastAsia"/>
          <w:color w:val="auto"/>
        </w:rPr>
        <w:t>6m左右，并在堆土坡脚用填土编织袋进行防护，填土编织袋采用梯形断面，顶宽 0.6m，高1.0m，底宽1.0m。考虑到堆土结构松散，遇雨日易造成水土流失，因此对堆土场坡面苫盖防尘网，以减弱降雨对堆土坡面的侵蚀。</w:t>
      </w:r>
    </w:p>
    <w:p w14:paraId="56C0813F">
      <w:pPr>
        <w:pStyle w:val="139"/>
        <w:ind w:firstLine="480"/>
        <w:rPr>
          <w:color w:val="auto"/>
        </w:rPr>
      </w:pPr>
      <w:r>
        <w:rPr>
          <w:rFonts w:hint="eastAsia"/>
          <w:color w:val="auto"/>
        </w:rPr>
        <w:t>④水下土方干化场</w:t>
      </w:r>
    </w:p>
    <w:p w14:paraId="50F7C798">
      <w:pPr>
        <w:pStyle w:val="139"/>
        <w:ind w:firstLine="480"/>
        <w:rPr>
          <w:color w:val="auto"/>
        </w:rPr>
      </w:pPr>
      <w:r>
        <w:rPr>
          <w:rFonts w:hint="eastAsia"/>
          <w:color w:val="auto"/>
        </w:rPr>
        <w:t>工程热电项目占地范围内设置1处水下土方干化场，四周采用土围堰拦挡，拦挡长度为260m，水下土方干化场围堰采用充填袋堤心结构，围堰内边坡取1</w:t>
      </w:r>
      <w:r>
        <w:rPr>
          <w:rFonts w:hint="eastAsia"/>
          <w:color w:val="auto"/>
          <w:lang w:eastAsia="zh-CN"/>
        </w:rPr>
        <w:t>:</w:t>
      </w:r>
      <w:r>
        <w:rPr>
          <w:rFonts w:hint="eastAsia"/>
          <w:color w:val="auto"/>
        </w:rPr>
        <w:t>1.5，外边坡取1</w:t>
      </w:r>
      <w:r>
        <w:rPr>
          <w:rFonts w:hint="eastAsia"/>
          <w:color w:val="auto"/>
          <w:lang w:eastAsia="zh-CN"/>
        </w:rPr>
        <w:t>:</w:t>
      </w:r>
      <w:r>
        <w:rPr>
          <w:rFonts w:hint="eastAsia"/>
          <w:color w:val="auto"/>
        </w:rPr>
        <w:t>3。围堰吹泥侧斜坡采用袋装土填隙，其上铺设防渗土工膜，土工膜下铺至现状泥面以下4m，坡面防渗土工膜沿围堤轴线方向每 20m 长用 0.3m 厚袋装土压护。外坡侧采用袋装土填隙与护面，护面厚0.2m。土方就地取土，待水下土方自然晾晒干化后就地平整，剩余部分回填于热电项目厂区内。</w:t>
      </w:r>
    </w:p>
    <w:p w14:paraId="75CECDC5">
      <w:pPr>
        <w:pStyle w:val="84"/>
      </w:pPr>
      <w:bookmarkStart w:id="319" w:name="_Hlk182170034"/>
      <w:r>
        <w:rPr>
          <w:rFonts w:hint="eastAsia"/>
        </w:rPr>
        <w:t>施工期水域生态保护措施</w:t>
      </w:r>
    </w:p>
    <w:bookmarkEnd w:id="319"/>
    <w:p w14:paraId="330314EB">
      <w:pPr>
        <w:pStyle w:val="139"/>
        <w:ind w:firstLine="480"/>
        <w:rPr>
          <w:color w:val="auto"/>
        </w:rPr>
      </w:pPr>
      <w:r>
        <w:rPr>
          <w:rFonts w:hint="eastAsia"/>
          <w:color w:val="auto"/>
        </w:rPr>
        <w:t xml:space="preserve">①加强生态环境保护的宣传和管理力度 </w:t>
      </w:r>
    </w:p>
    <w:p w14:paraId="18464A0C">
      <w:pPr>
        <w:pStyle w:val="139"/>
        <w:ind w:firstLine="480"/>
        <w:rPr>
          <w:color w:val="auto"/>
        </w:rPr>
      </w:pPr>
      <w:r>
        <w:rPr>
          <w:rFonts w:hint="eastAsia"/>
          <w:color w:val="auto"/>
        </w:rPr>
        <w:t>工程建设管理部门应充分认识到保护水生保护动物的重要性，加大对《中华人民共和国野生动物保护法</w:t>
      </w:r>
      <w:r>
        <w:rPr>
          <w:rFonts w:hint="eastAsia"/>
          <w:color w:val="auto"/>
          <w:lang w:eastAsia="zh-CN"/>
        </w:rPr>
        <w:t>》《</w:t>
      </w:r>
      <w:r>
        <w:rPr>
          <w:rFonts w:hint="eastAsia"/>
          <w:color w:val="auto"/>
        </w:rPr>
        <w:t xml:space="preserve">中华人民共和国渔业法》等法律法规的学习和宣传力度，加强对承包商、施工人员的宣传教育工作，严禁施工人员利用水上作业之便非法捕捞。 </w:t>
      </w:r>
    </w:p>
    <w:p w14:paraId="5B937D8F">
      <w:pPr>
        <w:pStyle w:val="139"/>
        <w:ind w:firstLine="480"/>
        <w:rPr>
          <w:color w:val="auto"/>
        </w:rPr>
      </w:pPr>
      <w:r>
        <w:rPr>
          <w:rFonts w:hint="eastAsia"/>
          <w:color w:val="auto"/>
        </w:rPr>
        <w:t>建设和施工单位应加大对《</w:t>
      </w:r>
      <w:r>
        <w:rPr>
          <w:rFonts w:hint="eastAsia"/>
          <w:color w:val="auto"/>
          <w:lang w:eastAsia="zh-CN"/>
        </w:rPr>
        <w:t>中华人民共和国野生动物保护法》《中华人民共和国渔业法</w:t>
      </w:r>
      <w:r>
        <w:rPr>
          <w:rFonts w:hint="eastAsia"/>
          <w:color w:val="auto"/>
        </w:rPr>
        <w:t>》等法律法规的宣传力度。建设单位与施工单位所</w:t>
      </w:r>
      <w:r>
        <w:rPr>
          <w:rFonts w:hint="eastAsia"/>
          <w:color w:val="auto"/>
          <w:lang w:eastAsia="zh-CN"/>
        </w:rPr>
        <w:t>签订</w:t>
      </w:r>
      <w:r>
        <w:rPr>
          <w:rFonts w:hint="eastAsia"/>
          <w:color w:val="auto"/>
        </w:rPr>
        <w:t xml:space="preserve">的承包合同中应有环境保护方面的条款，并附有环保要求的具体内容。 </w:t>
      </w:r>
    </w:p>
    <w:p w14:paraId="4444B090">
      <w:pPr>
        <w:pStyle w:val="139"/>
        <w:ind w:firstLine="480"/>
        <w:rPr>
          <w:color w:val="auto"/>
        </w:rPr>
      </w:pPr>
      <w:r>
        <w:rPr>
          <w:rFonts w:hint="eastAsia"/>
          <w:color w:val="auto"/>
        </w:rPr>
        <w:t>②科学选择施工期，水域作业选择枯水季节（12月～3月）进行，避开鱼类产卵繁殖期及鱼苗摄食育肥期（4月～6月），尽量减少对水生生物的影响。加强对承包商、施工人员的宣传教育工作，严禁施工人员利用水上作业之便捕捞。</w:t>
      </w:r>
    </w:p>
    <w:p w14:paraId="1A366772">
      <w:pPr>
        <w:pStyle w:val="139"/>
        <w:ind w:firstLine="480"/>
        <w:rPr>
          <w:color w:val="auto"/>
        </w:rPr>
      </w:pPr>
      <w:r>
        <w:rPr>
          <w:rFonts w:hint="eastAsia"/>
          <w:color w:val="auto"/>
        </w:rPr>
        <w:t xml:space="preserve">③施工期间，应严禁施工人员随意将各类废弃物，如生活垃圾等，禁止直接抛入水体之中，尤其禁止向水体抛弃有毒有害物质；施工结束后，所有建筑垃圾不得弃于航道中。同时，生态补偿也需考虑。 </w:t>
      </w:r>
    </w:p>
    <w:p w14:paraId="14273D10">
      <w:pPr>
        <w:pStyle w:val="139"/>
        <w:ind w:firstLine="480"/>
        <w:rPr>
          <w:color w:val="auto"/>
        </w:rPr>
      </w:pPr>
      <w:r>
        <w:rPr>
          <w:rFonts w:hint="eastAsia"/>
          <w:color w:val="auto"/>
        </w:rPr>
        <w:t>④水下施工中 SS 发生量则取决于施工机械、施工方法、土石质量和粒度分布情况及河段水文条件等。施工中应尽量采用先进的施工技术，合理安排施工</w:t>
      </w:r>
      <w:r>
        <w:rPr>
          <w:rFonts w:hint="eastAsia"/>
          <w:color w:val="auto"/>
          <w:lang w:eastAsia="zh-CN"/>
        </w:rPr>
        <w:t>挖掘</w:t>
      </w:r>
      <w:r>
        <w:rPr>
          <w:rFonts w:hint="eastAsia"/>
          <w:color w:val="auto"/>
        </w:rPr>
        <w:t>进度，缩短施工时间，最大限度地控制水下施工作业对底泥的搅动范围和强度，减少悬浮泥沙的发生量。</w:t>
      </w:r>
    </w:p>
    <w:p w14:paraId="405E57F1">
      <w:pPr>
        <w:pStyle w:val="82"/>
      </w:pPr>
      <w:r>
        <w:rPr>
          <w:rFonts w:hint="eastAsia"/>
        </w:rPr>
        <w:t>施工期环境事故风险防范和应急措施</w:t>
      </w:r>
    </w:p>
    <w:p w14:paraId="7E609D2D">
      <w:pPr>
        <w:pStyle w:val="93"/>
      </w:pPr>
      <w:r>
        <w:rPr>
          <w:rFonts w:hint="eastAsia"/>
        </w:rPr>
        <w:t>为避免事故的发生或减少事故后的污染影响，建设单位应在项目建设时，项目建成投产前制定事故防范措施，配备相当数量的应急设备和器材，做好施工期风险防范措施。</w:t>
      </w:r>
    </w:p>
    <w:p w14:paraId="5B7AC560">
      <w:pPr>
        <w:pStyle w:val="93"/>
      </w:pPr>
      <w:r>
        <w:rPr>
          <w:rFonts w:hint="eastAsia"/>
        </w:rPr>
        <w:t>1、在疏浚施工时，施工单位应随时准备吸附材料和隔离拦截材料，若发生泄漏事故，在有关单位指导和配合下，及时采取浮油拦截和吸附措施，直至油污消除。同时，建立应急救援队伍。</w:t>
      </w:r>
    </w:p>
    <w:p w14:paraId="0FF2E1CC">
      <w:pPr>
        <w:pStyle w:val="93"/>
      </w:pPr>
      <w:bookmarkStart w:id="320" w:name="_Toc26085"/>
      <w:bookmarkEnd w:id="320"/>
      <w:r>
        <w:rPr>
          <w:rFonts w:hint="eastAsia"/>
        </w:rPr>
        <w:t>2、施工期施工船舶底舱封闭运输水下土方，不开口施工。</w:t>
      </w:r>
    </w:p>
    <w:p w14:paraId="73CD147D">
      <w:pPr>
        <w:pStyle w:val="93"/>
      </w:pPr>
      <w:r>
        <w:rPr>
          <w:rFonts w:hint="eastAsia"/>
        </w:rPr>
        <w:t>3、施工前期，建设单位将施工水域及作业计划呈报当地海事和航道维护部门批准，并会同航道、海事、船舶等相关单位商讨施工期间的通行处理措施。比如临时移动航标改变通行路线，或者确定临时断航时间、地点等，并由各自主管部门发布航行通告和航道通告，以引起各</w:t>
      </w:r>
      <w:r>
        <w:rPr>
          <w:rFonts w:hint="eastAsia"/>
          <w:lang w:eastAsia="zh-CN"/>
        </w:rPr>
        <w:t>游船</w:t>
      </w:r>
      <w:r>
        <w:rPr>
          <w:rFonts w:hint="eastAsia"/>
        </w:rPr>
        <w:t>单位的重视。严禁无关船舶进入施工作业水域，按规定设置相应标识便于船舶导航，从源头上规避风险。</w:t>
      </w:r>
    </w:p>
    <w:p w14:paraId="1D980742">
      <w:pPr>
        <w:pStyle w:val="93"/>
      </w:pPr>
      <w:r>
        <w:rPr>
          <w:rFonts w:hint="eastAsia"/>
        </w:rPr>
        <w:t>4、施工前应与当地水务局、防汛局等部门沟通，与相关管理部门研究划定施工界限，获得施工许可，并发布施工通告；未经同意，不得擅自开工，不得擅自扩大施工作业安全区；加强施工质量和进度管理，严格按既定的施工要求和施工进度进行施工。</w:t>
      </w:r>
    </w:p>
    <w:p w14:paraId="6C5B2E97">
      <w:pPr>
        <w:pStyle w:val="93"/>
      </w:pPr>
      <w:r>
        <w:rPr>
          <w:rFonts w:hint="eastAsia"/>
        </w:rPr>
        <w:t>5、施工船舶选择有丰富经验的驾驶人员，船舶驾驶人员上岗前进行统一的岗前培训，使其明确熟悉相关操作规程和准确掌握通行避让规则。加强对船舶操作人员的技术培训，增强施工人员的安全意识和环境保护意识，严格操作规程，避免人为操作失误引起船舶碰撞，杜绝船舶供油作业中溢油事故的发生。</w:t>
      </w:r>
    </w:p>
    <w:p w14:paraId="011738DE">
      <w:pPr>
        <w:pStyle w:val="93"/>
      </w:pPr>
      <w:r>
        <w:rPr>
          <w:rFonts w:hint="eastAsia"/>
        </w:rPr>
        <w:t>6、施工期间，作业船只悬挂灯号和信号，灯号和信号应符合国家规定，以避免各施工船舶之间发生相撞从而引起溢油事故的发生，也避免危化品船只误入施工水域。施工作业船舶在施工期间加强值班瞭望，施工作业人员应严格按照操作规程进行操作。</w:t>
      </w:r>
    </w:p>
    <w:p w14:paraId="72ED403D">
      <w:pPr>
        <w:pStyle w:val="93"/>
      </w:pPr>
      <w:r>
        <w:rPr>
          <w:rFonts w:hint="eastAsia"/>
        </w:rPr>
        <w:t>7、施工船舶燃油实行一日一加，减少船舶自备载油量；船舶舱底含油一日一清，减少含油污水存放量，尽量减少事故污染源。</w:t>
      </w:r>
    </w:p>
    <w:p w14:paraId="12C648B8">
      <w:pPr>
        <w:pStyle w:val="93"/>
      </w:pPr>
      <w:r>
        <w:rPr>
          <w:rFonts w:hint="eastAsia"/>
        </w:rPr>
        <w:t>8、施工期间，施工单位应定期检查和维护施工船舶，使船舶维持良好的工作状态；同时，合理安排施工作业面，减少运砂船舶的碰撞</w:t>
      </w:r>
      <w:r>
        <w:rPr>
          <w:rFonts w:hint="eastAsia"/>
          <w:lang w:eastAsia="zh-CN"/>
        </w:rPr>
        <w:t>概率</w:t>
      </w:r>
      <w:r>
        <w:rPr>
          <w:rFonts w:hint="eastAsia"/>
        </w:rPr>
        <w:t>。施工期间遇恶劣天气必须将工程船舶及时撤离，保证船舶安全。</w:t>
      </w:r>
    </w:p>
    <w:p w14:paraId="5BE070B7">
      <w:pPr>
        <w:pStyle w:val="93"/>
      </w:pPr>
      <w:r>
        <w:rPr>
          <w:rFonts w:hint="eastAsia"/>
        </w:rPr>
        <w:t>9、建设单位和施工单位制定施工期船舶泄漏等事故应急预案，预案应包括应急事故组织机构、应急救援队伍、应急设施及物资的配备、报警系统、应急处理措施、应急培训计划等内容；施工场所应张贴应急报警电话。应急预案应与沿线各地市环境风险应急预案相衔接。疏浚、围堰施工时段提前10天通知下游水厂，使其做好必要的取水、水处理安全防范安排。</w:t>
      </w:r>
    </w:p>
    <w:p w14:paraId="4C510D52">
      <w:pPr>
        <w:pStyle w:val="93"/>
      </w:pPr>
      <w:r>
        <w:rPr>
          <w:rFonts w:hint="eastAsia"/>
        </w:rPr>
        <w:t>9、一旦发生船舶碰撞溢油环境风险事故，船方与建设单位应及时沟通，及时报告主管部门（海事部门、生态环境局、公安消防部门等），并实施溢油应急计划，同时要求施工单位、船方共同协作，及时用隔油栏、吸油材等进行控制、防护，使事故产生的影响减至最小，最大程度减少对取水口等水环境保护目标的影响。</w:t>
      </w:r>
    </w:p>
    <w:p w14:paraId="5C78F1C2">
      <w:pPr>
        <w:pStyle w:val="93"/>
      </w:pPr>
      <w:r>
        <w:rPr>
          <w:rFonts w:hint="eastAsia"/>
        </w:rPr>
        <w:t>10、相关部门接到污染事故报告后，应根据事故性质、污染程度和救助要求，迅速组织评估应急反应等级，并同时组织力量，调用清污设备实施救援，拟建工程业主应协助有关部门清除污染。</w:t>
      </w:r>
    </w:p>
    <w:p w14:paraId="26DF79B1">
      <w:pPr>
        <w:pStyle w:val="93"/>
      </w:pPr>
      <w:r>
        <w:rPr>
          <w:rFonts w:hint="eastAsia"/>
        </w:rPr>
        <w:t>11、除向上述公安、生态环境等部门及时汇报外，应委托环境专业人员和监测人员到场工作，对水体污染带进行监测和分析，并视情况采取必要的公告、化学处理等措施。</w:t>
      </w:r>
    </w:p>
    <w:p w14:paraId="664C4973">
      <w:pPr>
        <w:pStyle w:val="80"/>
      </w:pPr>
      <w:bookmarkStart w:id="321" w:name="_Toc18865"/>
      <w:bookmarkEnd w:id="321"/>
      <w:bookmarkStart w:id="322" w:name="_Toc10208"/>
      <w:bookmarkStart w:id="323" w:name="_Toc182171827"/>
      <w:r>
        <w:rPr>
          <w:rFonts w:hint="eastAsia"/>
        </w:rPr>
        <w:t>营运期污染防治措施</w:t>
      </w:r>
      <w:bookmarkEnd w:id="322"/>
      <w:bookmarkEnd w:id="323"/>
    </w:p>
    <w:p w14:paraId="17AAABED">
      <w:pPr>
        <w:pStyle w:val="82"/>
      </w:pPr>
      <w:r>
        <w:rPr>
          <w:rFonts w:hint="eastAsia"/>
        </w:rPr>
        <w:t>大气污染防治措施</w:t>
      </w:r>
    </w:p>
    <w:p w14:paraId="09927333">
      <w:pPr>
        <w:pStyle w:val="93"/>
      </w:pPr>
      <w:r>
        <w:rPr>
          <w:rFonts w:hint="eastAsia"/>
        </w:rPr>
        <w:t>根据营运期废气源强分析，码头建成后产生的大气污染物主要为船舶停靠水域下卸作业产生粉尘和船舶废气等。本次评价结合项目散货装卸特点，提出如下大气污染防治措施。</w:t>
      </w:r>
    </w:p>
    <w:p w14:paraId="525A25AC">
      <w:pPr>
        <w:pStyle w:val="84"/>
      </w:pPr>
      <w:bookmarkStart w:id="324" w:name="_Hlk182168653"/>
      <w:r>
        <w:rPr>
          <w:rFonts w:hint="eastAsia"/>
        </w:rPr>
        <w:t xml:space="preserve">码头装载过程防尘措施 </w:t>
      </w:r>
    </w:p>
    <w:bookmarkEnd w:id="324"/>
    <w:p w14:paraId="5C7264B8">
      <w:pPr>
        <w:pStyle w:val="139"/>
        <w:ind w:firstLine="480"/>
        <w:rPr>
          <w:color w:val="auto"/>
        </w:rPr>
      </w:pPr>
      <w:r>
        <w:rPr>
          <w:rFonts w:hint="eastAsia"/>
          <w:color w:val="auto"/>
        </w:rPr>
        <w:t>本项目装卸货物为煤炭，通过料斗进入皮带输送机，然后经传送皮带密闭输送至T</w:t>
      </w:r>
      <w:r>
        <w:rPr>
          <w:color w:val="auto"/>
        </w:rPr>
        <w:t>0</w:t>
      </w:r>
      <w:r>
        <w:rPr>
          <w:rFonts w:hint="eastAsia"/>
          <w:color w:val="auto"/>
        </w:rPr>
        <w:t>转运站，经密闭式管式输送机输送至国能涟水一期热电联产项目的封闭式煤场。桥式抓斗卸船机的防尘、抑尘系统：</w:t>
      </w:r>
      <w:r>
        <w:rPr>
          <w:rFonts w:hint="eastAsia"/>
          <w:color w:val="auto"/>
        </w:rPr>
        <w:tab/>
      </w:r>
      <w:r>
        <w:rPr>
          <w:rFonts w:hint="eastAsia"/>
          <w:color w:val="auto"/>
        </w:rPr>
        <w:t>每台桥式抓斗卸船机装备1套干雾加高压水雾的抑尘系统，并对桥式抓斗卸船机在运转过程中的起尘部位采取密闭防尘措施。桥式抓斗卸船机漏斗上口设挡风板，漏斗至码头皮带转运处设密闭溜槽和密闭导料槽，卸船接料斗下口应设闸板、出料溜筒，进、出口设橡胶帘。带式输送机的防尘、抑尘措施：</w:t>
      </w:r>
      <w:r>
        <w:rPr>
          <w:rFonts w:hint="eastAsia"/>
          <w:color w:val="auto"/>
        </w:rPr>
        <w:tab/>
      </w:r>
      <w:r>
        <w:rPr>
          <w:rFonts w:hint="eastAsia"/>
          <w:color w:val="auto"/>
        </w:rPr>
        <w:t>带式输送机设置皮带机罩，混凝土栈桥两侧设置防风板，在带式输送机卸料处回程皮带头部设置自动洗带装置。</w:t>
      </w:r>
    </w:p>
    <w:p w14:paraId="04B471EF">
      <w:pPr>
        <w:pStyle w:val="139"/>
        <w:ind w:firstLine="480"/>
        <w:rPr>
          <w:color w:val="auto"/>
        </w:rPr>
      </w:pPr>
      <w:r>
        <w:rPr>
          <w:rFonts w:hint="eastAsia"/>
          <w:color w:val="auto"/>
        </w:rPr>
        <w:t>煤炭进入料斗时，通过上述干雾抑尘，料斗防尘帘，皮带机增加导料槽等措施来减少粉尘的产生及排放。喷雾过程中大部分水量被货物带走，其余在生产过程中蒸发损耗，不产生废水。可满足《大气污染物综合排放标准》（DB32/4041—2021）中无组织排放监控浓度限值要求。</w:t>
      </w:r>
    </w:p>
    <w:p w14:paraId="198380AB">
      <w:pPr>
        <w:pStyle w:val="84"/>
      </w:pPr>
      <w:r>
        <w:rPr>
          <w:rFonts w:hint="eastAsia"/>
        </w:rPr>
        <w:t xml:space="preserve">燃油废气防治措施 </w:t>
      </w:r>
    </w:p>
    <w:p w14:paraId="64EBE55A">
      <w:pPr>
        <w:pStyle w:val="93"/>
      </w:pPr>
      <w:r>
        <w:rPr>
          <w:rFonts w:hint="eastAsia" w:ascii="宋体" w:hAnsi="宋体" w:eastAsia="宋体" w:cs="宋体"/>
        </w:rPr>
        <w:t>①</w:t>
      </w:r>
      <w:r>
        <w:rPr>
          <w:rFonts w:hint="eastAsia"/>
        </w:rPr>
        <w:t>装卸机械及来往船舶产生的燃油尾气的防治措施主要从管理入手，如要求进入本项目码头的船舶性能符合《船舶发动机排气污染物排放限值及测量方法（中国第一、二阶段）》（GB15097-2016），不符合上述性能的船舶禁止进入码头。</w:t>
      </w:r>
    </w:p>
    <w:p w14:paraId="48CAA79A">
      <w:pPr>
        <w:pStyle w:val="93"/>
      </w:pPr>
      <w:r>
        <w:rPr>
          <w:rFonts w:hint="eastAsia" w:ascii="宋体" w:hAnsi="宋体" w:eastAsia="宋体" w:cs="宋体"/>
        </w:rPr>
        <w:t>②</w:t>
      </w:r>
      <w:r>
        <w:rPr>
          <w:rFonts w:hint="eastAsia"/>
        </w:rPr>
        <w:t>使用合格的燃油，在燃柴油机械的燃料中添加助燃剂，使燃料油燃烧充分，降低尾气中污染物的排放量。</w:t>
      </w:r>
    </w:p>
    <w:p w14:paraId="218CAD18">
      <w:pPr>
        <w:pStyle w:val="93"/>
      </w:pPr>
      <w:r>
        <w:rPr>
          <w:rFonts w:hint="eastAsia" w:ascii="宋体" w:hAnsi="宋体" w:eastAsia="宋体" w:cs="宋体"/>
        </w:rPr>
        <w:t>③</w:t>
      </w:r>
      <w:r>
        <w:rPr>
          <w:rFonts w:hint="eastAsia"/>
        </w:rPr>
        <w:t xml:space="preserve">对码头机械及来往船舶进行定期保养，保证其处于良好的运转工况，可减少废气污染物的排放。 </w:t>
      </w:r>
    </w:p>
    <w:p w14:paraId="2CD925A5">
      <w:pPr>
        <w:pStyle w:val="93"/>
      </w:pPr>
      <w:r>
        <w:rPr>
          <w:rFonts w:hint="eastAsia" w:ascii="宋体" w:hAnsi="宋体" w:eastAsia="宋体" w:cs="宋体"/>
        </w:rPr>
        <w:t>④</w:t>
      </w:r>
      <w:r>
        <w:rPr>
          <w:rFonts w:hint="eastAsia"/>
        </w:rPr>
        <w:t>进港船舶应利用岸电作为能源，以减少船舶大气污染物排放。</w:t>
      </w:r>
    </w:p>
    <w:p w14:paraId="21860010">
      <w:pPr>
        <w:pStyle w:val="84"/>
      </w:pPr>
      <w:r>
        <w:rPr>
          <w:rFonts w:hint="eastAsia"/>
        </w:rPr>
        <w:t>岸电设施（船舶废气）</w:t>
      </w:r>
    </w:p>
    <w:p w14:paraId="2CBD267A">
      <w:pPr>
        <w:pStyle w:val="93"/>
      </w:pPr>
      <w:r>
        <w:rPr>
          <w:rFonts w:hint="eastAsia"/>
        </w:rPr>
        <w:t>新建码头同步规划、设计、建设岸电设施。根据江苏省生态环境厅、江苏省交通运输厅、中华人民共和国江苏海事局《关于印发江苏省港口与船舶大气污染防治工作方案的通知》苏环办〔2022〕258号，本项目在码头泊位建设时同步建设岸电设施，进港船舶应利用岸电作为能源，以减少船舶大气污染物排放。</w:t>
      </w:r>
    </w:p>
    <w:p w14:paraId="6F79E6CA">
      <w:pPr>
        <w:pStyle w:val="93"/>
      </w:pPr>
      <w:r>
        <w:rPr>
          <w:rFonts w:hint="eastAsia"/>
        </w:rPr>
        <w:t>本项目船舶停靠码头的时候，停止使用船舶上的自备辅助发电机，转而使用陆地电源向主要船载系统供电。其操作方式如下：靠泊船舶放下受电系统接头线缆，港口工作人员将船舶与船舶岸电系统连通，启动船舶岸电系统为靠泊船舶提供辅助动力，使用岸电系统。</w:t>
      </w:r>
      <w:r>
        <w:rPr>
          <w:rFonts w:hint="eastAsia"/>
          <w:lang w:eastAsia="zh-CN"/>
        </w:rPr>
        <w:t>泊岸</w:t>
      </w:r>
      <w:r>
        <w:rPr>
          <w:rFonts w:hint="eastAsia"/>
        </w:rPr>
        <w:t>电系统包括三个部分：岸上供电系统、船岸连接设备、船舶受电系统 。</w:t>
      </w:r>
    </w:p>
    <w:p w14:paraId="3297D6BC">
      <w:pPr>
        <w:pStyle w:val="93"/>
      </w:pPr>
      <w:r>
        <w:rPr>
          <w:rFonts w:hint="eastAsia"/>
        </w:rPr>
        <w:t>1）岸上供电系统：由前沿港区变电所供电，经过变压器、变频将输入电源转化为满足船舶要求的电源，供应到靠近船舶的连接点。</w:t>
      </w:r>
    </w:p>
    <w:p w14:paraId="0615ADD0">
      <w:pPr>
        <w:ind w:firstLine="480"/>
      </w:pPr>
      <w:r>
        <w:rPr>
          <w:rFonts w:hint="eastAsia"/>
        </w:rPr>
        <w:t>2）船岸连接设备：连接岸上连接点及船上受电装置间的电缆和设备。电缆连接设备必须满足快速连接和存储的要求，不使用的时候存储在船上、岸上或者驳船上。</w:t>
      </w:r>
    </w:p>
    <w:p w14:paraId="08B9AAEE">
      <w:pPr>
        <w:pStyle w:val="93"/>
      </w:pPr>
      <w:r>
        <w:rPr>
          <w:rFonts w:hint="eastAsia"/>
        </w:rPr>
        <w:t>3）船舶受电系统：在船上固定安装受电系统，可能包括电缆绞车、船上变压器和相关电气管理系统。</w:t>
      </w:r>
    </w:p>
    <w:p w14:paraId="55DF1FF0">
      <w:pPr>
        <w:pStyle w:val="93"/>
      </w:pPr>
      <w:r>
        <w:rPr>
          <w:rFonts w:hint="eastAsia"/>
        </w:rPr>
        <w:t>根据《码头岸电设施建设技术规范》（JTS155-2019），本工程在每个泊位分别设置30kVA船用岸电箱1台，供电电压等级为400V，50Hz。船舶靠岸后全部利用岸电取代船舶辅机。码头配置岸电系统后能够极大减少氮氧化物、二氧化硫、一氧化碳、二氧化碳、碳氨和悬浮物（PM）等的排放量。</w:t>
      </w:r>
    </w:p>
    <w:p w14:paraId="6BD90BDB">
      <w:pPr>
        <w:pStyle w:val="93"/>
      </w:pPr>
      <w:r>
        <w:rPr>
          <w:rFonts w:hint="eastAsia"/>
        </w:rPr>
        <w:t>室外岸电箱的结构应具有不低于防护等级IP65的防护措施，应具备接地故障指示、报警和保护等安全功能，设置可靠的接地和避雷措施。低压供电的接插件应符合现行国家标准《工业用插头插座和耦合器》（GB/TII9I8）的有关规定，岸基供电接口的插座、插头应参照《低压岸电连接系统（LVSC系统）用插头插座和船用耦合器》（T/CEC198-2019）相关条款，码头单位应配备与自身岸电设施相匹配的电缆（电缆一端为与自身岸基供电插座相匹配的插头，另一端为接线鼻子），电缆放置在岸电设施附近易于取用的位置，电缆数量应与岸电供电插座数量相一致。码头岸电设施应加装专用电能表，便于岸电使用电量读取和统计。低压岸电设施投入使用前，应对照检测规范对岸电设施检测合格，检测报告留存备查并报备属地交通主管部门。建立健全码头岸电设施管理、使用、维护保养制度和操作规程，设立岸电使用公示牌，建立岸电设施公示制度，建立岸电使用台账，及时登记靠泊船舶岸电使用情况。</w:t>
      </w:r>
    </w:p>
    <w:p w14:paraId="00A8D051">
      <w:pPr>
        <w:pStyle w:val="84"/>
      </w:pPr>
      <w:r>
        <w:rPr>
          <w:rFonts w:hint="eastAsia"/>
        </w:rPr>
        <w:t>监督管理措施</w:t>
      </w:r>
    </w:p>
    <w:p w14:paraId="674C5B5C">
      <w:pPr>
        <w:pStyle w:val="93"/>
      </w:pPr>
      <w:r>
        <w:rPr>
          <w:rFonts w:hint="eastAsia"/>
        </w:rPr>
        <w:t>（1）对各类防尘、除尘设施应建立相应的管理制度，并设专人负责设备的使用、养护及维修。设备完好率应达到90％以上，利用率应达到80％以上。除尘设备除尘效果差，达不到除尘要求的，应予报废或改进。</w:t>
      </w:r>
    </w:p>
    <w:p w14:paraId="7759D181">
      <w:pPr>
        <w:ind w:firstLine="480"/>
      </w:pPr>
      <w:r>
        <w:rPr>
          <w:rFonts w:hint="eastAsia"/>
        </w:rPr>
        <w:t>（2）港口安环部门应安排专人负责粉尘防治的监督工作，检查防尘设施的除尘效果，发现问题应及时与有关技术管理部门研究解决。</w:t>
      </w:r>
    </w:p>
    <w:p w14:paraId="4BC73B8C">
      <w:pPr>
        <w:pStyle w:val="93"/>
      </w:pPr>
      <w:r>
        <w:rPr>
          <w:rFonts w:hint="eastAsia"/>
        </w:rPr>
        <w:t>（3）在粉尘浓度严重超标，气象条件恶劣的情况下，监督管理人员有权要求停止作业。</w:t>
      </w:r>
    </w:p>
    <w:p w14:paraId="3544431A">
      <w:pPr>
        <w:pStyle w:val="93"/>
      </w:pPr>
      <w:r>
        <w:rPr>
          <w:rFonts w:hint="eastAsia"/>
        </w:rPr>
        <w:t>综上所述，本项目采取上述大气污染防治措施之后，营运期污染物排放量较少，对大气环境的影响不明显，因此本项目营运期大气污染防治措施可行。</w:t>
      </w:r>
    </w:p>
    <w:p w14:paraId="16CEFCBD">
      <w:pPr>
        <w:pStyle w:val="82"/>
      </w:pPr>
      <w:r>
        <w:rPr>
          <w:rFonts w:hint="eastAsia"/>
        </w:rPr>
        <w:t>水污染防治措施</w:t>
      </w:r>
    </w:p>
    <w:p w14:paraId="1DC28C4B">
      <w:pPr>
        <w:pStyle w:val="84"/>
      </w:pPr>
      <w:r>
        <w:rPr>
          <w:rFonts w:hint="eastAsia"/>
        </w:rPr>
        <w:t>船舶舱底油污水、船舶生活污水处理措施</w:t>
      </w:r>
    </w:p>
    <w:p w14:paraId="4B8CE479">
      <w:pPr>
        <w:pStyle w:val="93"/>
      </w:pPr>
      <w:r>
        <w:rPr>
          <w:rFonts w:hint="eastAsia"/>
        </w:rPr>
        <w:t>根据《73/78国际防污公约</w:t>
      </w:r>
      <w:r>
        <w:rPr>
          <w:rFonts w:hint="eastAsia"/>
          <w:lang w:eastAsia="zh-CN"/>
        </w:rPr>
        <w:t>》《</w:t>
      </w:r>
      <w:r>
        <w:rPr>
          <w:rFonts w:hint="eastAsia"/>
        </w:rPr>
        <w:t>中华人民共和国防止船舶污染海域管理条例</w:t>
      </w:r>
      <w:r>
        <w:rPr>
          <w:rFonts w:hint="eastAsia"/>
          <w:lang w:eastAsia="zh-CN"/>
        </w:rPr>
        <w:t>》《</w:t>
      </w:r>
      <w:r>
        <w:rPr>
          <w:rFonts w:hint="eastAsia"/>
        </w:rPr>
        <w:t>江苏省内河水域船舶污染防治条例》等法律法规的要求，到港船舶不得直接向码头所在水域直接排放污染物。</w:t>
      </w:r>
    </w:p>
    <w:p w14:paraId="6AA6C2BE">
      <w:pPr>
        <w:pStyle w:val="139"/>
        <w:ind w:firstLine="480"/>
        <w:rPr>
          <w:color w:val="auto"/>
        </w:rPr>
      </w:pPr>
      <w:r>
        <w:rPr>
          <w:rFonts w:hint="eastAsia"/>
          <w:color w:val="auto"/>
        </w:rPr>
        <w:t>船舶生活污水经1套码头前沿接收装置接收后</w:t>
      </w:r>
      <w:r>
        <w:rPr>
          <w:rFonts w:hint="eastAsia"/>
          <w:bCs/>
          <w:color w:val="auto"/>
        </w:rPr>
        <w:t>接管至国能涟水一期热电联产项目厂区污水处理设施处理</w:t>
      </w:r>
      <w:r>
        <w:rPr>
          <w:rFonts w:hint="eastAsia"/>
          <w:color w:val="auto"/>
        </w:rPr>
        <w:t>，项目船舶生活污水产生量为1470.2m</w:t>
      </w:r>
      <w:r>
        <w:rPr>
          <w:rFonts w:hint="eastAsia"/>
          <w:color w:val="auto"/>
          <w:vertAlign w:val="superscript"/>
        </w:rPr>
        <w:t>3</w:t>
      </w:r>
      <w:r>
        <w:rPr>
          <w:rFonts w:hint="eastAsia"/>
          <w:color w:val="auto"/>
        </w:rPr>
        <w:t>/a（4.46m</w:t>
      </w:r>
      <w:r>
        <w:rPr>
          <w:rFonts w:hint="eastAsia"/>
          <w:color w:val="auto"/>
          <w:vertAlign w:val="superscript"/>
        </w:rPr>
        <w:t>3</w:t>
      </w:r>
      <w:r>
        <w:rPr>
          <w:rFonts w:hint="eastAsia"/>
          <w:color w:val="auto"/>
        </w:rPr>
        <w:t>/d）。</w:t>
      </w:r>
    </w:p>
    <w:p w14:paraId="7725DDE1">
      <w:pPr>
        <w:pStyle w:val="139"/>
        <w:ind w:firstLine="480"/>
        <w:rPr>
          <w:color w:val="auto"/>
        </w:rPr>
      </w:pPr>
      <w:r>
        <w:rPr>
          <w:rFonts w:hint="eastAsia"/>
          <w:color w:val="auto"/>
        </w:rPr>
        <w:t>国能涟水一期热电联产项目建设</w:t>
      </w:r>
      <w:r>
        <w:rPr>
          <w:color w:val="auto"/>
        </w:rPr>
        <w:t>1</w:t>
      </w:r>
      <w:r>
        <w:rPr>
          <w:rFonts w:hint="eastAsia"/>
          <w:color w:val="auto"/>
        </w:rPr>
        <w:t>套处理能力均为</w:t>
      </w:r>
      <w:r>
        <w:rPr>
          <w:color w:val="auto"/>
        </w:rPr>
        <w:t>3</w:t>
      </w:r>
      <w:r>
        <w:rPr>
          <w:rFonts w:hint="eastAsia"/>
          <w:color w:val="auto"/>
        </w:rPr>
        <w:t>m</w:t>
      </w:r>
      <w:r>
        <w:rPr>
          <w:rFonts w:hint="eastAsia"/>
          <w:color w:val="auto"/>
          <w:vertAlign w:val="superscript"/>
        </w:rPr>
        <w:t>3</w:t>
      </w:r>
      <w:r>
        <w:rPr>
          <w:rFonts w:hint="eastAsia"/>
          <w:color w:val="auto"/>
        </w:rPr>
        <w:t>/h（72 m</w:t>
      </w:r>
      <w:r>
        <w:rPr>
          <w:rFonts w:hint="eastAsia"/>
          <w:color w:val="auto"/>
          <w:vertAlign w:val="superscript"/>
        </w:rPr>
        <w:t>3</w:t>
      </w:r>
      <w:r>
        <w:rPr>
          <w:rFonts w:hint="eastAsia"/>
          <w:color w:val="auto"/>
        </w:rPr>
        <w:t>/d）的地埋式一体化生活污水处理装置，在处理电厂生活污水和码头陆域生活污水后，剩余7.2 m</w:t>
      </w:r>
      <w:r>
        <w:rPr>
          <w:rFonts w:hint="eastAsia"/>
          <w:color w:val="auto"/>
          <w:vertAlign w:val="superscript"/>
        </w:rPr>
        <w:t>3</w:t>
      </w:r>
      <w:r>
        <w:rPr>
          <w:rFonts w:hint="eastAsia"/>
          <w:color w:val="auto"/>
        </w:rPr>
        <w:t>/d的处理能力，能够满足船舶生活污水的处理。处理工艺为</w:t>
      </w:r>
      <w:bookmarkStart w:id="325" w:name="OLE_LINK29"/>
      <w:r>
        <w:rPr>
          <w:rFonts w:hint="eastAsia"/>
          <w:color w:val="auto"/>
        </w:rPr>
        <w:t>二级生物接触氧化</w:t>
      </w:r>
      <w:bookmarkEnd w:id="325"/>
      <w:r>
        <w:rPr>
          <w:rFonts w:hint="eastAsia"/>
          <w:color w:val="auto"/>
        </w:rPr>
        <w:t>，能够满足船舶生活污水水质要求，经处理后的生活污水回用于厂区绿化。故后方电厂</w:t>
      </w:r>
      <w:r>
        <w:rPr>
          <w:rFonts w:hint="eastAsia"/>
          <w:bCs/>
          <w:color w:val="auto"/>
        </w:rPr>
        <w:t>船舶生活污水接收装置</w:t>
      </w:r>
      <w:r>
        <w:rPr>
          <w:rFonts w:hint="eastAsia"/>
          <w:color w:val="auto"/>
        </w:rPr>
        <w:t>规模可容纳收集船舶生活污水。经处理后的生活污水回用于厂区绿化，不外排。</w:t>
      </w:r>
    </w:p>
    <w:p w14:paraId="3C371BEE">
      <w:pPr>
        <w:pStyle w:val="139"/>
        <w:ind w:firstLine="480"/>
        <w:rPr>
          <w:color w:val="auto"/>
        </w:rPr>
      </w:pPr>
      <w:r>
        <w:rPr>
          <w:rFonts w:hint="eastAsia"/>
          <w:color w:val="auto"/>
        </w:rPr>
        <w:t>船舶生活污水回用可行性引用国能热电项目环评相关内容：</w:t>
      </w:r>
    </w:p>
    <w:p w14:paraId="3B5CB7FA">
      <w:pPr>
        <w:pStyle w:val="139"/>
        <w:ind w:firstLine="480"/>
        <w:rPr>
          <w:color w:val="auto"/>
        </w:rPr>
      </w:pPr>
      <w:bookmarkStart w:id="326" w:name="OLE_LINK30"/>
      <w:r>
        <w:rPr>
          <w:rFonts w:hint="eastAsia"/>
          <w:color w:val="auto"/>
        </w:rPr>
        <w:t>根据《火电厂污染防治可行技术指南》（HJ2301-2017）表 21 废水处理与回用可行技术路线中的生活污水可行技术包括（1）二级生化处理，（2）膜生物反应器工艺，去向或回用途径为“绿化、集中处理站”。热电项目生活污水处理站采用二级生物接触氧化工艺，属于可行技术，处理后的水全部回用于全厂绿化用水，属于可行技术指南中推荐可行去向。类比国家能源集团宿迁发电有限公司的例行监测数据：生活污水处理后pH7.5~7.9、氨氮3.99</w:t>
      </w:r>
      <w:r>
        <w:rPr>
          <w:rFonts w:hint="eastAsia"/>
          <w:color w:val="auto"/>
          <w:lang w:eastAsia="zh-CN"/>
        </w:rPr>
        <w:t>～</w:t>
      </w:r>
      <w:r>
        <w:rPr>
          <w:rFonts w:hint="eastAsia"/>
          <w:color w:val="auto"/>
        </w:rPr>
        <w:t>4.36mg/L、BOD6.7~9.2mg/L，能够满足《城市污水再生利用―城市杂用水水质》（GB/T 18920-2020）回用要求。</w:t>
      </w:r>
    </w:p>
    <w:bookmarkEnd w:id="326"/>
    <w:p w14:paraId="02BDFE79">
      <w:pPr>
        <w:pStyle w:val="93"/>
        <w:rPr>
          <w:b/>
        </w:rPr>
      </w:pPr>
      <w:r>
        <w:rPr>
          <w:rFonts w:hint="eastAsia"/>
        </w:rPr>
        <w:t>船舶舱底油污水由1套码头前沿接收装置收集，用不锈钢水箱作为船舶含油污水收集容器（</w:t>
      </w:r>
      <w:r>
        <w:rPr>
          <w:rFonts w:hint="eastAsia"/>
          <w:bCs/>
        </w:rPr>
        <w:t>接收装置规模</w:t>
      </w:r>
      <w:r>
        <w:rPr>
          <w:rFonts w:hint="eastAsia"/>
        </w:rPr>
        <w:t>1m</w:t>
      </w:r>
      <w:r>
        <w:rPr>
          <w:rFonts w:hint="eastAsia"/>
          <w:vertAlign w:val="superscript"/>
        </w:rPr>
        <w:t>3</w:t>
      </w:r>
      <w:r>
        <w:rPr>
          <w:rFonts w:hint="eastAsia"/>
        </w:rPr>
        <w:t>），配备自吸排污泵，标准法兰盘以及铜丝软管收集船舶含油污水。水箱盛满后，委托有资质单位处置，均不向盐河直接排放污染物。</w:t>
      </w:r>
    </w:p>
    <w:p w14:paraId="4DD813A4">
      <w:pPr>
        <w:pStyle w:val="84"/>
      </w:pPr>
      <w:r>
        <w:rPr>
          <w:rFonts w:hint="eastAsia"/>
        </w:rPr>
        <w:t>陆域生活污水处理措施及可行性分析</w:t>
      </w:r>
    </w:p>
    <w:p w14:paraId="75765072">
      <w:pPr>
        <w:pStyle w:val="93"/>
      </w:pPr>
      <w:r>
        <w:rPr>
          <w:rFonts w:hint="eastAsia"/>
        </w:rPr>
        <w:t>本项目陆域生活污水</w:t>
      </w:r>
      <w:r>
        <w:rPr>
          <w:rFonts w:hint="eastAsia"/>
          <w:bCs/>
        </w:rPr>
        <w:t>接管至国能涟水一期热电联产项目厂区污水处理设施处理（</w:t>
      </w:r>
      <w:r>
        <w:rPr>
          <w:rFonts w:hint="eastAsia"/>
        </w:rPr>
        <w:t>处理能力为3m</w:t>
      </w:r>
      <w:r>
        <w:rPr>
          <w:rFonts w:hint="eastAsia"/>
          <w:vertAlign w:val="superscript"/>
        </w:rPr>
        <w:t>3</w:t>
      </w:r>
      <w:r>
        <w:rPr>
          <w:rFonts w:hint="eastAsia"/>
        </w:rPr>
        <w:t>/h的地埋式一体化生活污水处理装置</w:t>
      </w:r>
      <w:r>
        <w:rPr>
          <w:rFonts w:hint="eastAsia"/>
          <w:bCs/>
        </w:rPr>
        <w:t>）</w:t>
      </w:r>
      <w:r>
        <w:rPr>
          <w:rFonts w:hint="eastAsia"/>
        </w:rPr>
        <w:t>，本项目陆域生活污水产生量为</w:t>
      </w:r>
      <w:r>
        <w:t>1336.5</w:t>
      </w:r>
      <w:r>
        <w:rPr>
          <w:rFonts w:hint="eastAsia"/>
        </w:rPr>
        <w:t>m</w:t>
      </w:r>
      <w:r>
        <w:rPr>
          <w:rFonts w:hint="eastAsia"/>
          <w:vertAlign w:val="superscript"/>
        </w:rPr>
        <w:t>3</w:t>
      </w:r>
      <w:r>
        <w:rPr>
          <w:rFonts w:hint="eastAsia"/>
        </w:rPr>
        <w:t>/a（0.</w:t>
      </w:r>
      <w:r>
        <w:t>17</w:t>
      </w:r>
      <w:r>
        <w:rPr>
          <w:rFonts w:hint="eastAsia"/>
        </w:rPr>
        <w:t>m</w:t>
      </w:r>
      <w:r>
        <w:rPr>
          <w:rFonts w:hint="eastAsia"/>
          <w:vertAlign w:val="superscript"/>
        </w:rPr>
        <w:t>3</w:t>
      </w:r>
      <w:r>
        <w:rPr>
          <w:rFonts w:hint="eastAsia"/>
        </w:rPr>
        <w:t>/h），故后方电厂生活污水接收规模可接纳处理陆域生活污水。经处理后的生活污水回用于厂区绿化，不外排。</w:t>
      </w:r>
    </w:p>
    <w:p w14:paraId="5F630DCC">
      <w:pPr>
        <w:pStyle w:val="139"/>
        <w:ind w:firstLine="480"/>
        <w:rPr>
          <w:color w:val="auto"/>
        </w:rPr>
      </w:pPr>
      <w:r>
        <w:rPr>
          <w:rFonts w:hint="eastAsia"/>
          <w:color w:val="auto"/>
        </w:rPr>
        <w:t>生活污水回用可行性引用国能热电项目环评相关内容：</w:t>
      </w:r>
    </w:p>
    <w:p w14:paraId="76152E50">
      <w:pPr>
        <w:pStyle w:val="139"/>
        <w:ind w:firstLine="480"/>
        <w:rPr>
          <w:color w:val="auto"/>
        </w:rPr>
      </w:pPr>
      <w:r>
        <w:rPr>
          <w:rFonts w:hint="eastAsia"/>
          <w:color w:val="auto"/>
        </w:rPr>
        <w:t>根据《火电厂污染防治可行技术指南》（HJ2301-2017）表 21 废水处理与回用可行技术路线中的生活污水可行技术包括（1）二级生化处理，（2）膜生物反应器工艺，去向或回用途径为“绿化、集中处理站”。热电项目生活污水处理站采用二级生物接触氧化工艺，属于可行技术，处理后的水全部回用于全厂绿化用水，属于可行技术指南中推荐可行去向。类比国家能源集团宿迁发电有限公司的例行监测数据：生活污水处理后pH7.5~7.9、氨氮3.99</w:t>
      </w:r>
      <w:r>
        <w:rPr>
          <w:rFonts w:hint="eastAsia"/>
          <w:color w:val="auto"/>
          <w:lang w:eastAsia="zh-CN"/>
        </w:rPr>
        <w:t>～</w:t>
      </w:r>
      <w:r>
        <w:rPr>
          <w:rFonts w:hint="eastAsia"/>
          <w:color w:val="auto"/>
        </w:rPr>
        <w:t>4.36mg/L、BOD6.7~9.2mg/L，能够满足《城市污水再生利用―城市杂用水水质》（GB/T 18920-2020）回用要求。</w:t>
      </w:r>
    </w:p>
    <w:p w14:paraId="56F91C66">
      <w:pPr>
        <w:pStyle w:val="84"/>
      </w:pPr>
      <w:r>
        <w:rPr>
          <w:rFonts w:hint="eastAsia"/>
        </w:rPr>
        <w:t>初期雨水处理措施及可行性分析</w:t>
      </w:r>
    </w:p>
    <w:p w14:paraId="3B45DB61">
      <w:pPr>
        <w:pStyle w:val="93"/>
      </w:pPr>
      <w:r>
        <w:rPr>
          <w:rFonts w:hint="eastAsia"/>
        </w:rPr>
        <w:t>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初期雨水过滤装置处理能力50t/h，电厂区域初期雨水产生量为</w:t>
      </w:r>
      <w:r>
        <w:t>18960</w:t>
      </w:r>
      <w:r>
        <w:rPr>
          <w:rFonts w:hint="eastAsia"/>
        </w:rPr>
        <w:t>t/a（2.4t/h），根据营运期废水源强计算，本项目初期雨水产生总量为1725.12t/a（0.22t/h），故后方电厂初期雨水处理能力可接纳本项目产生的初期雨水。</w:t>
      </w:r>
    </w:p>
    <w:p w14:paraId="1E03D591">
      <w:pPr>
        <w:pStyle w:val="139"/>
        <w:ind w:firstLine="480"/>
        <w:rPr>
          <w:color w:val="auto"/>
        </w:rPr>
      </w:pPr>
      <w:r>
        <w:rPr>
          <w:rFonts w:hint="eastAsia"/>
          <w:color w:val="auto"/>
        </w:rPr>
        <w:t>初期雨水回用可行性引用国能热电项目环评相关内容：</w:t>
      </w:r>
    </w:p>
    <w:p w14:paraId="5164AB13">
      <w:pPr>
        <w:pStyle w:val="139"/>
        <w:ind w:firstLine="480"/>
        <w:rPr>
          <w:color w:val="auto"/>
        </w:rPr>
      </w:pPr>
      <w:r>
        <w:rPr>
          <w:rFonts w:hint="eastAsia"/>
          <w:color w:val="auto"/>
        </w:rPr>
        <w:t>根据《火电厂污染防治可行技术指南》（HJ2301-2017）表 21 废水处理与回用可行技术路线中的初期雨水可行技术包括不处理或混凝、澄清，去向或回用途径为“集中处理站”。热电项目初期雨水采用过滤+澄清工艺处理，属于可行技术，处理后的初期雨水排至电厂集中污水处理站回用水池，属于可行技术指南中推荐可行去向。燃煤电厂初期雨水水质简单，污染因子主要为SS，经过滤后可以满足城市污水再生利</w:t>
      </w:r>
      <w:r>
        <w:rPr>
          <w:rFonts w:hint="eastAsia"/>
          <w:color w:val="auto"/>
          <w:lang w:eastAsia="zh-CN"/>
        </w:rPr>
        <w:t>用和</w:t>
      </w:r>
      <w:r>
        <w:rPr>
          <w:rFonts w:hint="eastAsia"/>
          <w:color w:val="auto"/>
        </w:rPr>
        <w:t>工业用水水质要求。</w:t>
      </w:r>
    </w:p>
    <w:p w14:paraId="01FDDEC0">
      <w:pPr>
        <w:pStyle w:val="84"/>
      </w:pPr>
      <w:r>
        <w:rPr>
          <w:rFonts w:hint="eastAsia"/>
        </w:rPr>
        <w:t xml:space="preserve">码头及中转站冲洗废水及雨水防治措施 </w:t>
      </w:r>
    </w:p>
    <w:p w14:paraId="03571C4F">
      <w:pPr>
        <w:pStyle w:val="93"/>
      </w:pPr>
      <w:r>
        <w:rPr>
          <w:rFonts w:hint="eastAsia"/>
        </w:rPr>
        <w:t>本项目营运期码头初期雨水经排水沟收集后汇入码头面污水池，经潜污泵提升至国能涟水一期热电联产项目厂区初期雨水池，容积约1500m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w:t>
      </w:r>
    </w:p>
    <w:p w14:paraId="3FE5AACA">
      <w:pPr>
        <w:pStyle w:val="93"/>
      </w:pPr>
      <w:r>
        <w:rPr>
          <w:rFonts w:hint="eastAsia"/>
        </w:rPr>
        <w:t>码头冲洗废水经排水沟收集排入国能涟水一期热电联产项目含煤废水处理系统处理后用作厂区煤场喷淋和输煤栈桥冲洗，不外排。</w:t>
      </w:r>
    </w:p>
    <w:p w14:paraId="5C2AB008">
      <w:pPr>
        <w:pStyle w:val="139"/>
        <w:ind w:firstLine="480"/>
        <w:rPr>
          <w:color w:val="auto"/>
        </w:rPr>
      </w:pPr>
      <w:r>
        <w:rPr>
          <w:rFonts w:hint="eastAsia"/>
          <w:color w:val="auto"/>
        </w:rPr>
        <w:t>含煤废水回用可行性引用国能热电项目环评相关内容：</w:t>
      </w:r>
    </w:p>
    <w:p w14:paraId="0CE3DEF7">
      <w:pPr>
        <w:pStyle w:val="139"/>
        <w:ind w:firstLine="480"/>
        <w:rPr>
          <w:color w:val="auto"/>
        </w:rPr>
      </w:pPr>
      <w:r>
        <w:rPr>
          <w:rFonts w:hint="eastAsia"/>
          <w:color w:val="auto"/>
        </w:rPr>
        <w:t>根据《火电厂污染防治可行技术指南》（HJ2301-2017）表 21 废水处理与回用可行技术路线中的含煤废水可行技术包括混凝、澄清、过滤，去向或回用途径为“重复利用”。热电项目含煤废水采用沉煤池+电子絮凝沉淀+澄清、过滤处理，属于可行技术，处理后的含煤废水直接回用于厂区煤场喷淋和输煤栈桥冲洗，不外排，属于可行技术指南中推荐可行去向。燃煤电厂含煤废水水质简单，污染因子主要为SS，经处理后可以满足城市污水再生利</w:t>
      </w:r>
      <w:r>
        <w:rPr>
          <w:rFonts w:hint="eastAsia"/>
          <w:color w:val="auto"/>
          <w:lang w:eastAsia="zh-CN"/>
        </w:rPr>
        <w:t>用和</w:t>
      </w:r>
      <w:r>
        <w:rPr>
          <w:rFonts w:hint="eastAsia"/>
          <w:color w:val="auto"/>
        </w:rPr>
        <w:t>工业用水水质要求。</w:t>
      </w:r>
    </w:p>
    <w:p w14:paraId="68D5D8AB">
      <w:pPr>
        <w:ind w:firstLine="480"/>
      </w:pPr>
      <w:r>
        <w:rPr>
          <w:rFonts w:hint="eastAsia"/>
        </w:rPr>
        <w:t>本环评提出主要水污染防治对策措施见表 6.2-1。</w:t>
      </w:r>
    </w:p>
    <w:p w14:paraId="6EE60C1C">
      <w:pPr>
        <w:pStyle w:val="86"/>
      </w:pPr>
      <w:r>
        <w:rPr>
          <w:rFonts w:hint="eastAsia"/>
        </w:rPr>
        <w:t>水污染防治对策措施一览表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51"/>
        <w:gridCol w:w="1701"/>
        <w:gridCol w:w="3376"/>
        <w:gridCol w:w="1663"/>
      </w:tblGrid>
      <w:tr w14:paraId="4B0F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dxa"/>
            <w:tcBorders>
              <w:top w:val="single" w:color="auto" w:sz="4" w:space="0"/>
              <w:left w:val="single" w:color="auto" w:sz="4" w:space="0"/>
              <w:bottom w:val="single" w:color="auto" w:sz="4" w:space="0"/>
              <w:right w:val="single" w:color="auto" w:sz="4" w:space="0"/>
            </w:tcBorders>
            <w:vAlign w:val="center"/>
          </w:tcPr>
          <w:p w14:paraId="0A6B6EE8">
            <w:pPr>
              <w:pStyle w:val="196"/>
              <w:rPr>
                <w:b/>
                <w:bCs/>
              </w:rPr>
            </w:pPr>
            <w:r>
              <w:rPr>
                <w:rFonts w:hint="eastAsia"/>
                <w:b/>
                <w:bCs/>
              </w:rPr>
              <w:t>阶段</w:t>
            </w:r>
          </w:p>
          <w:p w14:paraId="568A80F0">
            <w:pPr>
              <w:pStyle w:val="196"/>
              <w:rPr>
                <w:b/>
                <w:bCs/>
              </w:rPr>
            </w:pPr>
          </w:p>
        </w:tc>
        <w:tc>
          <w:tcPr>
            <w:tcW w:w="851" w:type="dxa"/>
            <w:tcBorders>
              <w:top w:val="single" w:color="auto" w:sz="4" w:space="0"/>
              <w:left w:val="single" w:color="auto" w:sz="4" w:space="0"/>
              <w:bottom w:val="single" w:color="auto" w:sz="4" w:space="0"/>
              <w:right w:val="single" w:color="auto" w:sz="4" w:space="0"/>
            </w:tcBorders>
            <w:vAlign w:val="center"/>
          </w:tcPr>
          <w:p w14:paraId="1A815C0B">
            <w:pPr>
              <w:pStyle w:val="196"/>
              <w:rPr>
                <w:b/>
                <w:bCs/>
              </w:rPr>
            </w:pPr>
            <w:r>
              <w:rPr>
                <w:rFonts w:hint="eastAsia"/>
                <w:b/>
                <w:bCs/>
              </w:rPr>
              <w:t>污染</w:t>
            </w:r>
          </w:p>
          <w:p w14:paraId="6FB4D834">
            <w:pPr>
              <w:pStyle w:val="196"/>
              <w:rPr>
                <w:b/>
                <w:bCs/>
              </w:rPr>
            </w:pPr>
            <w:r>
              <w:rPr>
                <w:rFonts w:hint="eastAsia"/>
                <w:b/>
                <w:bCs/>
              </w:rPr>
              <w:t>物</w:t>
            </w:r>
          </w:p>
        </w:tc>
        <w:tc>
          <w:tcPr>
            <w:tcW w:w="1701" w:type="dxa"/>
            <w:tcBorders>
              <w:top w:val="single" w:color="auto" w:sz="4" w:space="0"/>
              <w:left w:val="single" w:color="auto" w:sz="4" w:space="0"/>
              <w:bottom w:val="single" w:color="auto" w:sz="4" w:space="0"/>
              <w:right w:val="single" w:color="auto" w:sz="4" w:space="0"/>
            </w:tcBorders>
            <w:vAlign w:val="center"/>
          </w:tcPr>
          <w:p w14:paraId="07D7244D">
            <w:pPr>
              <w:pStyle w:val="196"/>
              <w:rPr>
                <w:b/>
                <w:bCs/>
              </w:rPr>
            </w:pPr>
            <w:r>
              <w:rPr>
                <w:rFonts w:hint="eastAsia"/>
                <w:b/>
                <w:bCs/>
              </w:rPr>
              <w:t>污染物排放</w:t>
            </w:r>
          </w:p>
        </w:tc>
        <w:tc>
          <w:tcPr>
            <w:tcW w:w="3376" w:type="dxa"/>
            <w:tcBorders>
              <w:top w:val="single" w:color="auto" w:sz="4" w:space="0"/>
              <w:left w:val="single" w:color="auto" w:sz="4" w:space="0"/>
              <w:bottom w:val="single" w:color="auto" w:sz="4" w:space="0"/>
              <w:right w:val="single" w:color="auto" w:sz="4" w:space="0"/>
            </w:tcBorders>
            <w:vAlign w:val="center"/>
          </w:tcPr>
          <w:p w14:paraId="6398568B">
            <w:pPr>
              <w:pStyle w:val="196"/>
              <w:rPr>
                <w:b/>
                <w:bCs/>
              </w:rPr>
            </w:pPr>
            <w:r>
              <w:rPr>
                <w:rFonts w:hint="eastAsia"/>
                <w:b/>
                <w:bCs/>
              </w:rPr>
              <w:t>环保措施</w:t>
            </w:r>
          </w:p>
        </w:tc>
        <w:tc>
          <w:tcPr>
            <w:tcW w:w="1663" w:type="dxa"/>
            <w:tcBorders>
              <w:top w:val="single" w:color="auto" w:sz="4" w:space="0"/>
              <w:left w:val="single" w:color="auto" w:sz="4" w:space="0"/>
              <w:bottom w:val="single" w:color="auto" w:sz="4" w:space="0"/>
              <w:right w:val="single" w:color="auto" w:sz="4" w:space="0"/>
            </w:tcBorders>
            <w:vAlign w:val="center"/>
          </w:tcPr>
          <w:p w14:paraId="663CF1A7">
            <w:pPr>
              <w:pStyle w:val="196"/>
              <w:rPr>
                <w:b/>
                <w:bCs/>
              </w:rPr>
            </w:pPr>
            <w:r>
              <w:rPr>
                <w:rFonts w:hint="eastAsia"/>
                <w:b/>
                <w:bCs/>
              </w:rPr>
              <w:t>预期效果</w:t>
            </w:r>
          </w:p>
        </w:tc>
      </w:tr>
      <w:tr w14:paraId="4C37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tcBorders>
              <w:top w:val="single" w:color="auto" w:sz="4" w:space="0"/>
              <w:left w:val="single" w:color="auto" w:sz="4" w:space="0"/>
              <w:right w:val="single" w:color="auto" w:sz="4" w:space="0"/>
            </w:tcBorders>
            <w:vAlign w:val="center"/>
          </w:tcPr>
          <w:p w14:paraId="2DD6F8A3">
            <w:pPr>
              <w:pStyle w:val="196"/>
            </w:pPr>
            <w:r>
              <w:rPr>
                <w:rFonts w:hint="eastAsia"/>
              </w:rPr>
              <w:t>施工期</w:t>
            </w:r>
          </w:p>
        </w:tc>
        <w:tc>
          <w:tcPr>
            <w:tcW w:w="851" w:type="dxa"/>
            <w:vMerge w:val="restart"/>
            <w:tcBorders>
              <w:top w:val="single" w:color="auto" w:sz="4" w:space="0"/>
              <w:left w:val="single" w:color="auto" w:sz="4" w:space="0"/>
              <w:right w:val="single" w:color="auto" w:sz="4" w:space="0"/>
            </w:tcBorders>
            <w:vAlign w:val="center"/>
          </w:tcPr>
          <w:p w14:paraId="2B0D47AE">
            <w:pPr>
              <w:pStyle w:val="196"/>
            </w:pPr>
            <w:r>
              <w:rPr>
                <w:rFonts w:hint="eastAsia"/>
              </w:rPr>
              <w:t>含油污水</w:t>
            </w:r>
          </w:p>
        </w:tc>
        <w:tc>
          <w:tcPr>
            <w:tcW w:w="1701" w:type="dxa"/>
            <w:tcBorders>
              <w:top w:val="single" w:color="auto" w:sz="4" w:space="0"/>
              <w:left w:val="single" w:color="auto" w:sz="4" w:space="0"/>
              <w:bottom w:val="single" w:color="auto" w:sz="4" w:space="0"/>
              <w:right w:val="single" w:color="auto" w:sz="4" w:space="0"/>
            </w:tcBorders>
            <w:vAlign w:val="center"/>
          </w:tcPr>
          <w:p w14:paraId="3783961C">
            <w:pPr>
              <w:pStyle w:val="196"/>
            </w:pPr>
            <w:r>
              <w:rPr>
                <w:rFonts w:hint="eastAsia"/>
              </w:rPr>
              <w:t>船舶机舱含油污水</w:t>
            </w:r>
          </w:p>
        </w:tc>
        <w:tc>
          <w:tcPr>
            <w:tcW w:w="3376" w:type="dxa"/>
            <w:tcBorders>
              <w:top w:val="single" w:color="auto" w:sz="4" w:space="0"/>
              <w:left w:val="single" w:color="auto" w:sz="4" w:space="0"/>
              <w:bottom w:val="single" w:color="auto" w:sz="4" w:space="0"/>
              <w:right w:val="single" w:color="auto" w:sz="4" w:space="0"/>
            </w:tcBorders>
            <w:vAlign w:val="center"/>
          </w:tcPr>
          <w:p w14:paraId="4E2276FB">
            <w:pPr>
              <w:pStyle w:val="196"/>
            </w:pPr>
            <w:r>
              <w:rPr>
                <w:rFonts w:hint="eastAsia"/>
              </w:rPr>
              <w:t>施工船舶安装油水分离器，以减少对周围水环境的影响；无油水分离器的必须集中收集和贮存，交由有资质单位处理达标排放。</w:t>
            </w:r>
          </w:p>
        </w:tc>
        <w:tc>
          <w:tcPr>
            <w:tcW w:w="1663" w:type="dxa"/>
            <w:tcBorders>
              <w:top w:val="single" w:color="auto" w:sz="4" w:space="0"/>
              <w:left w:val="single" w:color="auto" w:sz="4" w:space="0"/>
              <w:bottom w:val="single" w:color="auto" w:sz="4" w:space="0"/>
              <w:right w:val="single" w:color="auto" w:sz="4" w:space="0"/>
            </w:tcBorders>
            <w:vAlign w:val="center"/>
          </w:tcPr>
          <w:p w14:paraId="1B3B479D">
            <w:pPr>
              <w:pStyle w:val="196"/>
            </w:pPr>
            <w:r>
              <w:rPr>
                <w:rFonts w:hint="eastAsia"/>
              </w:rPr>
              <w:t>处理达标/集中处理达标，不排入盐河</w:t>
            </w:r>
          </w:p>
        </w:tc>
      </w:tr>
      <w:tr w14:paraId="65616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776DB227">
            <w:pPr>
              <w:pStyle w:val="196"/>
            </w:pPr>
          </w:p>
        </w:tc>
        <w:tc>
          <w:tcPr>
            <w:tcW w:w="851" w:type="dxa"/>
            <w:vMerge w:val="continue"/>
            <w:tcBorders>
              <w:left w:val="single" w:color="auto" w:sz="4" w:space="0"/>
              <w:right w:val="single" w:color="auto" w:sz="4" w:space="0"/>
            </w:tcBorders>
            <w:vAlign w:val="center"/>
          </w:tcPr>
          <w:p w14:paraId="4658806C">
            <w:pPr>
              <w:pStyle w:val="196"/>
            </w:pPr>
          </w:p>
        </w:tc>
        <w:tc>
          <w:tcPr>
            <w:tcW w:w="1701" w:type="dxa"/>
            <w:vMerge w:val="restart"/>
            <w:tcBorders>
              <w:top w:val="single" w:color="auto" w:sz="4" w:space="0"/>
              <w:left w:val="single" w:color="auto" w:sz="4" w:space="0"/>
              <w:right w:val="single" w:color="auto" w:sz="4" w:space="0"/>
            </w:tcBorders>
            <w:vAlign w:val="center"/>
          </w:tcPr>
          <w:p w14:paraId="4C438B9F">
            <w:pPr>
              <w:pStyle w:val="196"/>
            </w:pPr>
            <w:r>
              <w:rPr>
                <w:rFonts w:hint="eastAsia"/>
              </w:rPr>
              <w:t>船舶及其他施工机械作业期间漏油或者维修产生的油污</w:t>
            </w:r>
          </w:p>
        </w:tc>
        <w:tc>
          <w:tcPr>
            <w:tcW w:w="3376" w:type="dxa"/>
            <w:tcBorders>
              <w:top w:val="single" w:color="auto" w:sz="4" w:space="0"/>
              <w:left w:val="single" w:color="auto" w:sz="4" w:space="0"/>
              <w:bottom w:val="single" w:color="auto" w:sz="4" w:space="0"/>
              <w:right w:val="single" w:color="auto" w:sz="4" w:space="0"/>
            </w:tcBorders>
            <w:vAlign w:val="center"/>
          </w:tcPr>
          <w:p w14:paraId="56502B2D">
            <w:pPr>
              <w:pStyle w:val="196"/>
            </w:pPr>
            <w:r>
              <w:rPr>
                <w:rFonts w:hint="eastAsia"/>
              </w:rPr>
              <w:t>交有危险化学品处理资质的单位安全处理。</w:t>
            </w:r>
          </w:p>
        </w:tc>
        <w:tc>
          <w:tcPr>
            <w:tcW w:w="1663" w:type="dxa"/>
            <w:vMerge w:val="restart"/>
            <w:tcBorders>
              <w:top w:val="single" w:color="auto" w:sz="4" w:space="0"/>
              <w:left w:val="single" w:color="auto" w:sz="4" w:space="0"/>
              <w:right w:val="single" w:color="auto" w:sz="4" w:space="0"/>
            </w:tcBorders>
            <w:vAlign w:val="center"/>
          </w:tcPr>
          <w:p w14:paraId="5C954413">
            <w:pPr>
              <w:pStyle w:val="196"/>
            </w:pPr>
            <w:r>
              <w:rPr>
                <w:rFonts w:hint="eastAsia"/>
              </w:rPr>
              <w:t>交由资质的单位安全处理</w:t>
            </w:r>
          </w:p>
        </w:tc>
      </w:tr>
      <w:tr w14:paraId="34BD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64DA76C1">
            <w:pPr>
              <w:pStyle w:val="196"/>
            </w:pPr>
          </w:p>
        </w:tc>
        <w:tc>
          <w:tcPr>
            <w:tcW w:w="851" w:type="dxa"/>
            <w:vMerge w:val="continue"/>
            <w:tcBorders>
              <w:left w:val="single" w:color="auto" w:sz="4" w:space="0"/>
              <w:right w:val="single" w:color="auto" w:sz="4" w:space="0"/>
            </w:tcBorders>
            <w:vAlign w:val="center"/>
          </w:tcPr>
          <w:p w14:paraId="2C0AB26A">
            <w:pPr>
              <w:pStyle w:val="196"/>
            </w:pPr>
          </w:p>
        </w:tc>
        <w:tc>
          <w:tcPr>
            <w:tcW w:w="1701" w:type="dxa"/>
            <w:vMerge w:val="continue"/>
            <w:tcBorders>
              <w:left w:val="single" w:color="auto" w:sz="4" w:space="0"/>
              <w:bottom w:val="single" w:color="auto" w:sz="4" w:space="0"/>
              <w:right w:val="single" w:color="auto" w:sz="4" w:space="0"/>
            </w:tcBorders>
            <w:vAlign w:val="center"/>
          </w:tcPr>
          <w:p w14:paraId="316B605B">
            <w:pPr>
              <w:pStyle w:val="196"/>
            </w:pPr>
          </w:p>
        </w:tc>
        <w:tc>
          <w:tcPr>
            <w:tcW w:w="3376" w:type="dxa"/>
            <w:tcBorders>
              <w:top w:val="single" w:color="auto" w:sz="4" w:space="0"/>
              <w:left w:val="single" w:color="auto" w:sz="4" w:space="0"/>
              <w:bottom w:val="single" w:color="auto" w:sz="4" w:space="0"/>
              <w:right w:val="single" w:color="auto" w:sz="4" w:space="0"/>
            </w:tcBorders>
            <w:vAlign w:val="center"/>
          </w:tcPr>
          <w:p w14:paraId="7F5C4059">
            <w:pPr>
              <w:pStyle w:val="196"/>
            </w:pPr>
            <w:r>
              <w:rPr>
                <w:rFonts w:hint="eastAsia"/>
              </w:rPr>
              <w:t>必要时可考虑使用备用的溢油回收设施。</w:t>
            </w:r>
          </w:p>
        </w:tc>
        <w:tc>
          <w:tcPr>
            <w:tcW w:w="1663" w:type="dxa"/>
            <w:vMerge w:val="continue"/>
            <w:tcBorders>
              <w:left w:val="single" w:color="auto" w:sz="4" w:space="0"/>
              <w:bottom w:val="single" w:color="auto" w:sz="4" w:space="0"/>
              <w:right w:val="single" w:color="auto" w:sz="4" w:space="0"/>
            </w:tcBorders>
            <w:vAlign w:val="center"/>
          </w:tcPr>
          <w:p w14:paraId="111D8681">
            <w:pPr>
              <w:pStyle w:val="196"/>
            </w:pPr>
          </w:p>
        </w:tc>
      </w:tr>
      <w:tr w14:paraId="45DE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6C903EB5">
            <w:pPr>
              <w:pStyle w:val="196"/>
            </w:pPr>
          </w:p>
        </w:tc>
        <w:tc>
          <w:tcPr>
            <w:tcW w:w="851" w:type="dxa"/>
            <w:vMerge w:val="continue"/>
            <w:tcBorders>
              <w:left w:val="single" w:color="auto" w:sz="4" w:space="0"/>
              <w:bottom w:val="single" w:color="auto" w:sz="4" w:space="0"/>
              <w:right w:val="single" w:color="auto" w:sz="4" w:space="0"/>
            </w:tcBorders>
            <w:vAlign w:val="center"/>
          </w:tcPr>
          <w:p w14:paraId="74C292C6">
            <w:pPr>
              <w:pStyle w:val="196"/>
            </w:pPr>
          </w:p>
        </w:tc>
        <w:tc>
          <w:tcPr>
            <w:tcW w:w="1701" w:type="dxa"/>
            <w:tcBorders>
              <w:top w:val="single" w:color="auto" w:sz="4" w:space="0"/>
              <w:left w:val="single" w:color="auto" w:sz="4" w:space="0"/>
              <w:bottom w:val="single" w:color="auto" w:sz="4" w:space="0"/>
              <w:right w:val="single" w:color="auto" w:sz="4" w:space="0"/>
            </w:tcBorders>
            <w:vAlign w:val="center"/>
          </w:tcPr>
          <w:p w14:paraId="67859ADB">
            <w:pPr>
              <w:pStyle w:val="196"/>
            </w:pPr>
            <w:r>
              <w:rPr>
                <w:rFonts w:hint="eastAsia"/>
              </w:rPr>
              <w:t>船舶、机器等清洗</w:t>
            </w:r>
          </w:p>
        </w:tc>
        <w:tc>
          <w:tcPr>
            <w:tcW w:w="3376" w:type="dxa"/>
            <w:tcBorders>
              <w:top w:val="single" w:color="auto" w:sz="4" w:space="0"/>
              <w:left w:val="single" w:color="auto" w:sz="4" w:space="0"/>
              <w:bottom w:val="single" w:color="auto" w:sz="4" w:space="0"/>
              <w:right w:val="single" w:color="auto" w:sz="4" w:space="0"/>
            </w:tcBorders>
            <w:vAlign w:val="center"/>
          </w:tcPr>
          <w:p w14:paraId="0B92B72D">
            <w:pPr>
              <w:pStyle w:val="196"/>
            </w:pPr>
            <w:r>
              <w:rPr>
                <w:rFonts w:hint="eastAsia"/>
              </w:rPr>
              <w:t>每周定期上岸请有资质的单位清洗并检修。</w:t>
            </w:r>
          </w:p>
        </w:tc>
        <w:tc>
          <w:tcPr>
            <w:tcW w:w="1663" w:type="dxa"/>
            <w:tcBorders>
              <w:top w:val="single" w:color="auto" w:sz="4" w:space="0"/>
              <w:left w:val="single" w:color="auto" w:sz="4" w:space="0"/>
              <w:bottom w:val="single" w:color="auto" w:sz="4" w:space="0"/>
              <w:right w:val="single" w:color="auto" w:sz="4" w:space="0"/>
            </w:tcBorders>
            <w:vAlign w:val="center"/>
          </w:tcPr>
          <w:p w14:paraId="1689F73E">
            <w:pPr>
              <w:pStyle w:val="196"/>
            </w:pPr>
            <w:r>
              <w:rPr>
                <w:rFonts w:hint="eastAsia"/>
              </w:rPr>
              <w:t>不在项目区进行</w:t>
            </w:r>
          </w:p>
        </w:tc>
      </w:tr>
      <w:tr w14:paraId="3958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0C9FC459">
            <w:pPr>
              <w:pStyle w:val="196"/>
            </w:pPr>
          </w:p>
        </w:tc>
        <w:tc>
          <w:tcPr>
            <w:tcW w:w="851" w:type="dxa"/>
            <w:vMerge w:val="restart"/>
            <w:tcBorders>
              <w:top w:val="single" w:color="auto" w:sz="4" w:space="0"/>
              <w:left w:val="single" w:color="auto" w:sz="4" w:space="0"/>
              <w:right w:val="single" w:color="auto" w:sz="4" w:space="0"/>
            </w:tcBorders>
            <w:vAlign w:val="center"/>
          </w:tcPr>
          <w:p w14:paraId="683C3FE7">
            <w:pPr>
              <w:pStyle w:val="196"/>
            </w:pPr>
            <w:r>
              <w:rPr>
                <w:rFonts w:hint="eastAsia"/>
              </w:rPr>
              <w:t>生活污水</w:t>
            </w:r>
          </w:p>
        </w:tc>
        <w:tc>
          <w:tcPr>
            <w:tcW w:w="1701" w:type="dxa"/>
            <w:tcBorders>
              <w:top w:val="single" w:color="auto" w:sz="4" w:space="0"/>
              <w:left w:val="single" w:color="auto" w:sz="4" w:space="0"/>
              <w:bottom w:val="single" w:color="auto" w:sz="4" w:space="0"/>
              <w:right w:val="single" w:color="auto" w:sz="4" w:space="0"/>
            </w:tcBorders>
            <w:vAlign w:val="center"/>
          </w:tcPr>
          <w:p w14:paraId="6A6C7C3F">
            <w:pPr>
              <w:pStyle w:val="196"/>
            </w:pPr>
            <w:r>
              <w:rPr>
                <w:rFonts w:hint="eastAsia"/>
              </w:rPr>
              <w:t>船舶生活污水</w:t>
            </w:r>
          </w:p>
        </w:tc>
        <w:tc>
          <w:tcPr>
            <w:tcW w:w="3376" w:type="dxa"/>
            <w:tcBorders>
              <w:top w:val="single" w:color="auto" w:sz="4" w:space="0"/>
              <w:left w:val="single" w:color="auto" w:sz="4" w:space="0"/>
              <w:bottom w:val="single" w:color="auto" w:sz="4" w:space="0"/>
              <w:right w:val="single" w:color="auto" w:sz="4" w:space="0"/>
            </w:tcBorders>
            <w:vAlign w:val="center"/>
          </w:tcPr>
          <w:p w14:paraId="5EE77C57">
            <w:pPr>
              <w:pStyle w:val="196"/>
            </w:pPr>
            <w:r>
              <w:rPr>
                <w:rFonts w:hint="eastAsia"/>
              </w:rPr>
              <w:t>交船舶污染物接收单位处置。</w:t>
            </w:r>
          </w:p>
        </w:tc>
        <w:tc>
          <w:tcPr>
            <w:tcW w:w="1663" w:type="dxa"/>
            <w:tcBorders>
              <w:top w:val="single" w:color="auto" w:sz="4" w:space="0"/>
              <w:left w:val="single" w:color="auto" w:sz="4" w:space="0"/>
              <w:bottom w:val="single" w:color="auto" w:sz="4" w:space="0"/>
              <w:right w:val="single" w:color="auto" w:sz="4" w:space="0"/>
            </w:tcBorders>
            <w:vAlign w:val="center"/>
          </w:tcPr>
          <w:p w14:paraId="7199EE51">
            <w:pPr>
              <w:pStyle w:val="196"/>
            </w:pPr>
            <w:r>
              <w:rPr>
                <w:rFonts w:hint="eastAsia"/>
              </w:rPr>
              <w:t>有资质的单位接收，禁止排入盐河</w:t>
            </w:r>
          </w:p>
        </w:tc>
      </w:tr>
      <w:tr w14:paraId="09F0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17668319">
            <w:pPr>
              <w:pStyle w:val="196"/>
            </w:pPr>
          </w:p>
        </w:tc>
        <w:tc>
          <w:tcPr>
            <w:tcW w:w="851" w:type="dxa"/>
            <w:vMerge w:val="continue"/>
            <w:tcBorders>
              <w:left w:val="single" w:color="auto" w:sz="4" w:space="0"/>
              <w:bottom w:val="single" w:color="auto" w:sz="4" w:space="0"/>
              <w:right w:val="single" w:color="auto" w:sz="4" w:space="0"/>
            </w:tcBorders>
            <w:vAlign w:val="center"/>
          </w:tcPr>
          <w:p w14:paraId="52C025A8">
            <w:pPr>
              <w:pStyle w:val="196"/>
            </w:pPr>
          </w:p>
        </w:tc>
        <w:tc>
          <w:tcPr>
            <w:tcW w:w="1701" w:type="dxa"/>
            <w:tcBorders>
              <w:top w:val="single" w:color="auto" w:sz="4" w:space="0"/>
              <w:left w:val="single" w:color="auto" w:sz="4" w:space="0"/>
              <w:bottom w:val="single" w:color="auto" w:sz="4" w:space="0"/>
              <w:right w:val="single" w:color="auto" w:sz="4" w:space="0"/>
            </w:tcBorders>
            <w:vAlign w:val="center"/>
          </w:tcPr>
          <w:p w14:paraId="30717420">
            <w:pPr>
              <w:pStyle w:val="196"/>
            </w:pPr>
            <w:r>
              <w:rPr>
                <w:rFonts w:hint="eastAsia"/>
              </w:rPr>
              <w:t>施工人员生活污水</w:t>
            </w:r>
          </w:p>
        </w:tc>
        <w:tc>
          <w:tcPr>
            <w:tcW w:w="3376" w:type="dxa"/>
            <w:tcBorders>
              <w:top w:val="single" w:color="auto" w:sz="4" w:space="0"/>
              <w:left w:val="single" w:color="auto" w:sz="4" w:space="0"/>
              <w:bottom w:val="single" w:color="auto" w:sz="4" w:space="0"/>
              <w:right w:val="single" w:color="auto" w:sz="4" w:space="0"/>
            </w:tcBorders>
            <w:vAlign w:val="center"/>
          </w:tcPr>
          <w:p w14:paraId="0B80BE27">
            <w:pPr>
              <w:pStyle w:val="196"/>
            </w:pPr>
            <w:r>
              <w:rPr>
                <w:rFonts w:hint="eastAsia"/>
              </w:rPr>
              <w:t>依托热电项目临时施工场地内设置的临时生活污水处理设施，经处理后回用于场地绿化，不外排</w:t>
            </w:r>
          </w:p>
        </w:tc>
        <w:tc>
          <w:tcPr>
            <w:tcW w:w="1663" w:type="dxa"/>
            <w:tcBorders>
              <w:top w:val="single" w:color="auto" w:sz="4" w:space="0"/>
              <w:left w:val="single" w:color="auto" w:sz="4" w:space="0"/>
              <w:bottom w:val="single" w:color="auto" w:sz="4" w:space="0"/>
              <w:right w:val="single" w:color="auto" w:sz="4" w:space="0"/>
            </w:tcBorders>
            <w:vAlign w:val="center"/>
          </w:tcPr>
          <w:p w14:paraId="650B9F6E">
            <w:pPr>
              <w:pStyle w:val="196"/>
            </w:pPr>
            <w:r>
              <w:rPr>
                <w:rFonts w:hint="eastAsia"/>
              </w:rPr>
              <w:t>综合利用，禁止排入盐河</w:t>
            </w:r>
          </w:p>
        </w:tc>
      </w:tr>
      <w:tr w14:paraId="56DFB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5C27D44E">
            <w:pPr>
              <w:pStyle w:val="196"/>
            </w:pPr>
          </w:p>
        </w:tc>
        <w:tc>
          <w:tcPr>
            <w:tcW w:w="851" w:type="dxa"/>
            <w:vMerge w:val="restart"/>
            <w:tcBorders>
              <w:top w:val="single" w:color="auto" w:sz="4" w:space="0"/>
              <w:left w:val="single" w:color="auto" w:sz="4" w:space="0"/>
              <w:right w:val="single" w:color="auto" w:sz="4" w:space="0"/>
            </w:tcBorders>
            <w:vAlign w:val="center"/>
          </w:tcPr>
          <w:p w14:paraId="7F08A121">
            <w:pPr>
              <w:pStyle w:val="196"/>
            </w:pPr>
            <w:r>
              <w:rPr>
                <w:rFonts w:hint="eastAsia"/>
              </w:rPr>
              <w:t>施工废水</w:t>
            </w:r>
          </w:p>
        </w:tc>
        <w:tc>
          <w:tcPr>
            <w:tcW w:w="1701" w:type="dxa"/>
            <w:tcBorders>
              <w:top w:val="single" w:color="auto" w:sz="4" w:space="0"/>
              <w:left w:val="single" w:color="auto" w:sz="4" w:space="0"/>
              <w:bottom w:val="single" w:color="auto" w:sz="4" w:space="0"/>
              <w:right w:val="single" w:color="auto" w:sz="4" w:space="0"/>
            </w:tcBorders>
            <w:vAlign w:val="center"/>
          </w:tcPr>
          <w:p w14:paraId="091A654E">
            <w:pPr>
              <w:pStyle w:val="196"/>
            </w:pPr>
            <w:r>
              <w:rPr>
                <w:rFonts w:hint="eastAsia"/>
                <w:lang w:eastAsia="zh-CN"/>
              </w:rPr>
              <w:t>拌和</w:t>
            </w:r>
            <w:r>
              <w:rPr>
                <w:rFonts w:hint="eastAsia"/>
              </w:rPr>
              <w:t>系统废水、砂石料冲洗废水，污染物主要是SS</w:t>
            </w:r>
          </w:p>
        </w:tc>
        <w:tc>
          <w:tcPr>
            <w:tcW w:w="3376" w:type="dxa"/>
            <w:tcBorders>
              <w:top w:val="single" w:color="auto" w:sz="4" w:space="0"/>
              <w:left w:val="single" w:color="auto" w:sz="4" w:space="0"/>
              <w:bottom w:val="single" w:color="auto" w:sz="4" w:space="0"/>
              <w:right w:val="single" w:color="auto" w:sz="4" w:space="0"/>
            </w:tcBorders>
            <w:vAlign w:val="center"/>
          </w:tcPr>
          <w:p w14:paraId="54AD0D9E">
            <w:pPr>
              <w:pStyle w:val="196"/>
            </w:pPr>
            <w:r>
              <w:rPr>
                <w:rFonts w:hint="eastAsia"/>
              </w:rPr>
              <w:t>挖临时沉淀池，生活污水经过滤和沉淀后，重复利用。工程结束后应将其填埋并绿化。</w:t>
            </w:r>
          </w:p>
        </w:tc>
        <w:tc>
          <w:tcPr>
            <w:tcW w:w="1663" w:type="dxa"/>
            <w:tcBorders>
              <w:top w:val="single" w:color="auto" w:sz="4" w:space="0"/>
              <w:left w:val="single" w:color="auto" w:sz="4" w:space="0"/>
              <w:bottom w:val="single" w:color="auto" w:sz="4" w:space="0"/>
              <w:right w:val="single" w:color="auto" w:sz="4" w:space="0"/>
            </w:tcBorders>
            <w:vAlign w:val="center"/>
          </w:tcPr>
          <w:p w14:paraId="0DF04DA7">
            <w:pPr>
              <w:pStyle w:val="196"/>
            </w:pPr>
            <w:r>
              <w:rPr>
                <w:rFonts w:hint="eastAsia"/>
              </w:rPr>
              <w:t>重复利用</w:t>
            </w:r>
          </w:p>
        </w:tc>
      </w:tr>
      <w:tr w14:paraId="01EE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60A31032">
            <w:pPr>
              <w:pStyle w:val="196"/>
            </w:pPr>
          </w:p>
        </w:tc>
        <w:tc>
          <w:tcPr>
            <w:tcW w:w="851" w:type="dxa"/>
            <w:vMerge w:val="continue"/>
            <w:tcBorders>
              <w:left w:val="single" w:color="auto" w:sz="4" w:space="0"/>
              <w:right w:val="single" w:color="auto" w:sz="4" w:space="0"/>
            </w:tcBorders>
            <w:vAlign w:val="center"/>
          </w:tcPr>
          <w:p w14:paraId="6AB13916">
            <w:pPr>
              <w:pStyle w:val="196"/>
            </w:pPr>
          </w:p>
        </w:tc>
        <w:tc>
          <w:tcPr>
            <w:tcW w:w="1701" w:type="dxa"/>
            <w:tcBorders>
              <w:top w:val="single" w:color="auto" w:sz="4" w:space="0"/>
              <w:left w:val="single" w:color="auto" w:sz="4" w:space="0"/>
              <w:bottom w:val="single" w:color="auto" w:sz="4" w:space="0"/>
              <w:right w:val="single" w:color="auto" w:sz="4" w:space="0"/>
            </w:tcBorders>
            <w:vAlign w:val="center"/>
          </w:tcPr>
          <w:p w14:paraId="2BE7E28D">
            <w:pPr>
              <w:pStyle w:val="196"/>
            </w:pPr>
            <w:r>
              <w:rPr>
                <w:rFonts w:hint="eastAsia"/>
              </w:rPr>
              <w:t>混凝土养护废水</w:t>
            </w:r>
          </w:p>
        </w:tc>
        <w:tc>
          <w:tcPr>
            <w:tcW w:w="3376" w:type="dxa"/>
            <w:tcBorders>
              <w:top w:val="single" w:color="auto" w:sz="4" w:space="0"/>
              <w:left w:val="single" w:color="auto" w:sz="4" w:space="0"/>
              <w:bottom w:val="single" w:color="auto" w:sz="4" w:space="0"/>
              <w:right w:val="single" w:color="auto" w:sz="4" w:space="0"/>
            </w:tcBorders>
            <w:vAlign w:val="center"/>
          </w:tcPr>
          <w:p w14:paraId="79EB01BA">
            <w:pPr>
              <w:pStyle w:val="196"/>
            </w:pPr>
            <w:r>
              <w:rPr>
                <w:rFonts w:hint="eastAsia"/>
              </w:rPr>
              <w:t>自然蒸发和无组织排放</w:t>
            </w:r>
          </w:p>
        </w:tc>
        <w:tc>
          <w:tcPr>
            <w:tcW w:w="1663" w:type="dxa"/>
            <w:tcBorders>
              <w:top w:val="single" w:color="auto" w:sz="4" w:space="0"/>
              <w:left w:val="single" w:color="auto" w:sz="4" w:space="0"/>
              <w:bottom w:val="single" w:color="auto" w:sz="4" w:space="0"/>
              <w:right w:val="single" w:color="auto" w:sz="4" w:space="0"/>
            </w:tcBorders>
            <w:vAlign w:val="center"/>
          </w:tcPr>
          <w:p w14:paraId="47AE39DA">
            <w:pPr>
              <w:pStyle w:val="196"/>
            </w:pPr>
            <w:r>
              <w:rPr>
                <w:rFonts w:hint="eastAsia"/>
              </w:rPr>
              <w:t>污染物含量少，不会对周边水体产生明显影响</w:t>
            </w:r>
          </w:p>
        </w:tc>
      </w:tr>
      <w:tr w14:paraId="1E1D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bottom w:val="single" w:color="auto" w:sz="4" w:space="0"/>
              <w:right w:val="single" w:color="auto" w:sz="4" w:space="0"/>
            </w:tcBorders>
            <w:vAlign w:val="center"/>
          </w:tcPr>
          <w:p w14:paraId="2980509A">
            <w:pPr>
              <w:pStyle w:val="196"/>
            </w:pPr>
          </w:p>
        </w:tc>
        <w:tc>
          <w:tcPr>
            <w:tcW w:w="851" w:type="dxa"/>
            <w:vMerge w:val="continue"/>
            <w:tcBorders>
              <w:left w:val="single" w:color="auto" w:sz="4" w:space="0"/>
              <w:bottom w:val="single" w:color="auto" w:sz="4" w:space="0"/>
              <w:right w:val="single" w:color="auto" w:sz="4" w:space="0"/>
            </w:tcBorders>
            <w:vAlign w:val="center"/>
          </w:tcPr>
          <w:p w14:paraId="3AA0E390">
            <w:pPr>
              <w:pStyle w:val="196"/>
            </w:pPr>
          </w:p>
        </w:tc>
        <w:tc>
          <w:tcPr>
            <w:tcW w:w="1701" w:type="dxa"/>
            <w:tcBorders>
              <w:top w:val="single" w:color="auto" w:sz="4" w:space="0"/>
              <w:left w:val="single" w:color="auto" w:sz="4" w:space="0"/>
              <w:bottom w:val="single" w:color="auto" w:sz="4" w:space="0"/>
              <w:right w:val="single" w:color="auto" w:sz="4" w:space="0"/>
            </w:tcBorders>
            <w:vAlign w:val="center"/>
          </w:tcPr>
          <w:p w14:paraId="4946DDF5">
            <w:pPr>
              <w:pStyle w:val="196"/>
            </w:pPr>
            <w:r>
              <w:rPr>
                <w:rFonts w:hint="eastAsia"/>
              </w:rPr>
              <w:t>建材堆放造成雨水径流污染</w:t>
            </w:r>
          </w:p>
        </w:tc>
        <w:tc>
          <w:tcPr>
            <w:tcW w:w="3376" w:type="dxa"/>
            <w:tcBorders>
              <w:top w:val="single" w:color="auto" w:sz="4" w:space="0"/>
              <w:left w:val="single" w:color="auto" w:sz="4" w:space="0"/>
              <w:bottom w:val="single" w:color="auto" w:sz="4" w:space="0"/>
              <w:right w:val="single" w:color="auto" w:sz="4" w:space="0"/>
            </w:tcBorders>
            <w:vAlign w:val="center"/>
          </w:tcPr>
          <w:p w14:paraId="3EBDE741">
            <w:pPr>
              <w:pStyle w:val="196"/>
            </w:pPr>
            <w:r>
              <w:rPr>
                <w:rFonts w:hint="eastAsia"/>
              </w:rPr>
              <w:t>合理安排土石方运输的进度，减少陆上堆存土石方量，减少堆存的材料或暴雨径流携带的泥沙等污染水域。</w:t>
            </w:r>
          </w:p>
        </w:tc>
        <w:tc>
          <w:tcPr>
            <w:tcW w:w="1663" w:type="dxa"/>
            <w:tcBorders>
              <w:top w:val="single" w:color="auto" w:sz="4" w:space="0"/>
              <w:left w:val="single" w:color="auto" w:sz="4" w:space="0"/>
              <w:bottom w:val="single" w:color="auto" w:sz="4" w:space="0"/>
              <w:right w:val="single" w:color="auto" w:sz="4" w:space="0"/>
            </w:tcBorders>
            <w:vAlign w:val="center"/>
          </w:tcPr>
          <w:p w14:paraId="165D8DFE">
            <w:pPr>
              <w:pStyle w:val="196"/>
            </w:pPr>
            <w:r>
              <w:rPr>
                <w:rFonts w:hint="eastAsia"/>
              </w:rPr>
              <w:t>与冲洗废水一同收集重复利用</w:t>
            </w:r>
          </w:p>
        </w:tc>
      </w:tr>
      <w:tr w14:paraId="004B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tcBorders>
              <w:top w:val="single" w:color="auto" w:sz="4" w:space="0"/>
              <w:left w:val="single" w:color="auto" w:sz="4" w:space="0"/>
              <w:right w:val="single" w:color="auto" w:sz="4" w:space="0"/>
            </w:tcBorders>
            <w:vAlign w:val="center"/>
          </w:tcPr>
          <w:p w14:paraId="5D77511D">
            <w:pPr>
              <w:pStyle w:val="196"/>
            </w:pPr>
            <w:r>
              <w:rPr>
                <w:rFonts w:hint="eastAsia"/>
              </w:rPr>
              <w:t>营运期</w:t>
            </w:r>
          </w:p>
        </w:tc>
        <w:tc>
          <w:tcPr>
            <w:tcW w:w="851" w:type="dxa"/>
            <w:tcBorders>
              <w:top w:val="single" w:color="auto" w:sz="4" w:space="0"/>
              <w:left w:val="single" w:color="auto" w:sz="4" w:space="0"/>
              <w:bottom w:val="single" w:color="auto" w:sz="4" w:space="0"/>
              <w:right w:val="single" w:color="auto" w:sz="4" w:space="0"/>
            </w:tcBorders>
            <w:vAlign w:val="center"/>
          </w:tcPr>
          <w:p w14:paraId="456FA717">
            <w:pPr>
              <w:pStyle w:val="196"/>
            </w:pPr>
            <w:r>
              <w:rPr>
                <w:rFonts w:hint="eastAsia"/>
              </w:rPr>
              <w:t>生活污水</w:t>
            </w:r>
          </w:p>
        </w:tc>
        <w:tc>
          <w:tcPr>
            <w:tcW w:w="1701" w:type="dxa"/>
            <w:tcBorders>
              <w:top w:val="single" w:color="auto" w:sz="4" w:space="0"/>
              <w:left w:val="single" w:color="auto" w:sz="4" w:space="0"/>
              <w:bottom w:val="single" w:color="auto" w:sz="4" w:space="0"/>
              <w:right w:val="single" w:color="auto" w:sz="4" w:space="0"/>
            </w:tcBorders>
            <w:vAlign w:val="center"/>
          </w:tcPr>
          <w:p w14:paraId="676A0A39">
            <w:pPr>
              <w:pStyle w:val="196"/>
            </w:pPr>
            <w:r>
              <w:rPr>
                <w:rFonts w:hint="eastAsia"/>
              </w:rPr>
              <w:t>工作人员生活污水</w:t>
            </w:r>
          </w:p>
        </w:tc>
        <w:tc>
          <w:tcPr>
            <w:tcW w:w="3376" w:type="dxa"/>
            <w:tcBorders>
              <w:top w:val="single" w:color="auto" w:sz="4" w:space="0"/>
              <w:left w:val="single" w:color="auto" w:sz="4" w:space="0"/>
              <w:bottom w:val="single" w:color="auto" w:sz="4" w:space="0"/>
              <w:right w:val="single" w:color="auto" w:sz="4" w:space="0"/>
            </w:tcBorders>
            <w:vAlign w:val="center"/>
          </w:tcPr>
          <w:p w14:paraId="6A1729FC">
            <w:pPr>
              <w:pStyle w:val="196"/>
            </w:pPr>
            <w:r>
              <w:rPr>
                <w:rFonts w:hint="eastAsia"/>
              </w:rPr>
              <w:t>依托热电项目生活污水处理设施，经处理后回用于场地绿化，不外排</w:t>
            </w:r>
          </w:p>
        </w:tc>
        <w:tc>
          <w:tcPr>
            <w:tcW w:w="1663" w:type="dxa"/>
            <w:tcBorders>
              <w:top w:val="single" w:color="auto" w:sz="4" w:space="0"/>
              <w:left w:val="single" w:color="auto" w:sz="4" w:space="0"/>
              <w:bottom w:val="single" w:color="auto" w:sz="4" w:space="0"/>
              <w:right w:val="single" w:color="auto" w:sz="4" w:space="0"/>
            </w:tcBorders>
            <w:vAlign w:val="center"/>
          </w:tcPr>
          <w:p w14:paraId="15B29D5D">
            <w:pPr>
              <w:pStyle w:val="196"/>
            </w:pPr>
            <w:r>
              <w:rPr>
                <w:rFonts w:hint="eastAsia"/>
              </w:rPr>
              <w:t>综合利用，禁止排入盐河</w:t>
            </w:r>
          </w:p>
        </w:tc>
      </w:tr>
      <w:tr w14:paraId="414E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7321EC3D">
            <w:pPr>
              <w:pStyle w:val="196"/>
            </w:pPr>
          </w:p>
        </w:tc>
        <w:tc>
          <w:tcPr>
            <w:tcW w:w="851" w:type="dxa"/>
            <w:vMerge w:val="restart"/>
            <w:tcBorders>
              <w:top w:val="single" w:color="auto" w:sz="4" w:space="0"/>
              <w:left w:val="single" w:color="auto" w:sz="4" w:space="0"/>
              <w:right w:val="single" w:color="auto" w:sz="4" w:space="0"/>
            </w:tcBorders>
            <w:vAlign w:val="center"/>
          </w:tcPr>
          <w:p w14:paraId="7770E887">
            <w:pPr>
              <w:pStyle w:val="196"/>
            </w:pPr>
            <w:r>
              <w:rPr>
                <w:rFonts w:hint="eastAsia"/>
              </w:rPr>
              <w:t>含油污水</w:t>
            </w:r>
          </w:p>
        </w:tc>
        <w:tc>
          <w:tcPr>
            <w:tcW w:w="1701" w:type="dxa"/>
            <w:tcBorders>
              <w:top w:val="single" w:color="auto" w:sz="4" w:space="0"/>
              <w:left w:val="single" w:color="auto" w:sz="4" w:space="0"/>
              <w:bottom w:val="single" w:color="auto" w:sz="4" w:space="0"/>
              <w:right w:val="single" w:color="auto" w:sz="4" w:space="0"/>
            </w:tcBorders>
            <w:vAlign w:val="center"/>
          </w:tcPr>
          <w:p w14:paraId="419581BF">
            <w:pPr>
              <w:pStyle w:val="196"/>
            </w:pPr>
            <w:r>
              <w:rPr>
                <w:rFonts w:hint="eastAsia"/>
              </w:rPr>
              <w:t>到港船舶舱底油污水</w:t>
            </w:r>
          </w:p>
        </w:tc>
        <w:tc>
          <w:tcPr>
            <w:tcW w:w="3376" w:type="dxa"/>
            <w:tcBorders>
              <w:top w:val="single" w:color="auto" w:sz="4" w:space="0"/>
              <w:left w:val="single" w:color="auto" w:sz="4" w:space="0"/>
              <w:bottom w:val="single" w:color="auto" w:sz="4" w:space="0"/>
              <w:right w:val="single" w:color="auto" w:sz="4" w:space="0"/>
            </w:tcBorders>
            <w:vAlign w:val="center"/>
          </w:tcPr>
          <w:p w14:paraId="1F9F5C39">
            <w:pPr>
              <w:pStyle w:val="196"/>
            </w:pPr>
            <w:r>
              <w:rPr>
                <w:rFonts w:hint="eastAsia"/>
              </w:rPr>
              <w:t>由海事部门认可的船舶污染物接受船有偿接受处理</w:t>
            </w:r>
          </w:p>
        </w:tc>
        <w:tc>
          <w:tcPr>
            <w:tcW w:w="1663" w:type="dxa"/>
            <w:tcBorders>
              <w:top w:val="single" w:color="auto" w:sz="4" w:space="0"/>
              <w:left w:val="single" w:color="auto" w:sz="4" w:space="0"/>
              <w:bottom w:val="single" w:color="auto" w:sz="4" w:space="0"/>
              <w:right w:val="single" w:color="auto" w:sz="4" w:space="0"/>
            </w:tcBorders>
            <w:vAlign w:val="center"/>
          </w:tcPr>
          <w:p w14:paraId="3FA1B665">
            <w:pPr>
              <w:pStyle w:val="196"/>
            </w:pPr>
            <w:r>
              <w:rPr>
                <w:rFonts w:hint="eastAsia"/>
              </w:rPr>
              <w:t>码头水域不</w:t>
            </w:r>
          </w:p>
          <w:p w14:paraId="39DF29AB">
            <w:pPr>
              <w:pStyle w:val="196"/>
            </w:pPr>
            <w:r>
              <w:rPr>
                <w:rFonts w:hint="eastAsia"/>
              </w:rPr>
              <w:t>得排放舱底油污水</w:t>
            </w:r>
          </w:p>
        </w:tc>
      </w:tr>
      <w:tr w14:paraId="7A7C1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3E5B8D04">
            <w:pPr>
              <w:pStyle w:val="196"/>
            </w:pPr>
          </w:p>
        </w:tc>
        <w:tc>
          <w:tcPr>
            <w:tcW w:w="851" w:type="dxa"/>
            <w:vMerge w:val="continue"/>
            <w:tcBorders>
              <w:left w:val="single" w:color="auto" w:sz="4" w:space="0"/>
              <w:bottom w:val="single" w:color="auto" w:sz="4" w:space="0"/>
              <w:right w:val="single" w:color="auto" w:sz="4" w:space="0"/>
            </w:tcBorders>
            <w:vAlign w:val="center"/>
          </w:tcPr>
          <w:p w14:paraId="593D9AD5">
            <w:pPr>
              <w:pStyle w:val="196"/>
            </w:pPr>
          </w:p>
        </w:tc>
        <w:tc>
          <w:tcPr>
            <w:tcW w:w="1701" w:type="dxa"/>
            <w:tcBorders>
              <w:top w:val="single" w:color="auto" w:sz="4" w:space="0"/>
              <w:left w:val="single" w:color="auto" w:sz="4" w:space="0"/>
              <w:bottom w:val="single" w:color="auto" w:sz="4" w:space="0"/>
              <w:right w:val="single" w:color="auto" w:sz="4" w:space="0"/>
            </w:tcBorders>
            <w:vAlign w:val="center"/>
          </w:tcPr>
          <w:p w14:paraId="2B69C90D">
            <w:pPr>
              <w:pStyle w:val="196"/>
            </w:pPr>
            <w:r>
              <w:rPr>
                <w:rFonts w:hint="eastAsia"/>
              </w:rPr>
              <w:t>机械设备冲洗废水</w:t>
            </w:r>
          </w:p>
        </w:tc>
        <w:tc>
          <w:tcPr>
            <w:tcW w:w="3376" w:type="dxa"/>
            <w:tcBorders>
              <w:top w:val="single" w:color="auto" w:sz="4" w:space="0"/>
              <w:left w:val="single" w:color="auto" w:sz="4" w:space="0"/>
              <w:bottom w:val="single" w:color="auto" w:sz="4" w:space="0"/>
              <w:right w:val="single" w:color="auto" w:sz="4" w:space="0"/>
            </w:tcBorders>
            <w:vAlign w:val="center"/>
          </w:tcPr>
          <w:p w14:paraId="1452D23D">
            <w:pPr>
              <w:pStyle w:val="196"/>
            </w:pPr>
            <w:r>
              <w:rPr>
                <w:rFonts w:hint="eastAsia"/>
              </w:rPr>
              <w:t>依托热电项目</w:t>
            </w:r>
            <w:r>
              <w:rPr>
                <w:rFonts w:hint="eastAsia"/>
                <w:lang w:eastAsia="zh-CN"/>
              </w:rPr>
              <w:t>汽水分离装置</w:t>
            </w:r>
            <w:r>
              <w:rPr>
                <w:rFonts w:hint="eastAsia"/>
              </w:rPr>
              <w:t>，经处理后排至回用水池，不外排</w:t>
            </w:r>
          </w:p>
        </w:tc>
        <w:tc>
          <w:tcPr>
            <w:tcW w:w="1663" w:type="dxa"/>
            <w:tcBorders>
              <w:top w:val="single" w:color="auto" w:sz="4" w:space="0"/>
              <w:left w:val="single" w:color="auto" w:sz="4" w:space="0"/>
              <w:bottom w:val="single" w:color="auto" w:sz="4" w:space="0"/>
              <w:right w:val="single" w:color="auto" w:sz="4" w:space="0"/>
            </w:tcBorders>
            <w:vAlign w:val="center"/>
          </w:tcPr>
          <w:p w14:paraId="485831D2">
            <w:pPr>
              <w:pStyle w:val="196"/>
            </w:pPr>
            <w:r>
              <w:rPr>
                <w:rFonts w:hint="eastAsia"/>
              </w:rPr>
              <w:t>综合利用，禁止排入盐河</w:t>
            </w:r>
          </w:p>
        </w:tc>
      </w:tr>
      <w:tr w14:paraId="3F64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739E5791">
            <w:pPr>
              <w:pStyle w:val="196"/>
            </w:pPr>
          </w:p>
        </w:tc>
        <w:tc>
          <w:tcPr>
            <w:tcW w:w="851" w:type="dxa"/>
            <w:tcBorders>
              <w:top w:val="single" w:color="auto" w:sz="4" w:space="0"/>
              <w:left w:val="single" w:color="auto" w:sz="4" w:space="0"/>
              <w:bottom w:val="single" w:color="auto" w:sz="4" w:space="0"/>
              <w:right w:val="single" w:color="auto" w:sz="4" w:space="0"/>
            </w:tcBorders>
            <w:vAlign w:val="center"/>
          </w:tcPr>
          <w:p w14:paraId="1C924938">
            <w:pPr>
              <w:pStyle w:val="196"/>
            </w:pPr>
            <w:r>
              <w:rPr>
                <w:rFonts w:hint="eastAsia"/>
              </w:rPr>
              <w:t>船舶生活污水</w:t>
            </w:r>
          </w:p>
        </w:tc>
        <w:tc>
          <w:tcPr>
            <w:tcW w:w="1701" w:type="dxa"/>
            <w:tcBorders>
              <w:top w:val="single" w:color="auto" w:sz="4" w:space="0"/>
              <w:left w:val="single" w:color="auto" w:sz="4" w:space="0"/>
              <w:bottom w:val="single" w:color="auto" w:sz="4" w:space="0"/>
              <w:right w:val="single" w:color="auto" w:sz="4" w:space="0"/>
            </w:tcBorders>
            <w:vAlign w:val="center"/>
          </w:tcPr>
          <w:p w14:paraId="330FA06B">
            <w:pPr>
              <w:pStyle w:val="196"/>
            </w:pPr>
            <w:r>
              <w:rPr>
                <w:rFonts w:hint="eastAsia"/>
              </w:rPr>
              <w:t>到港船舶生活污水</w:t>
            </w:r>
          </w:p>
        </w:tc>
        <w:tc>
          <w:tcPr>
            <w:tcW w:w="3376" w:type="dxa"/>
            <w:tcBorders>
              <w:top w:val="single" w:color="auto" w:sz="4" w:space="0"/>
              <w:left w:val="single" w:color="auto" w:sz="4" w:space="0"/>
              <w:bottom w:val="single" w:color="auto" w:sz="4" w:space="0"/>
              <w:right w:val="single" w:color="auto" w:sz="4" w:space="0"/>
            </w:tcBorders>
            <w:vAlign w:val="center"/>
          </w:tcPr>
          <w:p w14:paraId="7989EFC0">
            <w:pPr>
              <w:pStyle w:val="196"/>
            </w:pPr>
            <w:r>
              <w:rPr>
                <w:rFonts w:hint="eastAsia"/>
              </w:rPr>
              <w:t>依托热电项目生活污水处理设施，经处理后回用于场地绿化，不外排</w:t>
            </w:r>
          </w:p>
        </w:tc>
        <w:tc>
          <w:tcPr>
            <w:tcW w:w="1663" w:type="dxa"/>
            <w:tcBorders>
              <w:top w:val="single" w:color="auto" w:sz="4" w:space="0"/>
              <w:left w:val="single" w:color="auto" w:sz="4" w:space="0"/>
              <w:bottom w:val="single" w:color="auto" w:sz="4" w:space="0"/>
              <w:right w:val="single" w:color="auto" w:sz="4" w:space="0"/>
            </w:tcBorders>
            <w:vAlign w:val="center"/>
          </w:tcPr>
          <w:p w14:paraId="3BBF9282">
            <w:pPr>
              <w:pStyle w:val="196"/>
            </w:pPr>
            <w:r>
              <w:rPr>
                <w:rFonts w:hint="eastAsia"/>
              </w:rPr>
              <w:t>码头水域不得排放生活污水</w:t>
            </w:r>
          </w:p>
        </w:tc>
      </w:tr>
      <w:tr w14:paraId="32AB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right w:val="single" w:color="auto" w:sz="4" w:space="0"/>
            </w:tcBorders>
            <w:vAlign w:val="center"/>
          </w:tcPr>
          <w:p w14:paraId="099715BB">
            <w:pPr>
              <w:pStyle w:val="196"/>
            </w:pPr>
          </w:p>
        </w:tc>
        <w:tc>
          <w:tcPr>
            <w:tcW w:w="851" w:type="dxa"/>
            <w:tcBorders>
              <w:top w:val="single" w:color="auto" w:sz="4" w:space="0"/>
              <w:left w:val="single" w:color="auto" w:sz="4" w:space="0"/>
              <w:bottom w:val="single" w:color="auto" w:sz="4" w:space="0"/>
              <w:right w:val="single" w:color="auto" w:sz="4" w:space="0"/>
            </w:tcBorders>
            <w:vAlign w:val="center"/>
          </w:tcPr>
          <w:p w14:paraId="042950D3">
            <w:pPr>
              <w:pStyle w:val="196"/>
            </w:pPr>
            <w:r>
              <w:rPr>
                <w:rFonts w:hint="eastAsia"/>
              </w:rPr>
              <w:t>码头及中转站冲洗废水雨水</w:t>
            </w:r>
          </w:p>
        </w:tc>
        <w:tc>
          <w:tcPr>
            <w:tcW w:w="1701" w:type="dxa"/>
            <w:tcBorders>
              <w:top w:val="single" w:color="auto" w:sz="4" w:space="0"/>
              <w:left w:val="single" w:color="auto" w:sz="4" w:space="0"/>
              <w:bottom w:val="single" w:color="auto" w:sz="4" w:space="0"/>
              <w:right w:val="single" w:color="auto" w:sz="4" w:space="0"/>
            </w:tcBorders>
            <w:vAlign w:val="center"/>
          </w:tcPr>
          <w:p w14:paraId="400E505F">
            <w:pPr>
              <w:pStyle w:val="196"/>
            </w:pPr>
            <w:r>
              <w:rPr>
                <w:rFonts w:hint="eastAsia"/>
              </w:rPr>
              <w:t>码头及中转站区域</w:t>
            </w:r>
          </w:p>
        </w:tc>
        <w:tc>
          <w:tcPr>
            <w:tcW w:w="3376" w:type="dxa"/>
            <w:tcBorders>
              <w:top w:val="single" w:color="auto" w:sz="4" w:space="0"/>
              <w:left w:val="single" w:color="auto" w:sz="4" w:space="0"/>
              <w:bottom w:val="single" w:color="auto" w:sz="4" w:space="0"/>
              <w:right w:val="single" w:color="auto" w:sz="4" w:space="0"/>
            </w:tcBorders>
            <w:vAlign w:val="center"/>
          </w:tcPr>
          <w:p w14:paraId="002E1C51">
            <w:pPr>
              <w:pStyle w:val="196"/>
            </w:pPr>
            <w:r>
              <w:rPr>
                <w:rFonts w:hint="eastAsia"/>
              </w:rPr>
              <w:t>经雨水管网收集至集水池，经泵抽至电厂现在的污水处理系统集中处置后综合利用</w:t>
            </w:r>
          </w:p>
        </w:tc>
        <w:tc>
          <w:tcPr>
            <w:tcW w:w="1663" w:type="dxa"/>
            <w:tcBorders>
              <w:top w:val="single" w:color="auto" w:sz="4" w:space="0"/>
              <w:left w:val="single" w:color="auto" w:sz="4" w:space="0"/>
              <w:bottom w:val="single" w:color="auto" w:sz="4" w:space="0"/>
              <w:right w:val="single" w:color="auto" w:sz="4" w:space="0"/>
            </w:tcBorders>
            <w:vAlign w:val="center"/>
          </w:tcPr>
          <w:p w14:paraId="0400EDB3">
            <w:pPr>
              <w:pStyle w:val="196"/>
            </w:pPr>
            <w:r>
              <w:rPr>
                <w:rFonts w:hint="eastAsia"/>
              </w:rPr>
              <w:t>综合利用，禁止排入盐河</w:t>
            </w:r>
          </w:p>
        </w:tc>
      </w:tr>
      <w:tr w14:paraId="5671A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tcBorders>
              <w:left w:val="single" w:color="auto" w:sz="4" w:space="0"/>
              <w:bottom w:val="single" w:color="auto" w:sz="4" w:space="0"/>
              <w:right w:val="single" w:color="auto" w:sz="4" w:space="0"/>
            </w:tcBorders>
            <w:vAlign w:val="center"/>
          </w:tcPr>
          <w:p w14:paraId="7F465E8E">
            <w:pPr>
              <w:pStyle w:val="196"/>
            </w:pPr>
          </w:p>
        </w:tc>
        <w:tc>
          <w:tcPr>
            <w:tcW w:w="851" w:type="dxa"/>
            <w:tcBorders>
              <w:top w:val="single" w:color="auto" w:sz="4" w:space="0"/>
              <w:left w:val="single" w:color="auto" w:sz="4" w:space="0"/>
              <w:bottom w:val="single" w:color="auto" w:sz="4" w:space="0"/>
              <w:right w:val="single" w:color="auto" w:sz="4" w:space="0"/>
            </w:tcBorders>
            <w:vAlign w:val="center"/>
          </w:tcPr>
          <w:p w14:paraId="49A675EB">
            <w:pPr>
              <w:pStyle w:val="196"/>
            </w:pPr>
            <w:r>
              <w:rPr>
                <w:rFonts w:hint="eastAsia"/>
              </w:rPr>
              <w:t>事故废水</w:t>
            </w:r>
          </w:p>
        </w:tc>
        <w:tc>
          <w:tcPr>
            <w:tcW w:w="1701" w:type="dxa"/>
            <w:tcBorders>
              <w:top w:val="single" w:color="auto" w:sz="4" w:space="0"/>
              <w:left w:val="single" w:color="auto" w:sz="4" w:space="0"/>
              <w:bottom w:val="single" w:color="auto" w:sz="4" w:space="0"/>
              <w:right w:val="single" w:color="auto" w:sz="4" w:space="0"/>
            </w:tcBorders>
            <w:vAlign w:val="center"/>
          </w:tcPr>
          <w:p w14:paraId="12069210">
            <w:pPr>
              <w:pStyle w:val="196"/>
            </w:pPr>
            <w:r>
              <w:rPr>
                <w:rFonts w:hint="eastAsia"/>
              </w:rPr>
              <w:t>溢油事故</w:t>
            </w:r>
          </w:p>
        </w:tc>
        <w:tc>
          <w:tcPr>
            <w:tcW w:w="3376" w:type="dxa"/>
            <w:tcBorders>
              <w:top w:val="single" w:color="auto" w:sz="4" w:space="0"/>
              <w:left w:val="single" w:color="auto" w:sz="4" w:space="0"/>
              <w:bottom w:val="single" w:color="auto" w:sz="4" w:space="0"/>
              <w:right w:val="single" w:color="auto" w:sz="4" w:space="0"/>
            </w:tcBorders>
            <w:vAlign w:val="center"/>
          </w:tcPr>
          <w:p w14:paraId="211E338D">
            <w:pPr>
              <w:pStyle w:val="196"/>
            </w:pPr>
            <w:r>
              <w:rPr>
                <w:rFonts w:hint="eastAsia"/>
              </w:rPr>
              <w:t>业主单位应在有关部门的组织下，编制事故预防与溢油应急计划，成立专门小组，并配备必要的应急反应设备，定期开展应急反应培训，使其具有处理溢油事故的能力。</w:t>
            </w:r>
          </w:p>
        </w:tc>
        <w:tc>
          <w:tcPr>
            <w:tcW w:w="1663" w:type="dxa"/>
            <w:tcBorders>
              <w:top w:val="single" w:color="auto" w:sz="4" w:space="0"/>
              <w:left w:val="single" w:color="auto" w:sz="4" w:space="0"/>
              <w:bottom w:val="single" w:color="auto" w:sz="4" w:space="0"/>
              <w:right w:val="single" w:color="auto" w:sz="4" w:space="0"/>
            </w:tcBorders>
            <w:vAlign w:val="center"/>
          </w:tcPr>
          <w:p w14:paraId="1EAC637E">
            <w:pPr>
              <w:pStyle w:val="196"/>
            </w:pPr>
            <w:r>
              <w:rPr>
                <w:rFonts w:hint="eastAsia"/>
              </w:rPr>
              <w:t>预防、处理船舶事故性污染</w:t>
            </w:r>
          </w:p>
        </w:tc>
      </w:tr>
    </w:tbl>
    <w:p w14:paraId="6103B80B">
      <w:pPr>
        <w:pStyle w:val="82"/>
      </w:pPr>
      <w:r>
        <w:rPr>
          <w:rFonts w:hint="eastAsia"/>
        </w:rPr>
        <w:t>噪声污染防治措施</w:t>
      </w:r>
    </w:p>
    <w:p w14:paraId="66B8732F">
      <w:pPr>
        <w:pStyle w:val="93"/>
      </w:pPr>
      <w:r>
        <w:rPr>
          <w:rFonts w:hint="eastAsia"/>
        </w:rPr>
        <w:t>项目营运期间的噪声主要来源</w:t>
      </w:r>
      <w:r>
        <w:rPr>
          <w:rFonts w:hint="eastAsia"/>
          <w:lang w:eastAsia="zh-CN"/>
        </w:rPr>
        <w:t>于主</w:t>
      </w:r>
      <w:r>
        <w:rPr>
          <w:rFonts w:hint="eastAsia"/>
        </w:rPr>
        <w:t>要来自码头各类机械如皮带输送机和装载机等发出的噪声以及来往船舶鸣号产生的交通噪声等。港区各类机械作业的噪声源强一般在80～90分贝，船舶发动机噪声源强可达95～100分贝，一般停靠港后不开动发动机，所以影响不大。船舶鸣笛为突发性噪声，主要采取船舶按照规定进行鸣笛的措施来减轻船舶鸣笛噪声影响。</w:t>
      </w:r>
    </w:p>
    <w:p w14:paraId="4D27AF36">
      <w:pPr>
        <w:ind w:firstLine="480"/>
      </w:pPr>
      <w:bookmarkStart w:id="327" w:name="_Toc23798"/>
      <w:bookmarkEnd w:id="327"/>
      <w:r>
        <w:rPr>
          <w:rFonts w:hint="eastAsia"/>
        </w:rPr>
        <w:t>1、噪声源控制</w:t>
      </w:r>
    </w:p>
    <w:p w14:paraId="06797BFE">
      <w:pPr>
        <w:ind w:firstLine="480"/>
      </w:pPr>
      <w:r>
        <w:rPr>
          <w:rFonts w:hint="eastAsia"/>
        </w:rPr>
        <w:t>（1）选用低噪声机械设备；</w:t>
      </w:r>
    </w:p>
    <w:p w14:paraId="7D967CC9">
      <w:pPr>
        <w:ind w:firstLine="480"/>
      </w:pPr>
      <w:r>
        <w:rPr>
          <w:rFonts w:hint="eastAsia"/>
        </w:rPr>
        <w:t>（2）设专人对机械设备进行定期保养和维护，并负责对工作人员进行培训，严格按操作规范使用各类机械；</w:t>
      </w:r>
    </w:p>
    <w:p w14:paraId="113E3018">
      <w:pPr>
        <w:ind w:firstLine="480"/>
      </w:pPr>
      <w:r>
        <w:rPr>
          <w:rFonts w:hint="eastAsia"/>
        </w:rPr>
        <w:t>（3）船舶进入港区禁止鸣笛，并安排专人通过通信设施或其他设施方法引导，确保船舶航行安全；</w:t>
      </w:r>
    </w:p>
    <w:p w14:paraId="19C7D2FA">
      <w:pPr>
        <w:pStyle w:val="93"/>
      </w:pPr>
      <w:r>
        <w:rPr>
          <w:rFonts w:hint="eastAsia"/>
        </w:rPr>
        <w:t>（4）高噪声设备配套隔声降噪设施，码头后方空地种草植树或设置绿化带等方式减小对环境的影响。对岸边门座式起重机等露天放置设备设置减振底座，接点处设置橡皮软垫，降噪量大于5dB(A)。</w:t>
      </w:r>
    </w:p>
    <w:p w14:paraId="21F57486">
      <w:pPr>
        <w:pStyle w:val="93"/>
      </w:pPr>
      <w:r>
        <w:rPr>
          <w:rFonts w:hint="eastAsia"/>
        </w:rPr>
        <w:t>（5）流动性设备尽可能远离厂界运行，以增大其噪声衰减距离；</w:t>
      </w:r>
    </w:p>
    <w:p w14:paraId="6083F8E4">
      <w:pPr>
        <w:ind w:firstLine="480"/>
      </w:pPr>
      <w:r>
        <w:rPr>
          <w:rFonts w:hint="eastAsia"/>
        </w:rPr>
        <w:t>（6）加强港区附近交通管理，避免交通阻塞而增加车辆噪声；</w:t>
      </w:r>
    </w:p>
    <w:p w14:paraId="41F03638">
      <w:pPr>
        <w:pStyle w:val="93"/>
      </w:pPr>
      <w:r>
        <w:rPr>
          <w:rFonts w:hint="eastAsia"/>
        </w:rPr>
        <w:t>（7）营运期运输路线沿线交通管理，对运输路线车辆经过居民区时，运输车辆应限速行驶，昼间控制在60km/h以内，夜间控制在50km/h以内，禁鸣高音喇叭，并合理安排运输时间，尽量避免夜间运输。</w:t>
      </w:r>
    </w:p>
    <w:p w14:paraId="375CD1B2">
      <w:pPr>
        <w:pStyle w:val="93"/>
      </w:pPr>
      <w:bookmarkStart w:id="328" w:name="_Toc11730"/>
      <w:bookmarkEnd w:id="328"/>
      <w:r>
        <w:rPr>
          <w:rFonts w:hint="eastAsia"/>
        </w:rPr>
        <w:t>2、采用距离防护和隔声措施</w:t>
      </w:r>
    </w:p>
    <w:p w14:paraId="7EE55AD9">
      <w:pPr>
        <w:pStyle w:val="93"/>
      </w:pPr>
      <w:r>
        <w:rPr>
          <w:rFonts w:hint="eastAsia"/>
        </w:rPr>
        <w:t>（1）合理平面布置。与最近敏感目标距离大于100m，相距较远，因此生产噪声对敏感点影响很小；</w:t>
      </w:r>
    </w:p>
    <w:p w14:paraId="3FDB3815">
      <w:pPr>
        <w:pStyle w:val="93"/>
      </w:pPr>
      <w:r>
        <w:rPr>
          <w:rFonts w:hint="eastAsia"/>
        </w:rPr>
        <w:t>（2）加强隔声设施及绿化建设，建议建设实体围墙及绿化（乔木），高约2m，阻隔噪声向外传播。降噪效果约5dB~10dB，在采取以上噪声污染防治措施后，营运期噪声可以做到达标排放。</w:t>
      </w:r>
    </w:p>
    <w:p w14:paraId="58036434">
      <w:pPr>
        <w:pStyle w:val="93"/>
      </w:pPr>
      <w:bookmarkStart w:id="329" w:name="_Toc1879"/>
      <w:bookmarkEnd w:id="329"/>
      <w:r>
        <w:rPr>
          <w:rFonts w:hint="eastAsia"/>
        </w:rPr>
        <w:t>3、装卸产生的瞬时突发噪声</w:t>
      </w:r>
    </w:p>
    <w:p w14:paraId="15281248">
      <w:pPr>
        <w:pStyle w:val="93"/>
      </w:pPr>
      <w:r>
        <w:rPr>
          <w:rFonts w:hint="eastAsia"/>
        </w:rPr>
        <w:t>日常工作中对装卸设备等做好维护工作，保持设备低噪音水平。码头陆域周围种植绿化带等方式减小对环境的影响。可以通过绿化带、围墙隔声减噪5～10dB，且建议采取以下管理控制措施：</w:t>
      </w:r>
    </w:p>
    <w:p w14:paraId="3D522381">
      <w:pPr>
        <w:pStyle w:val="93"/>
      </w:pPr>
      <w:r>
        <w:rPr>
          <w:rFonts w:hint="eastAsia"/>
        </w:rPr>
        <w:t>（1）严格遵守设备及装卸操作规范，防止因误操作而产生异常噪声，做到轻拿轻放。</w:t>
      </w:r>
    </w:p>
    <w:p w14:paraId="1328F36B">
      <w:pPr>
        <w:pStyle w:val="93"/>
      </w:pPr>
      <w:r>
        <w:rPr>
          <w:rFonts w:hint="eastAsia"/>
        </w:rPr>
        <w:t>（2）定期对设备的主要部件进行维修和保养，保持其技术性能良好，使其排放的噪声符合有关技术标准。</w:t>
      </w:r>
    </w:p>
    <w:p w14:paraId="250F0466">
      <w:pPr>
        <w:ind w:firstLine="480"/>
      </w:pPr>
      <w:r>
        <w:rPr>
          <w:rFonts w:hint="eastAsia"/>
        </w:rPr>
        <w:t>（3）检查设备的状态时，注重对其噪声的监测，对超过噪声排放标准的设备及时采取控制措施。</w:t>
      </w:r>
    </w:p>
    <w:p w14:paraId="4C287D31">
      <w:pPr>
        <w:ind w:firstLine="480"/>
      </w:pPr>
      <w:r>
        <w:rPr>
          <w:rFonts w:hint="eastAsia"/>
        </w:rPr>
        <w:t>（4）加强设备的检查工作，遇到突发情况时，及时修理产生异常噪声的车辆、机械设备，缩短异常噪声的排放时间。</w:t>
      </w:r>
    </w:p>
    <w:p w14:paraId="4857AD39">
      <w:pPr>
        <w:pStyle w:val="93"/>
      </w:pPr>
      <w:r>
        <w:rPr>
          <w:rFonts w:hint="eastAsia"/>
        </w:rPr>
        <w:t>（5）船舶噪声主要有船舶发动机的移动噪声和船舶的汽笛声，均为间歇性噪声源，其中汽笛声为突发性噪声。主要采取的措施有：船舶发动机噪声源可达85~90dB，主要采用停港即停机，减少停靠时间等方法减少发声时间，船舶汽笛按照规定进行鸣笛。</w:t>
      </w:r>
    </w:p>
    <w:p w14:paraId="669D372D">
      <w:pPr>
        <w:pStyle w:val="93"/>
      </w:pPr>
      <w:r>
        <w:rPr>
          <w:rFonts w:hint="eastAsia"/>
        </w:rPr>
        <w:t>通过采取上述治理措施后，可确保所有厂界噪声排放均达到《工业企业厂界环境噪声排放标准》（GB12348-2008）相应的3类、4类标准要求。噪声治理措施容易实施，所需费用较少，在经济上是可行的，其防治措施可行。</w:t>
      </w:r>
    </w:p>
    <w:p w14:paraId="385AA086">
      <w:pPr>
        <w:pStyle w:val="82"/>
      </w:pPr>
      <w:r>
        <w:rPr>
          <w:rFonts w:hint="eastAsia"/>
        </w:rPr>
        <w:t>固废污染防治措施</w:t>
      </w:r>
    </w:p>
    <w:p w14:paraId="07CD1318">
      <w:pPr>
        <w:pStyle w:val="84"/>
      </w:pPr>
      <w:r>
        <w:rPr>
          <w:rFonts w:hint="eastAsia"/>
        </w:rPr>
        <w:t>固废产生及处置情况</w:t>
      </w:r>
    </w:p>
    <w:p w14:paraId="61622E19">
      <w:pPr>
        <w:pStyle w:val="93"/>
      </w:pPr>
      <w:r>
        <w:rPr>
          <w:rFonts w:hint="eastAsia"/>
        </w:rPr>
        <w:t>本项目营运期固体废物可分为船舶垃圾、陆域垃圾和工业固体废物。固体废物种类、数量及拟采取的处理处置方式见表6.2-</w:t>
      </w:r>
      <w:r>
        <w:t>2</w:t>
      </w:r>
      <w:r>
        <w:rPr>
          <w:rFonts w:hint="eastAsia"/>
        </w:rPr>
        <w:t>。</w:t>
      </w:r>
    </w:p>
    <w:p w14:paraId="0E8F5FA2">
      <w:pPr>
        <w:pStyle w:val="86"/>
      </w:pPr>
      <w:r>
        <w:rPr>
          <w:rFonts w:hint="eastAsia"/>
        </w:rPr>
        <w:t>固体废物储存处置方式表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4"/>
        <w:gridCol w:w="1466"/>
        <w:gridCol w:w="910"/>
        <w:gridCol w:w="714"/>
        <w:gridCol w:w="1892"/>
        <w:gridCol w:w="1048"/>
        <w:gridCol w:w="1821"/>
      </w:tblGrid>
      <w:tr w14:paraId="3DBA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2D548891">
            <w:pPr>
              <w:pStyle w:val="196"/>
              <w:rPr>
                <w:b/>
                <w:bCs/>
              </w:rPr>
            </w:pPr>
            <w:r>
              <w:rPr>
                <w:rFonts w:hint="eastAsia"/>
                <w:b/>
                <w:bCs/>
              </w:rPr>
              <w:t>序号</w:t>
            </w:r>
          </w:p>
        </w:tc>
        <w:tc>
          <w:tcPr>
            <w:tcW w:w="881" w:type="pct"/>
            <w:vAlign w:val="center"/>
          </w:tcPr>
          <w:p w14:paraId="1F07FDCA">
            <w:pPr>
              <w:pStyle w:val="196"/>
              <w:rPr>
                <w:b/>
                <w:bCs/>
              </w:rPr>
            </w:pPr>
            <w:r>
              <w:rPr>
                <w:rFonts w:hint="eastAsia"/>
                <w:b/>
                <w:bCs/>
              </w:rPr>
              <w:t>固废名称</w:t>
            </w:r>
          </w:p>
        </w:tc>
        <w:tc>
          <w:tcPr>
            <w:tcW w:w="547" w:type="pct"/>
            <w:vAlign w:val="center"/>
          </w:tcPr>
          <w:p w14:paraId="10A0036E">
            <w:pPr>
              <w:pStyle w:val="196"/>
              <w:rPr>
                <w:b/>
                <w:bCs/>
              </w:rPr>
            </w:pPr>
            <w:r>
              <w:rPr>
                <w:rFonts w:hint="eastAsia"/>
                <w:b/>
                <w:bCs/>
              </w:rPr>
              <w:t>产生工序</w:t>
            </w:r>
          </w:p>
        </w:tc>
        <w:tc>
          <w:tcPr>
            <w:tcW w:w="429" w:type="pct"/>
            <w:vAlign w:val="center"/>
          </w:tcPr>
          <w:p w14:paraId="65B04CA7">
            <w:pPr>
              <w:pStyle w:val="196"/>
              <w:rPr>
                <w:b/>
                <w:bCs/>
              </w:rPr>
            </w:pPr>
            <w:r>
              <w:rPr>
                <w:rFonts w:hint="eastAsia"/>
                <w:b/>
                <w:bCs/>
              </w:rPr>
              <w:t>形态</w:t>
            </w:r>
          </w:p>
        </w:tc>
        <w:tc>
          <w:tcPr>
            <w:tcW w:w="1137" w:type="pct"/>
            <w:vAlign w:val="center"/>
          </w:tcPr>
          <w:p w14:paraId="37799DA0">
            <w:pPr>
              <w:pStyle w:val="196"/>
              <w:rPr>
                <w:b/>
                <w:bCs/>
              </w:rPr>
            </w:pPr>
            <w:r>
              <w:rPr>
                <w:rFonts w:hint="eastAsia"/>
                <w:b/>
                <w:bCs/>
              </w:rPr>
              <w:t>主要成分</w:t>
            </w:r>
          </w:p>
        </w:tc>
        <w:tc>
          <w:tcPr>
            <w:tcW w:w="630" w:type="pct"/>
            <w:vAlign w:val="center"/>
          </w:tcPr>
          <w:p w14:paraId="4FA0DFBC">
            <w:pPr>
              <w:pStyle w:val="196"/>
              <w:rPr>
                <w:b/>
                <w:bCs/>
              </w:rPr>
            </w:pPr>
            <w:r>
              <w:rPr>
                <w:rFonts w:hint="eastAsia"/>
                <w:b/>
                <w:bCs/>
              </w:rPr>
              <w:t>产生量</w:t>
            </w:r>
          </w:p>
        </w:tc>
        <w:tc>
          <w:tcPr>
            <w:tcW w:w="1094" w:type="pct"/>
            <w:vAlign w:val="center"/>
          </w:tcPr>
          <w:p w14:paraId="69B41C9D">
            <w:pPr>
              <w:pStyle w:val="196"/>
              <w:rPr>
                <w:b/>
                <w:bCs/>
              </w:rPr>
            </w:pPr>
            <w:r>
              <w:rPr>
                <w:rFonts w:hint="eastAsia"/>
                <w:b/>
                <w:bCs/>
              </w:rPr>
              <w:t>处置方式</w:t>
            </w:r>
          </w:p>
        </w:tc>
      </w:tr>
      <w:tr w14:paraId="2570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3E8F1BED">
            <w:pPr>
              <w:pStyle w:val="196"/>
            </w:pPr>
            <w:r>
              <w:rPr>
                <w:rFonts w:hint="eastAsia"/>
              </w:rPr>
              <w:t>1</w:t>
            </w:r>
          </w:p>
        </w:tc>
        <w:tc>
          <w:tcPr>
            <w:tcW w:w="881" w:type="pct"/>
            <w:vAlign w:val="center"/>
          </w:tcPr>
          <w:p w14:paraId="132F3602">
            <w:pPr>
              <w:pStyle w:val="196"/>
            </w:pPr>
            <w:r>
              <w:rPr>
                <w:rFonts w:hint="eastAsia"/>
              </w:rPr>
              <w:t>陆域生活垃圾</w:t>
            </w:r>
          </w:p>
        </w:tc>
        <w:tc>
          <w:tcPr>
            <w:tcW w:w="547" w:type="pct"/>
            <w:vAlign w:val="center"/>
          </w:tcPr>
          <w:p w14:paraId="15379537">
            <w:pPr>
              <w:pStyle w:val="196"/>
            </w:pPr>
            <w:r>
              <w:rPr>
                <w:rFonts w:hint="eastAsia"/>
              </w:rPr>
              <w:t>港口员工生活</w:t>
            </w:r>
          </w:p>
        </w:tc>
        <w:tc>
          <w:tcPr>
            <w:tcW w:w="429" w:type="pct"/>
            <w:vAlign w:val="center"/>
          </w:tcPr>
          <w:p w14:paraId="10641216">
            <w:pPr>
              <w:pStyle w:val="196"/>
            </w:pPr>
            <w:r>
              <w:rPr>
                <w:rFonts w:hint="eastAsia"/>
              </w:rPr>
              <w:t>固态</w:t>
            </w:r>
          </w:p>
        </w:tc>
        <w:tc>
          <w:tcPr>
            <w:tcW w:w="1137" w:type="pct"/>
            <w:vAlign w:val="center"/>
          </w:tcPr>
          <w:p w14:paraId="6A1684D2">
            <w:pPr>
              <w:pStyle w:val="196"/>
            </w:pPr>
            <w:r>
              <w:rPr>
                <w:rFonts w:hint="eastAsia"/>
              </w:rPr>
              <w:t>食品、杂物、纸屑等</w:t>
            </w:r>
          </w:p>
        </w:tc>
        <w:tc>
          <w:tcPr>
            <w:tcW w:w="630" w:type="pct"/>
            <w:vAlign w:val="center"/>
          </w:tcPr>
          <w:p w14:paraId="7CF25A48">
            <w:pPr>
              <w:pStyle w:val="196"/>
            </w:pPr>
            <w:r>
              <w:rPr>
                <w:rFonts w:hint="eastAsia"/>
              </w:rPr>
              <w:t>299.5</w:t>
            </w:r>
          </w:p>
        </w:tc>
        <w:tc>
          <w:tcPr>
            <w:tcW w:w="1094" w:type="pct"/>
            <w:vAlign w:val="center"/>
          </w:tcPr>
          <w:p w14:paraId="787E6EDE">
            <w:pPr>
              <w:pStyle w:val="196"/>
            </w:pPr>
            <w:r>
              <w:rPr>
                <w:rFonts w:hint="eastAsia"/>
              </w:rPr>
              <w:t>委托环卫部门定期清运</w:t>
            </w:r>
          </w:p>
        </w:tc>
      </w:tr>
      <w:tr w14:paraId="6A2D5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5E1888BC">
            <w:pPr>
              <w:pStyle w:val="196"/>
            </w:pPr>
            <w:r>
              <w:rPr>
                <w:rFonts w:hint="eastAsia"/>
              </w:rPr>
              <w:t>2</w:t>
            </w:r>
          </w:p>
        </w:tc>
        <w:tc>
          <w:tcPr>
            <w:tcW w:w="881" w:type="pct"/>
            <w:vAlign w:val="center"/>
          </w:tcPr>
          <w:p w14:paraId="6E426EA8">
            <w:pPr>
              <w:pStyle w:val="196"/>
            </w:pPr>
            <w:r>
              <w:rPr>
                <w:rFonts w:hint="eastAsia"/>
              </w:rPr>
              <w:t>船舶生活垃圾</w:t>
            </w:r>
          </w:p>
        </w:tc>
        <w:tc>
          <w:tcPr>
            <w:tcW w:w="547" w:type="pct"/>
            <w:vAlign w:val="center"/>
          </w:tcPr>
          <w:p w14:paraId="059C257C">
            <w:pPr>
              <w:pStyle w:val="196"/>
            </w:pPr>
            <w:r>
              <w:rPr>
                <w:rFonts w:hint="eastAsia"/>
              </w:rPr>
              <w:t>船员生活</w:t>
            </w:r>
          </w:p>
        </w:tc>
        <w:tc>
          <w:tcPr>
            <w:tcW w:w="429" w:type="pct"/>
            <w:vAlign w:val="center"/>
          </w:tcPr>
          <w:p w14:paraId="5256C2AA">
            <w:pPr>
              <w:pStyle w:val="196"/>
            </w:pPr>
            <w:r>
              <w:rPr>
                <w:rFonts w:hint="eastAsia"/>
              </w:rPr>
              <w:t>固态</w:t>
            </w:r>
          </w:p>
        </w:tc>
        <w:tc>
          <w:tcPr>
            <w:tcW w:w="1137" w:type="pct"/>
            <w:vAlign w:val="center"/>
          </w:tcPr>
          <w:p w14:paraId="6576CB92">
            <w:pPr>
              <w:pStyle w:val="196"/>
            </w:pPr>
            <w:r>
              <w:rPr>
                <w:rFonts w:hint="eastAsia"/>
              </w:rPr>
              <w:t>食品、杂物、纸屑等</w:t>
            </w:r>
          </w:p>
        </w:tc>
        <w:tc>
          <w:tcPr>
            <w:tcW w:w="630" w:type="pct"/>
            <w:vAlign w:val="center"/>
          </w:tcPr>
          <w:p w14:paraId="196C9BC0">
            <w:pPr>
              <w:pStyle w:val="196"/>
            </w:pPr>
            <w:r>
              <w:rPr>
                <w:rFonts w:hint="eastAsia"/>
              </w:rPr>
              <w:t>103.0</w:t>
            </w:r>
          </w:p>
        </w:tc>
        <w:tc>
          <w:tcPr>
            <w:tcW w:w="1094" w:type="pct"/>
            <w:vAlign w:val="center"/>
          </w:tcPr>
          <w:p w14:paraId="769FC3F4">
            <w:pPr>
              <w:pStyle w:val="196"/>
            </w:pPr>
            <w:r>
              <w:rPr>
                <w:rFonts w:hint="eastAsia"/>
              </w:rPr>
              <w:t>委托环卫部门定期清运</w:t>
            </w:r>
          </w:p>
        </w:tc>
      </w:tr>
      <w:tr w14:paraId="7EC66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67B400B8">
            <w:pPr>
              <w:pStyle w:val="196"/>
            </w:pPr>
            <w:r>
              <w:rPr>
                <w:rFonts w:hint="eastAsia"/>
              </w:rPr>
              <w:t>3</w:t>
            </w:r>
          </w:p>
        </w:tc>
        <w:tc>
          <w:tcPr>
            <w:tcW w:w="881" w:type="pct"/>
            <w:vAlign w:val="center"/>
          </w:tcPr>
          <w:p w14:paraId="7F8C790B">
            <w:pPr>
              <w:pStyle w:val="196"/>
            </w:pPr>
            <w:r>
              <w:rPr>
                <w:rFonts w:hint="eastAsia"/>
              </w:rPr>
              <w:t>装卸作业</w:t>
            </w:r>
            <w:r>
              <w:rPr>
                <w:rFonts w:hint="eastAsia"/>
                <w:lang w:eastAsia="zh-CN"/>
              </w:rPr>
              <w:t>产生</w:t>
            </w:r>
            <w:r>
              <w:rPr>
                <w:rFonts w:hint="eastAsia"/>
              </w:rPr>
              <w:t>的固体废物</w:t>
            </w:r>
          </w:p>
        </w:tc>
        <w:tc>
          <w:tcPr>
            <w:tcW w:w="547" w:type="pct"/>
            <w:vAlign w:val="center"/>
          </w:tcPr>
          <w:p w14:paraId="4B0C91E8">
            <w:pPr>
              <w:pStyle w:val="196"/>
            </w:pPr>
            <w:r>
              <w:rPr>
                <w:rFonts w:hint="eastAsia"/>
              </w:rPr>
              <w:t>装卸过程</w:t>
            </w:r>
          </w:p>
        </w:tc>
        <w:tc>
          <w:tcPr>
            <w:tcW w:w="429" w:type="pct"/>
            <w:vAlign w:val="center"/>
          </w:tcPr>
          <w:p w14:paraId="3C465550">
            <w:pPr>
              <w:pStyle w:val="196"/>
            </w:pPr>
            <w:r>
              <w:rPr>
                <w:rFonts w:hint="eastAsia"/>
              </w:rPr>
              <w:t>固态</w:t>
            </w:r>
          </w:p>
        </w:tc>
        <w:tc>
          <w:tcPr>
            <w:tcW w:w="1137" w:type="pct"/>
            <w:vAlign w:val="center"/>
          </w:tcPr>
          <w:p w14:paraId="7143A458">
            <w:pPr>
              <w:pStyle w:val="196"/>
            </w:pPr>
            <w:r>
              <w:rPr>
                <w:rFonts w:hint="eastAsia"/>
              </w:rPr>
              <w:t>废包装等</w:t>
            </w:r>
          </w:p>
        </w:tc>
        <w:tc>
          <w:tcPr>
            <w:tcW w:w="630" w:type="pct"/>
            <w:vAlign w:val="center"/>
          </w:tcPr>
          <w:p w14:paraId="4B04AC58">
            <w:pPr>
              <w:pStyle w:val="196"/>
            </w:pPr>
            <w:r>
              <w:rPr>
                <w:rFonts w:hint="eastAsia"/>
              </w:rPr>
              <w:t>1107.6</w:t>
            </w:r>
          </w:p>
        </w:tc>
        <w:tc>
          <w:tcPr>
            <w:tcW w:w="1094" w:type="pct"/>
            <w:vAlign w:val="center"/>
          </w:tcPr>
          <w:p w14:paraId="0D5486DC">
            <w:pPr>
              <w:pStyle w:val="196"/>
            </w:pPr>
            <w:r>
              <w:rPr>
                <w:rFonts w:hint="eastAsia"/>
              </w:rPr>
              <w:t>委托环卫部门定期清运</w:t>
            </w:r>
          </w:p>
        </w:tc>
      </w:tr>
      <w:tr w14:paraId="0315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1C4639DF">
            <w:pPr>
              <w:pStyle w:val="196"/>
            </w:pPr>
            <w:r>
              <w:rPr>
                <w:rFonts w:hint="eastAsia"/>
              </w:rPr>
              <w:t>4</w:t>
            </w:r>
          </w:p>
        </w:tc>
        <w:tc>
          <w:tcPr>
            <w:tcW w:w="881" w:type="pct"/>
            <w:vAlign w:val="center"/>
          </w:tcPr>
          <w:p w14:paraId="4D26F38E">
            <w:pPr>
              <w:pStyle w:val="196"/>
            </w:pPr>
            <w:r>
              <w:rPr>
                <w:rFonts w:hint="eastAsia"/>
              </w:rPr>
              <w:t>沉淀池污泥</w:t>
            </w:r>
          </w:p>
        </w:tc>
        <w:tc>
          <w:tcPr>
            <w:tcW w:w="547" w:type="pct"/>
            <w:vAlign w:val="center"/>
          </w:tcPr>
          <w:p w14:paraId="6A5A7CBA">
            <w:pPr>
              <w:pStyle w:val="196"/>
            </w:pPr>
            <w:r>
              <w:rPr>
                <w:rFonts w:hint="eastAsia"/>
              </w:rPr>
              <w:t>废水处理</w:t>
            </w:r>
          </w:p>
        </w:tc>
        <w:tc>
          <w:tcPr>
            <w:tcW w:w="429" w:type="pct"/>
            <w:vAlign w:val="center"/>
          </w:tcPr>
          <w:p w14:paraId="2C6FEC39">
            <w:pPr>
              <w:pStyle w:val="196"/>
            </w:pPr>
            <w:r>
              <w:rPr>
                <w:rFonts w:hint="eastAsia"/>
              </w:rPr>
              <w:t>固态</w:t>
            </w:r>
          </w:p>
        </w:tc>
        <w:tc>
          <w:tcPr>
            <w:tcW w:w="1137" w:type="pct"/>
            <w:vAlign w:val="center"/>
          </w:tcPr>
          <w:p w14:paraId="5CC61BD3">
            <w:pPr>
              <w:pStyle w:val="196"/>
            </w:pPr>
            <w:r>
              <w:rPr>
                <w:rFonts w:hint="eastAsia"/>
              </w:rPr>
              <w:t>污泥</w:t>
            </w:r>
          </w:p>
        </w:tc>
        <w:tc>
          <w:tcPr>
            <w:tcW w:w="630" w:type="pct"/>
            <w:vAlign w:val="center"/>
          </w:tcPr>
          <w:p w14:paraId="372654AE">
            <w:pPr>
              <w:pStyle w:val="196"/>
            </w:pPr>
            <w:r>
              <w:rPr>
                <w:rFonts w:hint="eastAsia"/>
              </w:rPr>
              <w:t>29.8</w:t>
            </w:r>
          </w:p>
        </w:tc>
        <w:tc>
          <w:tcPr>
            <w:tcW w:w="1094" w:type="pct"/>
            <w:vAlign w:val="center"/>
          </w:tcPr>
          <w:p w14:paraId="548B67AF">
            <w:pPr>
              <w:pStyle w:val="196"/>
            </w:pPr>
            <w:r>
              <w:rPr>
                <w:rFonts w:hint="eastAsia"/>
              </w:rPr>
              <w:t>委托环卫部门定期清运</w:t>
            </w:r>
          </w:p>
        </w:tc>
      </w:tr>
      <w:tr w14:paraId="1BF86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6B1834BF">
            <w:pPr>
              <w:pStyle w:val="196"/>
            </w:pPr>
            <w:r>
              <w:rPr>
                <w:rFonts w:hint="eastAsia"/>
              </w:rPr>
              <w:t>5</w:t>
            </w:r>
          </w:p>
        </w:tc>
        <w:tc>
          <w:tcPr>
            <w:tcW w:w="881" w:type="pct"/>
            <w:vAlign w:val="center"/>
          </w:tcPr>
          <w:p w14:paraId="1AAC6F83">
            <w:pPr>
              <w:pStyle w:val="196"/>
            </w:pPr>
            <w:r>
              <w:rPr>
                <w:rFonts w:hint="eastAsia"/>
              </w:rPr>
              <w:t>含油污泥</w:t>
            </w:r>
          </w:p>
        </w:tc>
        <w:tc>
          <w:tcPr>
            <w:tcW w:w="547" w:type="pct"/>
            <w:vAlign w:val="center"/>
          </w:tcPr>
          <w:p w14:paraId="643EC330">
            <w:pPr>
              <w:pStyle w:val="196"/>
            </w:pPr>
            <w:r>
              <w:rPr>
                <w:rFonts w:hint="eastAsia"/>
              </w:rPr>
              <w:t>废水处理</w:t>
            </w:r>
          </w:p>
        </w:tc>
        <w:tc>
          <w:tcPr>
            <w:tcW w:w="429" w:type="pct"/>
            <w:vAlign w:val="center"/>
          </w:tcPr>
          <w:p w14:paraId="56D2F708">
            <w:pPr>
              <w:pStyle w:val="196"/>
            </w:pPr>
            <w:r>
              <w:rPr>
                <w:rFonts w:hint="eastAsia"/>
              </w:rPr>
              <w:t>固态</w:t>
            </w:r>
          </w:p>
        </w:tc>
        <w:tc>
          <w:tcPr>
            <w:tcW w:w="1137" w:type="pct"/>
            <w:vAlign w:val="center"/>
          </w:tcPr>
          <w:p w14:paraId="765BCBA3">
            <w:pPr>
              <w:pStyle w:val="196"/>
            </w:pPr>
            <w:r>
              <w:rPr>
                <w:rFonts w:hint="eastAsia"/>
              </w:rPr>
              <w:t>污泥</w:t>
            </w:r>
          </w:p>
        </w:tc>
        <w:tc>
          <w:tcPr>
            <w:tcW w:w="630" w:type="pct"/>
            <w:vAlign w:val="center"/>
          </w:tcPr>
          <w:p w14:paraId="3AA03556">
            <w:pPr>
              <w:pStyle w:val="196"/>
            </w:pPr>
            <w:r>
              <w:rPr>
                <w:rFonts w:hint="eastAsia"/>
              </w:rPr>
              <w:t>1.26</w:t>
            </w:r>
          </w:p>
        </w:tc>
        <w:tc>
          <w:tcPr>
            <w:tcW w:w="1094" w:type="pct"/>
            <w:vMerge w:val="restart"/>
            <w:vAlign w:val="center"/>
          </w:tcPr>
          <w:p w14:paraId="2F2AE74E">
            <w:pPr>
              <w:pStyle w:val="196"/>
            </w:pPr>
            <w:r>
              <w:rPr>
                <w:rFonts w:hint="eastAsia"/>
              </w:rPr>
              <w:t>委托有资质单位处置</w:t>
            </w:r>
          </w:p>
        </w:tc>
      </w:tr>
      <w:tr w14:paraId="4F9D0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2338CD9A">
            <w:pPr>
              <w:pStyle w:val="196"/>
            </w:pPr>
            <w:r>
              <w:rPr>
                <w:rFonts w:hint="eastAsia"/>
              </w:rPr>
              <w:t>6</w:t>
            </w:r>
          </w:p>
        </w:tc>
        <w:tc>
          <w:tcPr>
            <w:tcW w:w="881" w:type="pct"/>
            <w:vAlign w:val="center"/>
          </w:tcPr>
          <w:p w14:paraId="55345C5E">
            <w:pPr>
              <w:pStyle w:val="196"/>
            </w:pPr>
            <w:r>
              <w:rPr>
                <w:rFonts w:hint="eastAsia"/>
              </w:rPr>
              <w:t>机修废油</w:t>
            </w:r>
          </w:p>
        </w:tc>
        <w:tc>
          <w:tcPr>
            <w:tcW w:w="547" w:type="pct"/>
            <w:vAlign w:val="center"/>
          </w:tcPr>
          <w:p w14:paraId="54C870AB">
            <w:pPr>
              <w:pStyle w:val="196"/>
            </w:pPr>
            <w:r>
              <w:rPr>
                <w:rFonts w:hint="eastAsia"/>
              </w:rPr>
              <w:t>设备维修</w:t>
            </w:r>
          </w:p>
        </w:tc>
        <w:tc>
          <w:tcPr>
            <w:tcW w:w="429" w:type="pct"/>
            <w:vAlign w:val="center"/>
          </w:tcPr>
          <w:p w14:paraId="289726E4">
            <w:pPr>
              <w:pStyle w:val="196"/>
            </w:pPr>
            <w:r>
              <w:rPr>
                <w:rFonts w:hint="eastAsia"/>
              </w:rPr>
              <w:t>液态</w:t>
            </w:r>
          </w:p>
        </w:tc>
        <w:tc>
          <w:tcPr>
            <w:tcW w:w="1137" w:type="pct"/>
            <w:vAlign w:val="center"/>
          </w:tcPr>
          <w:p w14:paraId="49BBB957">
            <w:pPr>
              <w:pStyle w:val="196"/>
            </w:pPr>
            <w:r>
              <w:rPr>
                <w:rFonts w:hint="eastAsia"/>
              </w:rPr>
              <w:t>废油</w:t>
            </w:r>
          </w:p>
        </w:tc>
        <w:tc>
          <w:tcPr>
            <w:tcW w:w="630" w:type="pct"/>
            <w:vAlign w:val="center"/>
          </w:tcPr>
          <w:p w14:paraId="41C22781">
            <w:pPr>
              <w:pStyle w:val="196"/>
            </w:pPr>
            <w:r>
              <w:rPr>
                <w:rFonts w:hint="eastAsia"/>
              </w:rPr>
              <w:t>1</w:t>
            </w:r>
          </w:p>
        </w:tc>
        <w:tc>
          <w:tcPr>
            <w:tcW w:w="0" w:type="auto"/>
            <w:vMerge w:val="continue"/>
            <w:vAlign w:val="center"/>
          </w:tcPr>
          <w:p w14:paraId="50726517">
            <w:pPr>
              <w:pStyle w:val="196"/>
            </w:pPr>
          </w:p>
        </w:tc>
      </w:tr>
      <w:tr w14:paraId="49BA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79" w:type="pct"/>
            <w:vAlign w:val="center"/>
          </w:tcPr>
          <w:p w14:paraId="56F1BE95">
            <w:pPr>
              <w:pStyle w:val="196"/>
            </w:pPr>
            <w:r>
              <w:rPr>
                <w:rFonts w:hint="eastAsia"/>
              </w:rPr>
              <w:t>7</w:t>
            </w:r>
          </w:p>
        </w:tc>
        <w:tc>
          <w:tcPr>
            <w:tcW w:w="881" w:type="pct"/>
            <w:vAlign w:val="center"/>
          </w:tcPr>
          <w:p w14:paraId="13293AF0">
            <w:pPr>
              <w:pStyle w:val="196"/>
            </w:pPr>
            <w:r>
              <w:rPr>
                <w:rFonts w:hint="eastAsia"/>
              </w:rPr>
              <w:t>含油抹布及手套</w:t>
            </w:r>
          </w:p>
        </w:tc>
        <w:tc>
          <w:tcPr>
            <w:tcW w:w="547" w:type="pct"/>
            <w:vAlign w:val="center"/>
          </w:tcPr>
          <w:p w14:paraId="2FC6D6BD">
            <w:pPr>
              <w:pStyle w:val="196"/>
            </w:pPr>
            <w:r>
              <w:rPr>
                <w:rFonts w:hint="eastAsia"/>
              </w:rPr>
              <w:t>设备维修</w:t>
            </w:r>
          </w:p>
        </w:tc>
        <w:tc>
          <w:tcPr>
            <w:tcW w:w="429" w:type="pct"/>
            <w:vAlign w:val="center"/>
          </w:tcPr>
          <w:p w14:paraId="7A28EA6C">
            <w:pPr>
              <w:pStyle w:val="196"/>
            </w:pPr>
            <w:r>
              <w:rPr>
                <w:rFonts w:hint="eastAsia"/>
              </w:rPr>
              <w:t>固态</w:t>
            </w:r>
          </w:p>
        </w:tc>
        <w:tc>
          <w:tcPr>
            <w:tcW w:w="1137" w:type="pct"/>
            <w:vAlign w:val="center"/>
          </w:tcPr>
          <w:p w14:paraId="0EB6224E">
            <w:pPr>
              <w:pStyle w:val="196"/>
            </w:pPr>
            <w:r>
              <w:rPr>
                <w:rFonts w:hint="eastAsia"/>
              </w:rPr>
              <w:t>废油、抹布等</w:t>
            </w:r>
          </w:p>
        </w:tc>
        <w:tc>
          <w:tcPr>
            <w:tcW w:w="630" w:type="pct"/>
            <w:vAlign w:val="center"/>
          </w:tcPr>
          <w:p w14:paraId="7C4EC18E">
            <w:pPr>
              <w:pStyle w:val="196"/>
            </w:pPr>
            <w:r>
              <w:rPr>
                <w:rFonts w:hint="eastAsia"/>
              </w:rPr>
              <w:t>1</w:t>
            </w:r>
          </w:p>
        </w:tc>
        <w:tc>
          <w:tcPr>
            <w:tcW w:w="1094" w:type="pct"/>
            <w:vAlign w:val="center"/>
          </w:tcPr>
          <w:p w14:paraId="74645FC4">
            <w:pPr>
              <w:pStyle w:val="196"/>
            </w:pPr>
            <w:r>
              <w:rPr>
                <w:rFonts w:hint="eastAsia"/>
              </w:rPr>
              <w:t>委托环卫部门定期清运</w:t>
            </w:r>
          </w:p>
        </w:tc>
      </w:tr>
    </w:tbl>
    <w:p w14:paraId="1F591AE1">
      <w:pPr>
        <w:pStyle w:val="84"/>
      </w:pPr>
      <w:r>
        <w:rPr>
          <w:rFonts w:hint="eastAsia"/>
        </w:rPr>
        <w:t>陆域生活垃圾、工业固体废物和船舶垃圾收集转运方案及污染防治措施</w:t>
      </w:r>
    </w:p>
    <w:p w14:paraId="3868E5D5">
      <w:pPr>
        <w:ind w:firstLine="480"/>
        <w:rPr>
          <w:bCs/>
        </w:rPr>
      </w:pPr>
      <w:r>
        <w:rPr>
          <w:rFonts w:hint="eastAsia"/>
          <w:bCs/>
        </w:rPr>
        <w:t>（1）收集过程污染防治措施</w:t>
      </w:r>
    </w:p>
    <w:p w14:paraId="2B45E9C8">
      <w:pPr>
        <w:pStyle w:val="93"/>
      </w:pPr>
      <w:r>
        <w:rPr>
          <w:rFonts w:hint="eastAsia"/>
        </w:rPr>
        <w:t>码头生活垃圾及接收的船舶生活垃圾设置垃圾箱（桶），委托环卫部门集中收集处理。</w:t>
      </w:r>
    </w:p>
    <w:p w14:paraId="3426697C">
      <w:pPr>
        <w:pStyle w:val="93"/>
      </w:pPr>
      <w:r>
        <w:rPr>
          <w:rFonts w:hint="eastAsia"/>
        </w:rPr>
        <w:t>危险废物在收集时，应清楚废物的类别及</w:t>
      </w:r>
      <w:r>
        <w:rPr>
          <w:rFonts w:hint="eastAsia"/>
          <w:lang w:eastAsia="zh-CN"/>
        </w:rPr>
        <w:t>主要成分</w:t>
      </w:r>
      <w:r>
        <w:rPr>
          <w:rFonts w:hint="eastAsia"/>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40A98CFE">
      <w:pPr>
        <w:ind w:firstLine="480"/>
        <w:rPr>
          <w:bCs/>
        </w:rPr>
      </w:pPr>
      <w:r>
        <w:rPr>
          <w:rFonts w:hint="eastAsia"/>
          <w:bCs/>
        </w:rPr>
        <w:t>（2）运输过程的污染防治措施</w:t>
      </w:r>
    </w:p>
    <w:p w14:paraId="4392C909">
      <w:pPr>
        <w:ind w:firstLine="480"/>
        <w:rPr>
          <w:bCs/>
        </w:rPr>
      </w:pPr>
      <w:r>
        <w:rPr>
          <w:rFonts w:hint="eastAsia" w:ascii="宋体" w:hAnsi="宋体" w:eastAsia="宋体" w:cs="宋体"/>
          <w:bCs/>
        </w:rPr>
        <w:t>①</w:t>
      </w:r>
      <w:r>
        <w:rPr>
          <w:rFonts w:hint="eastAsia"/>
          <w:bCs/>
        </w:rPr>
        <w:t>厂内运输</w:t>
      </w:r>
    </w:p>
    <w:p w14:paraId="71373329">
      <w:pPr>
        <w:pStyle w:val="93"/>
      </w:pPr>
      <w:r>
        <w:rPr>
          <w:rFonts w:hint="eastAsia"/>
        </w:rPr>
        <w:t>本项目生产过程中产生的危险废物均于厂区内经容器收集后使用推车经指定路线运输至后方电厂危废暂存库内暂存。</w:t>
      </w:r>
    </w:p>
    <w:p w14:paraId="6DB2A460">
      <w:pPr>
        <w:ind w:firstLine="480"/>
        <w:rPr>
          <w:bCs/>
        </w:rPr>
      </w:pPr>
      <w:r>
        <w:rPr>
          <w:rFonts w:hint="eastAsia"/>
          <w:bCs/>
        </w:rPr>
        <w:t>厂内危险废物收集过程</w:t>
      </w:r>
    </w:p>
    <w:p w14:paraId="7958FA12">
      <w:pPr>
        <w:pStyle w:val="93"/>
      </w:pPr>
      <w:r>
        <w:rPr>
          <w:rFonts w:hint="eastAsia"/>
        </w:rPr>
        <w:t>a.应根据收集设备、转运车辆以及现场人员等实际情况确定相应作业区域，同时要设置作业界限标志和警示牌。</w:t>
      </w:r>
    </w:p>
    <w:p w14:paraId="657E86D6">
      <w:pPr>
        <w:ind w:firstLine="480"/>
        <w:rPr>
          <w:bCs/>
        </w:rPr>
      </w:pPr>
      <w:r>
        <w:rPr>
          <w:rFonts w:hint="eastAsia"/>
          <w:bCs/>
        </w:rPr>
        <w:t>b.作业区域内应设置危险废物收集专用通道和人员避险通道。</w:t>
      </w:r>
    </w:p>
    <w:p w14:paraId="4207BB26">
      <w:pPr>
        <w:pStyle w:val="93"/>
      </w:pPr>
      <w:r>
        <w:rPr>
          <w:rFonts w:hint="eastAsia"/>
        </w:rPr>
        <w:t>c.收集时应配备必要的收集工具和包装物，以及必要的应急监测设备及应急装备。</w:t>
      </w:r>
    </w:p>
    <w:p w14:paraId="3DA380DD">
      <w:pPr>
        <w:ind w:firstLine="480"/>
        <w:rPr>
          <w:bCs/>
        </w:rPr>
      </w:pPr>
      <w:r>
        <w:rPr>
          <w:rFonts w:hint="eastAsia"/>
          <w:bCs/>
        </w:rPr>
        <w:t>d.收集结束后应清理和恢复收集作业区域，确保作业区域环境整洁安全。</w:t>
      </w:r>
    </w:p>
    <w:p w14:paraId="449372E1">
      <w:pPr>
        <w:pStyle w:val="93"/>
      </w:pPr>
      <w:r>
        <w:rPr>
          <w:rFonts w:hint="eastAsia"/>
        </w:rPr>
        <w:t>e.收集过危险废物的容器、设备、设施、场所及其他物品转作他用时，应消除污染，确保其使用安全。</w:t>
      </w:r>
    </w:p>
    <w:p w14:paraId="67AAFE59">
      <w:pPr>
        <w:pStyle w:val="93"/>
      </w:pPr>
      <w:r>
        <w:rPr>
          <w:rFonts w:hint="eastAsia"/>
        </w:rPr>
        <w:t>厂内危险废物转运作业要求</w:t>
      </w:r>
    </w:p>
    <w:p w14:paraId="25EC89A8">
      <w:pPr>
        <w:ind w:firstLine="480"/>
        <w:rPr>
          <w:bCs/>
        </w:rPr>
      </w:pPr>
      <w:r>
        <w:rPr>
          <w:rFonts w:hint="eastAsia"/>
          <w:bCs/>
        </w:rPr>
        <w:t>a.危险废物内部转运应综合考虑厂区的实际情况确定转运路线，尽量避开办公区。</w:t>
      </w:r>
    </w:p>
    <w:p w14:paraId="7E69A607">
      <w:pPr>
        <w:ind w:firstLine="480"/>
        <w:rPr>
          <w:bCs/>
        </w:rPr>
      </w:pPr>
      <w:r>
        <w:rPr>
          <w:rFonts w:hint="eastAsia"/>
          <w:bCs/>
        </w:rPr>
        <w:t>b.危险废物内部转运作业应采用专用的工具，危险废物内部转运应填写《危险废物厂内转运记录表》。</w:t>
      </w:r>
    </w:p>
    <w:p w14:paraId="36135CFE">
      <w:pPr>
        <w:pStyle w:val="93"/>
      </w:pPr>
      <w:r>
        <w:rPr>
          <w:rFonts w:hint="eastAsia"/>
        </w:rPr>
        <w:t>c.危险废物内部转运结束后，应对转运路线进行检查和清理，确保无危险废物遗失在转运路线上，并对转运工具进行清洗。</w:t>
      </w:r>
    </w:p>
    <w:p w14:paraId="1FE35F42">
      <w:pPr>
        <w:ind w:firstLine="480"/>
        <w:rPr>
          <w:bCs/>
        </w:rPr>
      </w:pPr>
      <w:r>
        <w:rPr>
          <w:rFonts w:hint="eastAsia" w:ascii="宋体" w:hAnsi="宋体" w:eastAsia="宋体" w:cs="宋体"/>
          <w:bCs/>
        </w:rPr>
        <w:t>②</w:t>
      </w:r>
      <w:r>
        <w:rPr>
          <w:rFonts w:hint="eastAsia"/>
          <w:bCs/>
        </w:rPr>
        <w:t>厂外运输</w:t>
      </w:r>
    </w:p>
    <w:p w14:paraId="70CA186D">
      <w:pPr>
        <w:pStyle w:val="93"/>
      </w:pPr>
      <w:r>
        <w:rPr>
          <w:rFonts w:hint="eastAsia"/>
        </w:rPr>
        <w:t>企业危险废物外部运输均由危险废物处置单位委托有资质的运输单位运输，不在本项目的评价范围内。</w:t>
      </w:r>
    </w:p>
    <w:p w14:paraId="1418094F">
      <w:pPr>
        <w:ind w:firstLine="480"/>
        <w:rPr>
          <w:bCs/>
        </w:rPr>
      </w:pPr>
      <w:r>
        <w:rPr>
          <w:rFonts w:hint="eastAsia"/>
          <w:bCs/>
        </w:rPr>
        <w:t>（3）贮存场所污染防治措施</w:t>
      </w:r>
    </w:p>
    <w:p w14:paraId="7929CAFA">
      <w:pPr>
        <w:pStyle w:val="93"/>
      </w:pPr>
      <w:r>
        <w:rPr>
          <w:rFonts w:hint="eastAsia"/>
        </w:rPr>
        <w:t>本项目固态危废袋装或桶装后送危废库暂存，再委托有资质单位处理；液态、半固态危废桶装后送危废站暂存，暂存区设置围堰，如有泄漏可有效收集。</w:t>
      </w:r>
    </w:p>
    <w:p w14:paraId="535CCA43">
      <w:pPr>
        <w:pStyle w:val="93"/>
      </w:pPr>
      <w:r>
        <w:rPr>
          <w:rFonts w:hint="eastAsia"/>
        </w:rPr>
        <w:t>（1）一般固体废物管理要求</w:t>
      </w:r>
    </w:p>
    <w:p w14:paraId="29C8467B">
      <w:pPr>
        <w:pStyle w:val="93"/>
      </w:pPr>
      <w:r>
        <w:rPr>
          <w:rFonts w:hint="eastAsia"/>
        </w:rPr>
        <w:t>1）一般固废仓库按照《一般工业固体废物贮存和填埋污染控制标准》（GB18599-2020）中标准要求进行管理；</w:t>
      </w:r>
    </w:p>
    <w:p w14:paraId="0344A3DF">
      <w:pPr>
        <w:pStyle w:val="93"/>
      </w:pPr>
      <w:r>
        <w:rPr>
          <w:rFonts w:hint="eastAsia"/>
        </w:rPr>
        <w:t>2）对固体废物实行从产生、收集、运输、贮存直至最终处理实行全过程管理，按照有关</w:t>
      </w:r>
      <w:r>
        <w:rPr>
          <w:rFonts w:hint="eastAsia"/>
          <w:lang w:eastAsia="zh-CN"/>
        </w:rPr>
        <w:t>法律法规</w:t>
      </w:r>
      <w:r>
        <w:rPr>
          <w:rFonts w:hint="eastAsia"/>
        </w:rPr>
        <w:t>的要求，对固体废弃物全过程管理应报当地生态环境行政主管部门等批准。</w:t>
      </w:r>
    </w:p>
    <w:p w14:paraId="7B4F448D">
      <w:pPr>
        <w:pStyle w:val="93"/>
      </w:pPr>
      <w:r>
        <w:rPr>
          <w:rFonts w:hint="eastAsia"/>
        </w:rPr>
        <w:t>3）加强固体废物规范化管理，固体废物分类定点堆放，堆放场所远离办公区和周围环境敏感点，为了减少雨水侵蚀造成的二次污染，临时堆放场地要有防渗漏设施，并加盖顶棚。</w:t>
      </w:r>
    </w:p>
    <w:p w14:paraId="2B05CB50">
      <w:pPr>
        <w:pStyle w:val="93"/>
      </w:pPr>
      <w:r>
        <w:rPr>
          <w:rFonts w:hint="eastAsia"/>
        </w:rPr>
        <w:t>4）固体废物要及时清运，避免产生二次污染。</w:t>
      </w:r>
    </w:p>
    <w:p w14:paraId="185590CF">
      <w:pPr>
        <w:ind w:firstLine="480"/>
      </w:pPr>
      <w:r>
        <w:rPr>
          <w:rFonts w:hint="eastAsia"/>
        </w:rPr>
        <w:t>（2）危险废物管理要求</w:t>
      </w:r>
    </w:p>
    <w:p w14:paraId="25A11963">
      <w:pPr>
        <w:pStyle w:val="93"/>
      </w:pPr>
      <w:r>
        <w:rPr>
          <w:rFonts w:hint="eastAsia"/>
        </w:rPr>
        <w:t>1）危废仓库按照《中华人民共和国固体废物污染环境防治法</w:t>
      </w:r>
      <w:r>
        <w:rPr>
          <w:rFonts w:hint="eastAsia"/>
          <w:lang w:eastAsia="zh-CN"/>
        </w:rPr>
        <w:t>》《</w:t>
      </w:r>
      <w:r>
        <w:rPr>
          <w:rFonts w:hint="eastAsia"/>
        </w:rPr>
        <w:t>危险废物贮存污染控制标准》（GB 18597-2023）、《省生态环境厅关于印发2023年全省固体废物环境管理工作要点的通知》（苏环办〔2023〕84号）等要求进行管理，并注意加强日常的“防风、防雨、防晒，防渗漏”等措施；</w:t>
      </w:r>
    </w:p>
    <w:p w14:paraId="3057A9AE">
      <w:pPr>
        <w:ind w:firstLine="480"/>
      </w:pPr>
      <w:r>
        <w:rPr>
          <w:rFonts w:hint="eastAsia"/>
        </w:rPr>
        <w:t>2）固废暂存场所应有隔离设施、报警装置；</w:t>
      </w:r>
    </w:p>
    <w:p w14:paraId="2E155353">
      <w:pPr>
        <w:pStyle w:val="93"/>
      </w:pPr>
      <w:r>
        <w:rPr>
          <w:rFonts w:hint="eastAsia"/>
        </w:rPr>
        <w:t>3）根据《环境保护图形标志固体废物贮存（处置）场》（GB15562.2-1995）（含2023修改单）和危险废物识别标识设置规范设置标志，配备通讯设备、照明设施和消防设施，设置气体导出口及气体净化装置，确保废气达标排放；在出入口、设施内部、危险废物运输车辆通道等关键位置按照危险废物贮存设施视频监控布置要求设置视频监控，并与中控室联网。鼓励有条件的企业采用云存储方式保存视频监控数据。</w:t>
      </w:r>
    </w:p>
    <w:p w14:paraId="032A6C33">
      <w:pPr>
        <w:pStyle w:val="93"/>
      </w:pPr>
      <w:r>
        <w:rPr>
          <w:rFonts w:hint="eastAsia"/>
        </w:rPr>
        <w:t>4）地面须设置泄漏液体和地面冲洗废水的收集渠。仓库门口须有围堰（缓坡）或截流沟，防止仓库废物向外泄漏。仓库地面应保持干净整洁。</w:t>
      </w:r>
    </w:p>
    <w:p w14:paraId="0D859A3A">
      <w:pPr>
        <w:pStyle w:val="93"/>
      </w:pPr>
      <w:r>
        <w:rPr>
          <w:rFonts w:hint="eastAsia"/>
        </w:rPr>
        <w:t>5）不同类的危险废物须分区贮存，不同分区应设置矮围墙或在地面</w:t>
      </w:r>
      <w:r>
        <w:rPr>
          <w:rFonts w:hint="eastAsia"/>
          <w:lang w:eastAsia="zh-CN"/>
        </w:rPr>
        <w:t>划线</w:t>
      </w:r>
      <w:r>
        <w:rPr>
          <w:rFonts w:hint="eastAsia"/>
        </w:rPr>
        <w:t>并预留明显间隔（如过道等）。每一分区的墙体须悬挂危险废物贮存分区标志，尺寸按照《危险废物识别标志设置技术规范》（HJ1276-2022）表2的要求设置。</w:t>
      </w:r>
    </w:p>
    <w:p w14:paraId="597A514D">
      <w:pPr>
        <w:pStyle w:val="93"/>
      </w:pPr>
      <w:r>
        <w:rPr>
          <w:rFonts w:hint="eastAsia"/>
        </w:rPr>
        <w:t>6）危险废物必须进行包装（袋装、桶装），不得散装。容器应完好无损。每一个包装桶（袋）均须悬挂或张贴危险废物标签，尺寸按照《危险废物识别标志设置技术规范》（HJ1276-2022）表1的要求设置。</w:t>
      </w:r>
    </w:p>
    <w:p w14:paraId="448DEA96">
      <w:pPr>
        <w:pStyle w:val="93"/>
      </w:pPr>
      <w:r>
        <w:rPr>
          <w:rFonts w:hint="eastAsia"/>
        </w:rPr>
        <w:t>7）仓库室内须悬挂《（国家能源集团江苏电力有限公司）危险废物污染防治责任制度》、每一种废物的《工业固体废物台账记录本》。</w:t>
      </w:r>
    </w:p>
    <w:p w14:paraId="136D60C0">
      <w:pPr>
        <w:pStyle w:val="93"/>
      </w:pPr>
      <w:r>
        <w:rPr>
          <w:rFonts w:hint="eastAsia"/>
        </w:rPr>
        <w:t>8）本项目应制定好固体废物特别是危险废物转移运输途中的污染防范及事故应急措施。严格执行《危险废物收集 贮存 运输技术规范》（HJ2025-2012）和《危险废物转移联单管理办法》，危险废物转移前向生态环境行政主管部门报批危险废物转移计划，经批准后，向生态环境行政主管部门申请领取联单，并在转移前三日内报告移出地生态环境行政主管部门，并同时将预期到达时间报告接收地生态环境行政主管部门。同时，危险废物装卸、运输应委托有资质单位进行，编制《危险废物运输车辆事故应急预案》，杜绝包装、运输过程中危险废物散落、泄漏的环境影响。项目厂区内危险废物由专业人员操作，单独收集和贮运，严格执行转移联单管理制度及国家和省有关转移管理的相关规定、处置过程安全操作规程、人员培训考核制度、档案管理制度、处置全过程管理制度等，并制定好危险废物转移运输途中的污染防范及事故应急措施，严格按照要求办理有关手续。</w:t>
      </w:r>
    </w:p>
    <w:p w14:paraId="66255A93">
      <w:pPr>
        <w:pStyle w:val="93"/>
      </w:pPr>
      <w:r>
        <w:rPr>
          <w:rFonts w:hint="eastAsia"/>
        </w:rPr>
        <w:t>企业应按照《江苏省固体废物污染环境防治条例</w:t>
      </w:r>
      <w:r>
        <w:rPr>
          <w:rFonts w:hint="eastAsia"/>
          <w:lang w:eastAsia="zh-CN"/>
        </w:rPr>
        <w:t>》《</w:t>
      </w:r>
      <w:r>
        <w:rPr>
          <w:rFonts w:hint="eastAsia"/>
          <w:bCs/>
        </w:rPr>
        <w:t>省生态环境厅关于印发2023年全省固体废物环境管理工作要点的通知》（苏环办〔2023〕84号）、</w:t>
      </w:r>
      <w:r>
        <w:rPr>
          <w:rFonts w:hint="eastAsia"/>
        </w:rPr>
        <w:t>《省生态环境厅关于印发江苏省危险废物贮存规范化管理专项整治行动方案的通知》（苏环办〔2019〕149号）要求进行危险废物的贮存和管理，加强危险废物申报管理，落实信息公开制度，规范危险废物收集贮存，强化危险废物转移管理。</w:t>
      </w:r>
    </w:p>
    <w:p w14:paraId="4210956A">
      <w:pPr>
        <w:pStyle w:val="82"/>
      </w:pPr>
      <w:r>
        <w:rPr>
          <w:rFonts w:hint="eastAsia"/>
        </w:rPr>
        <w:t>生态保护措施</w:t>
      </w:r>
    </w:p>
    <w:p w14:paraId="544D71DF">
      <w:pPr>
        <w:pStyle w:val="84"/>
      </w:pPr>
      <w:bookmarkStart w:id="330" w:name="_Hlk182169981"/>
      <w:r>
        <w:rPr>
          <w:rFonts w:hint="eastAsia"/>
          <w:bCs/>
        </w:rPr>
        <w:t xml:space="preserve">陆生植物保护措施 </w:t>
      </w:r>
    </w:p>
    <w:bookmarkEnd w:id="330"/>
    <w:p w14:paraId="3A166422">
      <w:pPr>
        <w:pStyle w:val="139"/>
        <w:ind w:firstLine="480"/>
        <w:rPr>
          <w:color w:val="auto"/>
        </w:rPr>
      </w:pPr>
      <w:r>
        <w:rPr>
          <w:rFonts w:hint="eastAsia"/>
          <w:color w:val="auto"/>
        </w:rPr>
        <w:t>（</w:t>
      </w:r>
      <w:r>
        <w:rPr>
          <w:color w:val="auto"/>
        </w:rPr>
        <w:t>1</w:t>
      </w:r>
      <w:r>
        <w:rPr>
          <w:rFonts w:hint="eastAsia"/>
          <w:color w:val="auto"/>
        </w:rPr>
        <w:t xml:space="preserve">）工程完工后，通过采取适宜的植被恢复措施，尽快恢复施工迹地，加快陆生生态恢复，以补偿植被损失。 </w:t>
      </w:r>
    </w:p>
    <w:p w14:paraId="080C4A51">
      <w:pPr>
        <w:pStyle w:val="139"/>
        <w:ind w:firstLine="480"/>
        <w:rPr>
          <w:color w:val="auto"/>
        </w:rPr>
      </w:pPr>
      <w:r>
        <w:rPr>
          <w:rFonts w:hint="eastAsia"/>
          <w:color w:val="auto"/>
        </w:rPr>
        <w:t>（</w:t>
      </w:r>
      <w:r>
        <w:rPr>
          <w:color w:val="auto"/>
        </w:rPr>
        <w:t>2</w:t>
      </w:r>
      <w:r>
        <w:rPr>
          <w:rFonts w:hint="eastAsia"/>
          <w:color w:val="auto"/>
        </w:rPr>
        <w:t>）利用码头空地进行绿化，港区绿化应遵循“适地适树、适地适草”的原则下，可采用“乔、灌、花、草”相结合的多层次复合绿化系统，合理分配高大与低矮植物的布设。绿化树种以地方树种为主，同时增加吸收粉尘和降低噪声树种比例。通过绿化发挥滞尘作用，根据相关资料，绿化树木地带对飘尘的减尘率为</w:t>
      </w:r>
      <w:r>
        <w:rPr>
          <w:color w:val="auto"/>
        </w:rPr>
        <w:t>37</w:t>
      </w:r>
      <w:r>
        <w:rPr>
          <w:rFonts w:hint="eastAsia"/>
          <w:color w:val="auto"/>
          <w:lang w:eastAsia="zh-CN"/>
        </w:rPr>
        <w:t>%～</w:t>
      </w:r>
      <w:r>
        <w:rPr>
          <w:color w:val="auto"/>
        </w:rPr>
        <w:t>60</w:t>
      </w:r>
      <w:r>
        <w:rPr>
          <w:rFonts w:hint="eastAsia"/>
          <w:color w:val="auto"/>
        </w:rPr>
        <w:t>％。</w:t>
      </w:r>
    </w:p>
    <w:p w14:paraId="5A8BB05C">
      <w:pPr>
        <w:pStyle w:val="139"/>
        <w:ind w:firstLine="480"/>
        <w:rPr>
          <w:color w:val="auto"/>
        </w:rPr>
      </w:pPr>
      <w:r>
        <w:rPr>
          <w:rFonts w:hint="eastAsia"/>
          <w:color w:val="auto"/>
        </w:rPr>
        <w:t>建议厂内道路两侧种植灌木带，灌木外种植常绿乔木，树下铺植草坪厂界绿化隔离带的宽度应不低于</w:t>
      </w:r>
      <w:r>
        <w:rPr>
          <w:color w:val="auto"/>
        </w:rPr>
        <w:t>10m</w:t>
      </w:r>
      <w:r>
        <w:rPr>
          <w:rFonts w:hint="eastAsia"/>
          <w:color w:val="auto"/>
        </w:rPr>
        <w:t xml:space="preserve">。 </w:t>
      </w:r>
    </w:p>
    <w:p w14:paraId="3BF99655">
      <w:pPr>
        <w:pStyle w:val="139"/>
        <w:ind w:firstLine="480"/>
        <w:rPr>
          <w:color w:val="auto"/>
        </w:rPr>
      </w:pPr>
      <w:r>
        <w:rPr>
          <w:rFonts w:hint="eastAsia"/>
          <w:color w:val="auto"/>
        </w:rPr>
        <w:t xml:space="preserve">绿化植物应按照以下原则进行选择：有较强的抗污染能力；有较好的净化空气能力；不妨碍环境卫生；适应性强，易栽易管，容易繁殖；以乡土植物为主；草皮应选择适应性强、耐践踏、耐修剪、生长期长、植株低矮、繁殖快、再生能力强的草种。 </w:t>
      </w:r>
    </w:p>
    <w:p w14:paraId="71091DB5">
      <w:pPr>
        <w:pStyle w:val="139"/>
        <w:ind w:firstLine="480"/>
        <w:rPr>
          <w:color w:val="auto"/>
        </w:rPr>
      </w:pPr>
      <w:r>
        <w:rPr>
          <w:rFonts w:hint="eastAsia"/>
          <w:color w:val="auto"/>
        </w:rPr>
        <w:t xml:space="preserve">（3）本评价建议相关管理部门对外来种应予以足够关注，采取相应措施予以清除，保护区域生物多样性。 </w:t>
      </w:r>
    </w:p>
    <w:p w14:paraId="1140DF73">
      <w:pPr>
        <w:pStyle w:val="84"/>
      </w:pPr>
      <w:r>
        <w:rPr>
          <w:rFonts w:hint="eastAsia"/>
        </w:rPr>
        <w:t>营运期水环境保护措施简述</w:t>
      </w:r>
    </w:p>
    <w:p w14:paraId="00C8ED63">
      <w:pPr>
        <w:pStyle w:val="93"/>
      </w:pPr>
      <w:r>
        <w:rPr>
          <w:rFonts w:hint="eastAsia"/>
        </w:rPr>
        <w:t>（1）营运期码头装卸作业完成后及时对码头面进行清扫，防止码头面雨水可能形成的污染，各种固体废物均进行收集处理，不得随意抛弃至盐河中。</w:t>
      </w:r>
    </w:p>
    <w:p w14:paraId="3747A1B1">
      <w:pPr>
        <w:pStyle w:val="93"/>
      </w:pPr>
      <w:r>
        <w:rPr>
          <w:rFonts w:hint="eastAsia"/>
        </w:rPr>
        <w:t>（2）禁止停靠船舶直接向水体排放生活污水和垃圾。码头生活污水和初期雨水统一收集处理，降低对盐河石油类和悬浮物的贡献，保护水生生物的生存环境。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w:t>
      </w:r>
    </w:p>
    <w:p w14:paraId="5212DC04">
      <w:pPr>
        <w:pStyle w:val="84"/>
      </w:pPr>
      <w:r>
        <w:rPr>
          <w:rFonts w:hint="eastAsia"/>
        </w:rPr>
        <w:t>营运期生态减缓措施</w:t>
      </w:r>
    </w:p>
    <w:p w14:paraId="388F6D28">
      <w:pPr>
        <w:pStyle w:val="93"/>
      </w:pPr>
      <w:r>
        <w:rPr>
          <w:rFonts w:hint="eastAsia"/>
        </w:rPr>
        <w:t>本工程总占地32.5亩，现状</w:t>
      </w:r>
      <w:r>
        <w:rPr>
          <w:rStyle w:val="140"/>
          <w:rFonts w:hint="eastAsia"/>
          <w:color w:val="auto"/>
        </w:rPr>
        <w:t>国能涟水一期热电项目预留建设用地</w:t>
      </w:r>
      <w:r>
        <w:rPr>
          <w:rFonts w:hint="eastAsia"/>
        </w:rPr>
        <w:t>。为保护宝贵土地资源，在工程设计阶段应注意节约用地，将工程永久性占地控制在最低限度内。</w:t>
      </w:r>
    </w:p>
    <w:p w14:paraId="715B59FD">
      <w:pPr>
        <w:ind w:firstLine="480"/>
      </w:pPr>
      <w:r>
        <w:rPr>
          <w:rFonts w:hint="eastAsia" w:ascii="宋体" w:hAnsi="宋体" w:eastAsia="宋体" w:cs="宋体"/>
        </w:rPr>
        <w:t>①</w:t>
      </w:r>
      <w:r>
        <w:rPr>
          <w:rFonts w:hint="eastAsia"/>
        </w:rPr>
        <w:t>合理规划设计，尽量利用已有道路，尽量少建施工便道；</w:t>
      </w:r>
    </w:p>
    <w:p w14:paraId="58984388">
      <w:pPr>
        <w:ind w:firstLine="480"/>
      </w:pPr>
      <w:r>
        <w:rPr>
          <w:rFonts w:hint="eastAsia" w:ascii="宋体" w:hAnsi="宋体" w:eastAsia="宋体" w:cs="宋体"/>
        </w:rPr>
        <w:t>②</w:t>
      </w:r>
      <w:r>
        <w:rPr>
          <w:rFonts w:hint="eastAsia"/>
        </w:rPr>
        <w:t>严格规定施工车辆的行驶便道，防止施工车辆在有植被的地段任意行驶；</w:t>
      </w:r>
    </w:p>
    <w:p w14:paraId="6463A5BA">
      <w:pPr>
        <w:ind w:firstLine="480"/>
      </w:pPr>
      <w:r>
        <w:rPr>
          <w:rFonts w:hint="eastAsia" w:ascii="宋体" w:hAnsi="宋体" w:eastAsia="宋体" w:cs="宋体"/>
        </w:rPr>
        <w:t>③</w:t>
      </w:r>
      <w:r>
        <w:rPr>
          <w:rFonts w:hint="eastAsia"/>
        </w:rPr>
        <w:t>严格划定施工作业范围，限制施工人员及施工机械在施工带内施工。严禁超挖深挖；</w:t>
      </w:r>
    </w:p>
    <w:p w14:paraId="5DD9AAEF">
      <w:pPr>
        <w:pStyle w:val="93"/>
      </w:pPr>
      <w:r>
        <w:rPr>
          <w:rFonts w:hint="eastAsia" w:ascii="宋体" w:hAnsi="宋体" w:eastAsia="宋体" w:cs="宋体"/>
        </w:rPr>
        <w:t>④</w:t>
      </w:r>
      <w:r>
        <w:rPr>
          <w:rFonts w:hint="eastAsia"/>
        </w:rPr>
        <w:t>在开挖过程中对地表上层15cm厚的高肥力土壤腐殖质层进行剥离和保存，作为建设工程后期地表植被补偿恢复或景观绿化工程所需的耕植土；</w:t>
      </w:r>
    </w:p>
    <w:p w14:paraId="027F6EEA">
      <w:pPr>
        <w:ind w:firstLine="480"/>
      </w:pPr>
      <w:r>
        <w:rPr>
          <w:rFonts w:hint="eastAsia" w:ascii="宋体" w:hAnsi="宋体" w:eastAsia="宋体" w:cs="宋体"/>
        </w:rPr>
        <w:t>⑤</w:t>
      </w:r>
      <w:r>
        <w:rPr>
          <w:rFonts w:hint="eastAsia"/>
        </w:rPr>
        <w:t>水上挖方堆置后结合码头货物外运道路建设进行弃土综合利用。</w:t>
      </w:r>
    </w:p>
    <w:p w14:paraId="6DCEC38C">
      <w:pPr>
        <w:ind w:firstLine="480"/>
      </w:pPr>
      <w:r>
        <w:rPr>
          <w:rFonts w:hint="eastAsia"/>
        </w:rPr>
        <w:t>本项目干土弃方用于后方陆域场地填筑、平整，可以解决弃土综合利用的问题，符合清洁生产的有关要求。</w:t>
      </w:r>
    </w:p>
    <w:p w14:paraId="3030C913">
      <w:pPr>
        <w:pStyle w:val="93"/>
      </w:pPr>
      <w:r>
        <w:rPr>
          <w:rFonts w:hint="eastAsia" w:ascii="宋体" w:hAnsi="宋体" w:eastAsia="宋体" w:cs="宋体"/>
        </w:rPr>
        <w:t>⑤</w:t>
      </w:r>
      <w:r>
        <w:rPr>
          <w:rFonts w:hint="eastAsia"/>
        </w:rPr>
        <w:t>水下方利用堆土场堆存，经沉淀自然干化后满足《农用污泥中污染物控制标准》（GB4284-2018）的要求直接作为绿化、农用土。</w:t>
      </w:r>
    </w:p>
    <w:p w14:paraId="5A9EA801">
      <w:pPr>
        <w:ind w:firstLine="480"/>
      </w:pPr>
      <w:bookmarkStart w:id="331" w:name="_Toc295"/>
      <w:bookmarkEnd w:id="331"/>
      <w:r>
        <w:rPr>
          <w:rFonts w:hint="eastAsia"/>
        </w:rPr>
        <w:t>1、水土保持措施</w:t>
      </w:r>
    </w:p>
    <w:p w14:paraId="13A020DB">
      <w:pPr>
        <w:pStyle w:val="93"/>
      </w:pPr>
      <w:r>
        <w:rPr>
          <w:rFonts w:hint="eastAsia"/>
        </w:rPr>
        <w:t>①加强预防措施。本工程水土流失的预防，应从设计、施工过程中到工程竣工后都给予充分的重视，设计时尽量使挖填方平衡，提高土、砂、石料利用率，减少弃渣量；施工时应尽量减少破坏地貌及植被；施工过程中拟采用环保型的施工机械进行疏浚作业，减轻疏浚悬浮物泥沙扩散造成污染；必须严格按照有关规定将弃渣弃土运至规定地点存放，并采取一定的保护措施，不允许随意丢弃，以便最大限度地减少泥渣对河流水质及防洪的不利影响。工程竣工时应搞好护坡造林和种草，使之具有一定的稳定性并满足防冲要求。</w:t>
      </w:r>
    </w:p>
    <w:p w14:paraId="01193A05">
      <w:pPr>
        <w:pStyle w:val="93"/>
      </w:pPr>
      <w:r>
        <w:rPr>
          <w:rFonts w:hint="eastAsia"/>
        </w:rPr>
        <w:t>②禁止污水直接排放到河流水体中，船舶舱底油污水由码头前沿接收装置收集，用不锈钢水箱作为船舶含油污水收集容器，配备自吸排污泵，标准法兰盘以及铜丝软管收集船舶含油污水。水箱盛满后，委托有资质单位处置；船舶生活污水经岸上接收装置接收后接管至国能涟水一期热电联产项目厂区污水处理设施处理；陆域生活污水依托国能涟水一期热电联产项目厂区污水处理设施处理；码头初期雨水经排水沟收集后汇入</w:t>
      </w:r>
      <w:r>
        <w:rPr>
          <w:rFonts w:hint="eastAsia"/>
          <w:lang w:eastAsia="zh-CN"/>
        </w:rPr>
        <w:t>码头</w:t>
      </w:r>
      <w:r>
        <w:rPr>
          <w:rFonts w:hint="eastAsia"/>
        </w:rPr>
        <w:t>污水池，经潜污泵提升至国能涟水一期热电联产项目厂区初期雨水处理，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w:t>
      </w:r>
    </w:p>
    <w:p w14:paraId="3FD377BB">
      <w:pPr>
        <w:pStyle w:val="93"/>
      </w:pPr>
      <w:r>
        <w:rPr>
          <w:rFonts w:hint="eastAsia"/>
        </w:rPr>
        <w:t>③做好防治措施的系统规划。合理安排施工季节和作业时间，尽量避免在雨季进行大量动土和开挖工程，减少区域水土流失。以施工区两侧为重点防治区域，采取系统的防治措施。施工中尽量减少临时占地面积，采取护坡、挡土墙等防护措施，减少雨水直接冲刷裸露地表，</w:t>
      </w:r>
      <w:r>
        <w:rPr>
          <w:rFonts w:hint="eastAsia"/>
          <w:lang w:eastAsia="zh-CN"/>
        </w:rPr>
        <w:t>减少</w:t>
      </w:r>
      <w:r>
        <w:rPr>
          <w:rFonts w:hint="eastAsia"/>
        </w:rPr>
        <w:t>施工过程中开挖面的水土流失。开挖过程中要做到随挖、随运、随填、随夯。</w:t>
      </w:r>
    </w:p>
    <w:p w14:paraId="2EA51754">
      <w:pPr>
        <w:pStyle w:val="93"/>
      </w:pPr>
      <w:r>
        <w:rPr>
          <w:rFonts w:hint="eastAsia"/>
        </w:rPr>
        <w:t>④工程措施护坡以上青坎及两岸圩堤需植被保护。选用耐旱、耐湿、速生、根系密集的草皮或树种，在土方工程完成后立即栽种，既防止水土流失，又加强绿化景观。临时占用的林地和滩地等，在施工完成后，应及时进行复耕或恢复植被，以确保土层不裸露。</w:t>
      </w:r>
    </w:p>
    <w:p w14:paraId="0E7CC105">
      <w:pPr>
        <w:ind w:firstLine="480"/>
      </w:pPr>
      <w:bookmarkStart w:id="332" w:name="_Toc139"/>
      <w:bookmarkEnd w:id="332"/>
      <w:r>
        <w:rPr>
          <w:rFonts w:hint="eastAsia"/>
        </w:rPr>
        <w:t>2、水域生态保护措施</w:t>
      </w:r>
    </w:p>
    <w:p w14:paraId="63058593">
      <w:pPr>
        <w:pStyle w:val="93"/>
      </w:pPr>
      <w:r>
        <w:rPr>
          <w:rFonts w:hint="eastAsia"/>
        </w:rPr>
        <w:t>①加强生态环境及生物多样性保护的宣教和管理力度，做好对水上施工作业人员环境保护、生物多样性保护方面的宣传教育，严禁施工人员利用水上作业之便捕杀鱼类等水生生物。</w:t>
      </w:r>
    </w:p>
    <w:p w14:paraId="65E25169">
      <w:pPr>
        <w:pStyle w:val="93"/>
      </w:pPr>
      <w:r>
        <w:rPr>
          <w:rFonts w:hint="eastAsia"/>
        </w:rPr>
        <w:t>②优化施工管理和施工工艺，尽量缩短水域施工的工期和施工范围。疏浚作业选用悬浮物发生量较少的施工机械，最大限度地控制水下施工作业对底泥的搅动范围和强度，减少悬浮泥沙的发生量。</w:t>
      </w:r>
    </w:p>
    <w:p w14:paraId="365A1066">
      <w:pPr>
        <w:ind w:firstLine="480"/>
      </w:pPr>
      <w:r>
        <w:rPr>
          <w:rFonts w:hint="eastAsia"/>
        </w:rPr>
        <w:t>③严格管理施工船舶，施工船舶垃圾、废水严禁随意排放，按相关要求交送垃圾收集站和油废水回收站处理。</w:t>
      </w:r>
    </w:p>
    <w:p w14:paraId="3833D812">
      <w:pPr>
        <w:pStyle w:val="93"/>
      </w:pPr>
      <w:r>
        <w:rPr>
          <w:rFonts w:hint="eastAsia"/>
        </w:rPr>
        <w:t>④施工</w:t>
      </w:r>
      <w:r>
        <w:rPr>
          <w:rFonts w:hint="eastAsia"/>
          <w:lang w:eastAsia="zh-CN"/>
        </w:rPr>
        <w:t>期间</w:t>
      </w:r>
      <w:r>
        <w:rPr>
          <w:rFonts w:hint="eastAsia"/>
        </w:rPr>
        <w:t>各种固体废物不得向水域排放或堆放在水域附近，应进行统一收集，交由环卫部门和施工单位处理。</w:t>
      </w:r>
    </w:p>
    <w:p w14:paraId="37F4FB2A">
      <w:pPr>
        <w:pStyle w:val="93"/>
      </w:pPr>
      <w:r>
        <w:rPr>
          <w:rFonts w:hint="eastAsia"/>
        </w:rPr>
        <w:t>⑤物料应远离水域集中堆存并设置围挡、遮盖等防护措施，防止雨水冲刷入河。</w:t>
      </w:r>
    </w:p>
    <w:p w14:paraId="4C543ED1">
      <w:pPr>
        <w:pStyle w:val="84"/>
      </w:pPr>
      <w:r>
        <w:rPr>
          <w:rFonts w:hint="eastAsia"/>
        </w:rPr>
        <w:t>营运期生态补偿措施</w:t>
      </w:r>
    </w:p>
    <w:p w14:paraId="56FAB97B">
      <w:pPr>
        <w:pStyle w:val="93"/>
      </w:pPr>
      <w:r>
        <w:rPr>
          <w:rFonts w:hint="eastAsia"/>
        </w:rPr>
        <w:t>1、由于码头前方作业区和堆场基本是混凝土铺砌场地，不能进行绿化，所以基地的绿化主要在</w:t>
      </w:r>
      <w:r>
        <w:rPr>
          <w:rFonts w:hint="eastAsia"/>
          <w:lang w:eastAsia="zh-CN"/>
        </w:rPr>
        <w:t>作业区</w:t>
      </w:r>
      <w:r>
        <w:rPr>
          <w:rFonts w:hint="eastAsia"/>
        </w:rPr>
        <w:t>及生产辅助区进行。在生产辅助区与码头前方工作间应选择树形美观，挺拔高大，装饰性强，观赏价值高的乔木、灌木，同时再适当配置花坛、水池和绿篱等。在综合楼等生活办公区可选用庭荫树或种植一定观赏价值的树木和花卉，并可选用一些藤本植物，如爬山虎、常青藤等，进行垂直绿化。</w:t>
      </w:r>
    </w:p>
    <w:p w14:paraId="6BAA908D">
      <w:pPr>
        <w:pStyle w:val="93"/>
      </w:pPr>
      <w:r>
        <w:rPr>
          <w:rFonts w:hint="eastAsia"/>
        </w:rPr>
        <w:t>与码头外公路连接处的空地种植大面积草坪，其间铺设绿化自动洒水管道系统，草坪中局部种植黄杨球和其他灌木及花卉。对基地周国的防护林带，应选用常青针叶树和速尘阔叶树种，组成带状的混交林带。适于该地区生长，又具有防尘、降呆功能的绿化植物主要有：梧桐、垂柳、侧柏、悬铃木等。</w:t>
      </w:r>
    </w:p>
    <w:p w14:paraId="09786E82">
      <w:pPr>
        <w:pStyle w:val="93"/>
      </w:pPr>
      <w:r>
        <w:rPr>
          <w:rFonts w:hint="eastAsia"/>
        </w:rPr>
        <w:t>2、码头施工将对水下底栖生物造成一定影响，根据有关资料，施工结束几个月后水生生物种类将恢复正常，水域生态环境将逐渐恢复。周围水域的底栖生物、浮游生物将很快繁衍过来进行补偿。</w:t>
      </w:r>
    </w:p>
    <w:p w14:paraId="6C341950">
      <w:pPr>
        <w:pStyle w:val="93"/>
      </w:pPr>
      <w:r>
        <w:rPr>
          <w:rFonts w:hint="eastAsia"/>
        </w:rPr>
        <w:t>3、本项目全厂可绿化区域主要为陆域、堆场和辅助生产设施、道路两侧可适宜绿化的区域，经测算可绿化面积约8000m</w:t>
      </w:r>
      <w:r>
        <w:rPr>
          <w:rFonts w:hint="eastAsia"/>
          <w:vertAlign w:val="superscript"/>
        </w:rPr>
        <w:t>2</w:t>
      </w:r>
      <w:r>
        <w:rPr>
          <w:rFonts w:hint="eastAsia"/>
        </w:rPr>
        <w:t>，本项目新增绿化面积8000m</w:t>
      </w:r>
      <w:r>
        <w:rPr>
          <w:rFonts w:hint="eastAsia"/>
          <w:vertAlign w:val="superscript"/>
        </w:rPr>
        <w:t>2</w:t>
      </w:r>
      <w:r>
        <w:rPr>
          <w:rFonts w:hint="eastAsia"/>
        </w:rPr>
        <w:t>，能满足《水运工程环境保护设计规范》（JTS149-2018）中关于绿化面积不低于可绿化面积85%的要求，项目建成的同时要予以落实。考虑到保持和恢复水生生态环境，本工程应投入一定的资金用于增殖放流，建议根据受影响河段鱼类损失量和底栖动物损失量，进行适当的放流补偿。</w:t>
      </w:r>
    </w:p>
    <w:p w14:paraId="0C1B7D8D">
      <w:pPr>
        <w:pStyle w:val="80"/>
      </w:pPr>
      <w:bookmarkStart w:id="333" w:name="_Toc182171828"/>
      <w:bookmarkStart w:id="334" w:name="_Hlk182166785"/>
      <w:r>
        <w:rPr>
          <w:rFonts w:hint="eastAsia"/>
        </w:rPr>
        <w:t>环境风险管理</w:t>
      </w:r>
      <w:bookmarkEnd w:id="333"/>
    </w:p>
    <w:bookmarkEnd w:id="334"/>
    <w:p w14:paraId="5B0FBC45">
      <w:pPr>
        <w:pStyle w:val="139"/>
        <w:ind w:firstLine="480"/>
        <w:rPr>
          <w:color w:val="auto"/>
        </w:rPr>
      </w:pPr>
      <w:r>
        <w:rPr>
          <w:rFonts w:hint="eastAsia"/>
          <w:color w:val="auto"/>
        </w:rPr>
        <w:t>建设单位需组建安全环保管理机构，配备管理人员，通过技能培训，承担全厂的安全环保工作。安全环保机构组建后，将根据相关的环境管理要求，结合具体情况，制定各项安全生产管理制度、严格的生产操作规则和完善的事故应急计划及相应的应急处理手段和设施，同时加强安全教育、培训工作，以</w:t>
      </w:r>
      <w:r>
        <w:rPr>
          <w:rFonts w:hint="eastAsia"/>
          <w:color w:val="auto"/>
          <w:lang w:eastAsia="zh-CN"/>
        </w:rPr>
        <w:t>增强</w:t>
      </w:r>
      <w:r>
        <w:rPr>
          <w:rFonts w:hint="eastAsia"/>
          <w:color w:val="auto"/>
        </w:rPr>
        <w:t>职工的安全意识和安全防范能力。根据江苏省《企事业单位和工业园区突发环境事件应急预案编制导则》（DB32/T3795-2020）及《省生态环境厅关于印发江苏省环境影响评价文件环境应急相关内容编制要点的通知》编制应急预案（苏环办</w:t>
      </w:r>
      <w:r>
        <w:rPr>
          <w:rFonts w:hint="eastAsia"/>
          <w:color w:val="auto"/>
          <w:lang w:eastAsia="zh-CN"/>
        </w:rPr>
        <w:t>〔2022〕338号</w:t>
      </w:r>
      <w:r>
        <w:rPr>
          <w:rFonts w:hint="eastAsia"/>
          <w:color w:val="auto"/>
        </w:rPr>
        <w:t>），雨污水、事故废水收集排放管网情况见图3.2-8。</w:t>
      </w:r>
    </w:p>
    <w:p w14:paraId="15FA304C">
      <w:pPr>
        <w:pStyle w:val="82"/>
      </w:pPr>
      <w:r>
        <w:rPr>
          <w:rFonts w:hint="eastAsia"/>
        </w:rPr>
        <w:t>环境风险防范措施</w:t>
      </w:r>
    </w:p>
    <w:p w14:paraId="3A1BA309">
      <w:pPr>
        <w:pStyle w:val="84"/>
        <w:rPr>
          <w:snapToGrid w:val="0"/>
        </w:rPr>
      </w:pPr>
      <w:bookmarkStart w:id="335" w:name="_Hlk182166846"/>
      <w:r>
        <w:rPr>
          <w:rFonts w:hint="eastAsia"/>
          <w:snapToGrid w:val="0"/>
        </w:rPr>
        <w:t>淮安港应急管理现状调查</w:t>
      </w:r>
    </w:p>
    <w:bookmarkEnd w:id="335"/>
    <w:p w14:paraId="3A229F08">
      <w:pPr>
        <w:pStyle w:val="139"/>
        <w:ind w:firstLine="480"/>
        <w:rPr>
          <w:color w:val="auto"/>
          <w:lang w:val="en-US"/>
        </w:rPr>
      </w:pPr>
      <w:r>
        <w:rPr>
          <w:rFonts w:hint="eastAsia"/>
          <w:color w:val="auto"/>
          <w:lang w:val="en-US"/>
        </w:rPr>
        <w:t>淮安内河港环境风险应急组织体系见下图，淮安内河港行政主管部门为环境风险事故应急的责任主体。淮安内河港行政主管部门成立应急办公室作为内部环境风险应急领导机构，领导各部门在职责范围内开展应急处置工作，建立与各港区企业应急单位的联系，与港口上下游水厂及周边村镇形成联动机制，及时向上报告事故情况，接受淮安市市级环境风险应急体系的领导。</w:t>
      </w:r>
    </w:p>
    <w:p w14:paraId="5D3BD8A9">
      <w:pPr>
        <w:pStyle w:val="196"/>
      </w:pPr>
      <w:r>
        <w:rPr>
          <w:rFonts w:hint="eastAsia"/>
        </w:rPr>
        <w:drawing>
          <wp:inline distT="0" distB="0" distL="114300" distR="114300">
            <wp:extent cx="4708525" cy="2119630"/>
            <wp:effectExtent l="0" t="0" r="15875" b="13970"/>
            <wp:docPr id="100" name="图片 515" descr="167809052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15" descr="1678090522134"/>
                    <pic:cNvPicPr>
                      <a:picLocks noChangeAspect="1"/>
                    </pic:cNvPicPr>
                  </pic:nvPicPr>
                  <pic:blipFill>
                    <a:blip r:embed="rId193"/>
                    <a:stretch>
                      <a:fillRect/>
                    </a:stretch>
                  </pic:blipFill>
                  <pic:spPr>
                    <a:xfrm>
                      <a:off x="0" y="0"/>
                      <a:ext cx="4708525" cy="2119630"/>
                    </a:xfrm>
                    <a:prstGeom prst="rect">
                      <a:avLst/>
                    </a:prstGeom>
                    <a:noFill/>
                    <a:ln>
                      <a:noFill/>
                    </a:ln>
                  </pic:spPr>
                </pic:pic>
              </a:graphicData>
            </a:graphic>
          </wp:inline>
        </w:drawing>
      </w:r>
    </w:p>
    <w:p w14:paraId="5BF3B4AB">
      <w:pPr>
        <w:pStyle w:val="90"/>
      </w:pPr>
      <w:r>
        <w:rPr>
          <w:rFonts w:hint="eastAsia"/>
        </w:rPr>
        <w:t>图6.3-3 淮安内河港环境风险应急组织体系图</w:t>
      </w:r>
    </w:p>
    <w:p w14:paraId="2F66E5D4">
      <w:pPr>
        <w:pStyle w:val="139"/>
        <w:ind w:firstLine="480"/>
        <w:rPr>
          <w:color w:val="auto"/>
          <w:lang w:val="en-US"/>
        </w:rPr>
      </w:pPr>
      <w:r>
        <w:rPr>
          <w:color w:val="auto"/>
          <w:lang w:val="en-US"/>
        </w:rPr>
        <w:t>（</w:t>
      </w:r>
      <w:r>
        <w:rPr>
          <w:rFonts w:hint="eastAsia"/>
          <w:color w:val="auto"/>
          <w:lang w:val="en-US"/>
        </w:rPr>
        <w:t>2</w:t>
      </w:r>
      <w:r>
        <w:rPr>
          <w:color w:val="auto"/>
          <w:lang w:val="en-US"/>
        </w:rPr>
        <w:t>）</w:t>
      </w:r>
      <w:r>
        <w:rPr>
          <w:rFonts w:hint="eastAsia"/>
          <w:color w:val="auto"/>
          <w:lang w:val="en-US"/>
        </w:rPr>
        <w:t>淮安港应急办公室</w:t>
      </w:r>
    </w:p>
    <w:p w14:paraId="198BCA76">
      <w:pPr>
        <w:pStyle w:val="139"/>
        <w:ind w:firstLine="480"/>
        <w:rPr>
          <w:color w:val="auto"/>
          <w:lang w:val="en-US"/>
        </w:rPr>
      </w:pPr>
      <w:r>
        <w:rPr>
          <w:rFonts w:hint="eastAsia"/>
          <w:color w:val="auto"/>
          <w:lang w:val="en-US"/>
        </w:rPr>
        <w:t>应急办公室为淮安内河港行政主管部门内部环境风险应急领导机构。淮安内河港行政主管部门负责人为应急办公室主任和环境风险事故负责人。应急办公室职责如下：</w:t>
      </w:r>
    </w:p>
    <w:p w14:paraId="22E2DF8B">
      <w:pPr>
        <w:pStyle w:val="139"/>
        <w:ind w:firstLine="480"/>
        <w:rPr>
          <w:color w:val="auto"/>
          <w:lang w:val="en-US"/>
        </w:rPr>
      </w:pPr>
      <w:r>
        <w:rPr>
          <w:rFonts w:hint="eastAsia"/>
          <w:color w:val="auto"/>
          <w:lang w:val="en-US"/>
        </w:rPr>
        <w:t>①负责淮安内河港环境风险应急预案在淮安内河港的贯彻落实，建立单位内部环境风险应急管理体系，负责本单位职责范围内的环境风险应急处置工作的组织管理和协调。</w:t>
      </w:r>
    </w:p>
    <w:p w14:paraId="74A6A6B1">
      <w:pPr>
        <w:pStyle w:val="139"/>
        <w:ind w:firstLine="480"/>
        <w:rPr>
          <w:color w:val="auto"/>
          <w:lang w:val="en-US"/>
        </w:rPr>
      </w:pPr>
      <w:r>
        <w:rPr>
          <w:rFonts w:hint="eastAsia"/>
          <w:color w:val="auto"/>
          <w:lang w:val="en-US"/>
        </w:rPr>
        <w:t>②监督检查港口企业的环境风险防范与应急工程设施并检查其有效性。</w:t>
      </w:r>
    </w:p>
    <w:p w14:paraId="3855D447">
      <w:pPr>
        <w:pStyle w:val="139"/>
        <w:ind w:firstLine="480"/>
        <w:rPr>
          <w:color w:val="auto"/>
          <w:lang w:val="en-US"/>
        </w:rPr>
      </w:pPr>
      <w:r>
        <w:rPr>
          <w:rFonts w:hint="eastAsia"/>
          <w:color w:val="auto"/>
          <w:lang w:val="en-US"/>
        </w:rPr>
        <w:t>③监督检查港口企业的环境风险应急预案、人员和设备配置、培训演练制度的落实情况和有效性。</w:t>
      </w:r>
    </w:p>
    <w:p w14:paraId="4FBD8AEC">
      <w:pPr>
        <w:pStyle w:val="139"/>
        <w:ind w:firstLine="480"/>
        <w:rPr>
          <w:color w:val="auto"/>
          <w:lang w:val="en-US"/>
        </w:rPr>
      </w:pPr>
      <w:r>
        <w:rPr>
          <w:rFonts w:hint="eastAsia"/>
          <w:color w:val="auto"/>
          <w:lang w:val="en-US"/>
        </w:rPr>
        <w:t>④</w:t>
      </w:r>
      <w:r>
        <w:rPr>
          <w:rFonts w:hint="eastAsia"/>
          <w:color w:val="auto"/>
          <w:lang w:val="en-US" w:eastAsia="zh-CN"/>
        </w:rPr>
        <w:t>接收</w:t>
      </w:r>
      <w:r>
        <w:rPr>
          <w:rFonts w:hint="eastAsia"/>
          <w:color w:val="auto"/>
          <w:lang w:val="en-US"/>
        </w:rPr>
        <w:t>港口企业或其他公众的环境报警信息，迅速</w:t>
      </w:r>
      <w:r>
        <w:rPr>
          <w:rFonts w:hint="eastAsia"/>
          <w:color w:val="auto"/>
          <w:lang w:val="en-US" w:eastAsia="zh-CN"/>
        </w:rPr>
        <w:t>勘查现场</w:t>
      </w:r>
      <w:r>
        <w:rPr>
          <w:rFonts w:hint="eastAsia"/>
          <w:color w:val="auto"/>
          <w:lang w:val="en-US"/>
        </w:rPr>
        <w:t>，判断事故的严重程度，依据市级环境风险应急预案规定，及时向淮安市环境保护主管部门报告。</w:t>
      </w:r>
    </w:p>
    <w:p w14:paraId="3587657D">
      <w:pPr>
        <w:pStyle w:val="139"/>
        <w:ind w:firstLine="480"/>
        <w:rPr>
          <w:color w:val="auto"/>
          <w:lang w:val="en-US"/>
        </w:rPr>
      </w:pPr>
      <w:r>
        <w:rPr>
          <w:rFonts w:hint="eastAsia"/>
          <w:color w:val="auto"/>
          <w:lang w:val="en-US"/>
        </w:rPr>
        <w:t>⑤发生环境风险事故后，第一时间组织港口企业应急处置队伍和设备，控制污染蔓延，并根据事故类型通知事故点上下游水厂、港区周边村镇采取相应的保护措施。</w:t>
      </w:r>
    </w:p>
    <w:p w14:paraId="264D3983">
      <w:pPr>
        <w:pStyle w:val="139"/>
        <w:ind w:firstLine="480"/>
        <w:rPr>
          <w:color w:val="auto"/>
          <w:lang w:val="en-US"/>
        </w:rPr>
      </w:pPr>
      <w:r>
        <w:rPr>
          <w:rFonts w:hint="eastAsia"/>
          <w:color w:val="auto"/>
          <w:lang w:val="en-US"/>
        </w:rPr>
        <w:t>⑥接受淮安市环境风险应急体系的领导，在上级应急体系的规范下，与各级应急单位协同合作开展环境风险应急处置工作。</w:t>
      </w:r>
    </w:p>
    <w:p w14:paraId="7BA42CE7">
      <w:pPr>
        <w:pStyle w:val="139"/>
        <w:ind w:firstLine="480"/>
        <w:rPr>
          <w:color w:val="auto"/>
          <w:lang w:val="en-US"/>
        </w:rPr>
      </w:pPr>
      <w:r>
        <w:rPr>
          <w:rFonts w:hint="eastAsia"/>
          <w:color w:val="auto"/>
          <w:lang w:val="en-US"/>
        </w:rPr>
        <w:t>⑦总结本单位在事故应急处置工作中的经验教训，配合政府有关部门调查事故。</w:t>
      </w:r>
    </w:p>
    <w:p w14:paraId="365B62F9">
      <w:pPr>
        <w:pStyle w:val="84"/>
      </w:pPr>
      <w:r>
        <w:rPr>
          <w:rFonts w:hint="eastAsia"/>
        </w:rPr>
        <w:t>船舶交通事故的风险防范措施</w:t>
      </w:r>
    </w:p>
    <w:p w14:paraId="6AF0B409">
      <w:pPr>
        <w:pStyle w:val="93"/>
      </w:pPr>
      <w:r>
        <w:rPr>
          <w:rFonts w:hint="eastAsia"/>
        </w:rPr>
        <w:t>船舶交通事故的发生与船舶航行和停泊的地理条件、气象条件、运输装载的货种、船舶密度、导/助航条件以及船舶驾驶等因素有关。本工程发生航道及码头附近船舶交通事故造成环境污染的可能性是存在的，一旦发生船舶交通事故特别是进港航道上的交通事故，将会造成事故区域环境资源的严重损失，且其应急反应的人力物力财力消耗大，因此采取有效的措施预防船舶交通事故的发生意义重大。</w:t>
      </w:r>
    </w:p>
    <w:p w14:paraId="2F37A559">
      <w:pPr>
        <w:pStyle w:val="93"/>
      </w:pPr>
      <w:r>
        <w:rPr>
          <w:rFonts w:hint="eastAsia"/>
        </w:rPr>
        <w:t>船舶交通事故预防措施包括：</w:t>
      </w:r>
    </w:p>
    <w:p w14:paraId="04CF065A">
      <w:pPr>
        <w:pStyle w:val="93"/>
      </w:pPr>
      <w:r>
        <w:rPr>
          <w:rFonts w:hint="eastAsia"/>
        </w:rPr>
        <w:t>（1）在码头附近区域配备必要的导助航等安全保障设施</w:t>
      </w:r>
    </w:p>
    <w:p w14:paraId="153354F5">
      <w:pPr>
        <w:ind w:firstLine="480"/>
      </w:pPr>
      <w:r>
        <w:rPr>
          <w:rFonts w:hint="eastAsia"/>
        </w:rPr>
        <w:t>为了保障码头附近船舶的航行安全，码头经营者要接受该辖区内海事局对船舶交通和船舶报告等方面的协调、监督和管理，在码头前沿和船舶掉头区设置必要的助航等安全保障设施。工程建设方案规划过程中已经根据本项目的工程和项目区域环境特点在码头前沿和船舶掉头区配备了必要的导助航等安全保障设施。</w:t>
      </w:r>
    </w:p>
    <w:p w14:paraId="6D4EFF90">
      <w:pPr>
        <w:ind w:firstLine="480"/>
      </w:pPr>
      <w:r>
        <w:rPr>
          <w:rFonts w:hint="eastAsia"/>
        </w:rPr>
        <w:t>（2）推进船舶交通管理系统（VTS）建设</w:t>
      </w:r>
    </w:p>
    <w:p w14:paraId="0AAF18DF">
      <w:pPr>
        <w:pStyle w:val="93"/>
      </w:pPr>
      <w:r>
        <w:rPr>
          <w:rFonts w:hint="eastAsia"/>
        </w:rPr>
        <w:t>建设VTS是为了保障船舶安全航行，避免船舶碰撞事故的发生，辅助大型船舶在单向航道内安全航行，避免大型船舶过于靠近航道边缘或其他浅水区域而发生搁浅或触礁事故，此外还可以提高港口效率，方便组织有效江上搜救行动和事故应急反应等。同时推进本项目到港船舶逐步配置”船载自动识别系统（AIS）”，减少事故</w:t>
      </w:r>
      <w:r>
        <w:rPr>
          <w:rFonts w:hint="eastAsia"/>
          <w:lang w:eastAsia="zh-CN"/>
        </w:rPr>
        <w:t>发生概率</w:t>
      </w:r>
      <w:r>
        <w:rPr>
          <w:rFonts w:hint="eastAsia"/>
        </w:rPr>
        <w:t>。</w:t>
      </w:r>
    </w:p>
    <w:p w14:paraId="7A59E9AA">
      <w:pPr>
        <w:ind w:firstLine="480"/>
      </w:pPr>
      <w:r>
        <w:rPr>
          <w:rFonts w:hint="eastAsia"/>
        </w:rPr>
        <w:t>（3）加强航道内船舶交通秩序的管理</w:t>
      </w:r>
    </w:p>
    <w:p w14:paraId="666629F9">
      <w:pPr>
        <w:pStyle w:val="93"/>
      </w:pPr>
      <w:r>
        <w:rPr>
          <w:rFonts w:hint="eastAsia"/>
        </w:rPr>
        <w:t>为避免港区航道内船舶发生碰撞事故而造成污染，港区航道交通管理部门应加强对航道内船舶交通秩序的管理，及时掌握进出航道船舶的动态，尽量在危险品船通过时，其他船舶尽量采取避让措施等。</w:t>
      </w:r>
    </w:p>
    <w:p w14:paraId="7865222D">
      <w:pPr>
        <w:ind w:firstLine="480"/>
      </w:pPr>
      <w:r>
        <w:rPr>
          <w:rFonts w:hint="eastAsia"/>
        </w:rPr>
        <w:t>制定严格的船舶靠泊管理制度，码头调度人员应熟悉到港船舶速度要求及相应的操作规范，从管理上最大限度地减少船舶碰撞事故的发生。</w:t>
      </w:r>
    </w:p>
    <w:p w14:paraId="2642D759">
      <w:pPr>
        <w:pStyle w:val="84"/>
      </w:pPr>
      <w:bookmarkStart w:id="336" w:name="_Hlk182166854"/>
      <w:r>
        <w:rPr>
          <w:rFonts w:hint="eastAsia"/>
        </w:rPr>
        <w:t>溢油事故污染应急措施</w:t>
      </w:r>
    </w:p>
    <w:bookmarkEnd w:id="336"/>
    <w:p w14:paraId="0FA89089">
      <w:pPr>
        <w:pStyle w:val="139"/>
        <w:ind w:firstLine="480"/>
        <w:rPr>
          <w:color w:val="auto"/>
        </w:rPr>
      </w:pPr>
      <w:r>
        <w:rPr>
          <w:rFonts w:hint="eastAsia"/>
          <w:color w:val="auto"/>
        </w:rPr>
        <w:t>（一）溢油事故应急政策</w:t>
      </w:r>
    </w:p>
    <w:p w14:paraId="21267D18">
      <w:pPr>
        <w:pStyle w:val="93"/>
      </w:pPr>
      <w:r>
        <w:rPr>
          <w:rFonts w:hint="eastAsia"/>
        </w:rPr>
        <w:t>（1）恶劣气况下</w:t>
      </w:r>
    </w:p>
    <w:p w14:paraId="5C99B3B2">
      <w:pPr>
        <w:pStyle w:val="93"/>
      </w:pPr>
      <w:r>
        <w:rPr>
          <w:rFonts w:hint="eastAsia"/>
        </w:rPr>
        <w:t>溢油面积大且气况恶劣的情况下，一旦码头前沿水域发生泄漏事故，应当首先临近水域敏感区布设围油栏，避免保护目标受损。建议应当在保护目标设置应急设备配置点，储存岸滩围油栏，并在保护目标附近水域布设围油栏挂靠桩基，一旦出现泄漏事故，立即将岸滩围油栏或吸附拖栏挂于桩基，有效保护敏感目标。</w:t>
      </w:r>
    </w:p>
    <w:p w14:paraId="0F8F936D">
      <w:pPr>
        <w:ind w:firstLine="480"/>
      </w:pPr>
      <w:r>
        <w:rPr>
          <w:rFonts w:hint="eastAsia"/>
        </w:rPr>
        <w:t>（2）重大事故、严重事故</w:t>
      </w:r>
    </w:p>
    <w:p w14:paraId="12177552">
      <w:pPr>
        <w:pStyle w:val="93"/>
      </w:pPr>
      <w:r>
        <w:rPr>
          <w:rFonts w:hint="eastAsia"/>
        </w:rPr>
        <w:t>风和浪的影响势必影响溢油回收作业，这时应该选用能抵御风浪的溢油回收器材，应当具有的功能是回收能力大、抵御风浪能力强。为了防止溢油的扩展，可以使用船舶以“U、V、J”形来牵引拖</w:t>
      </w:r>
      <w:r>
        <w:rPr>
          <w:rFonts w:hint="eastAsia"/>
          <w:lang w:eastAsia="zh-CN"/>
        </w:rPr>
        <w:t>曳</w:t>
      </w:r>
      <w:r>
        <w:rPr>
          <w:rFonts w:hint="eastAsia"/>
        </w:rPr>
        <w:t>围油栏，协同污油回收装置。船只拖拽围油栏时既要保持正确的形状，还要维持特定的拖拽速度以保证污油不流失。围油栏选择操作性强、抗风等级高的充气式围油栏，污油回收装置选用抗风浪较强的倾斜板式或吸附式回收装置。</w:t>
      </w:r>
    </w:p>
    <w:p w14:paraId="28FC9186">
      <w:pPr>
        <w:pStyle w:val="93"/>
      </w:pPr>
      <w:r>
        <w:rPr>
          <w:rFonts w:hint="eastAsia"/>
        </w:rPr>
        <w:t>此外，当发生事故溢油时，污油将在较短时间内到达临近水域敏感区，然而一般应急行动前有动员、吊装设备时间，到达现场后，还需装卸设备、</w:t>
      </w:r>
      <w:r>
        <w:rPr>
          <w:rFonts w:hint="eastAsia"/>
          <w:lang w:eastAsia="zh-CN"/>
        </w:rPr>
        <w:t>布放</w:t>
      </w:r>
      <w:r>
        <w:rPr>
          <w:rFonts w:hint="eastAsia"/>
        </w:rPr>
        <w:t>围油栏等时间。因此，一旦发生溢油事故，应当根据事故地点、规模，优先对周边环境敏感目标采取必要的保护措施。</w:t>
      </w:r>
    </w:p>
    <w:p w14:paraId="7C678723">
      <w:pPr>
        <w:pStyle w:val="93"/>
      </w:pPr>
      <w:r>
        <w:rPr>
          <w:rFonts w:hint="eastAsia"/>
        </w:rPr>
        <w:t>（3）较严重事故、</w:t>
      </w:r>
      <w:r>
        <w:rPr>
          <w:rFonts w:hint="eastAsia"/>
          <w:lang w:eastAsia="zh-CN"/>
        </w:rPr>
        <w:t>重大</w:t>
      </w:r>
      <w:r>
        <w:rPr>
          <w:rFonts w:hint="eastAsia"/>
        </w:rPr>
        <w:t>事故</w:t>
      </w:r>
    </w:p>
    <w:p w14:paraId="2AB8322B">
      <w:pPr>
        <w:pStyle w:val="93"/>
      </w:pPr>
      <w:r>
        <w:rPr>
          <w:rFonts w:hint="eastAsia"/>
        </w:rPr>
        <w:t>水域发生泄漏事故一般规模相对较小，泄漏量相对较小，因此可根据水动力条件，采用锚泊方式</w:t>
      </w:r>
      <w:r>
        <w:rPr>
          <w:rFonts w:hint="eastAsia"/>
          <w:lang w:eastAsia="zh-CN"/>
        </w:rPr>
        <w:t>布放</w:t>
      </w:r>
      <w:r>
        <w:rPr>
          <w:rFonts w:hint="eastAsia"/>
        </w:rPr>
        <w:t>围油栏，选用固体浮子式围油栏。该围油栏有一定的缓冲能力。其优点是能将污油完全回收，可长期滞留水上，相对节省财力。可在浮箱上装设快速连接头，打开可让船只进入工作，围</w:t>
      </w:r>
      <w:r>
        <w:rPr>
          <w:rFonts w:hint="eastAsia"/>
          <w:lang w:eastAsia="zh-CN"/>
        </w:rPr>
        <w:t>护栏</w:t>
      </w:r>
      <w:r>
        <w:rPr>
          <w:rFonts w:hint="eastAsia"/>
        </w:rPr>
        <w:t>布设形状不定，按照水流方向布设，</w:t>
      </w:r>
      <w:r>
        <w:rPr>
          <w:rFonts w:hint="eastAsia"/>
          <w:lang w:eastAsia="zh-CN"/>
        </w:rPr>
        <w:t>以</w:t>
      </w:r>
      <w:r>
        <w:rPr>
          <w:rFonts w:hint="eastAsia"/>
        </w:rPr>
        <w:t>达到最佳抗风效果。</w:t>
      </w:r>
    </w:p>
    <w:p w14:paraId="77695730">
      <w:pPr>
        <w:ind w:firstLine="480"/>
      </w:pPr>
      <w:r>
        <w:rPr>
          <w:rFonts w:hint="eastAsia"/>
        </w:rPr>
        <w:t>（4）一般事故</w:t>
      </w:r>
    </w:p>
    <w:p w14:paraId="1F42B5CA">
      <w:pPr>
        <w:pStyle w:val="93"/>
      </w:pPr>
      <w:r>
        <w:rPr>
          <w:rFonts w:hint="eastAsia"/>
        </w:rPr>
        <w:t>船舶在加油作业时均布设围油栏，污油被限制在围油栏内，可采用小型回收装置或者吸油材料进行回收。</w:t>
      </w:r>
    </w:p>
    <w:p w14:paraId="26407256">
      <w:pPr>
        <w:pStyle w:val="139"/>
        <w:ind w:firstLine="480"/>
        <w:rPr>
          <w:color w:val="auto"/>
          <w:lang w:val="en-US"/>
        </w:rPr>
      </w:pPr>
      <w:r>
        <w:rPr>
          <w:rFonts w:hint="eastAsia"/>
          <w:color w:val="auto"/>
          <w:lang w:val="en-US"/>
        </w:rPr>
        <w:t>（二）水上溢油防范措施应该从以下几个方面</w:t>
      </w:r>
      <w:r>
        <w:rPr>
          <w:rFonts w:hint="eastAsia"/>
          <w:color w:val="auto"/>
          <w:lang w:val="en-US" w:eastAsia="zh-CN"/>
        </w:rPr>
        <w:t>制定</w:t>
      </w:r>
      <w:r>
        <w:rPr>
          <w:rFonts w:hint="eastAsia"/>
          <w:color w:val="auto"/>
          <w:lang w:val="en-US"/>
        </w:rPr>
        <w:t>和实施溢油事故应急防范措施。</w:t>
      </w:r>
    </w:p>
    <w:p w14:paraId="116F11E1">
      <w:pPr>
        <w:pStyle w:val="139"/>
        <w:ind w:firstLine="480"/>
        <w:rPr>
          <w:color w:val="auto"/>
          <w:lang w:val="en-US"/>
        </w:rPr>
      </w:pPr>
      <w:r>
        <w:rPr>
          <w:rFonts w:hint="eastAsia"/>
          <w:color w:val="auto"/>
          <w:lang w:val="en-US"/>
        </w:rPr>
        <w:t>①依据《中华人民共和国内河交通安全管理条例</w:t>
      </w:r>
      <w:r>
        <w:rPr>
          <w:rFonts w:hint="eastAsia"/>
          <w:color w:val="auto"/>
          <w:lang w:val="en-US" w:eastAsia="zh-CN"/>
        </w:rPr>
        <w:t>》《</w:t>
      </w:r>
      <w:r>
        <w:rPr>
          <w:rFonts w:hint="eastAsia"/>
          <w:color w:val="auto"/>
          <w:lang w:val="en-US"/>
        </w:rPr>
        <w:t>船舶载运危险货物安全监督管理规定</w:t>
      </w:r>
      <w:r>
        <w:rPr>
          <w:rFonts w:hint="eastAsia"/>
          <w:color w:val="auto"/>
          <w:lang w:val="en-US" w:eastAsia="zh-CN"/>
        </w:rPr>
        <w:t>》《</w:t>
      </w:r>
      <w:r>
        <w:rPr>
          <w:rFonts w:hint="eastAsia"/>
          <w:color w:val="auto"/>
          <w:lang w:val="en-US"/>
        </w:rPr>
        <w:t>中华人民共和国船舶安全检查规则》《船舶检验工作管理暂行办法</w:t>
      </w:r>
      <w:r>
        <w:rPr>
          <w:rFonts w:hint="eastAsia"/>
          <w:color w:val="auto"/>
          <w:lang w:val="en-US" w:eastAsia="zh-CN"/>
        </w:rPr>
        <w:t>》《</w:t>
      </w:r>
      <w:r>
        <w:rPr>
          <w:rFonts w:hint="eastAsia"/>
          <w:color w:val="auto"/>
          <w:lang w:val="en-US"/>
        </w:rPr>
        <w:t>关于建立水上交通险情报告制度的请示》等有关</w:t>
      </w:r>
      <w:r>
        <w:rPr>
          <w:rFonts w:hint="eastAsia"/>
          <w:color w:val="auto"/>
          <w:lang w:val="en-US" w:eastAsia="zh-CN"/>
        </w:rPr>
        <w:t>法律法规</w:t>
      </w:r>
      <w:r>
        <w:rPr>
          <w:rFonts w:hint="eastAsia"/>
          <w:color w:val="auto"/>
          <w:lang w:val="en-US"/>
        </w:rPr>
        <w:t>，加强对船舶日常管理，杜绝事故隐患。合理安排码头内各船舶的装卸作业以及其他船只的作业，使船舶间的间距尽可能大，防止发生碰撞事故，以保证作业安全。应根据船舶装载状态、水文、气象和码头作业状况，合理安排船期，使船舶进出港时，进出港和回旋水域设计底高程能够满足航行水深要求。船舶在加油时，应严格按照有关规定操作，杜绝由于麻痹大意而导致溢油事故的发生，同时在加油时，也应注意当时当地的水文、气象条件，尽量避免在大风雨天时进行加油。加速推进船舶标准化，逐步淘汰老旧船，提高安全性，不符合要求的船舶不得进港。</w:t>
      </w:r>
    </w:p>
    <w:p w14:paraId="6D0DA6E6">
      <w:pPr>
        <w:pStyle w:val="139"/>
        <w:ind w:firstLine="480"/>
        <w:rPr>
          <w:color w:val="auto"/>
          <w:lang w:val="en-US"/>
        </w:rPr>
      </w:pPr>
      <w:r>
        <w:rPr>
          <w:rFonts w:hint="eastAsia"/>
          <w:color w:val="auto"/>
          <w:lang w:val="en-US"/>
        </w:rPr>
        <w:t>②</w:t>
      </w:r>
      <w:r>
        <w:rPr>
          <w:color w:val="auto"/>
          <w:lang w:val="en-US"/>
        </w:rPr>
        <w:t>码头须配备一定的应急设备，如围油设备（充气式围油栏、浮筒、锚、锚绳等附属设备）、消防设备（消油剂及喷洒装置）、收油设备（吸油毡、吸油机）等。同时，建立应急救援队伍。当发生重大溢油事故时，本区内的应急队伍和设备不能满足应急反应需要时，应迅速请求上级部门支援。码头前沿应设有存放围油栏和</w:t>
      </w:r>
      <w:r>
        <w:rPr>
          <w:rFonts w:hint="eastAsia"/>
          <w:color w:val="auto"/>
          <w:lang w:val="en-US" w:eastAsia="zh-CN"/>
        </w:rPr>
        <w:t>其他</w:t>
      </w:r>
      <w:r>
        <w:rPr>
          <w:color w:val="auto"/>
          <w:lang w:val="en-US"/>
        </w:rPr>
        <w:t>回收、清除溢油的设备、器材的专用库房。</w:t>
      </w:r>
    </w:p>
    <w:p w14:paraId="3FC8AE4E">
      <w:pPr>
        <w:pStyle w:val="139"/>
        <w:ind w:firstLine="480"/>
        <w:rPr>
          <w:color w:val="auto"/>
          <w:lang w:val="en-US"/>
        </w:rPr>
      </w:pPr>
      <w:r>
        <w:rPr>
          <w:rFonts w:hint="eastAsia"/>
          <w:color w:val="auto"/>
          <w:lang w:val="en-US"/>
        </w:rPr>
        <w:t>③溢油监控报警系统</w:t>
      </w:r>
    </w:p>
    <w:p w14:paraId="10D3BDC8">
      <w:pPr>
        <w:pStyle w:val="139"/>
        <w:ind w:firstLine="480"/>
        <w:rPr>
          <w:color w:val="auto"/>
          <w:lang w:val="en-US"/>
        </w:rPr>
      </w:pPr>
      <w:r>
        <w:rPr>
          <w:rFonts w:hint="eastAsia"/>
          <w:color w:val="auto"/>
          <w:lang w:val="en-US"/>
        </w:rPr>
        <w:t>《防治船舶污染海洋环境管理条例》第十二条规定，港口、码头、装卸站以及从事船舶修造的单位应当配备与其装卸货物种类和吞吐能力或者修造船舶能力相适应的污染监视设施和污染物接收设施，并使其处于良好状态。《港口码头溢油应急设备配备要求》（JT/T451-2009</w:t>
      </w:r>
      <w:r>
        <w:rPr>
          <w:rFonts w:hint="eastAsia"/>
          <w:color w:val="auto"/>
          <w:lang w:val="en-US" w:eastAsia="zh-CN"/>
        </w:rPr>
        <w:t>）</w:t>
      </w:r>
      <w:r>
        <w:rPr>
          <w:rFonts w:hint="eastAsia"/>
          <w:color w:val="auto"/>
          <w:lang w:val="en-US"/>
        </w:rPr>
        <w:t>要求装卸油品的码头应配备溢油监视报警装置。《海港总平面设计规范》（117211-99</w:t>
      </w:r>
      <w:r>
        <w:rPr>
          <w:rFonts w:hint="eastAsia"/>
          <w:color w:val="auto"/>
          <w:lang w:val="en-US" w:eastAsia="zh-CN"/>
        </w:rPr>
        <w:t>）</w:t>
      </w:r>
      <w:r>
        <w:rPr>
          <w:rFonts w:hint="eastAsia"/>
          <w:color w:val="auto"/>
          <w:lang w:val="en-US"/>
        </w:rPr>
        <w:t>第11.8.2条也规定油品码头应有溢油</w:t>
      </w:r>
      <w:r>
        <w:rPr>
          <w:rFonts w:hint="eastAsia"/>
          <w:color w:val="auto"/>
          <w:lang w:val="en-US" w:eastAsia="zh-CN"/>
        </w:rPr>
        <w:t>检测</w:t>
      </w:r>
      <w:r>
        <w:rPr>
          <w:rFonts w:hint="eastAsia"/>
          <w:color w:val="auto"/>
          <w:lang w:val="en-US"/>
        </w:rPr>
        <w:t>的设备与器材。提出以下配置建议：按照法规要求配备溢油监控系统。在码头下方水域设置溢油报警浮标。一旦溢油大量扩散，可以向水面抛投溢油跟踪浮标，待应急队伍到位时能及时进行清污作业。从加强监管的角度，安装一套固定式水面油膜监控系统，结合配备的溢油监控系统，就能实现对港区全方位全天候的溢油监控网络。</w:t>
      </w:r>
    </w:p>
    <w:p w14:paraId="26245429">
      <w:pPr>
        <w:pStyle w:val="139"/>
        <w:ind w:firstLine="480"/>
        <w:rPr>
          <w:color w:val="auto"/>
          <w:lang w:val="en-US"/>
        </w:rPr>
      </w:pPr>
      <w:r>
        <w:rPr>
          <w:rFonts w:hint="eastAsia"/>
          <w:color w:val="auto"/>
          <w:lang w:val="en-US"/>
        </w:rPr>
        <w:t>建议海事处的指挥中心安装一套溢油监控报警系统，同时把码头的终端信息传入报警监控平台，通过使用一套监控软件实现对整个港区水域的全天候的溢油实时监控。</w:t>
      </w:r>
    </w:p>
    <w:p w14:paraId="5ABD6CB4">
      <w:pPr>
        <w:pStyle w:val="139"/>
        <w:ind w:firstLine="480"/>
        <w:rPr>
          <w:color w:val="auto"/>
          <w:lang w:val="en-US"/>
        </w:rPr>
      </w:pPr>
      <w:r>
        <w:rPr>
          <w:rFonts w:hint="eastAsia"/>
          <w:color w:val="auto"/>
          <w:lang w:val="en-US"/>
        </w:rPr>
        <w:t>④</w:t>
      </w:r>
      <w:r>
        <w:rPr>
          <w:color w:val="auto"/>
          <w:lang w:val="en-US"/>
        </w:rPr>
        <w:t>一旦发生船舶碰撞溢油环境风险事故，船方与港方应及时沟通，及时报告主管部门（海事部门、环保局、海事局、公安消防部门等）并实施溢油应急计划，同时要求业主、船方共同协作，及时用隔油栏、吸油材等进行控制、防护，使事故产生的影响减至最小，最大程度减少对水环境保护目标的影响。</w:t>
      </w:r>
    </w:p>
    <w:p w14:paraId="30001DFE">
      <w:pPr>
        <w:pStyle w:val="139"/>
        <w:ind w:firstLine="480"/>
        <w:rPr>
          <w:color w:val="auto"/>
          <w:lang w:val="en-US"/>
        </w:rPr>
      </w:pPr>
      <w:r>
        <w:rPr>
          <w:rFonts w:hint="eastAsia"/>
          <w:color w:val="auto"/>
          <w:lang w:val="en-US"/>
        </w:rPr>
        <w:t>⑤本项目上下游未设置饮用水取水口，沿线主要为工业取水，无应急水源，在发生环境风险事故时，工业取水暂停，采取自来水用水。同步开展应急监测，直至事故满足应急终止条件后方可恢复取水口取水。</w:t>
      </w:r>
    </w:p>
    <w:p w14:paraId="0F8B62A2">
      <w:pPr>
        <w:pStyle w:val="139"/>
        <w:ind w:firstLine="480"/>
        <w:rPr>
          <w:color w:val="auto"/>
          <w:lang w:val="en-US"/>
        </w:rPr>
      </w:pPr>
      <w:r>
        <w:rPr>
          <w:rFonts w:hint="eastAsia"/>
          <w:color w:val="auto"/>
          <w:lang w:val="en-US"/>
        </w:rPr>
        <w:t>⑥</w:t>
      </w:r>
      <w:r>
        <w:rPr>
          <w:color w:val="auto"/>
          <w:lang w:val="en-US"/>
        </w:rPr>
        <w:t>相关部门接到污染事故报告后，应根据事故性质、污染程度和救助要求，迅速组织评估应急反应等级，并同时组织力量，调用清污设备实施救援，拟建工程业主应协助有关部门清除污染。除向上述公安、环保等部门及时汇报外，应同时派出环境专业人员和监测人员</w:t>
      </w:r>
      <w:r>
        <w:rPr>
          <w:rFonts w:hint="eastAsia"/>
          <w:color w:val="auto"/>
          <w:lang w:val="en-US" w:eastAsia="zh-CN"/>
        </w:rPr>
        <w:t>到现</w:t>
      </w:r>
      <w:r>
        <w:rPr>
          <w:color w:val="auto"/>
          <w:lang w:val="en-US"/>
        </w:rPr>
        <w:t>场工作，对水体污染带进行监测和分析，并视情况采取必要的公告、化学处理等措施。</w:t>
      </w:r>
      <w:bookmarkStart w:id="337" w:name="bookmark38"/>
      <w:bookmarkEnd w:id="337"/>
    </w:p>
    <w:p w14:paraId="1123D21E">
      <w:pPr>
        <w:pStyle w:val="139"/>
        <w:ind w:firstLine="480"/>
        <w:rPr>
          <w:color w:val="auto"/>
        </w:rPr>
      </w:pPr>
      <w:r>
        <w:rPr>
          <w:rFonts w:hint="eastAsia"/>
          <w:color w:val="auto"/>
        </w:rPr>
        <w:t>⑦</w:t>
      </w:r>
      <w:r>
        <w:rPr>
          <w:color w:val="auto"/>
        </w:rPr>
        <w:t>码头应制定应急预案。为防止和及时处理各种事故，建设单位应根据码头装卸作业环节及可能出现的事故情况编制码头事故应急预案</w:t>
      </w:r>
      <w:r>
        <w:rPr>
          <w:rFonts w:hint="eastAsia"/>
          <w:color w:val="auto"/>
        </w:rPr>
        <w:t>。</w:t>
      </w:r>
    </w:p>
    <w:p w14:paraId="57F17860">
      <w:pPr>
        <w:pStyle w:val="84"/>
      </w:pPr>
      <w:bookmarkStart w:id="338" w:name="_Hlk182166861"/>
      <w:r>
        <w:rPr>
          <w:rFonts w:hint="eastAsia"/>
        </w:rPr>
        <w:t>火灾事故的风险防范应急措施</w:t>
      </w:r>
    </w:p>
    <w:bookmarkEnd w:id="338"/>
    <w:p w14:paraId="65A3E45F">
      <w:pPr>
        <w:pStyle w:val="139"/>
        <w:ind w:firstLine="480"/>
        <w:rPr>
          <w:color w:val="auto"/>
          <w:lang w:val="ru-RU"/>
        </w:rPr>
      </w:pPr>
      <w:r>
        <w:rPr>
          <w:color w:val="auto"/>
          <w:lang w:val="ru-RU"/>
        </w:rPr>
        <w:t>环境保</w:t>
      </w:r>
      <w:r>
        <w:rPr>
          <w:rFonts w:hint="eastAsia"/>
          <w:color w:val="auto"/>
          <w:lang w:val="ru-RU" w:eastAsia="zh-CN"/>
        </w:rPr>
        <w:t>护者</w:t>
      </w:r>
      <w:r>
        <w:rPr>
          <w:color w:val="auto"/>
          <w:lang w:val="ru-RU"/>
        </w:rPr>
        <w:t>赶赴现场，并及时通知切断着火部位的电源，扑救火灾的原则：救人</w:t>
      </w:r>
      <w:r>
        <w:rPr>
          <w:rFonts w:hint="eastAsia"/>
          <w:color w:val="auto"/>
          <w:lang w:val="ru-RU" w:eastAsia="zh-CN"/>
        </w:rPr>
        <w:t>第一，</w:t>
      </w:r>
      <w:r>
        <w:rPr>
          <w:color w:val="auto"/>
          <w:lang w:val="ru-RU"/>
        </w:rPr>
        <w:t>先控制、后消灭。扑救火灾采取的措施：</w:t>
      </w:r>
    </w:p>
    <w:p w14:paraId="5B7D071F">
      <w:pPr>
        <w:pStyle w:val="139"/>
        <w:ind w:firstLine="480"/>
        <w:rPr>
          <w:color w:val="auto"/>
          <w:lang w:val="ru-RU"/>
        </w:rPr>
      </w:pPr>
      <w:r>
        <w:rPr>
          <w:rFonts w:hint="eastAsia"/>
          <w:color w:val="auto"/>
          <w:lang w:val="en-US"/>
        </w:rPr>
        <w:t>（1）</w:t>
      </w:r>
      <w:r>
        <w:rPr>
          <w:color w:val="auto"/>
          <w:lang w:val="ru-RU"/>
        </w:rPr>
        <w:t>停止作业，通知船方停泵，关闭接卸口阀门，拆卸接卸口；</w:t>
      </w:r>
    </w:p>
    <w:p w14:paraId="66871EB4">
      <w:pPr>
        <w:pStyle w:val="139"/>
        <w:ind w:firstLine="480"/>
        <w:rPr>
          <w:color w:val="auto"/>
          <w:lang w:val="ru-RU"/>
        </w:rPr>
      </w:pPr>
      <w:r>
        <w:rPr>
          <w:rFonts w:hint="eastAsia"/>
          <w:color w:val="auto"/>
          <w:lang w:val="en-US"/>
        </w:rPr>
        <w:t>（2）</w:t>
      </w:r>
      <w:r>
        <w:rPr>
          <w:color w:val="auto"/>
          <w:lang w:val="ru-RU"/>
        </w:rPr>
        <w:t>就近人员立即抢救或搜寻可能的受伤、被困人员；</w:t>
      </w:r>
    </w:p>
    <w:p w14:paraId="68B1D58D">
      <w:pPr>
        <w:pStyle w:val="139"/>
        <w:ind w:firstLine="480"/>
        <w:rPr>
          <w:color w:val="auto"/>
          <w:lang w:val="ru-RU"/>
        </w:rPr>
      </w:pPr>
      <w:r>
        <w:rPr>
          <w:rFonts w:hint="eastAsia"/>
          <w:color w:val="auto"/>
          <w:lang w:val="en-US"/>
        </w:rPr>
        <w:t>（3）</w:t>
      </w:r>
      <w:r>
        <w:rPr>
          <w:color w:val="auto"/>
          <w:lang w:val="ru-RU"/>
        </w:rPr>
        <w:t>发现者向调度和班长报告，调度接报后立即向公安消防队报警和海事部门报告，同时向公司应急指</w:t>
      </w:r>
      <w:r>
        <w:rPr>
          <w:rFonts w:hint="eastAsia"/>
          <w:color w:val="auto"/>
          <w:lang w:val="ru-RU" w:eastAsia="zh-CN"/>
        </w:rPr>
        <w:t>挥部</w:t>
      </w:r>
      <w:r>
        <w:rPr>
          <w:color w:val="auto"/>
          <w:lang w:val="ru-RU"/>
        </w:rPr>
        <w:t>报告，通知动力班启动消防水泵，通知各码头通过单位；</w:t>
      </w:r>
    </w:p>
    <w:p w14:paraId="095A6D39">
      <w:pPr>
        <w:pStyle w:val="139"/>
        <w:ind w:firstLine="480"/>
        <w:rPr>
          <w:color w:val="auto"/>
          <w:lang w:val="ru-RU"/>
        </w:rPr>
      </w:pPr>
      <w:r>
        <w:rPr>
          <w:rFonts w:hint="eastAsia"/>
          <w:color w:val="auto"/>
          <w:lang w:val="en-US"/>
        </w:rPr>
        <w:t>（4）</w:t>
      </w:r>
      <w:r>
        <w:rPr>
          <w:color w:val="auto"/>
          <w:lang w:val="ru-RU"/>
        </w:rPr>
        <w:t>如着火面积较小，就地使用灭火器材灭火，转移附近所有可燃、易燃物品，视情对周边设备设施射水冷却；</w:t>
      </w:r>
    </w:p>
    <w:p w14:paraId="6D1CE5DE">
      <w:pPr>
        <w:pStyle w:val="139"/>
        <w:ind w:firstLine="480"/>
        <w:rPr>
          <w:color w:val="auto"/>
          <w:lang w:val="ru-RU"/>
        </w:rPr>
      </w:pPr>
      <w:r>
        <w:rPr>
          <w:color w:val="auto"/>
          <w:lang w:val="ru-RU"/>
        </w:rPr>
        <w:t>火势较大时操作启动泡沫灭火系统，用消防炮喷射泡沫灭火，开启水幕喷淋，视情组织人员对受火势威胁的工艺设备、管线；</w:t>
      </w:r>
    </w:p>
    <w:p w14:paraId="08AB5E67">
      <w:pPr>
        <w:pStyle w:val="139"/>
        <w:ind w:firstLine="480"/>
        <w:rPr>
          <w:color w:val="auto"/>
          <w:lang w:val="ru-RU"/>
        </w:rPr>
      </w:pPr>
      <w:r>
        <w:rPr>
          <w:rFonts w:hint="eastAsia"/>
          <w:color w:val="auto"/>
          <w:lang w:val="en-US"/>
        </w:rPr>
        <w:t>（5）</w:t>
      </w:r>
      <w:r>
        <w:rPr>
          <w:color w:val="auto"/>
          <w:lang w:val="ru-RU"/>
        </w:rPr>
        <w:t>组织疏散、撤离码头无关人员、车辆（如火势较大威胁人员时，撤离所有人员）；</w:t>
      </w:r>
    </w:p>
    <w:p w14:paraId="3151467F">
      <w:pPr>
        <w:pStyle w:val="139"/>
        <w:ind w:firstLine="480"/>
        <w:rPr>
          <w:color w:val="auto"/>
          <w:lang w:val="ru-RU"/>
        </w:rPr>
      </w:pPr>
      <w:r>
        <w:rPr>
          <w:rFonts w:hint="eastAsia"/>
          <w:color w:val="auto"/>
          <w:lang w:val="en-US"/>
        </w:rPr>
        <w:t>（6）</w:t>
      </w:r>
      <w:r>
        <w:rPr>
          <w:color w:val="auto"/>
          <w:lang w:val="ru-RU"/>
        </w:rPr>
        <w:t>通知接卸船舶离开码头，视情况通知</w:t>
      </w:r>
      <w:r>
        <w:rPr>
          <w:rFonts w:hint="eastAsia"/>
          <w:color w:val="auto"/>
          <w:lang w:val="ru-RU" w:eastAsia="zh-CN"/>
        </w:rPr>
        <w:t>其他</w:t>
      </w:r>
      <w:r>
        <w:rPr>
          <w:color w:val="auto"/>
          <w:lang w:val="ru-RU"/>
        </w:rPr>
        <w:t>船只立即离开码头；</w:t>
      </w:r>
    </w:p>
    <w:p w14:paraId="160A4F01">
      <w:pPr>
        <w:pStyle w:val="139"/>
        <w:ind w:firstLine="480"/>
        <w:rPr>
          <w:color w:val="auto"/>
          <w:lang w:val="ru-RU"/>
        </w:rPr>
      </w:pPr>
      <w:r>
        <w:rPr>
          <w:rFonts w:hint="eastAsia"/>
          <w:color w:val="auto"/>
          <w:lang w:val="en-US"/>
        </w:rPr>
        <w:t>（7）</w:t>
      </w:r>
      <w:r>
        <w:rPr>
          <w:color w:val="auto"/>
          <w:lang w:val="ru-RU"/>
        </w:rPr>
        <w:t>视情加强</w:t>
      </w:r>
      <w:r>
        <w:rPr>
          <w:rFonts w:hint="eastAsia"/>
          <w:color w:val="auto"/>
          <w:lang w:val="ru-RU"/>
        </w:rPr>
        <w:t>河</w:t>
      </w:r>
      <w:r>
        <w:rPr>
          <w:color w:val="auto"/>
          <w:lang w:val="ru-RU"/>
        </w:rPr>
        <w:t>堤保安人员，维持进出口秩序，阻止无关车辆人员出入。</w:t>
      </w:r>
    </w:p>
    <w:p w14:paraId="24859D2D">
      <w:pPr>
        <w:pStyle w:val="139"/>
        <w:ind w:firstLine="480"/>
        <w:rPr>
          <w:color w:val="auto"/>
          <w:lang w:val="ru-RU"/>
        </w:rPr>
      </w:pPr>
      <w:r>
        <w:rPr>
          <w:rFonts w:hint="eastAsia"/>
          <w:color w:val="auto"/>
          <w:lang w:val="en-US"/>
        </w:rPr>
        <w:t>（8）</w:t>
      </w:r>
      <w:r>
        <w:rPr>
          <w:color w:val="auto"/>
          <w:lang w:val="ru-RU"/>
        </w:rPr>
        <w:t>船舶起火时：</w:t>
      </w:r>
    </w:p>
    <w:p w14:paraId="34EB8996">
      <w:pPr>
        <w:pStyle w:val="139"/>
        <w:ind w:firstLine="480"/>
        <w:rPr>
          <w:color w:val="auto"/>
          <w:lang w:val="ru-RU"/>
        </w:rPr>
      </w:pPr>
      <w:r>
        <w:rPr>
          <w:color w:val="auto"/>
          <w:lang w:val="en-US"/>
        </w:rPr>
        <w:t>a</w:t>
      </w:r>
      <w:r>
        <w:rPr>
          <w:rFonts w:hint="eastAsia"/>
          <w:color w:val="auto"/>
          <w:lang w:val="en-US" w:eastAsia="zh-CN"/>
        </w:rPr>
        <w:t>.</w:t>
      </w:r>
      <w:r>
        <w:rPr>
          <w:color w:val="auto"/>
          <w:lang w:val="ru-RU"/>
        </w:rPr>
        <w:t>立即停泵、停止接卸，关闭切断输油管线阀门，尽可能拆除接卸软管；</w:t>
      </w:r>
    </w:p>
    <w:p w14:paraId="4B0A08D9">
      <w:pPr>
        <w:pStyle w:val="139"/>
        <w:ind w:firstLine="480"/>
        <w:rPr>
          <w:color w:val="auto"/>
          <w:lang w:val="ru-RU"/>
        </w:rPr>
      </w:pPr>
      <w:r>
        <w:rPr>
          <w:color w:val="auto"/>
          <w:lang w:val="en-US"/>
        </w:rPr>
        <w:t>b</w:t>
      </w:r>
      <w:r>
        <w:rPr>
          <w:rFonts w:hint="eastAsia"/>
          <w:color w:val="auto"/>
          <w:lang w:val="en-US" w:eastAsia="zh-CN"/>
        </w:rPr>
        <w:t>.</w:t>
      </w:r>
      <w:r>
        <w:rPr>
          <w:color w:val="auto"/>
          <w:lang w:val="ru-RU"/>
        </w:rPr>
        <w:t>报告海事部门，通知船舶服务公司增援；</w:t>
      </w:r>
    </w:p>
    <w:p w14:paraId="5B024000">
      <w:pPr>
        <w:pStyle w:val="139"/>
        <w:ind w:firstLine="480"/>
        <w:rPr>
          <w:color w:val="auto"/>
          <w:lang w:val="ru-RU"/>
        </w:rPr>
      </w:pPr>
      <w:r>
        <w:rPr>
          <w:color w:val="auto"/>
          <w:lang w:val="en-US"/>
        </w:rPr>
        <w:t>c</w:t>
      </w:r>
      <w:r>
        <w:rPr>
          <w:rFonts w:hint="eastAsia"/>
          <w:color w:val="auto"/>
          <w:lang w:val="en-US" w:eastAsia="zh-CN"/>
        </w:rPr>
        <w:t>.</w:t>
      </w:r>
      <w:r>
        <w:rPr>
          <w:color w:val="auto"/>
          <w:lang w:val="ru-RU"/>
        </w:rPr>
        <w:t>立即开启水幕喷淋，协助救援船舶人员；</w:t>
      </w:r>
    </w:p>
    <w:p w14:paraId="005E31AC">
      <w:pPr>
        <w:pStyle w:val="139"/>
        <w:ind w:firstLine="480"/>
        <w:rPr>
          <w:color w:val="auto"/>
          <w:lang w:val="ru-RU"/>
        </w:rPr>
      </w:pPr>
      <w:r>
        <w:rPr>
          <w:color w:val="auto"/>
          <w:lang w:val="en-US"/>
        </w:rPr>
        <w:t>d</w:t>
      </w:r>
      <w:r>
        <w:rPr>
          <w:rFonts w:hint="eastAsia"/>
          <w:color w:val="auto"/>
          <w:lang w:val="en-US" w:eastAsia="zh-CN"/>
        </w:rPr>
        <w:t>.</w:t>
      </w:r>
      <w:r>
        <w:rPr>
          <w:color w:val="auto"/>
          <w:lang w:val="ru-RU"/>
        </w:rPr>
        <w:t>启动（用）泡沫灭火设施、器材，协助船方灭火；</w:t>
      </w:r>
    </w:p>
    <w:p w14:paraId="38A435A7">
      <w:pPr>
        <w:pStyle w:val="139"/>
        <w:ind w:firstLine="480"/>
        <w:rPr>
          <w:color w:val="auto"/>
          <w:lang w:val="ru-RU"/>
        </w:rPr>
      </w:pPr>
      <w:r>
        <w:rPr>
          <w:color w:val="auto"/>
          <w:lang w:val="en-US"/>
        </w:rPr>
        <w:t>e</w:t>
      </w:r>
      <w:r>
        <w:rPr>
          <w:rFonts w:hint="eastAsia"/>
          <w:color w:val="auto"/>
          <w:lang w:val="en-US" w:eastAsia="zh-CN"/>
        </w:rPr>
        <w:t>.</w:t>
      </w:r>
      <w:r>
        <w:rPr>
          <w:color w:val="auto"/>
          <w:lang w:val="ru-RU"/>
        </w:rPr>
        <w:t>组织库区人员增援与运送消防应急器材；</w:t>
      </w:r>
    </w:p>
    <w:p w14:paraId="0EAB1AEB">
      <w:pPr>
        <w:pStyle w:val="139"/>
        <w:ind w:firstLine="480"/>
        <w:rPr>
          <w:color w:val="auto"/>
          <w:lang w:val="ru-RU"/>
        </w:rPr>
      </w:pPr>
      <w:r>
        <w:rPr>
          <w:color w:val="auto"/>
          <w:lang w:val="en-US"/>
        </w:rPr>
        <w:t>f</w:t>
      </w:r>
      <w:r>
        <w:rPr>
          <w:rFonts w:hint="eastAsia"/>
          <w:color w:val="auto"/>
          <w:lang w:val="en-US" w:eastAsia="zh-CN"/>
        </w:rPr>
        <w:t>.</w:t>
      </w:r>
      <w:r>
        <w:rPr>
          <w:color w:val="auto"/>
          <w:lang w:val="ru-RU"/>
        </w:rPr>
        <w:t>视情通知船舶离开码头，必要时砍断缆索；</w:t>
      </w:r>
    </w:p>
    <w:p w14:paraId="553463AA">
      <w:pPr>
        <w:pStyle w:val="139"/>
        <w:ind w:firstLine="480"/>
        <w:rPr>
          <w:color w:val="auto"/>
          <w:lang w:val="ru-RU"/>
        </w:rPr>
      </w:pPr>
      <w:r>
        <w:rPr>
          <w:color w:val="auto"/>
          <w:lang w:val="en-US"/>
        </w:rPr>
        <w:t>g</w:t>
      </w:r>
      <w:r>
        <w:rPr>
          <w:rFonts w:hint="eastAsia"/>
          <w:color w:val="auto"/>
          <w:lang w:val="en-US" w:eastAsia="zh-CN"/>
        </w:rPr>
        <w:t>.</w:t>
      </w:r>
      <w:r>
        <w:rPr>
          <w:color w:val="auto"/>
          <w:lang w:val="ru-RU"/>
        </w:rPr>
        <w:t>密切关注船舶火势，遇有燃爆迹象时立即通知现场人员车辆撤离。</w:t>
      </w:r>
    </w:p>
    <w:p w14:paraId="55E056BC">
      <w:pPr>
        <w:pStyle w:val="139"/>
        <w:ind w:firstLine="480"/>
        <w:rPr>
          <w:color w:val="auto"/>
          <w:lang w:val="ru-RU"/>
        </w:rPr>
      </w:pPr>
      <w:r>
        <w:rPr>
          <w:color w:val="auto"/>
          <w:lang w:val="ru-RU"/>
        </w:rPr>
        <w:t>严格服从组织指挥，控制人员情绪，阻止人员返回火场，做好眼睛和呼吸道的防护；</w:t>
      </w:r>
    </w:p>
    <w:p w14:paraId="1A6C4C4E">
      <w:pPr>
        <w:pStyle w:val="139"/>
        <w:ind w:firstLine="480"/>
        <w:rPr>
          <w:color w:val="auto"/>
          <w:lang w:val="ru-RU"/>
        </w:rPr>
      </w:pPr>
      <w:r>
        <w:rPr>
          <w:color w:val="auto"/>
          <w:lang w:val="ru-RU"/>
        </w:rPr>
        <w:t>一般情况下疏散的先后顺序是：</w:t>
      </w:r>
    </w:p>
    <w:p w14:paraId="47B8164A">
      <w:pPr>
        <w:pStyle w:val="139"/>
        <w:ind w:firstLine="480"/>
        <w:rPr>
          <w:color w:val="auto"/>
          <w:lang w:val="ru-RU"/>
        </w:rPr>
      </w:pPr>
      <w:r>
        <w:rPr>
          <w:color w:val="auto"/>
          <w:lang w:val="en-US"/>
        </w:rPr>
        <w:t>a</w:t>
      </w:r>
      <w:r>
        <w:rPr>
          <w:rFonts w:hint="eastAsia"/>
          <w:color w:val="auto"/>
          <w:lang w:val="en-US" w:eastAsia="zh-CN"/>
        </w:rPr>
        <w:t>.</w:t>
      </w:r>
      <w:r>
        <w:rPr>
          <w:color w:val="auto"/>
          <w:lang w:val="ru-RU"/>
        </w:rPr>
        <w:t>先从着火楼层开始，然后是以上楼层再是以下各层；</w:t>
      </w:r>
    </w:p>
    <w:p w14:paraId="7C3BF96F">
      <w:pPr>
        <w:pStyle w:val="139"/>
        <w:ind w:firstLine="480"/>
        <w:rPr>
          <w:color w:val="auto"/>
          <w:lang w:val="ru-RU"/>
        </w:rPr>
      </w:pPr>
      <w:r>
        <w:rPr>
          <w:color w:val="auto"/>
          <w:lang w:val="en-US"/>
        </w:rPr>
        <w:t>b</w:t>
      </w:r>
      <w:r>
        <w:rPr>
          <w:rFonts w:hint="eastAsia"/>
          <w:color w:val="auto"/>
          <w:lang w:val="en-US" w:eastAsia="zh-CN"/>
        </w:rPr>
        <w:t>.</w:t>
      </w:r>
      <w:r>
        <w:rPr>
          <w:color w:val="auto"/>
          <w:lang w:val="ru-RU"/>
        </w:rPr>
        <w:t>要优先安排受火势威胁最严重、最危险区域的人员疏散，避免造成严重的伤亡后果。</w:t>
      </w:r>
    </w:p>
    <w:p w14:paraId="23DD0E63">
      <w:pPr>
        <w:pStyle w:val="139"/>
        <w:ind w:firstLine="480"/>
        <w:rPr>
          <w:color w:val="auto"/>
          <w:lang w:val="ru-RU"/>
        </w:rPr>
      </w:pPr>
      <w:r>
        <w:rPr>
          <w:color w:val="auto"/>
          <w:lang w:val="en-US"/>
        </w:rPr>
        <w:t>c</w:t>
      </w:r>
      <w:r>
        <w:rPr>
          <w:rFonts w:hint="eastAsia"/>
          <w:color w:val="auto"/>
          <w:lang w:val="en-US" w:eastAsia="zh-CN"/>
        </w:rPr>
        <w:t>.</w:t>
      </w:r>
      <w:r>
        <w:rPr>
          <w:color w:val="auto"/>
          <w:lang w:val="ru-RU"/>
        </w:rPr>
        <w:t>疏散引导工作在发生火灾时，应先疏散被火势围困的人员，其次再进行火势周围的物资疏散，同时要注意疏散人员自己的安全，疏散后的物资要放在不影响消防车通道和利于火灾扑救的安全地点，物资的放置点要留有1至2名人员看守，防止形成新的火点。并立即向有关领导报告；</w:t>
      </w:r>
    </w:p>
    <w:p w14:paraId="727DB791">
      <w:pPr>
        <w:pStyle w:val="139"/>
        <w:ind w:firstLine="480"/>
        <w:rPr>
          <w:color w:val="auto"/>
          <w:lang w:val="ru-RU"/>
        </w:rPr>
      </w:pPr>
      <w:r>
        <w:rPr>
          <w:color w:val="auto"/>
          <w:lang w:val="en-US"/>
        </w:rPr>
        <w:t>d</w:t>
      </w:r>
      <w:r>
        <w:rPr>
          <w:rFonts w:hint="eastAsia"/>
          <w:color w:val="auto"/>
          <w:lang w:val="en-US" w:eastAsia="zh-CN"/>
        </w:rPr>
        <w:t>.</w:t>
      </w:r>
      <w:r>
        <w:rPr>
          <w:color w:val="auto"/>
          <w:lang w:val="ru-RU"/>
        </w:rPr>
        <w:t>公安消防队或海事/港航救助艇到达火场后，应听从公安消防人员/主管部门的指挥进行疏散工作。</w:t>
      </w:r>
    </w:p>
    <w:p w14:paraId="5BF81A14">
      <w:pPr>
        <w:pStyle w:val="139"/>
        <w:ind w:firstLine="480"/>
        <w:rPr>
          <w:b/>
          <w:bCs/>
          <w:color w:val="auto"/>
          <w:lang w:val="en-US"/>
        </w:rPr>
      </w:pPr>
      <w:r>
        <w:rPr>
          <w:color w:val="auto"/>
          <w:lang w:val="en-US"/>
        </w:rPr>
        <w:t>e</w:t>
      </w:r>
      <w:r>
        <w:rPr>
          <w:rFonts w:hint="eastAsia"/>
          <w:color w:val="auto"/>
          <w:lang w:val="en-US" w:eastAsia="zh-CN"/>
        </w:rPr>
        <w:t>.</w:t>
      </w:r>
      <w:r>
        <w:rPr>
          <w:color w:val="auto"/>
          <w:lang w:val="ru-RU"/>
        </w:rPr>
        <w:t>值班人员在火灾事故期间，严格控制出入人员。</w:t>
      </w:r>
    </w:p>
    <w:p w14:paraId="0C8C7DC2">
      <w:pPr>
        <w:pStyle w:val="84"/>
      </w:pPr>
      <w:r>
        <w:rPr>
          <w:rFonts w:hint="eastAsia"/>
        </w:rPr>
        <w:t>大气污染事件保护目标的应急措施</w:t>
      </w:r>
    </w:p>
    <w:p w14:paraId="04C13241">
      <w:pPr>
        <w:pStyle w:val="139"/>
        <w:ind w:firstLine="480"/>
        <w:rPr>
          <w:color w:val="auto"/>
          <w:lang w:val="ru-RU"/>
        </w:rPr>
      </w:pPr>
      <w:r>
        <w:rPr>
          <w:color w:val="auto"/>
          <w:lang w:val="ru-RU"/>
        </w:rPr>
        <w:t>对于因火灾事故已经进入空气的气态污染物，根据气态污染物性质的不同，采取不同的防范措施。</w:t>
      </w:r>
    </w:p>
    <w:p w14:paraId="02B192A0">
      <w:pPr>
        <w:pStyle w:val="139"/>
        <w:ind w:firstLine="480"/>
        <w:rPr>
          <w:color w:val="auto"/>
          <w:lang w:val="ru-RU"/>
        </w:rPr>
      </w:pPr>
      <w:r>
        <w:rPr>
          <w:color w:val="auto"/>
          <w:lang w:val="ru-RU"/>
        </w:rPr>
        <w:t>根据中华人民共和国公安部</w:t>
      </w:r>
      <w:r>
        <w:rPr>
          <w:rFonts w:hint="eastAsia"/>
          <w:color w:val="auto"/>
          <w:lang w:val="ru-RU" w:eastAsia="zh-CN"/>
        </w:rPr>
        <w:t>消防救援局</w:t>
      </w:r>
      <w:r>
        <w:rPr>
          <w:color w:val="auto"/>
          <w:lang w:val="ru-RU"/>
        </w:rPr>
        <w:t>与国家化学品登记注册中心编写的《危险化学品应急处置速查手册》（2002年10月第1版）提供的数据，确定初始隔离距离和防护距离如下：</w:t>
      </w:r>
    </w:p>
    <w:p w14:paraId="7152C1A3">
      <w:pPr>
        <w:pStyle w:val="139"/>
        <w:ind w:firstLine="480"/>
        <w:rPr>
          <w:color w:val="auto"/>
          <w:lang w:val="ru-RU"/>
        </w:rPr>
      </w:pPr>
      <w:r>
        <w:rPr>
          <w:color w:val="auto"/>
          <w:lang w:val="ru-RU"/>
        </w:rPr>
        <w:t>泄漏：污染范围不明的情况下，初始隔离至少100m，下风向疏散至少800m。大口径输气管线泄漏时，初始隔离至少1000m，下风向疏散至少1500m。然后进行气体浓度检测，根据有害气体的实际浓度，调整隔离、疏散距离。</w:t>
      </w:r>
    </w:p>
    <w:p w14:paraId="0EDB8F4B">
      <w:pPr>
        <w:pStyle w:val="139"/>
        <w:ind w:firstLine="480"/>
        <w:rPr>
          <w:color w:val="auto"/>
          <w:lang w:val="ru-RU"/>
        </w:rPr>
      </w:pPr>
      <w:r>
        <w:rPr>
          <w:color w:val="auto"/>
          <w:lang w:val="ru-RU"/>
        </w:rPr>
        <w:t>火灾：火场内如有储罐、槽车或罐车，</w:t>
      </w:r>
      <w:r>
        <w:rPr>
          <w:rFonts w:hint="eastAsia"/>
          <w:color w:val="auto"/>
          <w:lang w:val="ru-RU" w:eastAsia="zh-CN"/>
        </w:rPr>
        <w:t>距离</w:t>
      </w:r>
      <w:r>
        <w:rPr>
          <w:color w:val="auto"/>
          <w:lang w:val="ru-RU"/>
        </w:rPr>
        <w:t>1600m。</w:t>
      </w:r>
    </w:p>
    <w:p w14:paraId="1814EB38">
      <w:pPr>
        <w:pStyle w:val="139"/>
        <w:ind w:firstLine="480"/>
        <w:rPr>
          <w:color w:val="auto"/>
          <w:lang w:val="ru-RU"/>
        </w:rPr>
      </w:pPr>
      <w:r>
        <w:rPr>
          <w:color w:val="auto"/>
          <w:lang w:val="ru-RU"/>
        </w:rPr>
        <w:t>考虑撤离隔离区内的人员、物资；疏散无关人员并划定警戒区；在上风处停留。</w:t>
      </w:r>
    </w:p>
    <w:p w14:paraId="759074F1">
      <w:pPr>
        <w:pStyle w:val="139"/>
        <w:ind w:firstLine="480"/>
        <w:rPr>
          <w:color w:val="auto"/>
          <w:lang w:val="ru-RU"/>
        </w:rPr>
      </w:pPr>
      <w:r>
        <w:rPr>
          <w:color w:val="auto"/>
          <w:lang w:val="ru-RU"/>
        </w:rPr>
        <w:t>码头应急救援指挥部根据对事故发展趋势的预测和事故控制情况，请示上级指挥部同意后作出区域撤离决定，发出警报，利用广播、电视等传媒通知指定区域内居民，企业员工及人群迅速撤离至指定地点。</w:t>
      </w:r>
    </w:p>
    <w:p w14:paraId="1A7D80CD">
      <w:pPr>
        <w:pStyle w:val="84"/>
      </w:pPr>
      <w:bookmarkStart w:id="339" w:name="_Hlk182166871"/>
      <w:r>
        <w:rPr>
          <w:rFonts w:hint="eastAsia"/>
        </w:rPr>
        <w:t>水污染事件保护目标的应急措施</w:t>
      </w:r>
    </w:p>
    <w:bookmarkEnd w:id="339"/>
    <w:p w14:paraId="5BC30892">
      <w:pPr>
        <w:pStyle w:val="139"/>
        <w:ind w:firstLine="482"/>
        <w:rPr>
          <w:b/>
          <w:bCs/>
          <w:color w:val="auto"/>
          <w:lang w:val="ru-RU"/>
        </w:rPr>
      </w:pPr>
      <w:r>
        <w:rPr>
          <w:rFonts w:hint="eastAsia"/>
          <w:b/>
          <w:bCs/>
          <w:color w:val="auto"/>
          <w:lang w:val="en-US"/>
        </w:rPr>
        <w:t>（1）</w:t>
      </w:r>
      <w:r>
        <w:rPr>
          <w:b/>
          <w:bCs/>
          <w:color w:val="auto"/>
          <w:lang w:val="ru-RU"/>
        </w:rPr>
        <w:t>船舶</w:t>
      </w:r>
      <w:r>
        <w:rPr>
          <w:rFonts w:hint="eastAsia"/>
          <w:b/>
          <w:bCs/>
          <w:color w:val="auto"/>
          <w:lang w:val="ru-RU"/>
        </w:rPr>
        <w:t>柴油</w:t>
      </w:r>
      <w:r>
        <w:rPr>
          <w:b/>
          <w:bCs/>
          <w:color w:val="auto"/>
          <w:lang w:val="ru-RU"/>
        </w:rPr>
        <w:t>事故排放</w:t>
      </w:r>
    </w:p>
    <w:p w14:paraId="642CA98B">
      <w:pPr>
        <w:pStyle w:val="139"/>
        <w:ind w:firstLine="480"/>
        <w:rPr>
          <w:color w:val="auto"/>
          <w:lang w:val="ru-RU"/>
        </w:rPr>
      </w:pPr>
      <w:r>
        <w:rPr>
          <w:color w:val="auto"/>
          <w:lang w:val="ru-RU"/>
        </w:rPr>
        <w:t>当船舶发生</w:t>
      </w:r>
      <w:r>
        <w:rPr>
          <w:rFonts w:hint="eastAsia"/>
          <w:color w:val="auto"/>
          <w:lang w:val="ru-RU"/>
        </w:rPr>
        <w:t>柴油</w:t>
      </w:r>
      <w:r>
        <w:rPr>
          <w:color w:val="auto"/>
          <w:lang w:val="ru-RU"/>
        </w:rPr>
        <w:t>溢油事故，已经造成地表水污染时，采取的应急措施如下：</w:t>
      </w:r>
    </w:p>
    <w:p w14:paraId="207137E7">
      <w:pPr>
        <w:pStyle w:val="139"/>
        <w:ind w:firstLine="480"/>
        <w:rPr>
          <w:color w:val="auto"/>
          <w:lang w:val="ru-RU"/>
        </w:rPr>
      </w:pPr>
      <w:r>
        <w:rPr>
          <w:color w:val="auto"/>
          <w:lang w:val="en-US"/>
        </w:rPr>
        <w:t>当发现船舶</w:t>
      </w:r>
      <w:r>
        <w:rPr>
          <w:rFonts w:hint="eastAsia"/>
          <w:color w:val="auto"/>
          <w:lang w:val="en-US"/>
        </w:rPr>
        <w:t>柴油</w:t>
      </w:r>
      <w:r>
        <w:rPr>
          <w:color w:val="auto"/>
          <w:lang w:val="en-US"/>
        </w:rPr>
        <w:t>泄漏时，</w:t>
      </w:r>
      <w:r>
        <w:rPr>
          <w:color w:val="auto"/>
          <w:lang w:val="ru-RU"/>
        </w:rPr>
        <w:t>现场人员第一时间立即围堵泄漏油品，尽可能避免油品跑入河面，与此同时应向单位领导报告，单位领导</w:t>
      </w:r>
      <w:r>
        <w:rPr>
          <w:rFonts w:hint="eastAsia"/>
          <w:color w:val="auto"/>
          <w:lang w:val="ru-RU" w:eastAsia="zh-CN"/>
        </w:rPr>
        <w:t>接到</w:t>
      </w:r>
      <w:r>
        <w:rPr>
          <w:color w:val="auto"/>
          <w:lang w:val="ru-RU"/>
        </w:rPr>
        <w:t>报告后立即启动应急预案。</w:t>
      </w:r>
    </w:p>
    <w:p w14:paraId="327A5CCE">
      <w:pPr>
        <w:pStyle w:val="139"/>
        <w:ind w:firstLine="480"/>
        <w:rPr>
          <w:color w:val="auto"/>
          <w:lang w:val="ru-RU"/>
        </w:rPr>
      </w:pPr>
      <w:r>
        <w:rPr>
          <w:color w:val="auto"/>
          <w:lang w:val="ru-RU"/>
        </w:rPr>
        <w:t>当油品泄漏较少时，利用</w:t>
      </w:r>
      <w:r>
        <w:rPr>
          <w:color w:val="auto"/>
          <w:lang w:val="en-US"/>
        </w:rPr>
        <w:t>围油栏</w:t>
      </w:r>
      <w:r>
        <w:rPr>
          <w:color w:val="auto"/>
          <w:lang w:val="ru-RU"/>
        </w:rPr>
        <w:t>、吸油毯，棉布等材料进行吸附油品回收。</w:t>
      </w:r>
    </w:p>
    <w:p w14:paraId="1B47140B">
      <w:pPr>
        <w:pStyle w:val="139"/>
        <w:ind w:firstLine="480"/>
        <w:rPr>
          <w:color w:val="auto"/>
          <w:lang w:val="ru-RU"/>
        </w:rPr>
      </w:pPr>
      <w:r>
        <w:rPr>
          <w:color w:val="auto"/>
          <w:lang w:val="ru-RU"/>
        </w:rPr>
        <w:t>当油品泄漏较大时，应及时报告海事部门以及水上交通及消防部门请求支援。通知</w:t>
      </w:r>
      <w:r>
        <w:rPr>
          <w:rFonts w:hint="eastAsia"/>
          <w:color w:val="auto"/>
          <w:lang w:val="en-US"/>
        </w:rPr>
        <w:t>热电公司</w:t>
      </w:r>
      <w:r>
        <w:rPr>
          <w:color w:val="auto"/>
          <w:lang w:val="ru-RU"/>
        </w:rPr>
        <w:t>迅速布置围油栏，</w:t>
      </w:r>
      <w:r>
        <w:rPr>
          <w:rFonts w:hint="eastAsia"/>
          <w:color w:val="auto"/>
          <w:lang w:val="ru-RU"/>
        </w:rPr>
        <w:t>围栏水</w:t>
      </w:r>
      <w:r>
        <w:rPr>
          <w:color w:val="auto"/>
          <w:lang w:val="ru-RU"/>
        </w:rPr>
        <w:t>面油品，利用吸油毯及防爆抽油泵进行油品回收。</w:t>
      </w:r>
    </w:p>
    <w:p w14:paraId="10D8AF3C">
      <w:pPr>
        <w:pStyle w:val="139"/>
        <w:ind w:firstLine="480"/>
        <w:rPr>
          <w:color w:val="auto"/>
          <w:lang w:val="ru-RU"/>
        </w:rPr>
      </w:pPr>
      <w:r>
        <w:rPr>
          <w:color w:val="auto"/>
          <w:lang w:val="ru-RU"/>
        </w:rPr>
        <w:t>设定危险区域，对地面及</w:t>
      </w:r>
      <w:r>
        <w:rPr>
          <w:rFonts w:hint="eastAsia"/>
          <w:color w:val="auto"/>
          <w:lang w:val="ru-RU"/>
        </w:rPr>
        <w:t>水</w:t>
      </w:r>
      <w:r>
        <w:rPr>
          <w:color w:val="auto"/>
          <w:lang w:val="ru-RU"/>
        </w:rPr>
        <w:t>面实行隔离和管制，禁止无关人员及过往船只进入危险区域。</w:t>
      </w:r>
    </w:p>
    <w:p w14:paraId="63C73DFA">
      <w:pPr>
        <w:pStyle w:val="139"/>
        <w:ind w:firstLine="480"/>
        <w:rPr>
          <w:color w:val="auto"/>
          <w:lang w:val="ru-RU"/>
        </w:rPr>
      </w:pPr>
      <w:r>
        <w:rPr>
          <w:color w:val="auto"/>
          <w:lang w:val="ru-RU"/>
        </w:rPr>
        <w:t>在回收油品过程中，全过程做好消防灭火准备。</w:t>
      </w:r>
    </w:p>
    <w:p w14:paraId="6DA18DF6">
      <w:pPr>
        <w:pStyle w:val="139"/>
        <w:ind w:firstLine="480"/>
        <w:rPr>
          <w:color w:val="auto"/>
          <w:lang w:val="ru-RU"/>
        </w:rPr>
      </w:pPr>
      <w:r>
        <w:rPr>
          <w:color w:val="auto"/>
          <w:lang w:val="ru-RU"/>
        </w:rPr>
        <w:t>油品回收完后，向海事部门申请用化油剂清理</w:t>
      </w:r>
      <w:r>
        <w:rPr>
          <w:rFonts w:hint="eastAsia"/>
          <w:color w:val="auto"/>
          <w:lang w:val="ru-RU"/>
        </w:rPr>
        <w:t>水</w:t>
      </w:r>
      <w:r>
        <w:rPr>
          <w:color w:val="auto"/>
          <w:lang w:val="ru-RU"/>
        </w:rPr>
        <w:t>面及地面现场。</w:t>
      </w:r>
    </w:p>
    <w:p w14:paraId="69D01704">
      <w:pPr>
        <w:pStyle w:val="139"/>
        <w:ind w:firstLine="482"/>
        <w:rPr>
          <w:b/>
          <w:bCs/>
          <w:color w:val="auto"/>
          <w:lang w:val="ru-RU"/>
        </w:rPr>
      </w:pPr>
      <w:bookmarkStart w:id="340" w:name="_Hlk111028983"/>
      <w:r>
        <w:rPr>
          <w:rFonts w:hint="eastAsia"/>
          <w:b/>
          <w:bCs/>
          <w:color w:val="auto"/>
          <w:lang w:val="en-US"/>
        </w:rPr>
        <w:t>（2）</w:t>
      </w:r>
      <w:r>
        <w:rPr>
          <w:b/>
          <w:bCs/>
          <w:color w:val="auto"/>
          <w:lang w:val="ru-RU"/>
        </w:rPr>
        <w:t>消防废水</w:t>
      </w:r>
      <w:r>
        <w:rPr>
          <w:rFonts w:hint="eastAsia"/>
          <w:b/>
          <w:bCs/>
          <w:color w:val="auto"/>
          <w:lang w:val="ru-RU"/>
        </w:rPr>
        <w:t>收集及处理</w:t>
      </w:r>
    </w:p>
    <w:p w14:paraId="6F0FF002">
      <w:pPr>
        <w:pStyle w:val="139"/>
        <w:ind w:firstLine="480"/>
        <w:rPr>
          <w:color w:val="auto"/>
          <w:lang w:val="ru-RU"/>
        </w:rPr>
      </w:pPr>
      <w:r>
        <w:rPr>
          <w:color w:val="auto"/>
          <w:lang w:val="ru-RU"/>
        </w:rPr>
        <w:t>为了防止引发火灾爆炸和环境空气污染事故，采用消防水对泄漏区进行喷淋洗涤，部分转移至消防水，若消防水不予处理或经有效控制即外排可能导致周围水环境污染事件的发生，故应采取相应的措施进行治理。</w:t>
      </w:r>
    </w:p>
    <w:p w14:paraId="51776AB8">
      <w:pPr>
        <w:pStyle w:val="139"/>
        <w:ind w:firstLine="480"/>
        <w:rPr>
          <w:color w:val="auto"/>
          <w:lang w:val="ru-RU"/>
        </w:rPr>
      </w:pPr>
      <w:r>
        <w:rPr>
          <w:rFonts w:hint="eastAsia"/>
          <w:color w:val="auto"/>
          <w:lang w:val="ru-RU"/>
        </w:rPr>
        <w:t>根据本项目设计，码头发生火灾时，最大一次消防废水产生量约</w:t>
      </w:r>
      <w:r>
        <w:rPr>
          <w:rFonts w:hint="eastAsia"/>
          <w:color w:val="auto"/>
          <w:lang w:val="en-US"/>
        </w:rPr>
        <w:t>180</w:t>
      </w:r>
      <w:r>
        <w:rPr>
          <w:rFonts w:hint="eastAsia"/>
          <w:color w:val="auto"/>
          <w:lang w:val="ru-RU"/>
        </w:rPr>
        <w:t>m</w:t>
      </w:r>
      <w:r>
        <w:rPr>
          <w:color w:val="auto"/>
          <w:vertAlign w:val="superscript"/>
          <w:lang w:val="ru-RU"/>
        </w:rPr>
        <w:t>3</w:t>
      </w:r>
      <w:r>
        <w:rPr>
          <w:color w:val="auto"/>
          <w:lang w:val="ru-RU"/>
        </w:rPr>
        <w:t>/</w:t>
      </w:r>
      <w:r>
        <w:rPr>
          <w:rFonts w:hint="eastAsia"/>
          <w:color w:val="auto"/>
          <w:lang w:val="ru-RU"/>
        </w:rPr>
        <w:t>次，</w:t>
      </w:r>
      <w:r>
        <w:rPr>
          <w:color w:val="auto"/>
          <w:lang w:val="ru-RU"/>
        </w:rPr>
        <w:t>当发生火灾爆炸时首先应迅速封堵</w:t>
      </w:r>
      <w:r>
        <w:rPr>
          <w:rFonts w:hint="eastAsia"/>
          <w:color w:val="auto"/>
          <w:lang w:val="ru-RU"/>
        </w:rPr>
        <w:t>码头设置的</w:t>
      </w:r>
      <w:r>
        <w:rPr>
          <w:color w:val="auto"/>
          <w:lang w:val="ru-RU"/>
        </w:rPr>
        <w:t>雨水收集口，</w:t>
      </w:r>
      <w:r>
        <w:rPr>
          <w:rFonts w:hint="eastAsia"/>
          <w:color w:val="auto"/>
          <w:lang w:val="ru-RU"/>
        </w:rPr>
        <w:t>将消防废水收集后通过管道汇至后方国能热电厂区事故池，后方厂区事故池容量为</w:t>
      </w:r>
      <w:r>
        <w:rPr>
          <w:rFonts w:hint="eastAsia"/>
          <w:color w:val="auto"/>
          <w:lang w:val="en-US"/>
        </w:rPr>
        <w:t>1500m</w:t>
      </w:r>
      <w:r>
        <w:rPr>
          <w:rFonts w:hint="eastAsia"/>
          <w:color w:val="auto"/>
          <w:vertAlign w:val="superscript"/>
          <w:lang w:val="en-US"/>
        </w:rPr>
        <w:t>3</w:t>
      </w:r>
      <w:r>
        <w:rPr>
          <w:color w:val="auto"/>
          <w:lang w:val="ru-RU"/>
        </w:rPr>
        <w:t>，可以满足</w:t>
      </w:r>
      <w:r>
        <w:rPr>
          <w:rFonts w:hint="eastAsia"/>
          <w:color w:val="auto"/>
          <w:lang w:val="ru-RU"/>
        </w:rPr>
        <w:t>消防废</w:t>
      </w:r>
      <w:r>
        <w:rPr>
          <w:color w:val="auto"/>
          <w:lang w:val="ru-RU"/>
        </w:rPr>
        <w:t>水的收集需要</w:t>
      </w:r>
      <w:r>
        <w:rPr>
          <w:rFonts w:hint="eastAsia"/>
          <w:color w:val="auto"/>
          <w:lang w:val="ru-RU"/>
        </w:rPr>
        <w:t>，确保本项目发生火灾时不会有消防废水</w:t>
      </w:r>
      <w:r>
        <w:rPr>
          <w:rFonts w:hint="eastAsia"/>
          <w:color w:val="auto"/>
          <w:lang w:val="ru-RU" w:eastAsia="zh-CN"/>
        </w:rPr>
        <w:t>进入</w:t>
      </w:r>
      <w:r>
        <w:rPr>
          <w:rFonts w:hint="eastAsia"/>
          <w:color w:val="auto"/>
          <w:lang w:val="ru-RU"/>
        </w:rPr>
        <w:t>盐河中。</w:t>
      </w:r>
    </w:p>
    <w:bookmarkEnd w:id="340"/>
    <w:p w14:paraId="77DB7842">
      <w:pPr>
        <w:pStyle w:val="84"/>
      </w:pPr>
      <w:bookmarkStart w:id="341" w:name="_Hlk182166879"/>
      <w:r>
        <w:rPr>
          <w:rFonts w:hint="eastAsia"/>
        </w:rPr>
        <w:t>装卸安全防范措施</w:t>
      </w:r>
    </w:p>
    <w:bookmarkEnd w:id="341"/>
    <w:p w14:paraId="39A1622E">
      <w:pPr>
        <w:pStyle w:val="139"/>
        <w:ind w:firstLine="480"/>
        <w:rPr>
          <w:color w:val="auto"/>
          <w:lang w:val="en-US"/>
        </w:rPr>
      </w:pPr>
      <w:r>
        <w:rPr>
          <w:color w:val="auto"/>
          <w:lang w:val="en-US"/>
        </w:rPr>
        <w:t>本项目装卸的物料为货种</w:t>
      </w:r>
      <w:r>
        <w:rPr>
          <w:rFonts w:hint="eastAsia"/>
          <w:color w:val="auto"/>
          <w:lang w:val="en-US"/>
        </w:rPr>
        <w:t>燃煤</w:t>
      </w:r>
      <w:r>
        <w:rPr>
          <w:color w:val="auto"/>
          <w:lang w:val="en-US"/>
        </w:rPr>
        <w:t>，在装卸过程中可能会产生泄漏</w:t>
      </w:r>
      <w:r>
        <w:rPr>
          <w:rFonts w:hint="eastAsia"/>
          <w:color w:val="auto"/>
          <w:lang w:val="en-US"/>
        </w:rPr>
        <w:t>，</w:t>
      </w:r>
      <w:r>
        <w:rPr>
          <w:color w:val="auto"/>
          <w:lang w:val="en-US"/>
        </w:rPr>
        <w:t>甚至破舱等事故，具有一定的危险性以及环境风险，因此必须采取必要的防范措施加以预防。</w:t>
      </w:r>
    </w:p>
    <w:p w14:paraId="7F404F41">
      <w:pPr>
        <w:pStyle w:val="139"/>
        <w:ind w:firstLine="480"/>
        <w:rPr>
          <w:color w:val="auto"/>
          <w:lang w:val="en-US"/>
        </w:rPr>
      </w:pPr>
      <w:r>
        <w:rPr>
          <w:color w:val="auto"/>
          <w:lang w:val="en-US"/>
        </w:rPr>
        <w:t>（1）破舱泄漏会严重污染</w:t>
      </w:r>
      <w:r>
        <w:rPr>
          <w:rFonts w:hint="eastAsia"/>
          <w:color w:val="auto"/>
          <w:lang w:val="en-US"/>
        </w:rPr>
        <w:t>盐河</w:t>
      </w:r>
      <w:r>
        <w:rPr>
          <w:color w:val="auto"/>
          <w:lang w:val="en-US"/>
        </w:rPr>
        <w:t>，因此，</w:t>
      </w:r>
      <w:r>
        <w:rPr>
          <w:rFonts w:hint="eastAsia"/>
          <w:color w:val="auto"/>
          <w:lang w:val="en-US"/>
        </w:rPr>
        <w:t>船舶</w:t>
      </w:r>
      <w:r>
        <w:rPr>
          <w:color w:val="auto"/>
          <w:lang w:val="en-US"/>
        </w:rPr>
        <w:t>靠泊应选择视线好、能见度高的白天进行，保证靠泊安全，可杜绝破舱事故对</w:t>
      </w:r>
      <w:r>
        <w:rPr>
          <w:rFonts w:hint="eastAsia"/>
          <w:color w:val="auto"/>
          <w:lang w:val="en-US"/>
        </w:rPr>
        <w:t>地表水体</w:t>
      </w:r>
      <w:r>
        <w:rPr>
          <w:color w:val="auto"/>
          <w:lang w:val="en-US"/>
        </w:rPr>
        <w:t>的影响。</w:t>
      </w:r>
    </w:p>
    <w:p w14:paraId="612D7AEE">
      <w:pPr>
        <w:pStyle w:val="139"/>
        <w:ind w:firstLine="480"/>
        <w:rPr>
          <w:color w:val="auto"/>
          <w:lang w:val="en-US"/>
        </w:rPr>
      </w:pPr>
      <w:r>
        <w:rPr>
          <w:color w:val="auto"/>
          <w:lang w:val="en-US"/>
        </w:rPr>
        <w:t>（2）</w:t>
      </w:r>
      <w:r>
        <w:rPr>
          <w:rFonts w:hint="eastAsia"/>
          <w:color w:val="auto"/>
          <w:lang w:val="en-US"/>
        </w:rPr>
        <w:t>定期对输送皮带、装卸设备进行</w:t>
      </w:r>
      <w:r>
        <w:rPr>
          <w:color w:val="auto"/>
          <w:lang w:val="en-US"/>
        </w:rPr>
        <w:t>必要的</w:t>
      </w:r>
      <w:r>
        <w:rPr>
          <w:rFonts w:hint="eastAsia"/>
          <w:color w:val="auto"/>
          <w:lang w:val="en-US" w:eastAsia="zh-CN"/>
        </w:rPr>
        <w:t>安全监测</w:t>
      </w:r>
      <w:r>
        <w:rPr>
          <w:color w:val="auto"/>
          <w:lang w:val="en-US"/>
        </w:rPr>
        <w:t>和维护保养，杜绝设备安全隐患。</w:t>
      </w:r>
    </w:p>
    <w:p w14:paraId="28D1E24A">
      <w:pPr>
        <w:pStyle w:val="139"/>
        <w:ind w:firstLine="480"/>
        <w:rPr>
          <w:color w:val="auto"/>
          <w:lang w:val="en-US"/>
        </w:rPr>
      </w:pPr>
      <w:r>
        <w:rPr>
          <w:color w:val="auto"/>
          <w:lang w:val="en-US"/>
        </w:rPr>
        <w:t>（3）合理规划装卸作业时间，避免在车流和人流高峰时间运输。</w:t>
      </w:r>
    </w:p>
    <w:p w14:paraId="16E304F5">
      <w:pPr>
        <w:pStyle w:val="139"/>
        <w:ind w:firstLine="480"/>
        <w:rPr>
          <w:color w:val="auto"/>
          <w:lang w:val="en-US"/>
        </w:rPr>
      </w:pPr>
      <w:r>
        <w:rPr>
          <w:color w:val="auto"/>
          <w:lang w:val="en-US"/>
        </w:rPr>
        <w:t>（</w:t>
      </w:r>
      <w:r>
        <w:rPr>
          <w:rFonts w:hint="eastAsia"/>
          <w:color w:val="auto"/>
          <w:lang w:val="en-US"/>
        </w:rPr>
        <w:t>4</w:t>
      </w:r>
      <w:r>
        <w:rPr>
          <w:color w:val="auto"/>
          <w:lang w:val="en-US"/>
        </w:rPr>
        <w:t>）若泄漏的物料进入</w:t>
      </w:r>
      <w:r>
        <w:rPr>
          <w:rFonts w:hint="eastAsia"/>
          <w:color w:val="auto"/>
          <w:lang w:val="en-US"/>
        </w:rPr>
        <w:t>盐河</w:t>
      </w:r>
      <w:r>
        <w:rPr>
          <w:color w:val="auto"/>
          <w:lang w:val="en-US"/>
        </w:rPr>
        <w:t>，则当班人员必须立即通知</w:t>
      </w:r>
      <w:r>
        <w:rPr>
          <w:rFonts w:hint="eastAsia"/>
          <w:color w:val="auto"/>
          <w:lang w:val="en-US"/>
        </w:rPr>
        <w:t>取水相关单位关注</w:t>
      </w:r>
      <w:r>
        <w:rPr>
          <w:color w:val="auto"/>
          <w:lang w:val="en-US"/>
        </w:rPr>
        <w:t>水质变化，采取相应应急措施。污染物超标时停止取水等方法，确保取水安全。</w:t>
      </w:r>
    </w:p>
    <w:p w14:paraId="1FF910F3">
      <w:pPr>
        <w:pStyle w:val="84"/>
      </w:pPr>
      <w:r>
        <w:rPr>
          <w:rFonts w:hint="eastAsia"/>
        </w:rPr>
        <w:t>装卸工艺技术设计防范措施</w:t>
      </w:r>
    </w:p>
    <w:p w14:paraId="310BF001">
      <w:pPr>
        <w:pStyle w:val="139"/>
        <w:ind w:firstLine="480"/>
        <w:rPr>
          <w:color w:val="auto"/>
          <w:lang w:val="en-US"/>
        </w:rPr>
      </w:pPr>
      <w:r>
        <w:rPr>
          <w:color w:val="auto"/>
          <w:lang w:val="en-US"/>
        </w:rPr>
        <w:t>（1）按相关规范设置紧急切断、紧急停车系统等安全设施，并对安装质量进行跟踪，与主体工程同步验收后方可投入使用。</w:t>
      </w:r>
    </w:p>
    <w:p w14:paraId="320312E8">
      <w:pPr>
        <w:pStyle w:val="139"/>
        <w:ind w:firstLine="480"/>
        <w:rPr>
          <w:color w:val="auto"/>
          <w:lang w:val="en-US"/>
        </w:rPr>
      </w:pPr>
      <w:r>
        <w:rPr>
          <w:color w:val="auto"/>
          <w:lang w:val="en-US"/>
        </w:rPr>
        <w:t>（2）选用先进技术和设备，完善装卸工艺流程中防火、防爆等方面的设施设计。</w:t>
      </w:r>
    </w:p>
    <w:p w14:paraId="3AF91F21">
      <w:pPr>
        <w:pStyle w:val="139"/>
        <w:ind w:firstLine="480"/>
        <w:rPr>
          <w:color w:val="auto"/>
          <w:lang w:val="en-US"/>
        </w:rPr>
      </w:pPr>
      <w:r>
        <w:rPr>
          <w:color w:val="auto"/>
          <w:lang w:val="en-US"/>
        </w:rPr>
        <w:t>（3）按相关规范和要求设置</w:t>
      </w:r>
      <w:r>
        <w:rPr>
          <w:rFonts w:hint="eastAsia"/>
          <w:color w:val="auto"/>
          <w:lang w:val="en-US" w:eastAsia="zh-CN"/>
        </w:rPr>
        <w:t>应急救援通信</w:t>
      </w:r>
      <w:r>
        <w:rPr>
          <w:color w:val="auto"/>
          <w:lang w:val="en-US"/>
        </w:rPr>
        <w:t>设施，在</w:t>
      </w:r>
      <w:r>
        <w:rPr>
          <w:rFonts w:hint="eastAsia"/>
          <w:color w:val="auto"/>
          <w:lang w:val="en-US"/>
        </w:rPr>
        <w:t>沿线取水口</w:t>
      </w:r>
      <w:r>
        <w:rPr>
          <w:color w:val="auto"/>
          <w:lang w:val="en-US"/>
        </w:rPr>
        <w:t>设置专线报警电话，</w:t>
      </w:r>
      <w:r>
        <w:rPr>
          <w:rFonts w:hint="eastAsia"/>
          <w:color w:val="auto"/>
          <w:lang w:val="en-US"/>
        </w:rPr>
        <w:t>一旦</w:t>
      </w:r>
      <w:r>
        <w:rPr>
          <w:color w:val="auto"/>
          <w:lang w:val="en-US"/>
        </w:rPr>
        <w:t>码头发生泄漏事故，可在第一时间通知</w:t>
      </w:r>
      <w:r>
        <w:rPr>
          <w:rFonts w:hint="eastAsia"/>
          <w:color w:val="auto"/>
          <w:lang w:val="en-US"/>
        </w:rPr>
        <w:t>取水单位</w:t>
      </w:r>
      <w:r>
        <w:rPr>
          <w:color w:val="auto"/>
          <w:lang w:val="en-US"/>
        </w:rPr>
        <w:t>采取相应措施。</w:t>
      </w:r>
    </w:p>
    <w:p w14:paraId="303F5EAE">
      <w:pPr>
        <w:pStyle w:val="139"/>
        <w:ind w:firstLine="480"/>
        <w:rPr>
          <w:color w:val="auto"/>
          <w:lang w:val="en-US"/>
        </w:rPr>
      </w:pPr>
    </w:p>
    <w:p w14:paraId="5ADD07B1">
      <w:pPr>
        <w:pStyle w:val="84"/>
      </w:pPr>
      <w:r>
        <w:rPr>
          <w:rFonts w:hint="eastAsia"/>
        </w:rPr>
        <w:t>选址、总图布置和建筑安全防范措施</w:t>
      </w:r>
    </w:p>
    <w:p w14:paraId="6C7CE824">
      <w:pPr>
        <w:pStyle w:val="93"/>
      </w:pPr>
      <w:r>
        <w:rPr>
          <w:rFonts w:hint="eastAsia"/>
        </w:rPr>
        <w:t>（1）选址安全防范措施</w:t>
      </w:r>
    </w:p>
    <w:p w14:paraId="0EE29AED">
      <w:pPr>
        <w:ind w:firstLine="480"/>
      </w:pPr>
      <w:r>
        <w:rPr>
          <w:rFonts w:hint="eastAsia"/>
        </w:rPr>
        <w:t>选址地区应具备满足生产、消防、生活所需的水源和电源的条件，还应具备排水的条件。</w:t>
      </w:r>
    </w:p>
    <w:p w14:paraId="265E34AA">
      <w:pPr>
        <w:pStyle w:val="93"/>
      </w:pPr>
      <w:r>
        <w:rPr>
          <w:rFonts w:hint="eastAsia"/>
        </w:rPr>
        <w:t>（2）总图布置安全防范措施</w:t>
      </w:r>
    </w:p>
    <w:p w14:paraId="07172AF0">
      <w:pPr>
        <w:pStyle w:val="93"/>
      </w:pPr>
      <w:r>
        <w:rPr>
          <w:rFonts w:hint="eastAsia"/>
        </w:rPr>
        <w:t>码头的总平面布置应符合《水运工程建设项目环境影响评价指南》（JTS/T 105-2021）、《河港总体设计规范》（JTS 166-2020）、《生产过程安全卫生要求总则》（GB/T12801-2008）的要求。</w:t>
      </w:r>
    </w:p>
    <w:p w14:paraId="1ED6F01D">
      <w:pPr>
        <w:ind w:firstLine="480"/>
      </w:pPr>
      <w:r>
        <w:rPr>
          <w:rFonts w:hint="eastAsia"/>
        </w:rPr>
        <w:t>（3）建筑安全防范措施</w:t>
      </w:r>
    </w:p>
    <w:p w14:paraId="36C6417B">
      <w:pPr>
        <w:pStyle w:val="93"/>
      </w:pPr>
      <w:r>
        <w:rPr>
          <w:rFonts w:hint="eastAsia"/>
        </w:rPr>
        <w:t>建筑安全应严格参照《建筑设计防火规范》（GB50016-2014）的要求进行设计和施工。码头前沿高程应考虑或参照邻近已建码头高程，并考虑历年极端高水位和极端低水位，确定拟建码头的高程和底高程，以防极端高水位无法靠船作业、极端低水位时船舶搁浅。</w:t>
      </w:r>
    </w:p>
    <w:p w14:paraId="6ECAE752">
      <w:pPr>
        <w:ind w:firstLine="480"/>
      </w:pPr>
      <w:r>
        <w:rPr>
          <w:rFonts w:hint="eastAsia"/>
        </w:rPr>
        <w:t>（4）消防及火灾报警系统</w:t>
      </w:r>
    </w:p>
    <w:p w14:paraId="7919143F">
      <w:pPr>
        <w:pStyle w:val="93"/>
      </w:pPr>
      <w:r>
        <w:rPr>
          <w:rFonts w:hint="eastAsia"/>
        </w:rPr>
        <w:t>要有完善的安全消防措施，配备完善消防系统，设有固定泡沫灭火系统及冷却水喷淋系统。各重点部位设备应设置自动控制系统控制和设置完善的报警</w:t>
      </w:r>
      <w:r>
        <w:rPr>
          <w:rFonts w:hint="eastAsia"/>
          <w:lang w:eastAsia="zh-CN"/>
        </w:rPr>
        <w:t>联锁</w:t>
      </w:r>
      <w:r>
        <w:rPr>
          <w:rFonts w:hint="eastAsia"/>
        </w:rPr>
        <w:t>系统</w:t>
      </w:r>
      <w:r>
        <w:rPr>
          <w:rFonts w:hint="eastAsia"/>
          <w:lang w:eastAsia="zh-CN"/>
        </w:rPr>
        <w:t>，以及</w:t>
      </w:r>
      <w:r>
        <w:rPr>
          <w:rFonts w:hint="eastAsia"/>
        </w:rPr>
        <w:t>水消防系统和ABC 类干粉灭火器等。对消防系统做定期检查。</w:t>
      </w:r>
    </w:p>
    <w:p w14:paraId="522A9E9C">
      <w:pPr>
        <w:ind w:firstLine="480"/>
      </w:pPr>
      <w:r>
        <w:rPr>
          <w:rFonts w:hint="eastAsia"/>
        </w:rPr>
        <w:t>码头要求配置完善的消防设施，包括泡沫消防设施和水泡消防设施，制定严格的作业制度。</w:t>
      </w:r>
    </w:p>
    <w:p w14:paraId="349456AF">
      <w:pPr>
        <w:pStyle w:val="84"/>
      </w:pPr>
      <w:r>
        <w:rPr>
          <w:rFonts w:hint="eastAsia"/>
        </w:rPr>
        <w:t>事故废水收集、截留和处置方案</w:t>
      </w:r>
    </w:p>
    <w:p w14:paraId="39CE37B7">
      <w:pPr>
        <w:ind w:firstLine="480"/>
      </w:pPr>
      <w:r>
        <w:rPr>
          <w:rFonts w:hint="eastAsia"/>
        </w:rPr>
        <w:t>事故池容积计算如下：</w:t>
      </w:r>
    </w:p>
    <w:p w14:paraId="373C448B">
      <w:pPr>
        <w:pStyle w:val="93"/>
      </w:pPr>
      <w:r>
        <w:rPr>
          <w:rFonts w:hint="eastAsia"/>
        </w:rPr>
        <w:t>本评价根据《中国石油化工集团公司水体环境风险防控要点（试行）》和《水体污染防控紧急措施设计导则》计算消防废水及其影响。</w:t>
      </w:r>
    </w:p>
    <w:p w14:paraId="1E1E52E7">
      <w:pPr>
        <w:ind w:firstLine="480"/>
      </w:pPr>
      <w:r>
        <w:rPr>
          <w:rFonts w:hint="eastAsia"/>
        </w:rPr>
        <w:t>事故应急池的大小计算如下：</w:t>
      </w:r>
    </w:p>
    <w:p w14:paraId="0C5F298F">
      <w:pPr>
        <w:ind w:firstLine="480"/>
      </w:pPr>
      <w:r>
        <w:rPr>
          <w:rFonts w:hint="eastAsia"/>
        </w:rPr>
        <w:t>事故储存设施总有效容积：</w:t>
      </w:r>
    </w:p>
    <w:p w14:paraId="39CA0AEC">
      <w:pPr>
        <w:ind w:firstLine="480"/>
      </w:pPr>
      <w:r>
        <w:rPr>
          <w:rFonts w:hint="eastAsia"/>
        </w:rPr>
        <w:t>V</w:t>
      </w:r>
      <w:r>
        <w:rPr>
          <w:rFonts w:hint="eastAsia"/>
          <w:vertAlign w:val="subscript"/>
        </w:rPr>
        <w:t>总</w:t>
      </w:r>
      <w:r>
        <w:rPr>
          <w:rFonts w:hint="eastAsia"/>
        </w:rPr>
        <w:t>＝（V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w:t>
      </w:r>
      <w:r>
        <w:rPr>
          <w:rFonts w:hint="eastAsia"/>
          <w:vertAlign w:val="subscript"/>
        </w:rPr>
        <w:t>max</w:t>
      </w:r>
      <w:r>
        <w:rPr>
          <w:rFonts w:hint="eastAsia"/>
        </w:rPr>
        <w:t>＋V</w:t>
      </w:r>
      <w:r>
        <w:rPr>
          <w:rFonts w:hint="eastAsia"/>
          <w:vertAlign w:val="subscript"/>
        </w:rPr>
        <w:t>4</w:t>
      </w:r>
      <w:r>
        <w:rPr>
          <w:rFonts w:hint="eastAsia"/>
        </w:rPr>
        <w:t>+V</w:t>
      </w:r>
      <w:r>
        <w:rPr>
          <w:rFonts w:hint="eastAsia"/>
          <w:vertAlign w:val="subscript"/>
        </w:rPr>
        <w:t>5</w:t>
      </w:r>
    </w:p>
    <w:p w14:paraId="1711CD83">
      <w:pPr>
        <w:pStyle w:val="93"/>
      </w:pPr>
      <w:r>
        <w:rPr>
          <w:rFonts w:hint="eastAsia"/>
        </w:rPr>
        <w:t>注：（V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w:t>
      </w:r>
      <w:r>
        <w:rPr>
          <w:rFonts w:hint="eastAsia"/>
          <w:vertAlign w:val="subscript"/>
        </w:rPr>
        <w:t>max</w:t>
      </w:r>
      <w:r>
        <w:rPr>
          <w:rFonts w:hint="eastAsia"/>
        </w:rPr>
        <w:t>是指对收集系统范围内不同罐组或装置分别计算。（V</w:t>
      </w:r>
      <w:r>
        <w:rPr>
          <w:rFonts w:hint="eastAsia"/>
          <w:vertAlign w:val="subscript"/>
        </w:rPr>
        <w:t>1</w:t>
      </w:r>
      <w:r>
        <w:rPr>
          <w:rFonts w:hint="eastAsia"/>
        </w:rPr>
        <w:t>＋V</w:t>
      </w:r>
      <w:r>
        <w:rPr>
          <w:rFonts w:hint="eastAsia"/>
          <w:vertAlign w:val="subscript"/>
        </w:rPr>
        <w:t>2</w:t>
      </w:r>
      <w:r>
        <w:rPr>
          <w:rFonts w:hint="eastAsia"/>
        </w:rPr>
        <w:t>－V</w:t>
      </w:r>
      <w:r>
        <w:rPr>
          <w:rFonts w:hint="eastAsia"/>
          <w:vertAlign w:val="subscript"/>
        </w:rPr>
        <w:t>3</w:t>
      </w:r>
      <w:r>
        <w:rPr>
          <w:rFonts w:hint="eastAsia"/>
        </w:rPr>
        <w:t>）取其中最大值。</w:t>
      </w:r>
    </w:p>
    <w:p w14:paraId="2105E2E6">
      <w:pPr>
        <w:ind w:firstLine="480"/>
      </w:pPr>
      <w:r>
        <w:rPr>
          <w:rFonts w:hint="eastAsia"/>
        </w:rPr>
        <w:t>V</w:t>
      </w:r>
      <w:r>
        <w:rPr>
          <w:rFonts w:hint="eastAsia"/>
          <w:vertAlign w:val="subscript"/>
        </w:rPr>
        <w:t>1</w:t>
      </w:r>
      <w:r>
        <w:rPr>
          <w:rFonts w:hint="eastAsia"/>
        </w:rPr>
        <w:t>——收集系统范围内发生事故的一个罐组或一套装置物料量。储存相同物料的罐组按一个最大储罐计，装置物料量按存留最大物料量的一台反应器或中间储罐计。</w:t>
      </w:r>
    </w:p>
    <w:p w14:paraId="79DE4FE4">
      <w:pPr>
        <w:ind w:firstLine="480"/>
      </w:pPr>
      <w:r>
        <w:rPr>
          <w:rFonts w:hint="eastAsia"/>
        </w:rPr>
        <w:t>V</w:t>
      </w:r>
      <w:r>
        <w:rPr>
          <w:rFonts w:hint="eastAsia"/>
          <w:vertAlign w:val="subscript"/>
        </w:rPr>
        <w:t>2</w:t>
      </w:r>
      <w:r>
        <w:rPr>
          <w:rFonts w:hint="eastAsia"/>
        </w:rPr>
        <w:t>——发生事故的储罐或装置的消防水量，m</w:t>
      </w:r>
      <w:r>
        <w:rPr>
          <w:rFonts w:hint="eastAsia"/>
          <w:vertAlign w:val="superscript"/>
        </w:rPr>
        <w:t>3</w:t>
      </w:r>
      <w:r>
        <w:rPr>
          <w:rFonts w:hint="eastAsia"/>
        </w:rPr>
        <w:t>；</w:t>
      </w:r>
    </w:p>
    <w:p w14:paraId="60ABE2D3">
      <w:pPr>
        <w:ind w:firstLine="480"/>
      </w:pPr>
      <w:r>
        <w:rPr>
          <w:rFonts w:hint="eastAsia"/>
        </w:rPr>
        <w:t>V</w:t>
      </w:r>
      <w:r>
        <w:rPr>
          <w:rFonts w:hint="eastAsia"/>
          <w:vertAlign w:val="subscript"/>
        </w:rPr>
        <w:t>2</w:t>
      </w:r>
      <w:r>
        <w:rPr>
          <w:rFonts w:hint="eastAsia"/>
        </w:rPr>
        <w:t>＝Q</w:t>
      </w:r>
      <w:r>
        <w:rPr>
          <w:rFonts w:hint="eastAsia"/>
          <w:vertAlign w:val="subscript"/>
        </w:rPr>
        <w:t>消</w:t>
      </w:r>
      <w:r>
        <w:rPr>
          <w:rFonts w:hint="eastAsia"/>
        </w:rPr>
        <w:t>×t</w:t>
      </w:r>
      <w:r>
        <w:rPr>
          <w:rFonts w:hint="eastAsia"/>
          <w:vertAlign w:val="subscript"/>
        </w:rPr>
        <w:t>消</w:t>
      </w:r>
    </w:p>
    <w:p w14:paraId="3D29A260">
      <w:pPr>
        <w:ind w:firstLine="480"/>
      </w:pPr>
      <w:r>
        <w:rPr>
          <w:rFonts w:hint="eastAsia"/>
        </w:rPr>
        <w:t>Q消——发生事故的储罐或装置的同时使用的消防设施给水流量，m</w:t>
      </w:r>
      <w:r>
        <w:rPr>
          <w:rFonts w:hint="eastAsia"/>
          <w:vertAlign w:val="superscript"/>
        </w:rPr>
        <w:t>3</w:t>
      </w:r>
      <w:r>
        <w:rPr>
          <w:rFonts w:hint="eastAsia"/>
        </w:rPr>
        <w:t>/h；</w:t>
      </w:r>
    </w:p>
    <w:p w14:paraId="01472208">
      <w:pPr>
        <w:pStyle w:val="93"/>
      </w:pPr>
      <w:r>
        <w:rPr>
          <w:rFonts w:hint="eastAsia"/>
        </w:rPr>
        <w:t>t消——消防设施对应的设计消防历时，h；</w:t>
      </w:r>
    </w:p>
    <w:p w14:paraId="20F148A0">
      <w:pPr>
        <w:ind w:firstLine="480"/>
      </w:pPr>
      <w:r>
        <w:rPr>
          <w:rFonts w:hint="eastAsia"/>
        </w:rPr>
        <w:t>V</w:t>
      </w:r>
      <w:r>
        <w:rPr>
          <w:rFonts w:hint="eastAsia"/>
          <w:vertAlign w:val="subscript"/>
        </w:rPr>
        <w:t>3</w:t>
      </w:r>
      <w:r>
        <w:rPr>
          <w:rFonts w:hint="eastAsia"/>
        </w:rPr>
        <w:t>——发生事故时可以</w:t>
      </w:r>
      <w:r>
        <w:rPr>
          <w:rFonts w:hint="eastAsia"/>
          <w:lang w:eastAsia="zh-CN"/>
        </w:rPr>
        <w:t>传输</w:t>
      </w:r>
      <w:r>
        <w:rPr>
          <w:rFonts w:hint="eastAsia"/>
        </w:rPr>
        <w:t>到其他储存或处理设施的物料量，m</w:t>
      </w:r>
      <w:r>
        <w:rPr>
          <w:rFonts w:hint="eastAsia"/>
          <w:vertAlign w:val="superscript"/>
        </w:rPr>
        <w:t>3</w:t>
      </w:r>
      <w:r>
        <w:rPr>
          <w:rFonts w:hint="eastAsia"/>
        </w:rPr>
        <w:t>；</w:t>
      </w:r>
    </w:p>
    <w:p w14:paraId="637BF30C">
      <w:pPr>
        <w:pStyle w:val="93"/>
      </w:pPr>
      <w:r>
        <w:rPr>
          <w:rFonts w:hint="eastAsia"/>
        </w:rPr>
        <w:t>V</w:t>
      </w:r>
      <w:r>
        <w:rPr>
          <w:rFonts w:hint="eastAsia"/>
          <w:vertAlign w:val="subscript"/>
        </w:rPr>
        <w:t>4</w:t>
      </w:r>
      <w:r>
        <w:rPr>
          <w:rFonts w:hint="eastAsia"/>
        </w:rPr>
        <w:t>——发生事故时仍必须进入该收集系统的生产废水量，m</w:t>
      </w:r>
      <w:r>
        <w:rPr>
          <w:rFonts w:hint="eastAsia"/>
          <w:vertAlign w:val="superscript"/>
        </w:rPr>
        <w:t>3</w:t>
      </w:r>
      <w:r>
        <w:rPr>
          <w:rFonts w:hint="eastAsia"/>
        </w:rPr>
        <w:t>；</w:t>
      </w:r>
    </w:p>
    <w:p w14:paraId="2527FF4C">
      <w:pPr>
        <w:ind w:firstLine="480"/>
      </w:pPr>
      <w:r>
        <w:rPr>
          <w:rFonts w:hint="eastAsia"/>
        </w:rPr>
        <w:t>V</w:t>
      </w:r>
      <w:r>
        <w:rPr>
          <w:rFonts w:hint="eastAsia"/>
          <w:vertAlign w:val="subscript"/>
        </w:rPr>
        <w:t>5</w:t>
      </w:r>
      <w:r>
        <w:rPr>
          <w:rFonts w:hint="eastAsia"/>
        </w:rPr>
        <w:t>——发生事故时可能进入该收集系统的降雨量，m</w:t>
      </w:r>
      <w:r>
        <w:rPr>
          <w:rFonts w:hint="eastAsia"/>
          <w:vertAlign w:val="superscript"/>
        </w:rPr>
        <w:t>3</w:t>
      </w:r>
      <w:r>
        <w:rPr>
          <w:rFonts w:hint="eastAsia"/>
        </w:rPr>
        <w:t>；</w:t>
      </w:r>
    </w:p>
    <w:p w14:paraId="0A79C002">
      <w:pPr>
        <w:ind w:firstLine="480"/>
      </w:pPr>
      <w:r>
        <w:rPr>
          <w:rFonts w:hint="eastAsia"/>
        </w:rPr>
        <w:t>V</w:t>
      </w:r>
      <w:r>
        <w:rPr>
          <w:rFonts w:hint="eastAsia"/>
          <w:vertAlign w:val="subscript"/>
        </w:rPr>
        <w:t>5</w:t>
      </w:r>
      <w:r>
        <w:rPr>
          <w:rFonts w:hint="eastAsia"/>
          <w:vertAlign w:val="subscript"/>
          <w:lang w:eastAsia="zh-CN"/>
        </w:rPr>
        <w:t>=</w:t>
      </w:r>
      <w:r>
        <w:rPr>
          <w:rFonts w:hint="eastAsia"/>
        </w:rPr>
        <w:t>10q·F</w:t>
      </w:r>
    </w:p>
    <w:p w14:paraId="7BC7C572">
      <w:pPr>
        <w:ind w:firstLine="480"/>
      </w:pPr>
      <w:r>
        <w:rPr>
          <w:rFonts w:hint="eastAsia"/>
        </w:rPr>
        <w:t>q——降雨强度，mm；按平均日降雨量；</w:t>
      </w:r>
    </w:p>
    <w:p w14:paraId="39EE9383">
      <w:pPr>
        <w:ind w:firstLine="480"/>
      </w:pPr>
      <w:r>
        <w:rPr>
          <w:rFonts w:hint="eastAsia"/>
        </w:rPr>
        <w:t>q=q</w:t>
      </w:r>
      <w:r>
        <w:rPr>
          <w:rFonts w:hint="eastAsia"/>
          <w:vertAlign w:val="subscript"/>
        </w:rPr>
        <w:t>a</w:t>
      </w:r>
      <w:r>
        <w:rPr>
          <w:rFonts w:hint="eastAsia"/>
        </w:rPr>
        <w:t>/n</w:t>
      </w:r>
    </w:p>
    <w:p w14:paraId="109DCE0D">
      <w:pPr>
        <w:ind w:firstLine="480"/>
      </w:pPr>
      <w:r>
        <w:rPr>
          <w:rFonts w:hint="eastAsia"/>
        </w:rPr>
        <w:t>q</w:t>
      </w:r>
      <w:r>
        <w:rPr>
          <w:rFonts w:hint="eastAsia"/>
          <w:vertAlign w:val="subscript"/>
        </w:rPr>
        <w:t>a</w:t>
      </w:r>
      <w:r>
        <w:rPr>
          <w:rFonts w:hint="eastAsia"/>
        </w:rPr>
        <w:t>——年平均降雨量，mm；n——年平均降雨日数。</w:t>
      </w:r>
    </w:p>
    <w:p w14:paraId="10F68AD0">
      <w:pPr>
        <w:ind w:firstLine="480"/>
      </w:pPr>
      <w:r>
        <w:rPr>
          <w:rFonts w:hint="eastAsia"/>
        </w:rPr>
        <w:t>F——必须进入事故废水收集系统的雨水汇水面积，ha。</w:t>
      </w:r>
    </w:p>
    <w:p w14:paraId="5D3808FB">
      <w:pPr>
        <w:ind w:firstLine="480"/>
      </w:pPr>
      <w:r>
        <w:rPr>
          <w:rFonts w:hint="eastAsia"/>
        </w:rPr>
        <w:t>计算结果如下：</w:t>
      </w:r>
    </w:p>
    <w:p w14:paraId="49BD6099">
      <w:pPr>
        <w:pStyle w:val="86"/>
      </w:pPr>
      <w:r>
        <w:rPr>
          <w:rFonts w:hint="eastAsia"/>
        </w:rPr>
        <w:t>本项目事故废水产生量</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340"/>
        <w:gridCol w:w="4496"/>
        <w:gridCol w:w="870"/>
      </w:tblGrid>
      <w:tr w14:paraId="41A6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012F9824">
            <w:pPr>
              <w:pStyle w:val="196"/>
            </w:pPr>
            <w:r>
              <w:rPr>
                <w:rFonts w:hint="eastAsia"/>
              </w:rPr>
              <w:t>符号</w:t>
            </w:r>
          </w:p>
        </w:tc>
        <w:tc>
          <w:tcPr>
            <w:tcW w:w="2341" w:type="dxa"/>
            <w:noWrap/>
            <w:vAlign w:val="center"/>
          </w:tcPr>
          <w:p w14:paraId="19EC464B">
            <w:pPr>
              <w:pStyle w:val="196"/>
            </w:pPr>
            <w:r>
              <w:rPr>
                <w:rFonts w:hint="eastAsia"/>
              </w:rPr>
              <w:t>取值依据</w:t>
            </w:r>
          </w:p>
        </w:tc>
        <w:tc>
          <w:tcPr>
            <w:tcW w:w="4504" w:type="dxa"/>
            <w:vAlign w:val="center"/>
          </w:tcPr>
          <w:p w14:paraId="18515AFB">
            <w:pPr>
              <w:pStyle w:val="196"/>
            </w:pPr>
            <w:r>
              <w:rPr>
                <w:rFonts w:hint="eastAsia"/>
              </w:rPr>
              <w:t>取值说明</w:t>
            </w:r>
          </w:p>
        </w:tc>
        <w:tc>
          <w:tcPr>
            <w:tcW w:w="866" w:type="dxa"/>
            <w:noWrap/>
            <w:vAlign w:val="center"/>
          </w:tcPr>
          <w:p w14:paraId="041C02DA">
            <w:pPr>
              <w:pStyle w:val="196"/>
            </w:pPr>
            <w:r>
              <w:rPr>
                <w:rFonts w:hint="eastAsia"/>
              </w:rPr>
              <w:t>取值</w:t>
            </w:r>
          </w:p>
        </w:tc>
      </w:tr>
      <w:tr w14:paraId="5493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1A90714B">
            <w:pPr>
              <w:pStyle w:val="196"/>
            </w:pPr>
            <w:r>
              <w:rPr>
                <w:rFonts w:hint="eastAsia"/>
              </w:rPr>
              <w:t>V</w:t>
            </w:r>
            <w:r>
              <w:rPr>
                <w:rFonts w:hint="eastAsia"/>
                <w:vertAlign w:val="subscript"/>
              </w:rPr>
              <w:t>1</w:t>
            </w:r>
          </w:p>
        </w:tc>
        <w:tc>
          <w:tcPr>
            <w:tcW w:w="2341" w:type="dxa"/>
            <w:noWrap/>
            <w:vAlign w:val="center"/>
          </w:tcPr>
          <w:p w14:paraId="3257195F">
            <w:pPr>
              <w:pStyle w:val="196"/>
            </w:pPr>
            <w:r>
              <w:rPr>
                <w:rFonts w:hint="eastAsia"/>
              </w:rPr>
              <w:t>收集系统范围内发生事故的物料量，m</w:t>
            </w:r>
            <w:r>
              <w:rPr>
                <w:rFonts w:hint="eastAsia"/>
                <w:vertAlign w:val="superscript"/>
              </w:rPr>
              <w:t>3</w:t>
            </w:r>
          </w:p>
        </w:tc>
        <w:tc>
          <w:tcPr>
            <w:tcW w:w="4504" w:type="dxa"/>
            <w:vAlign w:val="center"/>
          </w:tcPr>
          <w:p w14:paraId="52752428">
            <w:pPr>
              <w:pStyle w:val="196"/>
            </w:pPr>
            <w:r>
              <w:rPr>
                <w:rFonts w:hint="eastAsia"/>
              </w:rPr>
              <w:t>本项目为码头项目，运输的物品为煤炭，由本港进出的货物均为煤炭，不含油品等易燃易爆货种，也没有有毒有害的化学品等，不存在贮罐区等，故V</w:t>
            </w:r>
            <w:r>
              <w:rPr>
                <w:rFonts w:hint="eastAsia"/>
                <w:vertAlign w:val="subscript"/>
              </w:rPr>
              <w:t>1</w:t>
            </w:r>
            <w:r>
              <w:rPr>
                <w:rFonts w:hint="eastAsia"/>
              </w:rPr>
              <w:t>为0m</w:t>
            </w:r>
            <w:r>
              <w:rPr>
                <w:rFonts w:hint="eastAsia"/>
                <w:vertAlign w:val="superscript"/>
              </w:rPr>
              <w:t>3</w:t>
            </w:r>
            <w:r>
              <w:rPr>
                <w:rFonts w:hint="eastAsia"/>
              </w:rPr>
              <w:t>。</w:t>
            </w:r>
          </w:p>
        </w:tc>
        <w:tc>
          <w:tcPr>
            <w:tcW w:w="866" w:type="dxa"/>
            <w:noWrap/>
            <w:vAlign w:val="center"/>
          </w:tcPr>
          <w:p w14:paraId="72F8F9C8">
            <w:pPr>
              <w:pStyle w:val="196"/>
            </w:pPr>
            <w:r>
              <w:rPr>
                <w:rFonts w:hint="eastAsia"/>
              </w:rPr>
              <w:t>0</w:t>
            </w:r>
          </w:p>
        </w:tc>
      </w:tr>
      <w:tr w14:paraId="3DAD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32E550F8">
            <w:pPr>
              <w:pStyle w:val="196"/>
            </w:pPr>
            <w:r>
              <w:rPr>
                <w:rFonts w:hint="eastAsia"/>
              </w:rPr>
              <w:t>V</w:t>
            </w:r>
            <w:r>
              <w:rPr>
                <w:rFonts w:hint="eastAsia"/>
                <w:vertAlign w:val="subscript"/>
              </w:rPr>
              <w:t>2</w:t>
            </w:r>
          </w:p>
        </w:tc>
        <w:tc>
          <w:tcPr>
            <w:tcW w:w="2341" w:type="dxa"/>
            <w:vAlign w:val="center"/>
          </w:tcPr>
          <w:p w14:paraId="226005A0">
            <w:pPr>
              <w:pStyle w:val="196"/>
            </w:pPr>
            <w:r>
              <w:rPr>
                <w:rFonts w:hint="eastAsia"/>
              </w:rPr>
              <w:t>发生事故的储罐、装置的消防水量，m</w:t>
            </w:r>
            <w:r>
              <w:rPr>
                <w:rFonts w:hint="eastAsia"/>
                <w:vertAlign w:val="superscript"/>
              </w:rPr>
              <w:t>3</w:t>
            </w:r>
          </w:p>
        </w:tc>
        <w:tc>
          <w:tcPr>
            <w:tcW w:w="4504" w:type="dxa"/>
            <w:vAlign w:val="center"/>
          </w:tcPr>
          <w:p w14:paraId="58C48232">
            <w:pPr>
              <w:pStyle w:val="196"/>
            </w:pPr>
            <w:r>
              <w:rPr>
                <w:rFonts w:hint="eastAsia"/>
              </w:rPr>
              <w:t>根据《建筑设计防火规范》，该项目码头消火栓用水量按25L/s。按火灾延续时间为2小时计，消防水用量为180m</w:t>
            </w:r>
            <w:r>
              <w:rPr>
                <w:rFonts w:hint="eastAsia"/>
                <w:vertAlign w:val="superscript"/>
              </w:rPr>
              <w:t>3</w:t>
            </w:r>
            <w:r>
              <w:rPr>
                <w:rFonts w:hint="eastAsia"/>
              </w:rPr>
              <w:t>。</w:t>
            </w:r>
          </w:p>
        </w:tc>
        <w:tc>
          <w:tcPr>
            <w:tcW w:w="866" w:type="dxa"/>
            <w:noWrap/>
            <w:vAlign w:val="center"/>
          </w:tcPr>
          <w:p w14:paraId="05C3A56A">
            <w:pPr>
              <w:pStyle w:val="196"/>
            </w:pPr>
            <w:r>
              <w:rPr>
                <w:rFonts w:hint="eastAsia"/>
              </w:rPr>
              <w:t>180</w:t>
            </w:r>
          </w:p>
        </w:tc>
      </w:tr>
      <w:tr w14:paraId="4F164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44290E57">
            <w:pPr>
              <w:pStyle w:val="196"/>
            </w:pPr>
            <w:r>
              <w:rPr>
                <w:rFonts w:hint="eastAsia"/>
              </w:rPr>
              <w:t>V</w:t>
            </w:r>
            <w:r>
              <w:rPr>
                <w:rFonts w:hint="eastAsia"/>
                <w:vertAlign w:val="subscript"/>
              </w:rPr>
              <w:t>3</w:t>
            </w:r>
          </w:p>
        </w:tc>
        <w:tc>
          <w:tcPr>
            <w:tcW w:w="2341" w:type="dxa"/>
            <w:noWrap/>
            <w:vAlign w:val="center"/>
          </w:tcPr>
          <w:p w14:paraId="76180222">
            <w:pPr>
              <w:pStyle w:val="196"/>
            </w:pPr>
            <w:r>
              <w:rPr>
                <w:rFonts w:hint="eastAsia"/>
              </w:rPr>
              <w:t>发生事故时可以</w:t>
            </w:r>
            <w:r>
              <w:rPr>
                <w:rFonts w:hint="eastAsia"/>
                <w:lang w:eastAsia="zh-CN"/>
              </w:rPr>
              <w:t>传输</w:t>
            </w:r>
            <w:r>
              <w:rPr>
                <w:rFonts w:hint="eastAsia"/>
              </w:rPr>
              <w:t>到其他储存或处理设施的物料量，m</w:t>
            </w:r>
            <w:r>
              <w:rPr>
                <w:rFonts w:hint="eastAsia"/>
                <w:vertAlign w:val="superscript"/>
              </w:rPr>
              <w:t>3</w:t>
            </w:r>
          </w:p>
        </w:tc>
        <w:tc>
          <w:tcPr>
            <w:tcW w:w="4504" w:type="dxa"/>
            <w:vAlign w:val="center"/>
          </w:tcPr>
          <w:p w14:paraId="1216CD16">
            <w:pPr>
              <w:pStyle w:val="196"/>
            </w:pPr>
            <w:r>
              <w:rPr>
                <w:rFonts w:hint="eastAsia"/>
              </w:rPr>
              <w:t>事故状态下项目无可以</w:t>
            </w:r>
            <w:r>
              <w:rPr>
                <w:rFonts w:hint="eastAsia"/>
                <w:lang w:eastAsia="zh-CN"/>
              </w:rPr>
              <w:t>传输</w:t>
            </w:r>
            <w:r>
              <w:rPr>
                <w:rFonts w:hint="eastAsia"/>
              </w:rPr>
              <w:t>到其他储存或处理设施，取0m</w:t>
            </w:r>
            <w:r>
              <w:rPr>
                <w:rFonts w:hint="eastAsia"/>
                <w:vertAlign w:val="superscript"/>
              </w:rPr>
              <w:t>3</w:t>
            </w:r>
            <w:r>
              <w:rPr>
                <w:rFonts w:hint="eastAsia"/>
              </w:rPr>
              <w:t>。</w:t>
            </w:r>
          </w:p>
        </w:tc>
        <w:tc>
          <w:tcPr>
            <w:tcW w:w="866" w:type="dxa"/>
            <w:noWrap/>
            <w:vAlign w:val="center"/>
          </w:tcPr>
          <w:p w14:paraId="0FC68CDA">
            <w:pPr>
              <w:pStyle w:val="196"/>
            </w:pPr>
            <w:r>
              <w:rPr>
                <w:rFonts w:hint="eastAsia"/>
              </w:rPr>
              <w:t>0</w:t>
            </w:r>
          </w:p>
        </w:tc>
      </w:tr>
      <w:tr w14:paraId="747A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23F23D5B">
            <w:pPr>
              <w:pStyle w:val="196"/>
            </w:pPr>
            <w:r>
              <w:rPr>
                <w:rFonts w:hint="eastAsia"/>
              </w:rPr>
              <w:t>V</w:t>
            </w:r>
            <w:r>
              <w:rPr>
                <w:rFonts w:hint="eastAsia"/>
                <w:vertAlign w:val="subscript"/>
              </w:rPr>
              <w:t>4</w:t>
            </w:r>
          </w:p>
        </w:tc>
        <w:tc>
          <w:tcPr>
            <w:tcW w:w="2341" w:type="dxa"/>
            <w:vAlign w:val="center"/>
          </w:tcPr>
          <w:p w14:paraId="1F288D19">
            <w:pPr>
              <w:pStyle w:val="196"/>
            </w:pPr>
            <w:r>
              <w:rPr>
                <w:rFonts w:hint="eastAsia"/>
              </w:rPr>
              <w:t>发生事故时仍必须进入该收集系统的生产废水量，m</w:t>
            </w:r>
            <w:r>
              <w:rPr>
                <w:rFonts w:hint="eastAsia"/>
                <w:vertAlign w:val="superscript"/>
              </w:rPr>
              <w:t>3</w:t>
            </w:r>
          </w:p>
        </w:tc>
        <w:tc>
          <w:tcPr>
            <w:tcW w:w="4504" w:type="dxa"/>
            <w:vAlign w:val="center"/>
          </w:tcPr>
          <w:p w14:paraId="71B9C508">
            <w:pPr>
              <w:pStyle w:val="196"/>
            </w:pPr>
            <w:r>
              <w:rPr>
                <w:rFonts w:hint="eastAsia"/>
              </w:rPr>
              <w:t>项目生产过程中无生产废水产生，取0m</w:t>
            </w:r>
            <w:r>
              <w:rPr>
                <w:rFonts w:hint="eastAsia"/>
                <w:vertAlign w:val="superscript"/>
              </w:rPr>
              <w:t>3</w:t>
            </w:r>
            <w:r>
              <w:rPr>
                <w:rFonts w:hint="eastAsia"/>
              </w:rPr>
              <w:t>。</w:t>
            </w:r>
          </w:p>
        </w:tc>
        <w:tc>
          <w:tcPr>
            <w:tcW w:w="866" w:type="dxa"/>
            <w:noWrap/>
            <w:vAlign w:val="center"/>
          </w:tcPr>
          <w:p w14:paraId="7EC8B2A6">
            <w:pPr>
              <w:pStyle w:val="196"/>
            </w:pPr>
            <w:r>
              <w:rPr>
                <w:rFonts w:hint="eastAsia"/>
              </w:rPr>
              <w:t>0</w:t>
            </w:r>
          </w:p>
        </w:tc>
      </w:tr>
      <w:tr w14:paraId="742D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19129227">
            <w:pPr>
              <w:pStyle w:val="196"/>
            </w:pPr>
            <w:r>
              <w:rPr>
                <w:rFonts w:hint="eastAsia"/>
              </w:rPr>
              <w:t>V</w:t>
            </w:r>
            <w:r>
              <w:rPr>
                <w:rFonts w:hint="eastAsia"/>
                <w:vertAlign w:val="subscript"/>
              </w:rPr>
              <w:t>5</w:t>
            </w:r>
          </w:p>
        </w:tc>
        <w:tc>
          <w:tcPr>
            <w:tcW w:w="2341" w:type="dxa"/>
            <w:vAlign w:val="center"/>
          </w:tcPr>
          <w:p w14:paraId="787DA4A0">
            <w:pPr>
              <w:pStyle w:val="196"/>
            </w:pPr>
            <w:r>
              <w:rPr>
                <w:rFonts w:hint="eastAsia"/>
              </w:rPr>
              <w:t>发生事故时可能进入该收集系统的降雨量，m</w:t>
            </w:r>
            <w:r>
              <w:rPr>
                <w:rFonts w:hint="eastAsia"/>
                <w:vertAlign w:val="superscript"/>
              </w:rPr>
              <w:t>3</w:t>
            </w:r>
          </w:p>
        </w:tc>
        <w:tc>
          <w:tcPr>
            <w:tcW w:w="4504" w:type="dxa"/>
            <w:vAlign w:val="center"/>
          </w:tcPr>
          <w:p w14:paraId="072192C0">
            <w:pPr>
              <w:pStyle w:val="196"/>
            </w:pPr>
            <w:r>
              <w:rPr>
                <w:rFonts w:hint="eastAsia"/>
              </w:rPr>
              <w:t>本项目已设置1座污水池，码头初期雨水经排水沟收集后汇入码头面污水池，经潜污泵提升至国能涟水一期热电联产项目厂区初期雨水池，容积约1500m</w:t>
            </w:r>
            <w:r>
              <w:rPr>
                <w:rFonts w:hint="eastAsia"/>
                <w:vertAlign w:val="superscript"/>
              </w:rPr>
              <w:t>3</w:t>
            </w:r>
            <w:r>
              <w:rPr>
                <w:rFonts w:hint="eastAsia"/>
              </w:rPr>
              <w:t>，故不再考虑事故状态下雨水的收集容量，V</w:t>
            </w:r>
            <w:r>
              <w:rPr>
                <w:rFonts w:hint="eastAsia"/>
                <w:vertAlign w:val="subscript"/>
              </w:rPr>
              <w:t>5</w:t>
            </w:r>
            <w:r>
              <w:rPr>
                <w:rFonts w:hint="eastAsia"/>
              </w:rPr>
              <w:t>取0m</w:t>
            </w:r>
            <w:r>
              <w:rPr>
                <w:rFonts w:hint="eastAsia"/>
                <w:vertAlign w:val="superscript"/>
              </w:rPr>
              <w:t>3</w:t>
            </w:r>
            <w:r>
              <w:rPr>
                <w:rFonts w:hint="eastAsia"/>
              </w:rPr>
              <w:t>。</w:t>
            </w:r>
          </w:p>
        </w:tc>
        <w:tc>
          <w:tcPr>
            <w:tcW w:w="866" w:type="dxa"/>
            <w:noWrap/>
            <w:vAlign w:val="center"/>
          </w:tcPr>
          <w:p w14:paraId="2E0796B5">
            <w:pPr>
              <w:pStyle w:val="196"/>
            </w:pPr>
            <w:r>
              <w:rPr>
                <w:rFonts w:hint="eastAsia"/>
              </w:rPr>
              <w:t>0</w:t>
            </w:r>
          </w:p>
        </w:tc>
      </w:tr>
      <w:tr w14:paraId="603D6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0" w:type="dxa"/>
            <w:noWrap/>
            <w:vAlign w:val="center"/>
          </w:tcPr>
          <w:p w14:paraId="0F65F2FD">
            <w:pPr>
              <w:pStyle w:val="196"/>
            </w:pPr>
            <w:r>
              <w:rPr>
                <w:rFonts w:hint="eastAsia"/>
              </w:rPr>
              <w:t>V</w:t>
            </w:r>
            <w:r>
              <w:rPr>
                <w:rFonts w:hint="eastAsia"/>
                <w:vertAlign w:val="subscript"/>
              </w:rPr>
              <w:t>事故废水</w:t>
            </w:r>
          </w:p>
        </w:tc>
        <w:tc>
          <w:tcPr>
            <w:tcW w:w="6845" w:type="dxa"/>
            <w:gridSpan w:val="2"/>
            <w:noWrap/>
            <w:vAlign w:val="center"/>
          </w:tcPr>
          <w:p w14:paraId="55279087">
            <w:pPr>
              <w:pStyle w:val="196"/>
            </w:pPr>
            <w:r>
              <w:rPr>
                <w:rFonts w:hint="eastAsia"/>
                <w:lang w:eastAsia="zh-CN"/>
              </w:rPr>
              <w:t>(</w:t>
            </w:r>
            <w:r>
              <w:rPr>
                <w:rFonts w:hint="eastAsia"/>
              </w:rPr>
              <w:t>V</w:t>
            </w:r>
            <w:r>
              <w:rPr>
                <w:rFonts w:hint="eastAsia"/>
                <w:vertAlign w:val="subscript"/>
              </w:rPr>
              <w:t>1</w:t>
            </w:r>
            <w:r>
              <w:rPr>
                <w:rFonts w:hint="eastAsia"/>
              </w:rPr>
              <w:t xml:space="preserve"> + V</w:t>
            </w:r>
            <w:r>
              <w:rPr>
                <w:rFonts w:hint="eastAsia"/>
                <w:vertAlign w:val="subscript"/>
              </w:rPr>
              <w:t>2</w:t>
            </w:r>
            <w:r>
              <w:rPr>
                <w:rFonts w:hint="eastAsia"/>
              </w:rPr>
              <w:t xml:space="preserve"> - V</w:t>
            </w:r>
            <w:r>
              <w:rPr>
                <w:rFonts w:hint="eastAsia"/>
                <w:vertAlign w:val="subscript"/>
              </w:rPr>
              <w:t>3</w:t>
            </w:r>
            <w:r>
              <w:rPr>
                <w:rFonts w:hint="eastAsia"/>
                <w:vertAlign w:val="subscript"/>
                <w:lang w:eastAsia="zh-CN"/>
              </w:rPr>
              <w:t>)</w:t>
            </w:r>
            <w:r>
              <w:rPr>
                <w:rFonts w:hint="eastAsia"/>
              </w:rPr>
              <w:t>+ V</w:t>
            </w:r>
            <w:r>
              <w:rPr>
                <w:rFonts w:hint="eastAsia"/>
                <w:vertAlign w:val="subscript"/>
              </w:rPr>
              <w:t>4</w:t>
            </w:r>
            <w:r>
              <w:rPr>
                <w:rFonts w:hint="eastAsia"/>
              </w:rPr>
              <w:t>+ V</w:t>
            </w:r>
            <w:r>
              <w:rPr>
                <w:rFonts w:hint="eastAsia"/>
                <w:vertAlign w:val="subscript"/>
              </w:rPr>
              <w:t>5</w:t>
            </w:r>
          </w:p>
        </w:tc>
        <w:tc>
          <w:tcPr>
            <w:tcW w:w="866" w:type="dxa"/>
            <w:noWrap/>
            <w:vAlign w:val="center"/>
          </w:tcPr>
          <w:p w14:paraId="69E062DB">
            <w:pPr>
              <w:pStyle w:val="196"/>
            </w:pPr>
            <w:r>
              <w:rPr>
                <w:rFonts w:hint="eastAsia"/>
              </w:rPr>
              <w:t>180</w:t>
            </w:r>
          </w:p>
        </w:tc>
      </w:tr>
    </w:tbl>
    <w:p w14:paraId="2EAF7146">
      <w:pPr>
        <w:pStyle w:val="93"/>
      </w:pPr>
      <w:r>
        <w:rPr>
          <w:rFonts w:hint="eastAsia"/>
        </w:rPr>
        <w:t>因此，本项目码头区域需要设置180m</w:t>
      </w:r>
      <w:r>
        <w:rPr>
          <w:rFonts w:hint="eastAsia"/>
          <w:vertAlign w:val="superscript"/>
        </w:rPr>
        <w:t>3</w:t>
      </w:r>
      <w:r>
        <w:rPr>
          <w:rFonts w:hint="eastAsia"/>
        </w:rPr>
        <w:t>的事故水池，</w:t>
      </w:r>
      <w:r>
        <w:rPr>
          <w:rFonts w:hint="eastAsia"/>
          <w:lang w:eastAsia="zh-CN"/>
        </w:rPr>
        <w:t>方可</w:t>
      </w:r>
      <w:r>
        <w:rPr>
          <w:rFonts w:hint="eastAsia"/>
        </w:rPr>
        <w:t>满足码头区域消防废水的收集要求。后方电厂厂区设置事故应急水池1座，设计有效容积1500m</w:t>
      </w:r>
      <w:r>
        <w:rPr>
          <w:rFonts w:hint="eastAsia"/>
          <w:vertAlign w:val="superscript"/>
        </w:rPr>
        <w:t>3</w:t>
      </w:r>
      <w:r>
        <w:rPr>
          <w:rFonts w:hint="eastAsia"/>
        </w:rPr>
        <w:t>，事故应急水池位于热电项目东侧，紧邻码头工程边界，码头陆域及热电项目地坪平均标高+6.8m，码头前沿设计高程为+7.20m，事故应急水池为地下池体，在事故状况下，事故废水能够通过自流形式进入事故水池。因此，本项目事故水池依托后方电厂事故应急水池，可以满足码头区域消防废水的收集要求。</w:t>
      </w:r>
    </w:p>
    <w:p w14:paraId="1B994E8B">
      <w:pPr>
        <w:pStyle w:val="93"/>
      </w:pPr>
      <w:r>
        <w:rPr>
          <w:rFonts w:hint="eastAsia"/>
        </w:rPr>
        <w:t>为防范和控制发生事故时和事故处理过程中产生的物料泄漏，造成事故污水对周边水体环境污染和危害，本项目建立了“单元一厂区一园区”事故废水风险防控体系。确保在发生突发事件时，事故废水不外流出园区，最大程度地降低园区外水环境受到污染的风险。</w:t>
      </w:r>
    </w:p>
    <w:p w14:paraId="6366E23E">
      <w:pPr>
        <w:ind w:firstLine="480"/>
      </w:pPr>
      <w:r>
        <w:rPr>
          <w:rFonts w:hint="eastAsia"/>
        </w:rPr>
        <w:t>项目事故废水截留采用“单元一厂区一园区”事故废水风险防控体系：</w:t>
      </w:r>
    </w:p>
    <w:p w14:paraId="7D0243C1">
      <w:pPr>
        <w:ind w:firstLine="480"/>
      </w:pPr>
      <w:r>
        <w:rPr>
          <w:rFonts w:hint="eastAsia"/>
        </w:rPr>
        <w:t>（1）单元级防控措施</w:t>
      </w:r>
    </w:p>
    <w:p w14:paraId="5AEE3E25">
      <w:pPr>
        <w:pStyle w:val="93"/>
      </w:pPr>
      <w:r>
        <w:rPr>
          <w:rFonts w:hint="eastAsia"/>
        </w:rPr>
        <w:t>主要是将事故废水控制在事故风险源所在区域单元，该体系主要是由危废仓库集液槽等配套基础设施组成，防止污染雨水和轻微事故泄漏造成的环境污染；</w:t>
      </w:r>
    </w:p>
    <w:p w14:paraId="00D2F52D">
      <w:pPr>
        <w:ind w:firstLine="480"/>
      </w:pPr>
      <w:r>
        <w:rPr>
          <w:rFonts w:hint="eastAsia"/>
        </w:rPr>
        <w:t>（2）厂区级防控措施</w:t>
      </w:r>
    </w:p>
    <w:p w14:paraId="381469C2">
      <w:pPr>
        <w:ind w:firstLine="480"/>
      </w:pPr>
      <w:r>
        <w:rPr>
          <w:rFonts w:hint="eastAsia"/>
        </w:rPr>
        <w:t>建设厂区应急事故水池及其配套设施（如事故导排系统），防止消防废水造成的环境污染；</w:t>
      </w:r>
    </w:p>
    <w:p w14:paraId="022A09FA">
      <w:pPr>
        <w:pStyle w:val="93"/>
      </w:pPr>
      <w:r>
        <w:rPr>
          <w:rFonts w:hint="eastAsia"/>
        </w:rPr>
        <w:t>事故应急池应在突发事故状态下拦截和收集厂区范围内的事故废水，避免其危害外部环境致使事故扩大化，因此事故应急池被视为企业的关键防控设施体系。事故应急池应必须具备以下基本属性要求：专一性，禁止他用；自流式，即进水方式不依赖动力；池容足够大；地下式，防蚀防渗。本项目核算事故废水180m</w:t>
      </w:r>
      <w:r>
        <w:rPr>
          <w:rFonts w:hint="eastAsia"/>
          <w:vertAlign w:val="superscript"/>
        </w:rPr>
        <w:t>3</w:t>
      </w:r>
      <w:r>
        <w:rPr>
          <w:rFonts w:hint="eastAsia"/>
        </w:rPr>
        <w:t>，依托后方电厂容积为1500m</w:t>
      </w:r>
      <w:r>
        <w:rPr>
          <w:rFonts w:hint="eastAsia"/>
          <w:vertAlign w:val="superscript"/>
        </w:rPr>
        <w:t>3</w:t>
      </w:r>
      <w:r>
        <w:rPr>
          <w:rFonts w:hint="eastAsia"/>
        </w:rPr>
        <w:t>的应急事故池，地下式，满足以上要求。</w:t>
      </w:r>
    </w:p>
    <w:p w14:paraId="21CD7A3D">
      <w:pPr>
        <w:pStyle w:val="93"/>
      </w:pPr>
      <w:r>
        <w:rPr>
          <w:rFonts w:hint="eastAsia"/>
        </w:rPr>
        <w:t>（3）园区级防控措施</w:t>
      </w:r>
    </w:p>
    <w:p w14:paraId="62D73566">
      <w:pPr>
        <w:pStyle w:val="93"/>
      </w:pPr>
      <w:r>
        <w:rPr>
          <w:rFonts w:hint="eastAsia"/>
        </w:rPr>
        <w:t>第三级水环境风险防控体系是针对企业厂内防范能力有限而导致事故废水可能外溢出厂界的应急处理。可与其他临近企业实现资源共享和救援合作，增强事故废水的防范能力。现阶段本厂区与园区消防事故水池之间尚未建成联通设施，因此本次评价建议建设单位及时与相关管理部门请示，尽早实现本厂区事故废水与园区事故废水应急系统的联防、联控，在项目正式投入运营前应该完成相关工程的建设，并确保废水排放通道通畅、可用，为极端事故状态下厂区废水的应急调蓄及有效截留提供有力保障。经调查，本项目南侧设置有防洪堤，能够有效拦截极端事故工况下的污染废水。</w:t>
      </w:r>
    </w:p>
    <w:p w14:paraId="75288695">
      <w:pPr>
        <w:pStyle w:val="93"/>
      </w:pPr>
      <w:r>
        <w:rPr>
          <w:rFonts w:hint="eastAsia"/>
        </w:rPr>
        <w:t>总体而言，极端事故状态下，本项目厂区内事故废水排放与园区/区域环境风险防范体系形成联动机制，能够保障事故废水的应急调蓄及有效截留。在严格的事故预警管理调控下，事故废水影响范围及影响程度可控，对区域地表水体基本不会构成威胁。</w:t>
      </w:r>
    </w:p>
    <w:p w14:paraId="7055DFE7">
      <w:pPr>
        <w:pStyle w:val="82"/>
      </w:pPr>
      <w:bookmarkStart w:id="342" w:name="_Hlk182166894"/>
      <w:r>
        <w:rPr>
          <w:rFonts w:hint="eastAsia"/>
        </w:rPr>
        <w:t>环境应急管理制度建设要求</w:t>
      </w:r>
    </w:p>
    <w:bookmarkEnd w:id="342"/>
    <w:p w14:paraId="2EBFFDFD">
      <w:pPr>
        <w:pStyle w:val="84"/>
      </w:pPr>
      <w:r>
        <w:rPr>
          <w:rFonts w:hint="eastAsia"/>
        </w:rPr>
        <w:t>突发环境应急预案编制、备案、修订要求</w:t>
      </w:r>
    </w:p>
    <w:p w14:paraId="167F9021">
      <w:pPr>
        <w:ind w:left="480" w:firstLine="0" w:firstLineChars="0"/>
        <w:rPr>
          <w:b/>
          <w:bCs/>
        </w:rPr>
      </w:pPr>
      <w:r>
        <w:rPr>
          <w:rFonts w:hint="eastAsia"/>
          <w:b/>
          <w:bCs/>
        </w:rPr>
        <w:t>（一）应急预案编制要求</w:t>
      </w:r>
    </w:p>
    <w:p w14:paraId="20199486">
      <w:pPr>
        <w:pStyle w:val="139"/>
        <w:ind w:firstLine="480"/>
        <w:rPr>
          <w:color w:val="auto"/>
        </w:rPr>
      </w:pPr>
      <w:r>
        <w:rPr>
          <w:rFonts w:hint="eastAsia"/>
          <w:color w:val="auto"/>
        </w:rPr>
        <w:t>本项目为国能涟水热电配套新建码头工程，为了在发生突发环境事件时，能够及时、有序、高效地实施抢险救援工作，最大限度地减少人员伤亡和财产损失，尽快恢复正常生产、工作秩序，建设单位应按照《企业事业单位突发环境事件应急预案备案管理办法（试行）》（环发</w:t>
      </w:r>
      <w:r>
        <w:rPr>
          <w:rFonts w:hint="eastAsia"/>
          <w:color w:val="auto"/>
          <w:lang w:eastAsia="zh-CN"/>
        </w:rPr>
        <w:t>〔2015〕4号</w:t>
      </w:r>
      <w:r>
        <w:rPr>
          <w:rFonts w:hint="eastAsia"/>
          <w:color w:val="auto"/>
        </w:rPr>
        <w:t>）等文件要求，并依据江苏省地方标准《企事业单位和工业园区突发环境事件应急预案编制导则》（DB32/T3795-2020）编制厂突发环境事件应急预案并及时备案、修订。应急预案主要内容如下：</w:t>
      </w:r>
    </w:p>
    <w:p w14:paraId="58CAED64">
      <w:pPr>
        <w:pStyle w:val="86"/>
      </w:pPr>
      <w:r>
        <w:rPr>
          <w:rFonts w:hint="eastAsia"/>
        </w:rPr>
        <w:t>突发环境事件应急预案</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0"/>
        <w:gridCol w:w="1842"/>
        <w:gridCol w:w="5791"/>
      </w:tblGrid>
      <w:tr w14:paraId="3173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09" w:type="pct"/>
            <w:vAlign w:val="center"/>
          </w:tcPr>
          <w:p w14:paraId="7C01EDE4">
            <w:pPr>
              <w:pStyle w:val="196"/>
              <w:rPr>
                <w:b/>
                <w:bCs/>
              </w:rPr>
            </w:pPr>
            <w:r>
              <w:rPr>
                <w:rFonts w:hint="eastAsia"/>
                <w:b/>
                <w:bCs/>
              </w:rPr>
              <w:t>序号</w:t>
            </w:r>
          </w:p>
        </w:tc>
        <w:tc>
          <w:tcPr>
            <w:tcW w:w="1108" w:type="pct"/>
            <w:vAlign w:val="center"/>
          </w:tcPr>
          <w:p w14:paraId="7110387D">
            <w:pPr>
              <w:pStyle w:val="196"/>
              <w:rPr>
                <w:b/>
                <w:bCs/>
              </w:rPr>
            </w:pPr>
            <w:r>
              <w:rPr>
                <w:rFonts w:hint="eastAsia"/>
                <w:b/>
                <w:bCs/>
              </w:rPr>
              <w:t>项目</w:t>
            </w:r>
          </w:p>
        </w:tc>
        <w:tc>
          <w:tcPr>
            <w:tcW w:w="3483" w:type="pct"/>
            <w:vAlign w:val="center"/>
          </w:tcPr>
          <w:p w14:paraId="16540C92">
            <w:pPr>
              <w:pStyle w:val="196"/>
              <w:rPr>
                <w:b/>
                <w:bCs/>
              </w:rPr>
            </w:pPr>
            <w:r>
              <w:rPr>
                <w:rFonts w:hint="eastAsia"/>
                <w:b/>
                <w:bCs/>
              </w:rPr>
              <w:t>内容及要求</w:t>
            </w:r>
          </w:p>
        </w:tc>
      </w:tr>
      <w:tr w14:paraId="6A63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259DDA4B">
            <w:pPr>
              <w:pStyle w:val="196"/>
            </w:pPr>
            <w:r>
              <w:rPr>
                <w:rFonts w:hint="eastAsia"/>
              </w:rPr>
              <w:t>1</w:t>
            </w:r>
          </w:p>
        </w:tc>
        <w:tc>
          <w:tcPr>
            <w:tcW w:w="1108" w:type="pct"/>
            <w:vAlign w:val="center"/>
          </w:tcPr>
          <w:p w14:paraId="33CC3C80">
            <w:pPr>
              <w:pStyle w:val="196"/>
            </w:pPr>
            <w:r>
              <w:rPr>
                <w:rFonts w:hint="eastAsia"/>
              </w:rPr>
              <w:t>总则</w:t>
            </w:r>
          </w:p>
        </w:tc>
        <w:tc>
          <w:tcPr>
            <w:tcW w:w="3483" w:type="pct"/>
            <w:vAlign w:val="center"/>
          </w:tcPr>
          <w:p w14:paraId="3D39B864">
            <w:pPr>
              <w:pStyle w:val="196"/>
            </w:pPr>
            <w:r>
              <w:rPr>
                <w:rFonts w:hint="eastAsia"/>
              </w:rPr>
              <w:t>/</w:t>
            </w:r>
          </w:p>
        </w:tc>
      </w:tr>
      <w:tr w14:paraId="70F7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0D5136F8">
            <w:pPr>
              <w:pStyle w:val="196"/>
            </w:pPr>
            <w:r>
              <w:rPr>
                <w:rFonts w:hint="eastAsia"/>
              </w:rPr>
              <w:t>2</w:t>
            </w:r>
          </w:p>
        </w:tc>
        <w:tc>
          <w:tcPr>
            <w:tcW w:w="1108" w:type="pct"/>
            <w:vAlign w:val="center"/>
          </w:tcPr>
          <w:p w14:paraId="7FB67DAA">
            <w:pPr>
              <w:pStyle w:val="196"/>
            </w:pPr>
            <w:r>
              <w:rPr>
                <w:rFonts w:hint="eastAsia"/>
              </w:rPr>
              <w:t>危险源概况</w:t>
            </w:r>
          </w:p>
        </w:tc>
        <w:tc>
          <w:tcPr>
            <w:tcW w:w="3483" w:type="pct"/>
            <w:vAlign w:val="center"/>
          </w:tcPr>
          <w:p w14:paraId="16FFDE18">
            <w:pPr>
              <w:pStyle w:val="196"/>
            </w:pPr>
            <w:r>
              <w:rPr>
                <w:rFonts w:hint="eastAsia"/>
              </w:rPr>
              <w:t>详述危险源类型、数量及其分布</w:t>
            </w:r>
          </w:p>
        </w:tc>
      </w:tr>
      <w:tr w14:paraId="53FC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72FC3ADE">
            <w:pPr>
              <w:pStyle w:val="196"/>
            </w:pPr>
            <w:r>
              <w:rPr>
                <w:rFonts w:hint="eastAsia"/>
              </w:rPr>
              <w:t>3</w:t>
            </w:r>
          </w:p>
        </w:tc>
        <w:tc>
          <w:tcPr>
            <w:tcW w:w="1108" w:type="pct"/>
            <w:vAlign w:val="center"/>
          </w:tcPr>
          <w:p w14:paraId="516B5128">
            <w:pPr>
              <w:pStyle w:val="196"/>
            </w:pPr>
            <w:r>
              <w:rPr>
                <w:rFonts w:hint="eastAsia"/>
              </w:rPr>
              <w:t>应急计划区</w:t>
            </w:r>
          </w:p>
        </w:tc>
        <w:tc>
          <w:tcPr>
            <w:tcW w:w="3483" w:type="pct"/>
            <w:vAlign w:val="center"/>
          </w:tcPr>
          <w:p w14:paraId="1D1544C6">
            <w:pPr>
              <w:pStyle w:val="196"/>
            </w:pPr>
            <w:r>
              <w:rPr>
                <w:rFonts w:hint="eastAsia"/>
              </w:rPr>
              <w:t>装卸区、储存区、邻区</w:t>
            </w:r>
          </w:p>
        </w:tc>
      </w:tr>
      <w:tr w14:paraId="30F8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0A6CD858">
            <w:pPr>
              <w:pStyle w:val="196"/>
            </w:pPr>
            <w:r>
              <w:rPr>
                <w:rFonts w:hint="eastAsia"/>
              </w:rPr>
              <w:t>4</w:t>
            </w:r>
          </w:p>
        </w:tc>
        <w:tc>
          <w:tcPr>
            <w:tcW w:w="1108" w:type="pct"/>
            <w:vAlign w:val="center"/>
          </w:tcPr>
          <w:p w14:paraId="0CB44CD6">
            <w:pPr>
              <w:pStyle w:val="196"/>
            </w:pPr>
            <w:r>
              <w:rPr>
                <w:rFonts w:hint="eastAsia"/>
              </w:rPr>
              <w:t>应急组织</w:t>
            </w:r>
          </w:p>
        </w:tc>
        <w:tc>
          <w:tcPr>
            <w:tcW w:w="3483" w:type="pct"/>
            <w:vAlign w:val="center"/>
          </w:tcPr>
          <w:p w14:paraId="7BF46F4D">
            <w:pPr>
              <w:pStyle w:val="196"/>
            </w:pPr>
            <w:r>
              <w:rPr>
                <w:rFonts w:hint="eastAsia"/>
              </w:rPr>
              <w:t>厂指挥部——负责现场全面指挥</w:t>
            </w:r>
          </w:p>
          <w:p w14:paraId="6B5EDAB3">
            <w:pPr>
              <w:pStyle w:val="196"/>
            </w:pPr>
            <w:r>
              <w:rPr>
                <w:rFonts w:hint="eastAsia"/>
              </w:rPr>
              <w:t>专业救援队伍——负责事故控制、救援、善后处理</w:t>
            </w:r>
          </w:p>
        </w:tc>
      </w:tr>
      <w:tr w14:paraId="39EC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5B1F87A1">
            <w:pPr>
              <w:pStyle w:val="196"/>
            </w:pPr>
            <w:r>
              <w:rPr>
                <w:rFonts w:hint="eastAsia"/>
              </w:rPr>
              <w:t>5</w:t>
            </w:r>
          </w:p>
        </w:tc>
        <w:tc>
          <w:tcPr>
            <w:tcW w:w="1108" w:type="pct"/>
            <w:vAlign w:val="center"/>
          </w:tcPr>
          <w:p w14:paraId="63A31270">
            <w:pPr>
              <w:pStyle w:val="196"/>
            </w:pPr>
            <w:r>
              <w:rPr>
                <w:rFonts w:hint="eastAsia"/>
              </w:rPr>
              <w:t>应急状态分类</w:t>
            </w:r>
          </w:p>
          <w:p w14:paraId="0207428F">
            <w:pPr>
              <w:pStyle w:val="196"/>
            </w:pPr>
            <w:r>
              <w:rPr>
                <w:rFonts w:hint="eastAsia"/>
              </w:rPr>
              <w:t>及应急响应程序</w:t>
            </w:r>
          </w:p>
        </w:tc>
        <w:tc>
          <w:tcPr>
            <w:tcW w:w="3483" w:type="pct"/>
            <w:vAlign w:val="center"/>
          </w:tcPr>
          <w:p w14:paraId="6B9122B1">
            <w:pPr>
              <w:pStyle w:val="196"/>
            </w:pPr>
            <w:r>
              <w:rPr>
                <w:rFonts w:hint="eastAsia"/>
              </w:rPr>
              <w:t>规定事故的级别及相应的应急分类</w:t>
            </w:r>
            <w:r>
              <w:rPr>
                <w:rFonts w:hint="eastAsia"/>
                <w:lang w:eastAsia="zh-CN"/>
              </w:rPr>
              <w:t>响应</w:t>
            </w:r>
            <w:r>
              <w:rPr>
                <w:rFonts w:hint="eastAsia"/>
              </w:rPr>
              <w:t>程序</w:t>
            </w:r>
          </w:p>
        </w:tc>
      </w:tr>
      <w:tr w14:paraId="015DE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4C03C4DA">
            <w:pPr>
              <w:pStyle w:val="196"/>
            </w:pPr>
            <w:r>
              <w:rPr>
                <w:rFonts w:hint="eastAsia"/>
              </w:rPr>
              <w:t>6</w:t>
            </w:r>
          </w:p>
        </w:tc>
        <w:tc>
          <w:tcPr>
            <w:tcW w:w="1108" w:type="pct"/>
            <w:vAlign w:val="center"/>
          </w:tcPr>
          <w:p w14:paraId="47A3C8B2">
            <w:pPr>
              <w:pStyle w:val="196"/>
            </w:pPr>
            <w:r>
              <w:rPr>
                <w:rFonts w:hint="eastAsia"/>
              </w:rPr>
              <w:t>应急设施设备与材料</w:t>
            </w:r>
          </w:p>
        </w:tc>
        <w:tc>
          <w:tcPr>
            <w:tcW w:w="3483" w:type="pct"/>
            <w:vAlign w:val="center"/>
          </w:tcPr>
          <w:p w14:paraId="715724E9">
            <w:pPr>
              <w:pStyle w:val="196"/>
            </w:pPr>
            <w:r>
              <w:rPr>
                <w:rFonts w:hint="eastAsia"/>
              </w:rPr>
              <w:t>生产装置：</w:t>
            </w:r>
          </w:p>
          <w:p w14:paraId="372FED17">
            <w:pPr>
              <w:pStyle w:val="196"/>
            </w:pPr>
            <w:r>
              <w:rPr>
                <w:rFonts w:hint="eastAsia" w:ascii="宋体" w:hAnsi="宋体" w:cs="宋体"/>
              </w:rPr>
              <w:t>⑴</w:t>
            </w:r>
            <w:r>
              <w:rPr>
                <w:rFonts w:hint="eastAsia"/>
              </w:rPr>
              <w:t>防火灾、爆炸事故应急设施、设备与材料，主要为消防器材</w:t>
            </w:r>
          </w:p>
          <w:p w14:paraId="44A75B4E">
            <w:pPr>
              <w:pStyle w:val="196"/>
            </w:pPr>
            <w:r>
              <w:rPr>
                <w:rFonts w:hint="eastAsia" w:ascii="宋体" w:hAnsi="宋体" w:cs="宋体"/>
              </w:rPr>
              <w:t>⑵</w:t>
            </w:r>
            <w:r>
              <w:rPr>
                <w:rFonts w:hint="eastAsia"/>
              </w:rPr>
              <w:t>防有毒有害物质外溢、扩散，主要是喷淋设备等</w:t>
            </w:r>
          </w:p>
          <w:p w14:paraId="636691E8">
            <w:pPr>
              <w:pStyle w:val="196"/>
            </w:pPr>
            <w:r>
              <w:rPr>
                <w:rFonts w:hint="eastAsia" w:ascii="宋体" w:hAnsi="宋体" w:cs="宋体"/>
              </w:rPr>
              <w:t>⑶</w:t>
            </w:r>
            <w:r>
              <w:rPr>
                <w:rFonts w:hint="eastAsia"/>
              </w:rPr>
              <w:t>防火灾、爆炸事故应急设施、设备与材料，主要为消防器材</w:t>
            </w:r>
          </w:p>
          <w:p w14:paraId="70F85190">
            <w:pPr>
              <w:pStyle w:val="196"/>
            </w:pPr>
            <w:r>
              <w:rPr>
                <w:rFonts w:hint="eastAsia" w:ascii="宋体" w:hAnsi="宋体" w:cs="宋体"/>
              </w:rPr>
              <w:t>⑷</w:t>
            </w:r>
            <w:r>
              <w:rPr>
                <w:rFonts w:hint="eastAsia"/>
              </w:rPr>
              <w:t>防有毒有害物质外溢、扩散，主要是喷淋设备等</w:t>
            </w:r>
          </w:p>
        </w:tc>
      </w:tr>
      <w:tr w14:paraId="246BE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0B05FDD0">
            <w:pPr>
              <w:pStyle w:val="196"/>
            </w:pPr>
            <w:r>
              <w:rPr>
                <w:rFonts w:hint="eastAsia"/>
              </w:rPr>
              <w:t>7</w:t>
            </w:r>
          </w:p>
        </w:tc>
        <w:tc>
          <w:tcPr>
            <w:tcW w:w="1108" w:type="pct"/>
            <w:vAlign w:val="center"/>
          </w:tcPr>
          <w:p w14:paraId="7FE6DCA4">
            <w:pPr>
              <w:pStyle w:val="196"/>
            </w:pPr>
            <w:r>
              <w:rPr>
                <w:rFonts w:hint="eastAsia"/>
              </w:rPr>
              <w:t>应急通讯、通知和</w:t>
            </w:r>
          </w:p>
          <w:p w14:paraId="56AB813E">
            <w:pPr>
              <w:pStyle w:val="196"/>
            </w:pPr>
            <w:r>
              <w:rPr>
                <w:rFonts w:hint="eastAsia"/>
              </w:rPr>
              <w:t>交通</w:t>
            </w:r>
          </w:p>
        </w:tc>
        <w:tc>
          <w:tcPr>
            <w:tcW w:w="3483" w:type="pct"/>
            <w:vAlign w:val="center"/>
          </w:tcPr>
          <w:p w14:paraId="0C89FAEC">
            <w:pPr>
              <w:pStyle w:val="196"/>
            </w:pPr>
            <w:r>
              <w:rPr>
                <w:rFonts w:hint="eastAsia"/>
              </w:rPr>
              <w:t>规定应急状态下通讯方式、通知方式</w:t>
            </w:r>
          </w:p>
        </w:tc>
      </w:tr>
      <w:tr w14:paraId="7EC12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5AECB54C">
            <w:pPr>
              <w:pStyle w:val="196"/>
            </w:pPr>
            <w:r>
              <w:rPr>
                <w:rFonts w:hint="eastAsia"/>
              </w:rPr>
              <w:t>8</w:t>
            </w:r>
          </w:p>
        </w:tc>
        <w:tc>
          <w:tcPr>
            <w:tcW w:w="1108" w:type="pct"/>
            <w:vAlign w:val="center"/>
          </w:tcPr>
          <w:p w14:paraId="45F3F8FB">
            <w:pPr>
              <w:pStyle w:val="196"/>
            </w:pPr>
            <w:r>
              <w:rPr>
                <w:rFonts w:hint="eastAsia"/>
              </w:rPr>
              <w:t>应急环境监测</w:t>
            </w:r>
          </w:p>
          <w:p w14:paraId="3BA37CE4">
            <w:pPr>
              <w:pStyle w:val="196"/>
            </w:pPr>
            <w:r>
              <w:rPr>
                <w:rFonts w:hint="eastAsia"/>
              </w:rPr>
              <w:t>及事故后评估</w:t>
            </w:r>
          </w:p>
        </w:tc>
        <w:tc>
          <w:tcPr>
            <w:tcW w:w="3483" w:type="pct"/>
            <w:vAlign w:val="center"/>
          </w:tcPr>
          <w:p w14:paraId="09FB0A27">
            <w:pPr>
              <w:pStyle w:val="196"/>
            </w:pPr>
            <w:r>
              <w:rPr>
                <w:rFonts w:hint="eastAsia"/>
              </w:rPr>
              <w:t>由专业队伍负责对事故现场进行侦察监测，对事故性质、参数与后果进行评估，为指挥部门提供决策依据</w:t>
            </w:r>
          </w:p>
        </w:tc>
      </w:tr>
      <w:tr w14:paraId="4244E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53E9E5A6">
            <w:pPr>
              <w:pStyle w:val="196"/>
            </w:pPr>
            <w:r>
              <w:rPr>
                <w:rFonts w:hint="eastAsia"/>
              </w:rPr>
              <w:t>9</w:t>
            </w:r>
          </w:p>
        </w:tc>
        <w:tc>
          <w:tcPr>
            <w:tcW w:w="1108" w:type="pct"/>
            <w:vAlign w:val="center"/>
          </w:tcPr>
          <w:p w14:paraId="4F1BE573">
            <w:pPr>
              <w:pStyle w:val="196"/>
            </w:pPr>
            <w:r>
              <w:rPr>
                <w:rFonts w:hint="eastAsia"/>
              </w:rPr>
              <w:t>应急防护措施、消除泄漏措施方法和器材</w:t>
            </w:r>
          </w:p>
        </w:tc>
        <w:tc>
          <w:tcPr>
            <w:tcW w:w="3483" w:type="pct"/>
            <w:vAlign w:val="center"/>
          </w:tcPr>
          <w:p w14:paraId="7C3E45F0">
            <w:pPr>
              <w:pStyle w:val="196"/>
            </w:pPr>
            <w:r>
              <w:rPr>
                <w:rFonts w:hint="eastAsia"/>
              </w:rPr>
              <w:t>事故现场：控制事故，防止扩大、蔓延及连锁反应。清除现场泄漏物，降低危害，相应的设施器材配备</w:t>
            </w:r>
          </w:p>
          <w:p w14:paraId="7C0E0E3B">
            <w:pPr>
              <w:pStyle w:val="196"/>
            </w:pPr>
            <w:r>
              <w:rPr>
                <w:rFonts w:hint="eastAsia"/>
              </w:rPr>
              <w:t>邻近区域：控制防火区域，控制和清除污染措施及相应设备配备</w:t>
            </w:r>
          </w:p>
        </w:tc>
      </w:tr>
      <w:tr w14:paraId="3590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691E1ACE">
            <w:pPr>
              <w:pStyle w:val="196"/>
            </w:pPr>
            <w:r>
              <w:rPr>
                <w:rFonts w:hint="eastAsia"/>
              </w:rPr>
              <w:t>10</w:t>
            </w:r>
          </w:p>
        </w:tc>
        <w:tc>
          <w:tcPr>
            <w:tcW w:w="1108" w:type="pct"/>
            <w:vAlign w:val="center"/>
          </w:tcPr>
          <w:p w14:paraId="42F73F21">
            <w:pPr>
              <w:pStyle w:val="196"/>
            </w:pPr>
            <w:r>
              <w:rPr>
                <w:rFonts w:hint="eastAsia"/>
              </w:rPr>
              <w:t>应急剂量控制、撤离组织计划、医疗救护与公众健康</w:t>
            </w:r>
          </w:p>
        </w:tc>
        <w:tc>
          <w:tcPr>
            <w:tcW w:w="3483" w:type="pct"/>
            <w:vAlign w:val="center"/>
          </w:tcPr>
          <w:p w14:paraId="223DBD37">
            <w:pPr>
              <w:pStyle w:val="196"/>
            </w:pPr>
            <w:r>
              <w:rPr>
                <w:rFonts w:hint="eastAsia"/>
              </w:rPr>
              <w:t>事故现场：事故处理人员对毒物的应急剂量控制规定，现场及邻近装置，人员撤离组织计划及救护</w:t>
            </w:r>
          </w:p>
        </w:tc>
      </w:tr>
      <w:tr w14:paraId="3599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0B50C056">
            <w:pPr>
              <w:pStyle w:val="196"/>
            </w:pPr>
            <w:r>
              <w:rPr>
                <w:rFonts w:hint="eastAsia"/>
              </w:rPr>
              <w:t>11</w:t>
            </w:r>
          </w:p>
        </w:tc>
        <w:tc>
          <w:tcPr>
            <w:tcW w:w="1108" w:type="pct"/>
            <w:vAlign w:val="center"/>
          </w:tcPr>
          <w:p w14:paraId="33EF6CAC">
            <w:pPr>
              <w:pStyle w:val="196"/>
            </w:pPr>
            <w:r>
              <w:rPr>
                <w:rFonts w:hint="eastAsia"/>
              </w:rPr>
              <w:t>应急状态终止与恢复措施</w:t>
            </w:r>
          </w:p>
        </w:tc>
        <w:tc>
          <w:tcPr>
            <w:tcW w:w="3483" w:type="pct"/>
            <w:vAlign w:val="center"/>
          </w:tcPr>
          <w:p w14:paraId="0328DCA1">
            <w:pPr>
              <w:pStyle w:val="196"/>
            </w:pPr>
            <w:r>
              <w:rPr>
                <w:rFonts w:hint="eastAsia"/>
              </w:rPr>
              <w:t>规定应急状态终止程序</w:t>
            </w:r>
          </w:p>
          <w:p w14:paraId="51A4AD4E">
            <w:pPr>
              <w:pStyle w:val="196"/>
            </w:pPr>
            <w:r>
              <w:rPr>
                <w:rFonts w:hint="eastAsia"/>
              </w:rPr>
              <w:t>事故现场善后处理，恢复措施</w:t>
            </w:r>
          </w:p>
        </w:tc>
      </w:tr>
      <w:tr w14:paraId="29CA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5BB4B909">
            <w:pPr>
              <w:pStyle w:val="196"/>
            </w:pPr>
            <w:r>
              <w:rPr>
                <w:rFonts w:hint="eastAsia"/>
              </w:rPr>
              <w:t>12</w:t>
            </w:r>
          </w:p>
        </w:tc>
        <w:tc>
          <w:tcPr>
            <w:tcW w:w="1108" w:type="pct"/>
            <w:vAlign w:val="center"/>
          </w:tcPr>
          <w:p w14:paraId="3F2B693C">
            <w:pPr>
              <w:pStyle w:val="196"/>
            </w:pPr>
            <w:r>
              <w:rPr>
                <w:rFonts w:hint="eastAsia"/>
              </w:rPr>
              <w:t>人员培训与演练</w:t>
            </w:r>
          </w:p>
        </w:tc>
        <w:tc>
          <w:tcPr>
            <w:tcW w:w="3483" w:type="pct"/>
            <w:vAlign w:val="center"/>
          </w:tcPr>
          <w:p w14:paraId="7F70E9E6">
            <w:pPr>
              <w:pStyle w:val="196"/>
            </w:pPr>
            <w:r>
              <w:rPr>
                <w:rFonts w:hint="eastAsia"/>
              </w:rPr>
              <w:t>应急计划制定后，平时安排人员培训和演练</w:t>
            </w:r>
          </w:p>
        </w:tc>
      </w:tr>
      <w:tr w14:paraId="386A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4BE8D730">
            <w:pPr>
              <w:pStyle w:val="196"/>
            </w:pPr>
            <w:r>
              <w:rPr>
                <w:rFonts w:hint="eastAsia"/>
              </w:rPr>
              <w:t>13</w:t>
            </w:r>
          </w:p>
        </w:tc>
        <w:tc>
          <w:tcPr>
            <w:tcW w:w="1108" w:type="pct"/>
            <w:vAlign w:val="center"/>
          </w:tcPr>
          <w:p w14:paraId="3E943018">
            <w:pPr>
              <w:pStyle w:val="196"/>
            </w:pPr>
            <w:r>
              <w:rPr>
                <w:rFonts w:hint="eastAsia"/>
              </w:rPr>
              <w:t>公众教育和信息</w:t>
            </w:r>
          </w:p>
        </w:tc>
        <w:tc>
          <w:tcPr>
            <w:tcW w:w="3483" w:type="pct"/>
            <w:vAlign w:val="center"/>
          </w:tcPr>
          <w:p w14:paraId="5605D286">
            <w:pPr>
              <w:pStyle w:val="196"/>
            </w:pPr>
            <w:r>
              <w:rPr>
                <w:rFonts w:hint="eastAsia"/>
              </w:rPr>
              <w:t>对工厂邻近地区开展公众教育、培训和发布相关信息</w:t>
            </w:r>
          </w:p>
        </w:tc>
      </w:tr>
      <w:tr w14:paraId="19E5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5D8B7D8C">
            <w:pPr>
              <w:pStyle w:val="196"/>
            </w:pPr>
            <w:r>
              <w:rPr>
                <w:rFonts w:hint="eastAsia"/>
              </w:rPr>
              <w:t>14</w:t>
            </w:r>
          </w:p>
        </w:tc>
        <w:tc>
          <w:tcPr>
            <w:tcW w:w="1108" w:type="pct"/>
            <w:vAlign w:val="center"/>
          </w:tcPr>
          <w:p w14:paraId="4B5C5500">
            <w:pPr>
              <w:pStyle w:val="196"/>
            </w:pPr>
            <w:r>
              <w:rPr>
                <w:rFonts w:hint="eastAsia"/>
              </w:rPr>
              <w:t>记录和报告</w:t>
            </w:r>
          </w:p>
        </w:tc>
        <w:tc>
          <w:tcPr>
            <w:tcW w:w="3483" w:type="pct"/>
            <w:vAlign w:val="center"/>
          </w:tcPr>
          <w:p w14:paraId="3035C57B">
            <w:pPr>
              <w:pStyle w:val="196"/>
            </w:pPr>
            <w:r>
              <w:rPr>
                <w:rFonts w:hint="eastAsia"/>
              </w:rPr>
              <w:t>设置应急事故专门记录，建立档案和专门报告制度，设专门部门负责管理</w:t>
            </w:r>
          </w:p>
        </w:tc>
      </w:tr>
      <w:tr w14:paraId="322A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09" w:type="pct"/>
            <w:vAlign w:val="center"/>
          </w:tcPr>
          <w:p w14:paraId="1F6CB729">
            <w:pPr>
              <w:pStyle w:val="196"/>
            </w:pPr>
            <w:r>
              <w:rPr>
                <w:rFonts w:hint="eastAsia"/>
              </w:rPr>
              <w:t>15</w:t>
            </w:r>
          </w:p>
        </w:tc>
        <w:tc>
          <w:tcPr>
            <w:tcW w:w="1108" w:type="pct"/>
            <w:vAlign w:val="center"/>
          </w:tcPr>
          <w:p w14:paraId="28BB5698">
            <w:pPr>
              <w:pStyle w:val="196"/>
            </w:pPr>
            <w:r>
              <w:rPr>
                <w:rFonts w:hint="eastAsia"/>
              </w:rPr>
              <w:t>附件</w:t>
            </w:r>
          </w:p>
        </w:tc>
        <w:tc>
          <w:tcPr>
            <w:tcW w:w="3483" w:type="pct"/>
            <w:vAlign w:val="center"/>
          </w:tcPr>
          <w:p w14:paraId="35F5CFA0">
            <w:pPr>
              <w:pStyle w:val="196"/>
            </w:pPr>
            <w:r>
              <w:rPr>
                <w:rFonts w:hint="eastAsia"/>
              </w:rPr>
              <w:t>与应急事故有关的多种附件材料的准备和形成</w:t>
            </w:r>
          </w:p>
        </w:tc>
      </w:tr>
    </w:tbl>
    <w:p w14:paraId="3B236DC6">
      <w:pPr>
        <w:pStyle w:val="139"/>
        <w:ind w:firstLine="480"/>
        <w:rPr>
          <w:color w:val="auto"/>
        </w:rPr>
      </w:pPr>
      <w:r>
        <w:rPr>
          <w:rFonts w:hint="eastAsia"/>
          <w:color w:val="auto"/>
        </w:rPr>
        <w:t>应急预案编制完成后及时报当地生态环境主管部门备案。</w:t>
      </w:r>
    </w:p>
    <w:p w14:paraId="6F61BD1C">
      <w:pPr>
        <w:pStyle w:val="139"/>
        <w:ind w:firstLine="480"/>
        <w:rPr>
          <w:color w:val="auto"/>
        </w:rPr>
      </w:pPr>
      <w:r>
        <w:rPr>
          <w:rFonts w:hint="eastAsia"/>
          <w:color w:val="auto"/>
        </w:rPr>
        <w:t>（二）应急预案的修订</w:t>
      </w:r>
    </w:p>
    <w:p w14:paraId="48235909">
      <w:pPr>
        <w:pStyle w:val="139"/>
        <w:ind w:firstLine="480"/>
        <w:rPr>
          <w:color w:val="auto"/>
        </w:rPr>
      </w:pPr>
      <w:r>
        <w:rPr>
          <w:rFonts w:hint="eastAsia"/>
          <w:color w:val="auto"/>
        </w:rPr>
        <w:t>在下列情况下，应对应急预案及时修订：</w:t>
      </w:r>
    </w:p>
    <w:p w14:paraId="71449E3E">
      <w:pPr>
        <w:pStyle w:val="139"/>
        <w:ind w:firstLine="480"/>
        <w:rPr>
          <w:color w:val="auto"/>
        </w:rPr>
      </w:pPr>
      <w:r>
        <w:rPr>
          <w:rFonts w:hint="eastAsia"/>
          <w:color w:val="auto"/>
        </w:rPr>
        <w:t>①危险源发生变化（包括危险源的种类、数量、位置）；</w:t>
      </w:r>
    </w:p>
    <w:p w14:paraId="70779539">
      <w:pPr>
        <w:pStyle w:val="139"/>
        <w:ind w:firstLine="480"/>
        <w:rPr>
          <w:color w:val="auto"/>
        </w:rPr>
      </w:pPr>
      <w:r>
        <w:rPr>
          <w:rFonts w:hint="eastAsia"/>
          <w:color w:val="auto"/>
        </w:rPr>
        <w:t>②应急机构或人员发生变化；</w:t>
      </w:r>
    </w:p>
    <w:p w14:paraId="36A4B0B5">
      <w:pPr>
        <w:pStyle w:val="139"/>
        <w:ind w:firstLine="480"/>
        <w:rPr>
          <w:color w:val="auto"/>
        </w:rPr>
      </w:pPr>
      <w:r>
        <w:rPr>
          <w:rFonts w:hint="eastAsia"/>
          <w:color w:val="auto"/>
        </w:rPr>
        <w:t>③应急装备、设施发生变化；</w:t>
      </w:r>
    </w:p>
    <w:p w14:paraId="671BD31D">
      <w:pPr>
        <w:pStyle w:val="139"/>
        <w:ind w:firstLine="480"/>
        <w:rPr>
          <w:color w:val="auto"/>
        </w:rPr>
      </w:pPr>
      <w:r>
        <w:rPr>
          <w:rFonts w:hint="eastAsia"/>
          <w:color w:val="auto"/>
        </w:rPr>
        <w:t>④应急演练评价中发生存在不符合项；</w:t>
      </w:r>
    </w:p>
    <w:p w14:paraId="317EE4B1">
      <w:pPr>
        <w:pStyle w:val="139"/>
        <w:ind w:firstLine="480"/>
        <w:rPr>
          <w:color w:val="auto"/>
        </w:rPr>
      </w:pPr>
      <w:r>
        <w:rPr>
          <w:rFonts w:hint="eastAsia"/>
          <w:color w:val="auto"/>
        </w:rPr>
        <w:t>⑤</w:t>
      </w:r>
      <w:r>
        <w:rPr>
          <w:rFonts w:hint="eastAsia"/>
          <w:color w:val="auto"/>
          <w:lang w:eastAsia="zh-CN"/>
        </w:rPr>
        <w:t>法律法规</w:t>
      </w:r>
      <w:r>
        <w:rPr>
          <w:rFonts w:hint="eastAsia"/>
          <w:color w:val="auto"/>
        </w:rPr>
        <w:t>发生变化。</w:t>
      </w:r>
    </w:p>
    <w:p w14:paraId="6C181604">
      <w:pPr>
        <w:pStyle w:val="139"/>
        <w:ind w:firstLine="480"/>
        <w:rPr>
          <w:color w:val="auto"/>
        </w:rPr>
      </w:pPr>
      <w:r>
        <w:rPr>
          <w:rFonts w:hint="eastAsia"/>
          <w:color w:val="auto"/>
        </w:rPr>
        <w:t>预案修订应建立修改记录，包括修改日期、页码、内容、修改人等。</w:t>
      </w:r>
    </w:p>
    <w:p w14:paraId="73118EBC">
      <w:pPr>
        <w:pStyle w:val="139"/>
        <w:ind w:firstLine="480"/>
        <w:rPr>
          <w:color w:val="auto"/>
        </w:rPr>
      </w:pPr>
      <w:r>
        <w:rPr>
          <w:rFonts w:hint="eastAsia"/>
          <w:color w:val="auto"/>
        </w:rPr>
        <w:t>（3）应急预案的备案</w:t>
      </w:r>
    </w:p>
    <w:p w14:paraId="34E6F9D1">
      <w:pPr>
        <w:pStyle w:val="139"/>
        <w:ind w:firstLine="480"/>
        <w:rPr>
          <w:color w:val="auto"/>
        </w:rPr>
      </w:pPr>
      <w:r>
        <w:rPr>
          <w:rFonts w:hint="eastAsia"/>
          <w:color w:val="auto"/>
        </w:rPr>
        <w:t>应急预案编制完成后企业应按照《企业事业单位突发环境事件应急预案备案管理办法（试行）》（环发</w:t>
      </w:r>
      <w:r>
        <w:rPr>
          <w:rFonts w:hint="eastAsia"/>
          <w:color w:val="auto"/>
          <w:lang w:eastAsia="zh-CN"/>
        </w:rPr>
        <w:t>〔2015〕4号</w:t>
      </w:r>
      <w:r>
        <w:rPr>
          <w:rFonts w:hint="eastAsia"/>
          <w:color w:val="auto"/>
        </w:rPr>
        <w:t>）、《关于企业事业单位突发环境事件应急预案备案管理有关事项的通知》（苏环办</w:t>
      </w:r>
      <w:r>
        <w:rPr>
          <w:rFonts w:hint="eastAsia"/>
          <w:color w:val="auto"/>
          <w:lang w:eastAsia="zh-CN"/>
        </w:rPr>
        <w:t>〔2015〕224号</w:t>
      </w:r>
      <w:r>
        <w:rPr>
          <w:rFonts w:hint="eastAsia"/>
          <w:color w:val="auto"/>
        </w:rPr>
        <w:t>）等文件要求，将编制或修订的最新版本应急预案报当地生态环境主管部门进行备案。</w:t>
      </w:r>
    </w:p>
    <w:p w14:paraId="34168D2D">
      <w:pPr>
        <w:pStyle w:val="93"/>
      </w:pPr>
      <w:r>
        <w:rPr>
          <w:rFonts w:hint="eastAsia"/>
        </w:rPr>
        <w:t>企业环境应急预案应当在环境应急预案签署发布之日起20个工作日内，向企业所在地县级生态环境主管部门备案。县级生态环境主管部门应当在备案之日起5个工作日内将较大和重大环境风险企业的环境应急预案备案文件，报送市级生态环境主管部门，重大的同时报送省级生态环境主管部门。</w:t>
      </w:r>
    </w:p>
    <w:p w14:paraId="3D29A370">
      <w:pPr>
        <w:pStyle w:val="84"/>
      </w:pPr>
      <w:bookmarkStart w:id="343" w:name="_Hlk182167726"/>
      <w:r>
        <w:rPr>
          <w:rFonts w:hint="eastAsia"/>
        </w:rPr>
        <w:t>应急监测能力建设</w:t>
      </w:r>
    </w:p>
    <w:bookmarkEnd w:id="343"/>
    <w:p w14:paraId="4BAB8A34">
      <w:pPr>
        <w:pStyle w:val="139"/>
        <w:ind w:firstLine="480"/>
        <w:rPr>
          <w:color w:val="auto"/>
        </w:rPr>
      </w:pPr>
      <w:r>
        <w:rPr>
          <w:rFonts w:hint="eastAsia"/>
          <w:color w:val="auto"/>
        </w:rPr>
        <w:t>本项目突发环境事件类型有配套的过往船只溢油事件等，主要特征因子为石油类，建议企业成立应急监测小组，或者兼顾应急监测的应急小组，配备采样瓶、石油类快速测定仪等应急监测设备，制定应急监测计划，如自身不具备监测能力，则与第三方有资质单位签订应急监测协议，确保突发环境事件发生时，应急监测能顺利进行。</w:t>
      </w:r>
    </w:p>
    <w:p w14:paraId="17B9E589">
      <w:pPr>
        <w:pStyle w:val="84"/>
      </w:pPr>
      <w:bookmarkStart w:id="344" w:name="_Toc26325"/>
      <w:bookmarkEnd w:id="344"/>
      <w:bookmarkStart w:id="345" w:name="_Toc11909"/>
      <w:bookmarkEnd w:id="345"/>
      <w:bookmarkStart w:id="346" w:name="_Toc31956"/>
      <w:bookmarkEnd w:id="346"/>
      <w:bookmarkStart w:id="347" w:name="_Toc1389"/>
      <w:bookmarkEnd w:id="347"/>
      <w:bookmarkStart w:id="348" w:name="_Hlk182167732"/>
      <w:bookmarkStart w:id="349" w:name="_Toc14598"/>
      <w:r>
        <w:rPr>
          <w:rFonts w:hint="eastAsia"/>
        </w:rPr>
        <w:t>本工程应急物资配备要求</w:t>
      </w:r>
    </w:p>
    <w:bookmarkEnd w:id="348"/>
    <w:p w14:paraId="51A787BE">
      <w:pPr>
        <w:pStyle w:val="139"/>
        <w:ind w:firstLine="480"/>
        <w:rPr>
          <w:color w:val="auto"/>
        </w:rPr>
      </w:pPr>
      <w:r>
        <w:rPr>
          <w:rFonts w:hint="eastAsia"/>
          <w:color w:val="auto"/>
        </w:rPr>
        <w:t>根据《港口码头溢油应急设备配置要求》</w:t>
      </w:r>
      <w:r>
        <w:rPr>
          <w:rFonts w:hint="eastAsia"/>
          <w:color w:val="auto"/>
          <w:lang w:eastAsia="zh-CN"/>
        </w:rPr>
        <w:t>（</w:t>
      </w:r>
      <w:r>
        <w:rPr>
          <w:rFonts w:hint="eastAsia"/>
          <w:color w:val="auto"/>
        </w:rPr>
        <w:t>JT/T451-2009</w:t>
      </w:r>
      <w:r>
        <w:rPr>
          <w:rFonts w:hint="eastAsia"/>
          <w:color w:val="auto"/>
          <w:lang w:eastAsia="zh-CN"/>
        </w:rPr>
        <w:t>）</w:t>
      </w:r>
      <w:r>
        <w:rPr>
          <w:rFonts w:hint="eastAsia"/>
          <w:color w:val="auto"/>
        </w:rPr>
        <w:t>和《港口码头水上污染事故应急防备能力要求》（JT/T451-2017），建议本项目配置以下设备（见表6.3-4）以满足本项目事故应急需求，同时配备报警系统及必要的通信器材，以便及时与淮安海事局溢油应急指挥中心建立联系，及时采取应急措施。码头前沿应设有存放溢油应急器材的专用库房，其中围油栏放置在码头前沿，一旦发生溢油事故，可以及时实施拦截。同步开展应急监测，应急监测物资配备可依托涟水县生态环境局，直至事故满足应急终止条件后</w:t>
      </w:r>
      <w:r>
        <w:rPr>
          <w:rFonts w:hint="eastAsia"/>
          <w:color w:val="auto"/>
          <w:lang w:eastAsia="zh-CN"/>
        </w:rPr>
        <w:t>方</w:t>
      </w:r>
      <w:r>
        <w:rPr>
          <w:rFonts w:hint="eastAsia"/>
          <w:color w:val="auto"/>
        </w:rPr>
        <w:t>可恢复取水。当事故规模、气候条件使码头人员、设备无法满足要求时，码头应立刻报告淮安海事局海事监管中心并联系上下游码头，请求提供外部力量支援，实现区域联动应急。通过以上应急能力建设的加强，若出现溢油事故，在事故发生的水域及时施放围油栏包围，投放吸油材料进行人工回收减缓溢油影响。</w:t>
      </w:r>
    </w:p>
    <w:p w14:paraId="230F6F19">
      <w:pPr>
        <w:pStyle w:val="93"/>
      </w:pPr>
      <w:r>
        <w:rPr>
          <w:rFonts w:hint="eastAsia"/>
        </w:rPr>
        <w:t>（1）码头应急设备配备原则</w:t>
      </w:r>
    </w:p>
    <w:p w14:paraId="2225DB37">
      <w:pPr>
        <w:pStyle w:val="139"/>
        <w:ind w:firstLine="480"/>
        <w:rPr>
          <w:color w:val="auto"/>
        </w:rPr>
      </w:pPr>
      <w:r>
        <w:rPr>
          <w:rFonts w:hint="eastAsia" w:ascii="宋体" w:hAnsi="宋体" w:eastAsia="宋体" w:cs="宋体"/>
          <w:color w:val="auto"/>
        </w:rPr>
        <w:t>①</w:t>
      </w:r>
      <w:r>
        <w:rPr>
          <w:rFonts w:hint="eastAsia"/>
          <w:color w:val="auto"/>
        </w:rPr>
        <w:t xml:space="preserve"> 根据《港口码头水上污染事故应急防备能力要求》（JT/T451-2017）和《船舶溢油应急能力评估导则》（JT/T877-2013）可知，1000~5000吨级（含）河港其他码头溢油应急配置要求见下表6.3-3。</w:t>
      </w:r>
    </w:p>
    <w:p w14:paraId="21578B40">
      <w:pPr>
        <w:pStyle w:val="86"/>
      </w:pPr>
      <w:r>
        <w:rPr>
          <w:rFonts w:hint="eastAsia"/>
        </w:rPr>
        <w:t>1000~5000吨级（含）河港其他码头溢油应急设备配备要求</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2200"/>
        <w:gridCol w:w="4145"/>
      </w:tblGrid>
      <w:tr w14:paraId="109A4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67" w:type="pct"/>
            <w:gridSpan w:val="2"/>
            <w:vAlign w:val="center"/>
          </w:tcPr>
          <w:p w14:paraId="3685C78E">
            <w:pPr>
              <w:pStyle w:val="196"/>
            </w:pPr>
            <w:r>
              <w:rPr>
                <w:rFonts w:hint="eastAsia"/>
              </w:rPr>
              <w:t>设备名称</w:t>
            </w:r>
          </w:p>
        </w:tc>
        <w:tc>
          <w:tcPr>
            <w:tcW w:w="2433" w:type="pct"/>
            <w:vAlign w:val="center"/>
          </w:tcPr>
          <w:p w14:paraId="454559FE">
            <w:pPr>
              <w:pStyle w:val="196"/>
            </w:pPr>
            <w:r>
              <w:rPr>
                <w:rFonts w:hint="eastAsia"/>
              </w:rPr>
              <w:t>配备量</w:t>
            </w:r>
          </w:p>
        </w:tc>
      </w:tr>
      <w:tr w14:paraId="4713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7" w:type="pct"/>
            <w:vAlign w:val="center"/>
          </w:tcPr>
          <w:p w14:paraId="090C665B">
            <w:pPr>
              <w:pStyle w:val="196"/>
            </w:pPr>
            <w:r>
              <w:rPr>
                <w:rFonts w:hint="eastAsia"/>
              </w:rPr>
              <w:t>围油栏</w:t>
            </w:r>
          </w:p>
        </w:tc>
        <w:tc>
          <w:tcPr>
            <w:tcW w:w="1291" w:type="pct"/>
            <w:vAlign w:val="center"/>
          </w:tcPr>
          <w:p w14:paraId="3BBF6FD9">
            <w:pPr>
              <w:pStyle w:val="196"/>
            </w:pPr>
            <w:r>
              <w:rPr>
                <w:rFonts w:hint="eastAsia"/>
              </w:rPr>
              <w:t>应急型（m）</w:t>
            </w:r>
          </w:p>
        </w:tc>
        <w:tc>
          <w:tcPr>
            <w:tcW w:w="2433" w:type="pct"/>
            <w:vAlign w:val="center"/>
          </w:tcPr>
          <w:p w14:paraId="3A32B9EA">
            <w:pPr>
              <w:pStyle w:val="196"/>
            </w:pPr>
            <w:r>
              <w:rPr>
                <w:rFonts w:hint="eastAsia"/>
              </w:rPr>
              <w:t>不低于最大设计船型设计船长的3倍</w:t>
            </w:r>
          </w:p>
        </w:tc>
      </w:tr>
      <w:tr w14:paraId="039D8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7" w:type="pct"/>
            <w:vAlign w:val="center"/>
          </w:tcPr>
          <w:p w14:paraId="426388E5">
            <w:pPr>
              <w:pStyle w:val="196"/>
            </w:pPr>
            <w:r>
              <w:rPr>
                <w:rFonts w:hint="eastAsia"/>
              </w:rPr>
              <w:t>收油机</w:t>
            </w:r>
          </w:p>
        </w:tc>
        <w:tc>
          <w:tcPr>
            <w:tcW w:w="1291" w:type="pct"/>
            <w:vAlign w:val="center"/>
          </w:tcPr>
          <w:p w14:paraId="7F878A43">
            <w:pPr>
              <w:pStyle w:val="196"/>
            </w:pPr>
            <w:r>
              <w:rPr>
                <w:rFonts w:hint="eastAsia"/>
              </w:rPr>
              <w:t>总能力（m</w:t>
            </w:r>
            <w:r>
              <w:rPr>
                <w:rFonts w:hint="eastAsia"/>
                <w:vertAlign w:val="superscript"/>
              </w:rPr>
              <w:t>3</w:t>
            </w:r>
            <w:r>
              <w:rPr>
                <w:rFonts w:hint="eastAsia"/>
              </w:rPr>
              <w:t>/h）</w:t>
            </w:r>
          </w:p>
        </w:tc>
        <w:tc>
          <w:tcPr>
            <w:tcW w:w="2433" w:type="pct"/>
            <w:vAlign w:val="center"/>
          </w:tcPr>
          <w:p w14:paraId="0DD01AB6">
            <w:pPr>
              <w:pStyle w:val="196"/>
            </w:pPr>
            <w:r>
              <w:rPr>
                <w:rFonts w:hint="eastAsia"/>
              </w:rPr>
              <w:t>1</w:t>
            </w:r>
          </w:p>
        </w:tc>
      </w:tr>
      <w:tr w14:paraId="50D3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7" w:type="pct"/>
            <w:vAlign w:val="center"/>
          </w:tcPr>
          <w:p w14:paraId="4C6B92E7">
            <w:pPr>
              <w:pStyle w:val="196"/>
            </w:pPr>
            <w:r>
              <w:rPr>
                <w:rFonts w:hint="eastAsia"/>
              </w:rPr>
              <w:t>油拖网</w:t>
            </w:r>
          </w:p>
        </w:tc>
        <w:tc>
          <w:tcPr>
            <w:tcW w:w="1291" w:type="pct"/>
            <w:vAlign w:val="center"/>
          </w:tcPr>
          <w:p w14:paraId="55EF8BF2">
            <w:pPr>
              <w:pStyle w:val="196"/>
            </w:pPr>
            <w:r>
              <w:rPr>
                <w:rFonts w:hint="eastAsia"/>
              </w:rPr>
              <w:t>数量（套）</w:t>
            </w:r>
          </w:p>
        </w:tc>
        <w:tc>
          <w:tcPr>
            <w:tcW w:w="2433" w:type="pct"/>
            <w:vAlign w:val="center"/>
          </w:tcPr>
          <w:p w14:paraId="61D8AF8F">
            <w:pPr>
              <w:pStyle w:val="196"/>
            </w:pPr>
            <w:r>
              <w:rPr>
                <w:rFonts w:hint="eastAsia"/>
              </w:rPr>
              <w:t>1</w:t>
            </w:r>
          </w:p>
        </w:tc>
      </w:tr>
      <w:tr w14:paraId="0E77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7" w:type="pct"/>
            <w:vAlign w:val="center"/>
          </w:tcPr>
          <w:p w14:paraId="6CAAEFF7">
            <w:pPr>
              <w:pStyle w:val="196"/>
            </w:pPr>
            <w:r>
              <w:rPr>
                <w:rFonts w:hint="eastAsia"/>
              </w:rPr>
              <w:t>吸油材料</w:t>
            </w:r>
          </w:p>
        </w:tc>
        <w:tc>
          <w:tcPr>
            <w:tcW w:w="1291" w:type="pct"/>
            <w:vAlign w:val="center"/>
          </w:tcPr>
          <w:p w14:paraId="74C4B643">
            <w:pPr>
              <w:pStyle w:val="196"/>
            </w:pPr>
            <w:r>
              <w:rPr>
                <w:rFonts w:hint="eastAsia"/>
              </w:rPr>
              <w:t>数量（t）</w:t>
            </w:r>
          </w:p>
        </w:tc>
        <w:tc>
          <w:tcPr>
            <w:tcW w:w="2433" w:type="pct"/>
            <w:vAlign w:val="center"/>
          </w:tcPr>
          <w:p w14:paraId="399118F5">
            <w:pPr>
              <w:pStyle w:val="196"/>
            </w:pPr>
            <w:r>
              <w:rPr>
                <w:rFonts w:hint="eastAsia"/>
              </w:rPr>
              <w:t>0.2</w:t>
            </w:r>
          </w:p>
        </w:tc>
      </w:tr>
      <w:tr w14:paraId="4F89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7" w:type="pct"/>
            <w:vAlign w:val="center"/>
          </w:tcPr>
          <w:p w14:paraId="113DD7A0">
            <w:pPr>
              <w:pStyle w:val="196"/>
            </w:pPr>
            <w:r>
              <w:rPr>
                <w:rFonts w:hint="eastAsia"/>
              </w:rPr>
              <w:t>储存装置</w:t>
            </w:r>
          </w:p>
        </w:tc>
        <w:tc>
          <w:tcPr>
            <w:tcW w:w="1291" w:type="pct"/>
            <w:vAlign w:val="center"/>
          </w:tcPr>
          <w:p w14:paraId="0C85DE09">
            <w:pPr>
              <w:pStyle w:val="196"/>
            </w:pPr>
            <w:r>
              <w:rPr>
                <w:rFonts w:hint="eastAsia"/>
              </w:rPr>
              <w:t>有效容积（m</w:t>
            </w:r>
            <w:r>
              <w:rPr>
                <w:rFonts w:hint="eastAsia"/>
                <w:vertAlign w:val="superscript"/>
              </w:rPr>
              <w:t>3</w:t>
            </w:r>
            <w:r>
              <w:rPr>
                <w:rFonts w:hint="eastAsia"/>
              </w:rPr>
              <w:t>）</w:t>
            </w:r>
          </w:p>
        </w:tc>
        <w:tc>
          <w:tcPr>
            <w:tcW w:w="2433" w:type="pct"/>
            <w:vAlign w:val="center"/>
          </w:tcPr>
          <w:p w14:paraId="06A3A8A2">
            <w:pPr>
              <w:pStyle w:val="196"/>
            </w:pPr>
            <w:r>
              <w:rPr>
                <w:rFonts w:hint="eastAsia"/>
              </w:rPr>
              <w:t>1</w:t>
            </w:r>
          </w:p>
        </w:tc>
      </w:tr>
    </w:tbl>
    <w:p w14:paraId="57B21099">
      <w:pPr>
        <w:pStyle w:val="93"/>
      </w:pPr>
      <w:r>
        <w:rPr>
          <w:rFonts w:hint="eastAsia" w:ascii="宋体" w:hAnsi="宋体" w:eastAsia="宋体" w:cs="宋体"/>
        </w:rPr>
        <w:t>②</w:t>
      </w:r>
      <w:r>
        <w:rPr>
          <w:rFonts w:hint="eastAsia"/>
        </w:rPr>
        <w:t xml:space="preserve"> 设备配备方案主要应对码头区船舶操作性溢油事故，建设目标应与码头风险情况和应急能力目标相适应，同时与港区外溢油事故应急资源共享，并适当考虑现有设备；</w:t>
      </w:r>
    </w:p>
    <w:p w14:paraId="6533A5F5">
      <w:pPr>
        <w:pStyle w:val="93"/>
      </w:pPr>
      <w:r>
        <w:rPr>
          <w:rFonts w:hint="eastAsia" w:ascii="宋体" w:hAnsi="宋体" w:eastAsia="宋体" w:cs="宋体"/>
        </w:rPr>
        <w:t>③</w:t>
      </w:r>
      <w:r>
        <w:rPr>
          <w:rFonts w:hint="eastAsia"/>
        </w:rPr>
        <w:t xml:space="preserve"> 设备的数量与选型要与采用的船舶污染物回收处理方法及当地水文气象条件相适应，并</w:t>
      </w:r>
      <w:r>
        <w:rPr>
          <w:rFonts w:hint="eastAsia"/>
          <w:lang w:eastAsia="zh-CN"/>
        </w:rPr>
        <w:t>充分考虑</w:t>
      </w:r>
      <w:r>
        <w:rPr>
          <w:rFonts w:hint="eastAsia"/>
        </w:rPr>
        <w:t>可能采取的环保措施和方法；</w:t>
      </w:r>
    </w:p>
    <w:p w14:paraId="097282D2">
      <w:pPr>
        <w:pStyle w:val="93"/>
      </w:pPr>
      <w:r>
        <w:rPr>
          <w:rFonts w:hint="eastAsia" w:ascii="宋体" w:hAnsi="宋体" w:eastAsia="宋体" w:cs="宋体"/>
        </w:rPr>
        <w:t>④</w:t>
      </w:r>
      <w:r>
        <w:rPr>
          <w:rFonts w:hint="eastAsia"/>
        </w:rPr>
        <w:t xml:space="preserve"> 设备选型要体现先进性、实用性</w:t>
      </w:r>
      <w:r>
        <w:rPr>
          <w:rFonts w:hint="eastAsia"/>
          <w:lang w:eastAsia="zh-CN"/>
        </w:rPr>
        <w:t>，</w:t>
      </w:r>
      <w:r>
        <w:rPr>
          <w:rFonts w:hint="eastAsia"/>
        </w:rPr>
        <w:t>有利于应急行动的快速开展，设备配备质量可靠，技术先进，性价比高，产品升级能力强。</w:t>
      </w:r>
    </w:p>
    <w:p w14:paraId="09116B77">
      <w:pPr>
        <w:pStyle w:val="139"/>
        <w:ind w:firstLine="480"/>
        <w:rPr>
          <w:color w:val="auto"/>
        </w:rPr>
      </w:pPr>
      <w:r>
        <w:rPr>
          <w:rFonts w:hint="eastAsia"/>
          <w:color w:val="auto"/>
        </w:rPr>
        <w:t>（2）本项目应急物</w:t>
      </w:r>
      <w:r>
        <w:rPr>
          <w:rFonts w:hint="eastAsia"/>
          <w:color w:val="auto"/>
          <w:lang w:eastAsia="zh-CN"/>
        </w:rPr>
        <w:t>资</w:t>
      </w:r>
      <w:r>
        <w:rPr>
          <w:rFonts w:hint="eastAsia"/>
          <w:color w:val="auto"/>
        </w:rPr>
        <w:t>配备要求</w:t>
      </w:r>
    </w:p>
    <w:p w14:paraId="7C54580B">
      <w:pPr>
        <w:pStyle w:val="93"/>
      </w:pPr>
      <w:r>
        <w:rPr>
          <w:rFonts w:hint="eastAsia"/>
        </w:rPr>
        <w:t>本项目码头为</w:t>
      </w:r>
      <w:r>
        <w:rPr>
          <w:rFonts w:hint="eastAsia"/>
          <w:lang w:eastAsia="zh-CN"/>
        </w:rPr>
        <w:t>筒体结构</w:t>
      </w:r>
      <w:r>
        <w:rPr>
          <w:rFonts w:hint="eastAsia"/>
        </w:rPr>
        <w:t>，根据《水运工程环境保护设计规范》（JTS149-2018）围油栏采用半包围式敷设，围油栏长度的计算应满足下列要求：</w:t>
      </w:r>
    </w:p>
    <w:p w14:paraId="4AC29774">
      <w:pPr>
        <w:ind w:firstLine="480"/>
        <w:rPr>
          <w:bCs/>
        </w:rPr>
      </w:pPr>
      <w:r>
        <w:rPr>
          <w:rFonts w:hint="eastAsia"/>
          <w:bCs/>
        </w:rPr>
        <w:t>L=L</w:t>
      </w:r>
      <w:r>
        <w:rPr>
          <w:rFonts w:hint="eastAsia"/>
          <w:bCs/>
          <w:vertAlign w:val="subscript"/>
        </w:rPr>
        <w:t xml:space="preserve">1 </w:t>
      </w:r>
      <w:r>
        <w:rPr>
          <w:rFonts w:hint="eastAsia"/>
          <w:bCs/>
        </w:rPr>
        <w:t>+2</w:t>
      </w:r>
      <w:r>
        <w:rPr>
          <w:rFonts w:hint="eastAsia"/>
          <w:bCs/>
          <w:lang w:eastAsia="zh-CN"/>
        </w:rPr>
        <w:t>(</w:t>
      </w:r>
      <w:r>
        <w:rPr>
          <w:rFonts w:hint="eastAsia"/>
          <w:bCs/>
        </w:rPr>
        <w:t>B+50</w:t>
      </w:r>
      <w:r>
        <w:rPr>
          <w:rFonts w:hint="eastAsia"/>
          <w:bCs/>
          <w:lang w:eastAsia="zh-CN"/>
        </w:rPr>
        <w:t>)</w:t>
      </w:r>
    </w:p>
    <w:p w14:paraId="263927EA">
      <w:pPr>
        <w:pStyle w:val="93"/>
        <w:rPr>
          <w:bCs/>
        </w:rPr>
      </w:pPr>
      <w:r>
        <w:rPr>
          <w:rFonts w:hint="eastAsia"/>
        </w:rPr>
        <w:t>式中：</w:t>
      </w:r>
      <w:r>
        <w:rPr>
          <w:rFonts w:hint="eastAsia"/>
          <w:bCs/>
        </w:rPr>
        <w:t>L—围油栏长度（m）；</w:t>
      </w:r>
    </w:p>
    <w:p w14:paraId="79BD0FA0">
      <w:pPr>
        <w:ind w:firstLine="480"/>
        <w:rPr>
          <w:bCs/>
        </w:rPr>
      </w:pPr>
      <w:r>
        <w:rPr>
          <w:rFonts w:hint="eastAsia"/>
          <w:bCs/>
        </w:rPr>
        <w:t>L</w:t>
      </w:r>
      <w:r>
        <w:rPr>
          <w:rFonts w:hint="eastAsia"/>
          <w:bCs/>
          <w:vertAlign w:val="subscript"/>
        </w:rPr>
        <w:t>1</w:t>
      </w:r>
      <w:r>
        <w:rPr>
          <w:rFonts w:hint="eastAsia"/>
          <w:bCs/>
        </w:rPr>
        <w:t>—码头泊位长度（m）；本次取220m；</w:t>
      </w:r>
    </w:p>
    <w:p w14:paraId="650D623C">
      <w:pPr>
        <w:ind w:firstLine="480"/>
        <w:rPr>
          <w:bCs/>
        </w:rPr>
      </w:pPr>
      <w:r>
        <w:rPr>
          <w:rFonts w:hint="eastAsia"/>
          <w:bCs/>
        </w:rPr>
        <w:t>B—设计船型的型宽（m）；根据表3.2.4-2，本次保守取最大船宽10.8m；</w:t>
      </w:r>
    </w:p>
    <w:p w14:paraId="4D7E9467">
      <w:pPr>
        <w:pStyle w:val="93"/>
      </w:pPr>
      <w:r>
        <w:rPr>
          <w:rFonts w:hint="eastAsia"/>
          <w:bCs/>
        </w:rPr>
        <w:t>根据上表计算可知，本项目围油栏长度为341.6，本次拟配置不低于342m的围油栏。对照</w:t>
      </w:r>
      <w:r>
        <w:rPr>
          <w:rFonts w:hint="eastAsia"/>
        </w:rPr>
        <w:t>《港口码头水上污染事故应急防备能力要求》（JT/T451-2017）和《船舶溢油应急能力评估导则》（JT/T877-2013）相关要求，本次取严。本项目溢油应急设备配置</w:t>
      </w:r>
      <w:r>
        <w:rPr>
          <w:rStyle w:val="140"/>
          <w:rFonts w:hint="eastAsia"/>
          <w:color w:val="auto"/>
        </w:rPr>
        <w:t>情况见下表6.3</w:t>
      </w:r>
      <w:r>
        <w:rPr>
          <w:rStyle w:val="140"/>
          <w:color w:val="auto"/>
        </w:rPr>
        <w:t>-</w:t>
      </w:r>
      <w:r>
        <w:rPr>
          <w:rStyle w:val="140"/>
          <w:rFonts w:hint="eastAsia"/>
          <w:color w:val="auto"/>
        </w:rPr>
        <w:t>4。本项目</w:t>
      </w:r>
      <w:r>
        <w:rPr>
          <w:rFonts w:hint="eastAsia"/>
        </w:rPr>
        <w:t>拟在</w:t>
      </w:r>
      <w:r>
        <w:rPr>
          <w:rFonts w:hint="eastAsia"/>
          <w:lang w:eastAsia="zh-CN"/>
        </w:rPr>
        <w:t>生产厂</w:t>
      </w:r>
      <w:r>
        <w:rPr>
          <w:rFonts w:hint="eastAsia"/>
        </w:rPr>
        <w:t>房内单独划设一间应急库，用于暂存应急设备。</w:t>
      </w:r>
    </w:p>
    <w:p w14:paraId="0C100FE2">
      <w:pPr>
        <w:pStyle w:val="86"/>
      </w:pPr>
      <w:r>
        <w:rPr>
          <w:rFonts w:hint="eastAsia"/>
        </w:rPr>
        <w:t>本项目溢油应急设备配备方案</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033"/>
        <w:gridCol w:w="1967"/>
        <w:gridCol w:w="1019"/>
        <w:gridCol w:w="1162"/>
        <w:gridCol w:w="1392"/>
      </w:tblGrid>
      <w:tr w14:paraId="334A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5F3E0A1F">
            <w:pPr>
              <w:pStyle w:val="196"/>
            </w:pPr>
            <w:r>
              <w:rPr>
                <w:rFonts w:hint="eastAsia"/>
              </w:rPr>
              <w:t>序号</w:t>
            </w:r>
          </w:p>
        </w:tc>
        <w:tc>
          <w:tcPr>
            <w:tcW w:w="1193" w:type="pct"/>
            <w:vAlign w:val="center"/>
          </w:tcPr>
          <w:p w14:paraId="6A1729DD">
            <w:pPr>
              <w:pStyle w:val="196"/>
            </w:pPr>
            <w:r>
              <w:rPr>
                <w:rFonts w:hint="eastAsia"/>
              </w:rPr>
              <w:t>设备名称</w:t>
            </w:r>
          </w:p>
        </w:tc>
        <w:tc>
          <w:tcPr>
            <w:tcW w:w="1154" w:type="pct"/>
            <w:vAlign w:val="center"/>
          </w:tcPr>
          <w:p w14:paraId="15AE04FD">
            <w:pPr>
              <w:pStyle w:val="196"/>
            </w:pPr>
            <w:r>
              <w:rPr>
                <w:rFonts w:hint="eastAsia"/>
              </w:rPr>
              <w:t>标准</w:t>
            </w:r>
          </w:p>
        </w:tc>
        <w:tc>
          <w:tcPr>
            <w:tcW w:w="598" w:type="pct"/>
            <w:vAlign w:val="center"/>
          </w:tcPr>
          <w:p w14:paraId="5002217F">
            <w:pPr>
              <w:pStyle w:val="196"/>
            </w:pPr>
            <w:r>
              <w:rPr>
                <w:rFonts w:hint="eastAsia"/>
              </w:rPr>
              <w:t>数量</w:t>
            </w:r>
          </w:p>
        </w:tc>
        <w:tc>
          <w:tcPr>
            <w:tcW w:w="682" w:type="pct"/>
            <w:vAlign w:val="center"/>
          </w:tcPr>
          <w:p w14:paraId="7CCBD8D4">
            <w:pPr>
              <w:pStyle w:val="196"/>
            </w:pPr>
            <w:r>
              <w:rPr>
                <w:rFonts w:hint="eastAsia"/>
              </w:rPr>
              <w:t>单位</w:t>
            </w:r>
          </w:p>
        </w:tc>
        <w:tc>
          <w:tcPr>
            <w:tcW w:w="817" w:type="pct"/>
            <w:vAlign w:val="center"/>
          </w:tcPr>
          <w:p w14:paraId="0D2EC8B0">
            <w:pPr>
              <w:pStyle w:val="196"/>
            </w:pPr>
            <w:r>
              <w:rPr>
                <w:rFonts w:hint="eastAsia"/>
              </w:rPr>
              <w:t>贮存位置</w:t>
            </w:r>
          </w:p>
        </w:tc>
      </w:tr>
      <w:tr w14:paraId="3636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417D4621">
            <w:pPr>
              <w:pStyle w:val="196"/>
            </w:pPr>
            <w:r>
              <w:rPr>
                <w:rFonts w:hint="eastAsia"/>
              </w:rPr>
              <w:t>1</w:t>
            </w:r>
          </w:p>
        </w:tc>
        <w:tc>
          <w:tcPr>
            <w:tcW w:w="4444" w:type="pct"/>
            <w:gridSpan w:val="5"/>
            <w:vAlign w:val="center"/>
          </w:tcPr>
          <w:p w14:paraId="631E852D">
            <w:pPr>
              <w:pStyle w:val="196"/>
            </w:pPr>
            <w:r>
              <w:rPr>
                <w:rFonts w:hint="eastAsia"/>
              </w:rPr>
              <w:t>溢油围控设备</w:t>
            </w:r>
          </w:p>
        </w:tc>
      </w:tr>
      <w:tr w14:paraId="654C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75038C32">
            <w:pPr>
              <w:pStyle w:val="196"/>
            </w:pPr>
            <w:r>
              <w:rPr>
                <w:rFonts w:hint="eastAsia"/>
              </w:rPr>
              <w:t>1.1</w:t>
            </w:r>
          </w:p>
        </w:tc>
        <w:tc>
          <w:tcPr>
            <w:tcW w:w="1193" w:type="pct"/>
            <w:vAlign w:val="center"/>
          </w:tcPr>
          <w:p w14:paraId="242641DE">
            <w:pPr>
              <w:pStyle w:val="196"/>
            </w:pPr>
            <w:r>
              <w:rPr>
                <w:rFonts w:hint="eastAsia"/>
              </w:rPr>
              <w:t>应急型围油栏</w:t>
            </w:r>
          </w:p>
        </w:tc>
        <w:tc>
          <w:tcPr>
            <w:tcW w:w="1154" w:type="pct"/>
            <w:vAlign w:val="center"/>
          </w:tcPr>
          <w:p w14:paraId="6AB9A41C">
            <w:pPr>
              <w:pStyle w:val="196"/>
            </w:pPr>
            <w:r>
              <w:rPr>
                <w:rFonts w:hint="eastAsia"/>
              </w:rPr>
              <w:t>180</w:t>
            </w:r>
            <w:r>
              <w:rPr>
                <w:rFonts w:hint="eastAsia"/>
                <w:lang w:eastAsia="zh-CN"/>
              </w:rPr>
              <w:t>(</w:t>
            </w:r>
            <w:r>
              <w:rPr>
                <w:rFonts w:hint="eastAsia"/>
              </w:rPr>
              <w:t>60×3</w:t>
            </w:r>
            <w:r>
              <w:rPr>
                <w:rFonts w:hint="eastAsia"/>
                <w:lang w:eastAsia="zh-CN"/>
              </w:rPr>
              <w:t>)</w:t>
            </w:r>
          </w:p>
        </w:tc>
        <w:tc>
          <w:tcPr>
            <w:tcW w:w="598" w:type="pct"/>
            <w:vAlign w:val="center"/>
          </w:tcPr>
          <w:p w14:paraId="6ED9A46E">
            <w:pPr>
              <w:pStyle w:val="196"/>
            </w:pPr>
            <w:r>
              <w:rPr>
                <w:rFonts w:hint="eastAsia"/>
              </w:rPr>
              <w:t>342</w:t>
            </w:r>
          </w:p>
        </w:tc>
        <w:tc>
          <w:tcPr>
            <w:tcW w:w="682" w:type="pct"/>
            <w:vAlign w:val="center"/>
          </w:tcPr>
          <w:p w14:paraId="2E85FD22">
            <w:pPr>
              <w:pStyle w:val="196"/>
            </w:pPr>
            <w:r>
              <w:rPr>
                <w:rFonts w:hint="eastAsia"/>
              </w:rPr>
              <w:t>m</w:t>
            </w:r>
          </w:p>
        </w:tc>
        <w:tc>
          <w:tcPr>
            <w:tcW w:w="817" w:type="pct"/>
            <w:vAlign w:val="center"/>
          </w:tcPr>
          <w:p w14:paraId="704B63B6">
            <w:pPr>
              <w:pStyle w:val="196"/>
            </w:pPr>
            <w:r>
              <w:rPr>
                <w:rFonts w:hint="eastAsia"/>
              </w:rPr>
              <w:t>码头前沿</w:t>
            </w:r>
          </w:p>
        </w:tc>
      </w:tr>
      <w:tr w14:paraId="063F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4E820F7E">
            <w:pPr>
              <w:pStyle w:val="196"/>
            </w:pPr>
            <w:r>
              <w:rPr>
                <w:rFonts w:hint="eastAsia"/>
              </w:rPr>
              <w:t>2</w:t>
            </w:r>
          </w:p>
        </w:tc>
        <w:tc>
          <w:tcPr>
            <w:tcW w:w="4444" w:type="pct"/>
            <w:gridSpan w:val="5"/>
            <w:vAlign w:val="center"/>
          </w:tcPr>
          <w:p w14:paraId="1F94F082">
            <w:pPr>
              <w:pStyle w:val="196"/>
            </w:pPr>
            <w:r>
              <w:rPr>
                <w:rFonts w:hint="eastAsia"/>
              </w:rPr>
              <w:t>溢油回收设备</w:t>
            </w:r>
          </w:p>
        </w:tc>
      </w:tr>
      <w:tr w14:paraId="219D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3B0E392C">
            <w:pPr>
              <w:pStyle w:val="196"/>
            </w:pPr>
            <w:r>
              <w:rPr>
                <w:rFonts w:hint="eastAsia"/>
              </w:rPr>
              <w:t>2.1</w:t>
            </w:r>
          </w:p>
        </w:tc>
        <w:tc>
          <w:tcPr>
            <w:tcW w:w="1193" w:type="pct"/>
            <w:vAlign w:val="center"/>
          </w:tcPr>
          <w:p w14:paraId="2BB417C4">
            <w:pPr>
              <w:pStyle w:val="196"/>
            </w:pPr>
            <w:r>
              <w:rPr>
                <w:rFonts w:hint="eastAsia"/>
              </w:rPr>
              <w:t>收油机</w:t>
            </w:r>
          </w:p>
        </w:tc>
        <w:tc>
          <w:tcPr>
            <w:tcW w:w="1154" w:type="pct"/>
            <w:vAlign w:val="center"/>
          </w:tcPr>
          <w:p w14:paraId="37007852">
            <w:pPr>
              <w:pStyle w:val="196"/>
            </w:pPr>
            <w:r>
              <w:rPr>
                <w:rFonts w:hint="eastAsia"/>
              </w:rPr>
              <w:t>1</w:t>
            </w:r>
          </w:p>
        </w:tc>
        <w:tc>
          <w:tcPr>
            <w:tcW w:w="598" w:type="pct"/>
            <w:vAlign w:val="center"/>
          </w:tcPr>
          <w:p w14:paraId="2814AB85">
            <w:pPr>
              <w:pStyle w:val="196"/>
            </w:pPr>
            <w:r>
              <w:rPr>
                <w:rFonts w:hint="eastAsia"/>
              </w:rPr>
              <w:t>1</w:t>
            </w:r>
          </w:p>
        </w:tc>
        <w:tc>
          <w:tcPr>
            <w:tcW w:w="682" w:type="pct"/>
            <w:vAlign w:val="center"/>
          </w:tcPr>
          <w:p w14:paraId="3C04DCF7">
            <w:pPr>
              <w:pStyle w:val="196"/>
            </w:pPr>
            <w:r>
              <w:rPr>
                <w:rFonts w:hint="eastAsia"/>
              </w:rPr>
              <w:t>m</w:t>
            </w:r>
            <w:r>
              <w:rPr>
                <w:rFonts w:hint="eastAsia"/>
                <w:vertAlign w:val="superscript"/>
              </w:rPr>
              <w:t>3</w:t>
            </w:r>
            <w:r>
              <w:rPr>
                <w:rFonts w:hint="eastAsia"/>
              </w:rPr>
              <w:t>/h</w:t>
            </w:r>
          </w:p>
        </w:tc>
        <w:tc>
          <w:tcPr>
            <w:tcW w:w="817" w:type="pct"/>
            <w:vAlign w:val="center"/>
          </w:tcPr>
          <w:p w14:paraId="11C96328">
            <w:pPr>
              <w:pStyle w:val="196"/>
            </w:pPr>
            <w:r>
              <w:rPr>
                <w:rFonts w:hint="eastAsia"/>
              </w:rPr>
              <w:t>码头前沿</w:t>
            </w:r>
          </w:p>
        </w:tc>
      </w:tr>
      <w:tr w14:paraId="4CE3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3DC65226">
            <w:pPr>
              <w:pStyle w:val="196"/>
            </w:pPr>
            <w:r>
              <w:rPr>
                <w:rFonts w:hint="eastAsia"/>
              </w:rPr>
              <w:t>3</w:t>
            </w:r>
          </w:p>
        </w:tc>
        <w:tc>
          <w:tcPr>
            <w:tcW w:w="4444" w:type="pct"/>
            <w:gridSpan w:val="5"/>
            <w:vAlign w:val="center"/>
          </w:tcPr>
          <w:p w14:paraId="38A1ED19">
            <w:pPr>
              <w:pStyle w:val="196"/>
            </w:pPr>
            <w:r>
              <w:rPr>
                <w:rFonts w:hint="eastAsia"/>
              </w:rPr>
              <w:t>溢油吸附物质</w:t>
            </w:r>
          </w:p>
        </w:tc>
      </w:tr>
      <w:tr w14:paraId="6EF00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5683C9D5">
            <w:pPr>
              <w:pStyle w:val="196"/>
            </w:pPr>
            <w:r>
              <w:rPr>
                <w:rFonts w:hint="eastAsia"/>
              </w:rPr>
              <w:t>3.1</w:t>
            </w:r>
          </w:p>
        </w:tc>
        <w:tc>
          <w:tcPr>
            <w:tcW w:w="1193" w:type="pct"/>
            <w:vAlign w:val="center"/>
          </w:tcPr>
          <w:p w14:paraId="18E2E605">
            <w:pPr>
              <w:pStyle w:val="196"/>
            </w:pPr>
            <w:r>
              <w:rPr>
                <w:rFonts w:hint="eastAsia"/>
              </w:rPr>
              <w:t>吸油毡</w:t>
            </w:r>
          </w:p>
        </w:tc>
        <w:tc>
          <w:tcPr>
            <w:tcW w:w="1154" w:type="pct"/>
            <w:vAlign w:val="center"/>
          </w:tcPr>
          <w:p w14:paraId="539F0809">
            <w:pPr>
              <w:pStyle w:val="196"/>
            </w:pPr>
            <w:r>
              <w:rPr>
                <w:rFonts w:hint="eastAsia"/>
              </w:rPr>
              <w:t>0.2</w:t>
            </w:r>
          </w:p>
        </w:tc>
        <w:tc>
          <w:tcPr>
            <w:tcW w:w="598" w:type="pct"/>
            <w:vAlign w:val="center"/>
          </w:tcPr>
          <w:p w14:paraId="17042048">
            <w:pPr>
              <w:pStyle w:val="196"/>
            </w:pPr>
            <w:r>
              <w:rPr>
                <w:rFonts w:hint="eastAsia"/>
              </w:rPr>
              <w:t>1</w:t>
            </w:r>
          </w:p>
        </w:tc>
        <w:tc>
          <w:tcPr>
            <w:tcW w:w="682" w:type="pct"/>
            <w:vAlign w:val="center"/>
          </w:tcPr>
          <w:p w14:paraId="145729EC">
            <w:pPr>
              <w:pStyle w:val="196"/>
            </w:pPr>
            <w:r>
              <w:rPr>
                <w:rFonts w:hint="eastAsia"/>
              </w:rPr>
              <w:t>t</w:t>
            </w:r>
          </w:p>
        </w:tc>
        <w:tc>
          <w:tcPr>
            <w:tcW w:w="817" w:type="pct"/>
            <w:vAlign w:val="center"/>
          </w:tcPr>
          <w:p w14:paraId="3D28794E">
            <w:pPr>
              <w:pStyle w:val="196"/>
            </w:pPr>
            <w:r>
              <w:rPr>
                <w:rFonts w:hint="eastAsia"/>
              </w:rPr>
              <w:t>码头前沿</w:t>
            </w:r>
          </w:p>
        </w:tc>
      </w:tr>
      <w:tr w14:paraId="46E6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0A154124">
            <w:pPr>
              <w:pStyle w:val="196"/>
            </w:pPr>
            <w:r>
              <w:rPr>
                <w:rFonts w:hint="eastAsia"/>
              </w:rPr>
              <w:t>3.2</w:t>
            </w:r>
          </w:p>
        </w:tc>
        <w:tc>
          <w:tcPr>
            <w:tcW w:w="1193" w:type="pct"/>
            <w:vAlign w:val="center"/>
          </w:tcPr>
          <w:p w14:paraId="6C70C117">
            <w:pPr>
              <w:pStyle w:val="196"/>
            </w:pPr>
            <w:r>
              <w:rPr>
                <w:rFonts w:hint="eastAsia"/>
              </w:rPr>
              <w:t>油拖网</w:t>
            </w:r>
          </w:p>
        </w:tc>
        <w:tc>
          <w:tcPr>
            <w:tcW w:w="1154" w:type="pct"/>
            <w:vAlign w:val="center"/>
          </w:tcPr>
          <w:p w14:paraId="3CAC8658">
            <w:pPr>
              <w:pStyle w:val="196"/>
            </w:pPr>
            <w:r>
              <w:rPr>
                <w:rFonts w:hint="eastAsia"/>
              </w:rPr>
              <w:t>1</w:t>
            </w:r>
          </w:p>
        </w:tc>
        <w:tc>
          <w:tcPr>
            <w:tcW w:w="598" w:type="pct"/>
            <w:vAlign w:val="center"/>
          </w:tcPr>
          <w:p w14:paraId="41AAA287">
            <w:pPr>
              <w:pStyle w:val="196"/>
            </w:pPr>
            <w:r>
              <w:rPr>
                <w:rFonts w:hint="eastAsia"/>
              </w:rPr>
              <w:t>1</w:t>
            </w:r>
          </w:p>
        </w:tc>
        <w:tc>
          <w:tcPr>
            <w:tcW w:w="682" w:type="pct"/>
            <w:vAlign w:val="center"/>
          </w:tcPr>
          <w:p w14:paraId="4A29F699">
            <w:pPr>
              <w:pStyle w:val="196"/>
            </w:pPr>
            <w:r>
              <w:rPr>
                <w:rFonts w:hint="eastAsia"/>
              </w:rPr>
              <w:t>套</w:t>
            </w:r>
          </w:p>
        </w:tc>
        <w:tc>
          <w:tcPr>
            <w:tcW w:w="817" w:type="pct"/>
            <w:vAlign w:val="center"/>
          </w:tcPr>
          <w:p w14:paraId="41319A13">
            <w:pPr>
              <w:pStyle w:val="196"/>
            </w:pPr>
            <w:r>
              <w:rPr>
                <w:rFonts w:hint="eastAsia"/>
              </w:rPr>
              <w:t>码头前沿</w:t>
            </w:r>
          </w:p>
        </w:tc>
      </w:tr>
      <w:tr w14:paraId="33A3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09109110">
            <w:pPr>
              <w:pStyle w:val="196"/>
            </w:pPr>
            <w:r>
              <w:rPr>
                <w:rFonts w:hint="eastAsia"/>
              </w:rPr>
              <w:t>4</w:t>
            </w:r>
          </w:p>
        </w:tc>
        <w:tc>
          <w:tcPr>
            <w:tcW w:w="4444" w:type="pct"/>
            <w:gridSpan w:val="5"/>
            <w:vAlign w:val="center"/>
          </w:tcPr>
          <w:p w14:paraId="7B65423E">
            <w:pPr>
              <w:pStyle w:val="196"/>
            </w:pPr>
            <w:r>
              <w:rPr>
                <w:rFonts w:hint="eastAsia"/>
              </w:rPr>
              <w:t>溢油储存与转运设备</w:t>
            </w:r>
          </w:p>
        </w:tc>
      </w:tr>
      <w:tr w14:paraId="3F6F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325CFF99">
            <w:pPr>
              <w:pStyle w:val="196"/>
            </w:pPr>
            <w:r>
              <w:rPr>
                <w:rFonts w:hint="eastAsia"/>
              </w:rPr>
              <w:t>4.1</w:t>
            </w:r>
          </w:p>
        </w:tc>
        <w:tc>
          <w:tcPr>
            <w:tcW w:w="1193" w:type="pct"/>
            <w:vAlign w:val="center"/>
          </w:tcPr>
          <w:p w14:paraId="34C64C3A">
            <w:pPr>
              <w:pStyle w:val="196"/>
            </w:pPr>
            <w:r>
              <w:rPr>
                <w:rFonts w:hint="eastAsia"/>
              </w:rPr>
              <w:t>储油囊</w:t>
            </w:r>
          </w:p>
        </w:tc>
        <w:tc>
          <w:tcPr>
            <w:tcW w:w="1154" w:type="pct"/>
            <w:vAlign w:val="center"/>
          </w:tcPr>
          <w:p w14:paraId="36671707">
            <w:pPr>
              <w:pStyle w:val="196"/>
            </w:pPr>
            <w:r>
              <w:rPr>
                <w:rFonts w:hint="eastAsia"/>
              </w:rPr>
              <w:t>1</w:t>
            </w:r>
          </w:p>
        </w:tc>
        <w:tc>
          <w:tcPr>
            <w:tcW w:w="598" w:type="pct"/>
            <w:vAlign w:val="center"/>
          </w:tcPr>
          <w:p w14:paraId="2BEB25BC">
            <w:pPr>
              <w:pStyle w:val="196"/>
            </w:pPr>
            <w:r>
              <w:rPr>
                <w:rFonts w:hint="eastAsia"/>
              </w:rPr>
              <w:t>1</w:t>
            </w:r>
          </w:p>
        </w:tc>
        <w:tc>
          <w:tcPr>
            <w:tcW w:w="682" w:type="pct"/>
            <w:vAlign w:val="center"/>
          </w:tcPr>
          <w:p w14:paraId="77136DFE">
            <w:pPr>
              <w:pStyle w:val="196"/>
            </w:pPr>
            <w:r>
              <w:rPr>
                <w:rFonts w:hint="eastAsia"/>
              </w:rPr>
              <w:t>m</w:t>
            </w:r>
            <w:r>
              <w:rPr>
                <w:rFonts w:hint="eastAsia"/>
                <w:vertAlign w:val="superscript"/>
              </w:rPr>
              <w:t>3</w:t>
            </w:r>
          </w:p>
        </w:tc>
        <w:tc>
          <w:tcPr>
            <w:tcW w:w="817" w:type="pct"/>
            <w:vAlign w:val="center"/>
          </w:tcPr>
          <w:p w14:paraId="1FC3CFFF">
            <w:pPr>
              <w:pStyle w:val="196"/>
            </w:pPr>
            <w:r>
              <w:rPr>
                <w:rFonts w:hint="eastAsia"/>
              </w:rPr>
              <w:t>码头前沿</w:t>
            </w:r>
          </w:p>
        </w:tc>
      </w:tr>
      <w:tr w14:paraId="4161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37A077B2">
            <w:pPr>
              <w:pStyle w:val="196"/>
            </w:pPr>
            <w:r>
              <w:rPr>
                <w:rFonts w:hint="eastAsia"/>
              </w:rPr>
              <w:t>5</w:t>
            </w:r>
          </w:p>
        </w:tc>
        <w:tc>
          <w:tcPr>
            <w:tcW w:w="4444" w:type="pct"/>
            <w:gridSpan w:val="5"/>
            <w:vAlign w:val="center"/>
          </w:tcPr>
          <w:p w14:paraId="006ECA16">
            <w:pPr>
              <w:pStyle w:val="196"/>
            </w:pPr>
            <w:r>
              <w:rPr>
                <w:rFonts w:hint="eastAsia"/>
              </w:rPr>
              <w:t>船舶</w:t>
            </w:r>
          </w:p>
        </w:tc>
      </w:tr>
      <w:tr w14:paraId="4104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56" w:type="pct"/>
            <w:vAlign w:val="center"/>
          </w:tcPr>
          <w:p w14:paraId="41ED11D2">
            <w:pPr>
              <w:pStyle w:val="196"/>
            </w:pPr>
            <w:r>
              <w:rPr>
                <w:rFonts w:hint="eastAsia"/>
              </w:rPr>
              <w:t>5.1</w:t>
            </w:r>
          </w:p>
        </w:tc>
        <w:tc>
          <w:tcPr>
            <w:tcW w:w="1193" w:type="pct"/>
            <w:vAlign w:val="center"/>
          </w:tcPr>
          <w:p w14:paraId="3ED187D2">
            <w:pPr>
              <w:pStyle w:val="196"/>
            </w:pPr>
            <w:r>
              <w:rPr>
                <w:rFonts w:hint="eastAsia"/>
              </w:rPr>
              <w:t>围油栏布放艇</w:t>
            </w:r>
          </w:p>
        </w:tc>
        <w:tc>
          <w:tcPr>
            <w:tcW w:w="1154" w:type="pct"/>
            <w:vAlign w:val="center"/>
          </w:tcPr>
          <w:p w14:paraId="075457A9">
            <w:pPr>
              <w:pStyle w:val="196"/>
            </w:pPr>
            <w:r>
              <w:rPr>
                <w:rFonts w:hint="eastAsia"/>
              </w:rPr>
              <w:t>1</w:t>
            </w:r>
          </w:p>
        </w:tc>
        <w:tc>
          <w:tcPr>
            <w:tcW w:w="598" w:type="pct"/>
            <w:vAlign w:val="center"/>
          </w:tcPr>
          <w:p w14:paraId="49B3B61A">
            <w:pPr>
              <w:pStyle w:val="196"/>
            </w:pPr>
            <w:r>
              <w:rPr>
                <w:rFonts w:hint="eastAsia"/>
              </w:rPr>
              <w:t>1</w:t>
            </w:r>
          </w:p>
        </w:tc>
        <w:tc>
          <w:tcPr>
            <w:tcW w:w="682" w:type="pct"/>
            <w:vAlign w:val="center"/>
          </w:tcPr>
          <w:p w14:paraId="0E5DD6C5">
            <w:pPr>
              <w:pStyle w:val="196"/>
            </w:pPr>
            <w:r>
              <w:rPr>
                <w:rFonts w:hint="eastAsia"/>
              </w:rPr>
              <w:t>艘</w:t>
            </w:r>
          </w:p>
        </w:tc>
        <w:tc>
          <w:tcPr>
            <w:tcW w:w="817" w:type="pct"/>
            <w:vAlign w:val="center"/>
          </w:tcPr>
          <w:p w14:paraId="26EA15A6">
            <w:pPr>
              <w:pStyle w:val="196"/>
            </w:pPr>
            <w:r>
              <w:rPr>
                <w:rFonts w:hint="eastAsia"/>
              </w:rPr>
              <w:t>码头前沿</w:t>
            </w:r>
          </w:p>
        </w:tc>
      </w:tr>
    </w:tbl>
    <w:p w14:paraId="0F519108">
      <w:pPr>
        <w:pStyle w:val="84"/>
      </w:pPr>
      <w:r>
        <w:rPr>
          <w:rFonts w:hint="eastAsia"/>
        </w:rPr>
        <w:t>突发环境事件隐患排查制度</w:t>
      </w:r>
    </w:p>
    <w:p w14:paraId="119D6906">
      <w:pPr>
        <w:pStyle w:val="139"/>
        <w:ind w:firstLine="480"/>
        <w:rPr>
          <w:color w:val="auto"/>
        </w:rPr>
      </w:pPr>
      <w:r>
        <w:rPr>
          <w:rFonts w:hint="eastAsia"/>
          <w:color w:val="auto"/>
        </w:rPr>
        <w:t>建设单位应根据《企业突发环境事件隐患排查和治理工作指南（试行）》（</w:t>
      </w:r>
      <w:r>
        <w:rPr>
          <w:rFonts w:hint="eastAsia"/>
          <w:color w:val="auto"/>
          <w:lang w:eastAsia="zh-CN"/>
        </w:rPr>
        <w:t>生态环境部</w:t>
      </w:r>
      <w:r>
        <w:rPr>
          <w:rFonts w:hint="eastAsia"/>
          <w:color w:val="auto"/>
        </w:rPr>
        <w:t>公告 2016年第74号）等要求建立并完善隐患排查管理机构，配备相应的管理和技术人员，按照下列要求建立健全隐患排查治理制度：</w:t>
      </w:r>
    </w:p>
    <w:p w14:paraId="460F80DD">
      <w:pPr>
        <w:pStyle w:val="139"/>
        <w:ind w:firstLine="480"/>
        <w:rPr>
          <w:color w:val="auto"/>
        </w:rPr>
      </w:pPr>
      <w:r>
        <w:rPr>
          <w:rFonts w:hint="eastAsia"/>
          <w:color w:val="auto"/>
        </w:rPr>
        <w:t>（1）建立隐患排查治理责任制。企业应当建立健全从主要负责人到每位作业人员，覆盖各部门、各单位、各岗位的隐患排查治理责任体系；明确主要负责人对本企业隐患排查治理工作全面负责，统一组织、领导和协调本单位隐患排查治理工作，及时掌握、监督重大隐患治理情况；明确分管隐患排查治理工作的组织机构、责任人和责任分工，按照各功能单元划分排查区域，明确每个区域的责任人，逐级建立并落实隐患排查治理岗位责任制。</w:t>
      </w:r>
    </w:p>
    <w:p w14:paraId="40E4396F">
      <w:pPr>
        <w:pStyle w:val="139"/>
        <w:ind w:firstLine="480"/>
        <w:rPr>
          <w:color w:val="auto"/>
        </w:rPr>
      </w:pPr>
      <w:r>
        <w:rPr>
          <w:rFonts w:hint="eastAsia"/>
          <w:color w:val="auto"/>
        </w:rPr>
        <w:t>（2）制定突发环境事件风险防控设施的操作规程和检查、运行、维修与维护等规定，保证资金投入，确保各设施处于正常完好状态。</w:t>
      </w:r>
    </w:p>
    <w:p w14:paraId="0E7C4180">
      <w:pPr>
        <w:pStyle w:val="139"/>
        <w:ind w:firstLine="480"/>
        <w:rPr>
          <w:color w:val="auto"/>
        </w:rPr>
      </w:pPr>
      <w:r>
        <w:rPr>
          <w:rFonts w:hint="eastAsia"/>
          <w:color w:val="auto"/>
        </w:rPr>
        <w:t>（3）建立自查、自报、自改、自验的隐患排查治理组织实施制度。</w:t>
      </w:r>
    </w:p>
    <w:p w14:paraId="4FE98DBC">
      <w:pPr>
        <w:pStyle w:val="139"/>
        <w:ind w:firstLine="480"/>
        <w:rPr>
          <w:color w:val="auto"/>
        </w:rPr>
      </w:pPr>
      <w:r>
        <w:rPr>
          <w:rFonts w:hint="eastAsia"/>
          <w:color w:val="auto"/>
        </w:rPr>
        <w:t>（4）如实记录隐患排查治理情况，形成档案文件并做好存档。</w:t>
      </w:r>
    </w:p>
    <w:p w14:paraId="4DEF5504">
      <w:pPr>
        <w:pStyle w:val="139"/>
        <w:ind w:firstLine="480"/>
        <w:rPr>
          <w:color w:val="auto"/>
        </w:rPr>
      </w:pPr>
      <w:r>
        <w:rPr>
          <w:rFonts w:hint="eastAsia"/>
          <w:color w:val="auto"/>
        </w:rPr>
        <w:t>（5）根据企业可能发生的环境事件类型，确定隐患排查频次，建议一季度一次。</w:t>
      </w:r>
    </w:p>
    <w:p w14:paraId="719D4D9F">
      <w:pPr>
        <w:pStyle w:val="139"/>
        <w:ind w:firstLine="480"/>
        <w:rPr>
          <w:color w:val="auto"/>
        </w:rPr>
      </w:pPr>
      <w:r>
        <w:rPr>
          <w:rFonts w:hint="eastAsia"/>
          <w:color w:val="auto"/>
        </w:rPr>
        <w:t>（6）定期对员工进行隐患排查治理相关知识的宣传和培训。</w:t>
      </w:r>
    </w:p>
    <w:p w14:paraId="7968B6E6">
      <w:pPr>
        <w:pStyle w:val="139"/>
        <w:ind w:firstLine="480"/>
        <w:rPr>
          <w:color w:val="auto"/>
        </w:rPr>
      </w:pPr>
      <w:r>
        <w:rPr>
          <w:rFonts w:hint="eastAsia"/>
          <w:color w:val="auto"/>
        </w:rPr>
        <w:t>（7）应当建立与企业相关信息化管理系统联网的突发环境事件隐患排查治理信息系统。</w:t>
      </w:r>
    </w:p>
    <w:p w14:paraId="0DB72FBA">
      <w:pPr>
        <w:pStyle w:val="84"/>
      </w:pPr>
      <w:r>
        <w:rPr>
          <w:rFonts w:hint="eastAsia"/>
        </w:rPr>
        <w:t>应急培训与演练</w:t>
      </w:r>
    </w:p>
    <w:p w14:paraId="47AEA599">
      <w:pPr>
        <w:pStyle w:val="139"/>
        <w:ind w:firstLine="480"/>
        <w:rPr>
          <w:color w:val="auto"/>
        </w:rPr>
      </w:pPr>
      <w:r>
        <w:rPr>
          <w:rFonts w:hint="eastAsia"/>
          <w:color w:val="auto"/>
        </w:rPr>
        <w:t>一、应急培训</w:t>
      </w:r>
    </w:p>
    <w:p w14:paraId="1213ACCF">
      <w:pPr>
        <w:pStyle w:val="139"/>
        <w:ind w:firstLine="480"/>
        <w:rPr>
          <w:color w:val="auto"/>
        </w:rPr>
      </w:pPr>
      <w:r>
        <w:rPr>
          <w:rFonts w:hint="eastAsia"/>
          <w:color w:val="auto"/>
        </w:rPr>
        <w:t>（1）操作人员</w:t>
      </w:r>
    </w:p>
    <w:p w14:paraId="0669F89F">
      <w:pPr>
        <w:pStyle w:val="139"/>
        <w:ind w:firstLine="480"/>
        <w:rPr>
          <w:color w:val="auto"/>
        </w:rPr>
      </w:pPr>
      <w:r>
        <w:rPr>
          <w:rFonts w:hint="eastAsia"/>
          <w:color w:val="auto"/>
        </w:rPr>
        <w:t>针对应急救援的基本要求，系统培训厂区操作人员，发生船舶溢油事故时报警、紧急处置、逃生、个体防护、急救、紧急疏散等程序的基本要求。</w:t>
      </w:r>
    </w:p>
    <w:p w14:paraId="2A73A648">
      <w:pPr>
        <w:pStyle w:val="139"/>
        <w:ind w:firstLine="480"/>
        <w:rPr>
          <w:color w:val="auto"/>
        </w:rPr>
      </w:pPr>
      <w:r>
        <w:rPr>
          <w:rFonts w:hint="eastAsia"/>
          <w:color w:val="auto"/>
        </w:rPr>
        <w:t>采取的方式：课堂教学、综合讨论、现场讲解等。</w:t>
      </w:r>
    </w:p>
    <w:p w14:paraId="31BEECAD">
      <w:pPr>
        <w:pStyle w:val="139"/>
        <w:ind w:firstLine="480"/>
        <w:rPr>
          <w:color w:val="auto"/>
        </w:rPr>
      </w:pPr>
      <w:r>
        <w:rPr>
          <w:rFonts w:hint="eastAsia"/>
          <w:color w:val="auto"/>
        </w:rPr>
        <w:t>培训时间：每季度不少于4小时。</w:t>
      </w:r>
    </w:p>
    <w:p w14:paraId="048A7E7F">
      <w:pPr>
        <w:pStyle w:val="139"/>
        <w:ind w:firstLine="480"/>
        <w:rPr>
          <w:color w:val="auto"/>
        </w:rPr>
      </w:pPr>
      <w:r>
        <w:rPr>
          <w:rFonts w:hint="eastAsia"/>
          <w:color w:val="auto"/>
        </w:rPr>
        <w:t>（2）应急救援队伍</w:t>
      </w:r>
    </w:p>
    <w:p w14:paraId="7AF9EF2E">
      <w:pPr>
        <w:pStyle w:val="139"/>
        <w:ind w:firstLine="480"/>
        <w:rPr>
          <w:color w:val="auto"/>
        </w:rPr>
      </w:pPr>
      <w:r>
        <w:rPr>
          <w:rFonts w:hint="eastAsia"/>
          <w:color w:val="auto"/>
        </w:rPr>
        <w:t>对厂区应急救援队伍的队员进行应急救援专业培训，内容主要为船舶溢油事故应急处置过程中应完成的抢险、救援、灭火、防护、抢救伤员等。</w:t>
      </w:r>
    </w:p>
    <w:p w14:paraId="6159BDAE">
      <w:pPr>
        <w:pStyle w:val="139"/>
        <w:ind w:firstLine="480"/>
        <w:rPr>
          <w:color w:val="auto"/>
        </w:rPr>
      </w:pPr>
      <w:r>
        <w:rPr>
          <w:rFonts w:hint="eastAsia"/>
          <w:color w:val="auto"/>
        </w:rPr>
        <w:t>采取的方式：课堂教学、综合讨论、现场讲解、模拟事故发生等。</w:t>
      </w:r>
    </w:p>
    <w:p w14:paraId="4ACEB3B9">
      <w:pPr>
        <w:pStyle w:val="139"/>
        <w:ind w:firstLine="480"/>
        <w:rPr>
          <w:color w:val="auto"/>
        </w:rPr>
      </w:pPr>
      <w:r>
        <w:rPr>
          <w:rFonts w:hint="eastAsia"/>
          <w:color w:val="auto"/>
        </w:rPr>
        <w:t>培训时间：每月不少于 6 小时。</w:t>
      </w:r>
    </w:p>
    <w:p w14:paraId="76D18F2E">
      <w:pPr>
        <w:pStyle w:val="139"/>
        <w:ind w:firstLine="480"/>
        <w:rPr>
          <w:color w:val="auto"/>
        </w:rPr>
      </w:pPr>
      <w:r>
        <w:rPr>
          <w:rFonts w:hint="eastAsia"/>
          <w:color w:val="auto"/>
        </w:rPr>
        <w:t>（3）应急指挥机构</w:t>
      </w:r>
    </w:p>
    <w:p w14:paraId="1433623A">
      <w:pPr>
        <w:pStyle w:val="139"/>
        <w:ind w:firstLine="480"/>
        <w:rPr>
          <w:color w:val="auto"/>
        </w:rPr>
      </w:pPr>
      <w:r>
        <w:rPr>
          <w:rFonts w:hint="eastAsia"/>
          <w:color w:val="auto"/>
        </w:rPr>
        <w:t>邀请国内应急救援专家，就厂区船舶溢油事故的指挥、决策、各部门配合等内容进行培训。</w:t>
      </w:r>
    </w:p>
    <w:p w14:paraId="124C104F">
      <w:pPr>
        <w:pStyle w:val="139"/>
        <w:ind w:firstLine="480"/>
        <w:rPr>
          <w:color w:val="auto"/>
        </w:rPr>
      </w:pPr>
      <w:r>
        <w:rPr>
          <w:rFonts w:hint="eastAsia"/>
          <w:color w:val="auto"/>
        </w:rPr>
        <w:t>采取的方式：综合讨论、专家讲座等。</w:t>
      </w:r>
    </w:p>
    <w:p w14:paraId="0B1A53E2">
      <w:pPr>
        <w:pStyle w:val="139"/>
        <w:ind w:firstLine="480"/>
        <w:rPr>
          <w:color w:val="auto"/>
        </w:rPr>
      </w:pPr>
      <w:r>
        <w:rPr>
          <w:rFonts w:hint="eastAsia"/>
          <w:color w:val="auto"/>
        </w:rPr>
        <w:t>培训时间：每年 4～6 次。</w:t>
      </w:r>
    </w:p>
    <w:p w14:paraId="0C10CCE3">
      <w:pPr>
        <w:pStyle w:val="139"/>
        <w:ind w:firstLine="480"/>
        <w:rPr>
          <w:color w:val="auto"/>
        </w:rPr>
      </w:pPr>
      <w:r>
        <w:rPr>
          <w:rFonts w:hint="eastAsia"/>
          <w:color w:val="auto"/>
        </w:rPr>
        <w:t>（4）周边群众的宣传</w:t>
      </w:r>
    </w:p>
    <w:p w14:paraId="478518B6">
      <w:pPr>
        <w:pStyle w:val="139"/>
        <w:ind w:firstLine="480"/>
        <w:rPr>
          <w:color w:val="auto"/>
        </w:rPr>
      </w:pPr>
      <w:r>
        <w:rPr>
          <w:rFonts w:hint="eastAsia"/>
          <w:color w:val="auto"/>
        </w:rPr>
        <w:t>针对疏散、个体防护等内容，向周边群众进行宣传，使事故</w:t>
      </w:r>
      <w:r>
        <w:rPr>
          <w:rFonts w:hint="eastAsia"/>
          <w:color w:val="auto"/>
          <w:lang w:eastAsia="zh-CN"/>
        </w:rPr>
        <w:t>波及</w:t>
      </w:r>
      <w:r>
        <w:rPr>
          <w:rFonts w:hint="eastAsia"/>
          <w:color w:val="auto"/>
        </w:rPr>
        <w:t>的区域都能对船舶溢油事故应急救援的基本程序、应该采取的措施等内容有全面了解；并掌握紧急疏散程序、步骤等。</w:t>
      </w:r>
    </w:p>
    <w:p w14:paraId="57AFC344">
      <w:pPr>
        <w:pStyle w:val="139"/>
        <w:ind w:firstLine="480"/>
        <w:rPr>
          <w:color w:val="auto"/>
        </w:rPr>
      </w:pPr>
      <w:r>
        <w:rPr>
          <w:rFonts w:hint="eastAsia"/>
          <w:color w:val="auto"/>
        </w:rPr>
        <w:t>采取的方式：口头宣传、应急救援知识讲座、疏散联系等。</w:t>
      </w:r>
    </w:p>
    <w:p w14:paraId="0CE2EC2F">
      <w:pPr>
        <w:pStyle w:val="139"/>
        <w:ind w:firstLine="480"/>
        <w:rPr>
          <w:color w:val="auto"/>
        </w:rPr>
      </w:pPr>
      <w:r>
        <w:rPr>
          <w:rFonts w:hint="eastAsia"/>
          <w:color w:val="auto"/>
        </w:rPr>
        <w:t>时间：每年不少于2次。</w:t>
      </w:r>
    </w:p>
    <w:p w14:paraId="788B90CD">
      <w:pPr>
        <w:pStyle w:val="139"/>
        <w:ind w:firstLine="480"/>
        <w:rPr>
          <w:color w:val="auto"/>
        </w:rPr>
      </w:pPr>
      <w:r>
        <w:rPr>
          <w:rFonts w:hint="eastAsia"/>
          <w:color w:val="auto"/>
        </w:rPr>
        <w:t>二、应急演练</w:t>
      </w:r>
    </w:p>
    <w:p w14:paraId="1D3EFE7D">
      <w:pPr>
        <w:pStyle w:val="139"/>
        <w:ind w:firstLine="480"/>
        <w:rPr>
          <w:color w:val="auto"/>
        </w:rPr>
      </w:pPr>
      <w:r>
        <w:rPr>
          <w:rFonts w:hint="eastAsia"/>
          <w:color w:val="auto"/>
        </w:rPr>
        <w:t>1、演练分类及内容</w:t>
      </w:r>
    </w:p>
    <w:p w14:paraId="14B5B830">
      <w:pPr>
        <w:pStyle w:val="139"/>
        <w:ind w:firstLine="480"/>
        <w:rPr>
          <w:color w:val="auto"/>
        </w:rPr>
      </w:pPr>
      <w:r>
        <w:rPr>
          <w:rFonts w:hint="eastAsia"/>
          <w:color w:val="auto"/>
        </w:rPr>
        <w:t>（1）演练分类</w:t>
      </w:r>
    </w:p>
    <w:p w14:paraId="17825D4C">
      <w:pPr>
        <w:pStyle w:val="139"/>
        <w:ind w:firstLine="480"/>
        <w:rPr>
          <w:color w:val="auto"/>
        </w:rPr>
      </w:pPr>
      <w:r>
        <w:rPr>
          <w:rFonts w:hint="eastAsia"/>
          <w:color w:val="auto"/>
        </w:rPr>
        <w:t>①组织指挥演练：由指挥组的领导和各专业队负责人分别按应急救援预案要求，以组织指挥的形式组织实施应急救援任务的演练；</w:t>
      </w:r>
    </w:p>
    <w:p w14:paraId="7F41E4F4">
      <w:pPr>
        <w:pStyle w:val="139"/>
        <w:ind w:firstLine="480"/>
        <w:rPr>
          <w:color w:val="auto"/>
        </w:rPr>
      </w:pPr>
      <w:r>
        <w:rPr>
          <w:rFonts w:hint="eastAsia"/>
          <w:color w:val="auto"/>
        </w:rPr>
        <w:t>②单项演练：由各队各自开展的应急救援任务中的单项科目的演练；</w:t>
      </w:r>
    </w:p>
    <w:p w14:paraId="1DF95543">
      <w:pPr>
        <w:pStyle w:val="139"/>
        <w:ind w:firstLine="480"/>
        <w:rPr>
          <w:color w:val="auto"/>
        </w:rPr>
      </w:pPr>
      <w:r>
        <w:rPr>
          <w:rFonts w:hint="eastAsia"/>
          <w:color w:val="auto"/>
        </w:rPr>
        <w:t>③综合演练：由应急指挥组</w:t>
      </w:r>
      <w:r>
        <w:rPr>
          <w:rFonts w:hint="eastAsia"/>
          <w:color w:val="auto"/>
          <w:lang w:eastAsia="zh-CN"/>
        </w:rPr>
        <w:t>按照</w:t>
      </w:r>
      <w:r>
        <w:rPr>
          <w:rFonts w:hint="eastAsia"/>
          <w:color w:val="auto"/>
        </w:rPr>
        <w:t>应急救援预案要求，开展全面演练。</w:t>
      </w:r>
    </w:p>
    <w:p w14:paraId="01489F1F">
      <w:pPr>
        <w:pStyle w:val="139"/>
        <w:ind w:firstLine="480"/>
        <w:rPr>
          <w:color w:val="auto"/>
        </w:rPr>
      </w:pPr>
      <w:r>
        <w:rPr>
          <w:rFonts w:hint="eastAsia"/>
          <w:color w:val="auto"/>
        </w:rPr>
        <w:t>（2）演练内容</w:t>
      </w:r>
    </w:p>
    <w:p w14:paraId="5A0D0914">
      <w:pPr>
        <w:pStyle w:val="139"/>
        <w:ind w:firstLine="480"/>
        <w:rPr>
          <w:color w:val="auto"/>
        </w:rPr>
      </w:pPr>
      <w:r>
        <w:rPr>
          <w:rFonts w:hint="eastAsia"/>
          <w:color w:val="auto"/>
        </w:rPr>
        <w:t>①船舶溢油事故及危废泄漏的应急处理；</w:t>
      </w:r>
    </w:p>
    <w:p w14:paraId="41223389">
      <w:pPr>
        <w:pStyle w:val="139"/>
        <w:ind w:firstLine="480"/>
        <w:rPr>
          <w:color w:val="auto"/>
        </w:rPr>
      </w:pPr>
      <w:r>
        <w:rPr>
          <w:rFonts w:hint="eastAsia"/>
          <w:color w:val="auto"/>
        </w:rPr>
        <w:t>②应急事故池和雨水池阀门</w:t>
      </w:r>
      <w:r>
        <w:rPr>
          <w:rFonts w:hint="eastAsia"/>
          <w:color w:val="auto"/>
          <w:lang w:eastAsia="zh-CN"/>
        </w:rPr>
        <w:t>的</w:t>
      </w:r>
      <w:r>
        <w:rPr>
          <w:rFonts w:hint="eastAsia"/>
          <w:color w:val="auto"/>
        </w:rPr>
        <w:t>应急操作；</w:t>
      </w:r>
    </w:p>
    <w:p w14:paraId="581FE9F5">
      <w:pPr>
        <w:pStyle w:val="139"/>
        <w:ind w:firstLine="480"/>
        <w:rPr>
          <w:color w:val="auto"/>
        </w:rPr>
      </w:pPr>
      <w:r>
        <w:rPr>
          <w:rFonts w:hint="eastAsia"/>
          <w:color w:val="auto"/>
        </w:rPr>
        <w:t>③通信及报警信号的联络；</w:t>
      </w:r>
    </w:p>
    <w:p w14:paraId="5B5F3804">
      <w:pPr>
        <w:pStyle w:val="139"/>
        <w:ind w:firstLine="480"/>
        <w:rPr>
          <w:color w:val="auto"/>
        </w:rPr>
      </w:pPr>
      <w:r>
        <w:rPr>
          <w:rFonts w:hint="eastAsia"/>
          <w:color w:val="auto"/>
        </w:rPr>
        <w:t>④急救及医疗；</w:t>
      </w:r>
    </w:p>
    <w:p w14:paraId="6EF4CD63">
      <w:pPr>
        <w:pStyle w:val="139"/>
        <w:ind w:firstLine="480"/>
        <w:rPr>
          <w:color w:val="auto"/>
        </w:rPr>
      </w:pPr>
      <w:r>
        <w:rPr>
          <w:rFonts w:hint="eastAsia"/>
          <w:color w:val="auto"/>
        </w:rPr>
        <w:t>⑤防护指导，包括专业人员的个人防护及员工的自我防护；</w:t>
      </w:r>
    </w:p>
    <w:p w14:paraId="40784A4C">
      <w:pPr>
        <w:pStyle w:val="139"/>
        <w:ind w:firstLine="480"/>
        <w:rPr>
          <w:color w:val="auto"/>
        </w:rPr>
      </w:pPr>
      <w:r>
        <w:rPr>
          <w:rFonts w:hint="eastAsia"/>
          <w:color w:val="auto"/>
        </w:rPr>
        <w:t>⑥各种标志、设置警戒范围及人员控制；</w:t>
      </w:r>
    </w:p>
    <w:p w14:paraId="61C71ED9">
      <w:pPr>
        <w:pStyle w:val="139"/>
        <w:ind w:firstLine="480"/>
        <w:rPr>
          <w:color w:val="auto"/>
        </w:rPr>
      </w:pPr>
      <w:r>
        <w:rPr>
          <w:rFonts w:hint="eastAsia"/>
          <w:color w:val="auto"/>
        </w:rPr>
        <w:t>⑦公司交通控制及管理；</w:t>
      </w:r>
    </w:p>
    <w:p w14:paraId="2EF7517C">
      <w:pPr>
        <w:pStyle w:val="139"/>
        <w:ind w:firstLine="480"/>
        <w:rPr>
          <w:color w:val="auto"/>
        </w:rPr>
      </w:pPr>
      <w:r>
        <w:rPr>
          <w:rFonts w:hint="eastAsia"/>
          <w:color w:val="auto"/>
        </w:rPr>
        <w:t>⑧污染区域内人员的疏散撤离及人员清查；</w:t>
      </w:r>
    </w:p>
    <w:p w14:paraId="60FDD60A">
      <w:pPr>
        <w:pStyle w:val="139"/>
        <w:ind w:firstLine="480"/>
        <w:rPr>
          <w:color w:val="auto"/>
        </w:rPr>
      </w:pPr>
      <w:r>
        <w:rPr>
          <w:rFonts w:hint="eastAsia"/>
          <w:color w:val="auto"/>
        </w:rPr>
        <w:t>⑨向上级报告情况及向友邻单位通报情况；</w:t>
      </w:r>
    </w:p>
    <w:p w14:paraId="05092F3A">
      <w:pPr>
        <w:pStyle w:val="139"/>
        <w:ind w:firstLine="480"/>
        <w:rPr>
          <w:color w:val="auto"/>
        </w:rPr>
      </w:pPr>
      <w:r>
        <w:rPr>
          <w:rFonts w:hint="eastAsia"/>
          <w:color w:val="auto"/>
        </w:rPr>
        <w:t>⑩事故的善后工作。</w:t>
      </w:r>
    </w:p>
    <w:p w14:paraId="4C6585A2">
      <w:pPr>
        <w:pStyle w:val="139"/>
        <w:ind w:firstLine="480"/>
        <w:rPr>
          <w:color w:val="auto"/>
        </w:rPr>
      </w:pPr>
      <w:r>
        <w:rPr>
          <w:rFonts w:hint="eastAsia"/>
          <w:color w:val="auto"/>
        </w:rPr>
        <w:t>2、演练范围与频次</w:t>
      </w:r>
    </w:p>
    <w:p w14:paraId="6DC46F37">
      <w:pPr>
        <w:pStyle w:val="139"/>
        <w:ind w:firstLine="480"/>
        <w:rPr>
          <w:color w:val="auto"/>
        </w:rPr>
      </w:pPr>
      <w:r>
        <w:rPr>
          <w:rFonts w:hint="eastAsia"/>
          <w:color w:val="auto"/>
        </w:rPr>
        <w:t>（1）组织指挥演练由指挥组负责人每年组织一次；</w:t>
      </w:r>
    </w:p>
    <w:p w14:paraId="23EB893E">
      <w:pPr>
        <w:pStyle w:val="139"/>
        <w:ind w:firstLine="480"/>
        <w:rPr>
          <w:color w:val="auto"/>
        </w:rPr>
      </w:pPr>
      <w:r>
        <w:rPr>
          <w:rFonts w:hint="eastAsia"/>
          <w:color w:val="auto"/>
        </w:rPr>
        <w:t>（2）单项演练由每专业组负责人每年组织一次；</w:t>
      </w:r>
    </w:p>
    <w:p w14:paraId="1DFCD788">
      <w:pPr>
        <w:pStyle w:val="139"/>
        <w:ind w:firstLine="480"/>
        <w:rPr>
          <w:color w:val="auto"/>
        </w:rPr>
      </w:pPr>
      <w:r>
        <w:rPr>
          <w:rFonts w:hint="eastAsia"/>
          <w:color w:val="auto"/>
        </w:rPr>
        <w:t>（3）综合演练由指挥领导小组组长每年组织一次。</w:t>
      </w:r>
    </w:p>
    <w:p w14:paraId="07E5453E">
      <w:pPr>
        <w:pStyle w:val="139"/>
        <w:ind w:firstLine="480"/>
        <w:rPr>
          <w:color w:val="auto"/>
        </w:rPr>
      </w:pPr>
      <w:r>
        <w:rPr>
          <w:rFonts w:hint="eastAsia"/>
          <w:color w:val="auto"/>
        </w:rPr>
        <w:t>3、演练记录</w:t>
      </w:r>
    </w:p>
    <w:p w14:paraId="2522E229">
      <w:pPr>
        <w:pStyle w:val="139"/>
        <w:ind w:firstLine="480"/>
        <w:rPr>
          <w:color w:val="auto"/>
        </w:rPr>
      </w:pPr>
      <w:r>
        <w:rPr>
          <w:rFonts w:hint="eastAsia"/>
          <w:color w:val="auto"/>
        </w:rPr>
        <w:t>每次演练由专人负责记录全程，包括演练时间、地点、演练内容、参与人员、演练过程及结果，并归档。</w:t>
      </w:r>
    </w:p>
    <w:p w14:paraId="7D3F3988">
      <w:pPr>
        <w:pStyle w:val="139"/>
        <w:ind w:firstLine="480"/>
        <w:rPr>
          <w:color w:val="auto"/>
        </w:rPr>
      </w:pPr>
      <w:r>
        <w:rPr>
          <w:rFonts w:hint="eastAsia"/>
          <w:color w:val="auto"/>
        </w:rPr>
        <w:t>每次应急演练均需要明确考核指标，包括人员到位情况、物资到位情况、协调组织情况、演练效果、支援部门有效性等，对这些指标赋予权重，根据演练情况进行打分，根据最终得分进行评价和总结。</w:t>
      </w:r>
    </w:p>
    <w:p w14:paraId="0C6EF12B">
      <w:pPr>
        <w:pStyle w:val="139"/>
        <w:ind w:firstLine="480"/>
        <w:rPr>
          <w:color w:val="auto"/>
        </w:rPr>
      </w:pPr>
      <w:r>
        <w:rPr>
          <w:rFonts w:hint="eastAsia"/>
          <w:color w:val="auto"/>
        </w:rPr>
        <w:t>每次应急演练后及时进行评价和总结，检验制定的应急预案的有效性、应急准备的完善性、应急影响能力的适应性和应急人员的协同性，并通过定期演练不断总结完善应急预案。</w:t>
      </w:r>
    </w:p>
    <w:p w14:paraId="1726B1BA">
      <w:pPr>
        <w:pStyle w:val="84"/>
      </w:pPr>
      <w:bookmarkStart w:id="350" w:name="_Hlk182167741"/>
      <w:r>
        <w:rPr>
          <w:rFonts w:hint="eastAsia"/>
        </w:rPr>
        <w:t>环境风险防范设施及环境经济处置卡标识牌</w:t>
      </w:r>
    </w:p>
    <w:bookmarkEnd w:id="350"/>
    <w:p w14:paraId="4AF9C60D">
      <w:pPr>
        <w:pStyle w:val="139"/>
        <w:ind w:firstLine="480"/>
        <w:rPr>
          <w:color w:val="auto"/>
        </w:rPr>
      </w:pPr>
      <w:r>
        <w:rPr>
          <w:rFonts w:hint="eastAsia"/>
          <w:color w:val="auto"/>
        </w:rPr>
        <w:t>（1）企业应在厂区内显著位置张贴厂</w:t>
      </w:r>
      <w:r>
        <w:rPr>
          <w:rFonts w:hint="eastAsia"/>
          <w:color w:val="auto"/>
          <w:lang w:eastAsia="zh-CN"/>
        </w:rPr>
        <w:t>平面图</w:t>
      </w:r>
      <w:r>
        <w:rPr>
          <w:rFonts w:hint="eastAsia"/>
          <w:color w:val="auto"/>
        </w:rPr>
        <w:t>，并标识环境风险单元、应急物资装备物资位置、疏散路线。</w:t>
      </w:r>
    </w:p>
    <w:p w14:paraId="70163E35">
      <w:pPr>
        <w:pStyle w:val="139"/>
        <w:ind w:firstLine="480"/>
        <w:rPr>
          <w:color w:val="auto"/>
        </w:rPr>
      </w:pPr>
      <w:r>
        <w:rPr>
          <w:rFonts w:hint="eastAsia"/>
          <w:color w:val="auto"/>
        </w:rPr>
        <w:t>（2）企业应在涉及环境风险的地方张贴有环境应急处置措施、安全标识、环境风险物质标识等。</w:t>
      </w:r>
    </w:p>
    <w:p w14:paraId="597FBABD">
      <w:pPr>
        <w:pStyle w:val="82"/>
      </w:pPr>
      <w:bookmarkStart w:id="351" w:name="_Hlk182166904"/>
      <w:r>
        <w:rPr>
          <w:rFonts w:hint="eastAsia"/>
        </w:rPr>
        <w:t>区域现有应急能力及机制</w:t>
      </w:r>
    </w:p>
    <w:bookmarkEnd w:id="351"/>
    <w:p w14:paraId="142BDA73">
      <w:pPr>
        <w:pStyle w:val="139"/>
        <w:ind w:firstLine="480"/>
        <w:rPr>
          <w:color w:val="auto"/>
        </w:rPr>
      </w:pPr>
      <w:r>
        <w:rPr>
          <w:rFonts w:hint="eastAsia"/>
          <w:color w:val="auto"/>
        </w:rPr>
        <w:t>（1）淮安市应急体制机制已建立全市目前水上应急体制日臻完善，根据《淮安市水上突发事件应急预案》相关要求，建立了以分管副市长为指挥长，分管市政府副秘书长、市交通运输局局长、</w:t>
      </w:r>
      <w:r>
        <w:rPr>
          <w:rFonts w:hint="eastAsia"/>
          <w:color w:val="auto"/>
          <w:lang w:eastAsia="zh-CN"/>
        </w:rPr>
        <w:t>市公安局</w:t>
      </w:r>
      <w:r>
        <w:rPr>
          <w:rFonts w:hint="eastAsia"/>
          <w:color w:val="auto"/>
        </w:rPr>
        <w:t>局长为副指挥长，市安监、交通、公安、环保等单位为成员单位的应急组织体系，初步形成了“政府主导、部门联动、企业主责、社会参与”的船舶防污染应急管理机制，提升了淮安市防治船舶及其有关作业活动污染水域环境应急管理水平。淮安市根据污染事故预案启动级别，分别成立了应急启动决策部门、事故现场指挥部等指挥领导体制机制，加强了宣传、交通、环保、消防、公安、安监、经信委、农委、气象、水利、民政、卫生、财政等部门协调联动，基本形成了跨部门的协调工作机制。</w:t>
      </w:r>
    </w:p>
    <w:p w14:paraId="716835EE">
      <w:pPr>
        <w:pStyle w:val="139"/>
        <w:ind w:firstLine="480"/>
        <w:rPr>
          <w:color w:val="auto"/>
        </w:rPr>
      </w:pPr>
      <w:r>
        <w:rPr>
          <w:rFonts w:hint="eastAsia"/>
          <w:color w:val="auto"/>
        </w:rPr>
        <w:t>（2）淮安市应急预案体系已建成目前，淮安市环境突发应急预案体系基本形成，《淮安市船舶污染事故应急处置预案》（淮政办发〔2016〕155号）已经正式发布，建立了政府领导、成员单位联动、技术机构及专家支撑、社会志愿者参与的应急组织网络，构建了预警预防、险情分析与上报、应急响应和处置等机制，并且在各环境污染事故中都有涉及交通运输环境污染事故应急工作程序，涵盖了环境污染事故的应对措施，并针对预案进行多次演练，因而环境污染事故的应对工作有据可依、有章可循。</w:t>
      </w:r>
    </w:p>
    <w:p w14:paraId="45E9E897">
      <w:pPr>
        <w:pStyle w:val="86"/>
      </w:pPr>
      <w:r>
        <w:t>淮安涉及船舶污染事故应急预案统计表</w:t>
      </w:r>
    </w:p>
    <w:tbl>
      <w:tblPr>
        <w:tblStyle w:val="38"/>
        <w:tblW w:w="5004" w:type="pct"/>
        <w:jc w:val="center"/>
        <w:tblLayout w:type="autofit"/>
        <w:tblCellMar>
          <w:top w:w="0" w:type="dxa"/>
          <w:left w:w="0" w:type="dxa"/>
          <w:bottom w:w="0" w:type="dxa"/>
          <w:right w:w="0" w:type="dxa"/>
        </w:tblCellMar>
      </w:tblPr>
      <w:tblGrid>
        <w:gridCol w:w="739"/>
        <w:gridCol w:w="1285"/>
        <w:gridCol w:w="3963"/>
        <w:gridCol w:w="1398"/>
        <w:gridCol w:w="937"/>
      </w:tblGrid>
      <w:tr w14:paraId="50F0EB54">
        <w:tblPrEx>
          <w:tblCellMar>
            <w:top w:w="0" w:type="dxa"/>
            <w:left w:w="0" w:type="dxa"/>
            <w:bottom w:w="0" w:type="dxa"/>
            <w:right w:w="0" w:type="dxa"/>
          </w:tblCellMar>
        </w:tblPrEx>
        <w:trPr>
          <w:trHeight w:val="95"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398CCFE2">
            <w:pPr>
              <w:pStyle w:val="196"/>
            </w:pPr>
            <w:r>
              <w:rPr>
                <w:rFonts w:hint="eastAsia"/>
              </w:rPr>
              <w:t>序号</w:t>
            </w:r>
          </w:p>
        </w:tc>
        <w:tc>
          <w:tcPr>
            <w:tcW w:w="772" w:type="pct"/>
            <w:tcBorders>
              <w:top w:val="single" w:color="auto" w:sz="4" w:space="0"/>
              <w:left w:val="single" w:color="auto" w:sz="4" w:space="0"/>
              <w:bottom w:val="single" w:color="auto" w:sz="4" w:space="0"/>
              <w:right w:val="single" w:color="auto" w:sz="4" w:space="0"/>
            </w:tcBorders>
            <w:vAlign w:val="center"/>
          </w:tcPr>
          <w:p w14:paraId="6A0FE193">
            <w:pPr>
              <w:pStyle w:val="196"/>
            </w:pPr>
            <w:r>
              <w:rPr>
                <w:rFonts w:hint="eastAsia"/>
              </w:rPr>
              <w:t>类别</w:t>
            </w:r>
          </w:p>
        </w:tc>
        <w:tc>
          <w:tcPr>
            <w:tcW w:w="2381" w:type="pct"/>
            <w:tcBorders>
              <w:top w:val="single" w:color="auto" w:sz="4" w:space="0"/>
              <w:left w:val="single" w:color="auto" w:sz="4" w:space="0"/>
              <w:bottom w:val="single" w:color="auto" w:sz="4" w:space="0"/>
              <w:right w:val="single" w:color="auto" w:sz="4" w:space="0"/>
            </w:tcBorders>
            <w:vAlign w:val="center"/>
          </w:tcPr>
          <w:p w14:paraId="7E4DA163">
            <w:pPr>
              <w:pStyle w:val="196"/>
            </w:pPr>
            <w:r>
              <w:rPr>
                <w:rFonts w:hint="eastAsia"/>
              </w:rPr>
              <w:t>预案名称</w:t>
            </w:r>
          </w:p>
        </w:tc>
        <w:tc>
          <w:tcPr>
            <w:tcW w:w="840" w:type="pct"/>
            <w:tcBorders>
              <w:top w:val="single" w:color="auto" w:sz="4" w:space="0"/>
              <w:left w:val="single" w:color="auto" w:sz="4" w:space="0"/>
              <w:bottom w:val="single" w:color="auto" w:sz="4" w:space="0"/>
              <w:right w:val="single" w:color="auto" w:sz="4" w:space="0"/>
            </w:tcBorders>
            <w:vAlign w:val="center"/>
          </w:tcPr>
          <w:p w14:paraId="03353CC5">
            <w:pPr>
              <w:pStyle w:val="196"/>
            </w:pPr>
            <w:r>
              <w:rPr>
                <w:rFonts w:hint="eastAsia"/>
              </w:rPr>
              <w:t>牵头部门</w:t>
            </w:r>
          </w:p>
        </w:tc>
        <w:tc>
          <w:tcPr>
            <w:tcW w:w="563" w:type="pct"/>
            <w:tcBorders>
              <w:top w:val="single" w:color="auto" w:sz="4" w:space="0"/>
              <w:left w:val="single" w:color="auto" w:sz="4" w:space="0"/>
              <w:bottom w:val="single" w:color="auto" w:sz="4" w:space="0"/>
              <w:right w:val="single" w:color="auto" w:sz="4" w:space="0"/>
            </w:tcBorders>
            <w:vAlign w:val="center"/>
          </w:tcPr>
          <w:p w14:paraId="2C68F0F6">
            <w:pPr>
              <w:pStyle w:val="196"/>
            </w:pPr>
            <w:r>
              <w:rPr>
                <w:rFonts w:hint="eastAsia"/>
              </w:rPr>
              <w:t>实施时间</w:t>
            </w:r>
          </w:p>
        </w:tc>
      </w:tr>
      <w:tr w14:paraId="4A620520">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4580DDD1">
            <w:pPr>
              <w:pStyle w:val="196"/>
            </w:pPr>
            <w:r>
              <w:rPr>
                <w:rFonts w:hint="eastAsia"/>
              </w:rPr>
              <w:t>1</w:t>
            </w:r>
          </w:p>
        </w:tc>
        <w:tc>
          <w:tcPr>
            <w:tcW w:w="772" w:type="pct"/>
            <w:vMerge w:val="restart"/>
            <w:tcBorders>
              <w:top w:val="single" w:color="auto" w:sz="4" w:space="0"/>
              <w:left w:val="single" w:color="auto" w:sz="4" w:space="0"/>
              <w:right w:val="single" w:color="auto" w:sz="4" w:space="0"/>
            </w:tcBorders>
            <w:vAlign w:val="center"/>
          </w:tcPr>
          <w:p w14:paraId="7BCA6EC4">
            <w:pPr>
              <w:pStyle w:val="196"/>
            </w:pPr>
            <w:r>
              <w:rPr>
                <w:rFonts w:hint="eastAsia"/>
              </w:rPr>
              <w:t>总体应急预案</w:t>
            </w:r>
          </w:p>
        </w:tc>
        <w:tc>
          <w:tcPr>
            <w:tcW w:w="2381" w:type="pct"/>
            <w:tcBorders>
              <w:top w:val="single" w:color="auto" w:sz="4" w:space="0"/>
              <w:left w:val="single" w:color="auto" w:sz="4" w:space="0"/>
              <w:bottom w:val="single" w:color="auto" w:sz="4" w:space="0"/>
              <w:right w:val="single" w:color="auto" w:sz="4" w:space="0"/>
            </w:tcBorders>
            <w:vAlign w:val="center"/>
          </w:tcPr>
          <w:p w14:paraId="20085F39">
            <w:pPr>
              <w:pStyle w:val="196"/>
            </w:pPr>
            <w:r>
              <w:rPr>
                <w:rFonts w:hint="eastAsia"/>
              </w:rPr>
              <w:t>淮安市突发事件总体应急预案</w:t>
            </w:r>
          </w:p>
        </w:tc>
        <w:tc>
          <w:tcPr>
            <w:tcW w:w="840" w:type="pct"/>
            <w:tcBorders>
              <w:top w:val="single" w:color="auto" w:sz="4" w:space="0"/>
              <w:left w:val="single" w:color="auto" w:sz="4" w:space="0"/>
              <w:bottom w:val="single" w:color="auto" w:sz="4" w:space="0"/>
              <w:right w:val="single" w:color="auto" w:sz="4" w:space="0"/>
            </w:tcBorders>
            <w:vAlign w:val="center"/>
          </w:tcPr>
          <w:p w14:paraId="7C39D7A8">
            <w:pPr>
              <w:pStyle w:val="196"/>
            </w:pPr>
            <w:r>
              <w:rPr>
                <w:rFonts w:hint="eastAsia"/>
              </w:rPr>
              <w:t>市政府</w:t>
            </w:r>
          </w:p>
        </w:tc>
        <w:tc>
          <w:tcPr>
            <w:tcW w:w="563" w:type="pct"/>
            <w:tcBorders>
              <w:top w:val="single" w:color="auto" w:sz="4" w:space="0"/>
              <w:left w:val="single" w:color="auto" w:sz="4" w:space="0"/>
              <w:bottom w:val="single" w:color="auto" w:sz="4" w:space="0"/>
              <w:right w:val="single" w:color="auto" w:sz="4" w:space="0"/>
            </w:tcBorders>
            <w:vAlign w:val="center"/>
          </w:tcPr>
          <w:p w14:paraId="521352F3">
            <w:pPr>
              <w:pStyle w:val="196"/>
            </w:pPr>
            <w:r>
              <w:rPr>
                <w:rFonts w:hint="eastAsia"/>
              </w:rPr>
              <w:t>2019年</w:t>
            </w:r>
          </w:p>
        </w:tc>
      </w:tr>
      <w:tr w14:paraId="1464E587">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E3B1B26">
            <w:pPr>
              <w:pStyle w:val="196"/>
            </w:pPr>
            <w:r>
              <w:rPr>
                <w:rFonts w:hint="eastAsia"/>
              </w:rPr>
              <w:t>2</w:t>
            </w:r>
          </w:p>
        </w:tc>
        <w:tc>
          <w:tcPr>
            <w:tcW w:w="772" w:type="pct"/>
            <w:vMerge w:val="continue"/>
            <w:tcBorders>
              <w:left w:val="single" w:color="auto" w:sz="4" w:space="0"/>
              <w:bottom w:val="single" w:color="auto" w:sz="4" w:space="0"/>
              <w:right w:val="single" w:color="auto" w:sz="4" w:space="0"/>
            </w:tcBorders>
            <w:vAlign w:val="center"/>
          </w:tcPr>
          <w:p w14:paraId="0C8D39FA">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20F5F600">
            <w:pPr>
              <w:pStyle w:val="196"/>
            </w:pPr>
            <w:r>
              <w:rPr>
                <w:rFonts w:hint="eastAsia"/>
              </w:rPr>
              <w:t>涟水县突发事件总体应急预案</w:t>
            </w:r>
          </w:p>
        </w:tc>
        <w:tc>
          <w:tcPr>
            <w:tcW w:w="840" w:type="pct"/>
            <w:tcBorders>
              <w:top w:val="single" w:color="auto" w:sz="4" w:space="0"/>
              <w:left w:val="single" w:color="auto" w:sz="4" w:space="0"/>
              <w:bottom w:val="single" w:color="auto" w:sz="4" w:space="0"/>
              <w:right w:val="single" w:color="auto" w:sz="4" w:space="0"/>
            </w:tcBorders>
            <w:vAlign w:val="center"/>
          </w:tcPr>
          <w:p w14:paraId="16EB3119">
            <w:pPr>
              <w:pStyle w:val="196"/>
            </w:pPr>
            <w:r>
              <w:rPr>
                <w:rFonts w:hint="eastAsia"/>
              </w:rPr>
              <w:t>县人民政府</w:t>
            </w:r>
          </w:p>
        </w:tc>
        <w:tc>
          <w:tcPr>
            <w:tcW w:w="563" w:type="pct"/>
            <w:tcBorders>
              <w:top w:val="single" w:color="auto" w:sz="4" w:space="0"/>
              <w:left w:val="single" w:color="auto" w:sz="4" w:space="0"/>
              <w:bottom w:val="single" w:color="auto" w:sz="4" w:space="0"/>
              <w:right w:val="single" w:color="auto" w:sz="4" w:space="0"/>
            </w:tcBorders>
            <w:vAlign w:val="center"/>
          </w:tcPr>
          <w:p w14:paraId="57C7506A">
            <w:pPr>
              <w:pStyle w:val="196"/>
            </w:pPr>
            <w:r>
              <w:rPr>
                <w:rFonts w:hint="eastAsia"/>
              </w:rPr>
              <w:t>2018年</w:t>
            </w:r>
          </w:p>
        </w:tc>
      </w:tr>
      <w:tr w14:paraId="26BAB6A4">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2D6B7617">
            <w:pPr>
              <w:pStyle w:val="196"/>
            </w:pPr>
            <w:r>
              <w:rPr>
                <w:rFonts w:hint="eastAsia"/>
              </w:rPr>
              <w:t>3</w:t>
            </w:r>
          </w:p>
        </w:tc>
        <w:tc>
          <w:tcPr>
            <w:tcW w:w="772" w:type="pct"/>
            <w:vMerge w:val="restart"/>
            <w:tcBorders>
              <w:top w:val="single" w:color="auto" w:sz="4" w:space="0"/>
              <w:left w:val="single" w:color="auto" w:sz="4" w:space="0"/>
              <w:right w:val="single" w:color="auto" w:sz="4" w:space="0"/>
            </w:tcBorders>
            <w:vAlign w:val="center"/>
          </w:tcPr>
          <w:p w14:paraId="0E9E258D">
            <w:pPr>
              <w:pStyle w:val="196"/>
            </w:pPr>
            <w:r>
              <w:rPr>
                <w:rFonts w:hint="eastAsia"/>
              </w:rPr>
              <w:t>专项应急预案</w:t>
            </w:r>
          </w:p>
        </w:tc>
        <w:tc>
          <w:tcPr>
            <w:tcW w:w="2381" w:type="pct"/>
            <w:tcBorders>
              <w:top w:val="single" w:color="auto" w:sz="4" w:space="0"/>
              <w:left w:val="single" w:color="auto" w:sz="4" w:space="0"/>
              <w:bottom w:val="single" w:color="auto" w:sz="4" w:space="0"/>
              <w:right w:val="single" w:color="auto" w:sz="4" w:space="0"/>
            </w:tcBorders>
            <w:vAlign w:val="center"/>
          </w:tcPr>
          <w:p w14:paraId="641359DA">
            <w:pPr>
              <w:pStyle w:val="196"/>
            </w:pPr>
            <w:r>
              <w:rPr>
                <w:rFonts w:hint="eastAsia"/>
              </w:rPr>
              <w:t>淮安市突发环境事件应急处置预案</w:t>
            </w:r>
          </w:p>
        </w:tc>
        <w:tc>
          <w:tcPr>
            <w:tcW w:w="840" w:type="pct"/>
            <w:tcBorders>
              <w:top w:val="single" w:color="auto" w:sz="4" w:space="0"/>
              <w:left w:val="single" w:color="auto" w:sz="4" w:space="0"/>
              <w:bottom w:val="single" w:color="auto" w:sz="4" w:space="0"/>
              <w:right w:val="single" w:color="auto" w:sz="4" w:space="0"/>
            </w:tcBorders>
            <w:vAlign w:val="center"/>
          </w:tcPr>
          <w:p w14:paraId="556AF2E9">
            <w:pPr>
              <w:pStyle w:val="196"/>
            </w:pPr>
            <w:r>
              <w:rPr>
                <w:rFonts w:hint="eastAsia"/>
              </w:rPr>
              <w:t>市环保局</w:t>
            </w:r>
          </w:p>
        </w:tc>
        <w:tc>
          <w:tcPr>
            <w:tcW w:w="563" w:type="pct"/>
            <w:tcBorders>
              <w:top w:val="single" w:color="auto" w:sz="4" w:space="0"/>
              <w:left w:val="single" w:color="auto" w:sz="4" w:space="0"/>
              <w:bottom w:val="single" w:color="auto" w:sz="4" w:space="0"/>
              <w:right w:val="single" w:color="auto" w:sz="4" w:space="0"/>
            </w:tcBorders>
            <w:vAlign w:val="center"/>
          </w:tcPr>
          <w:p w14:paraId="02F5B202">
            <w:pPr>
              <w:pStyle w:val="196"/>
            </w:pPr>
            <w:r>
              <w:rPr>
                <w:rFonts w:hint="eastAsia"/>
              </w:rPr>
              <w:t>2017年</w:t>
            </w:r>
          </w:p>
        </w:tc>
      </w:tr>
      <w:tr w14:paraId="7965C7CA">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3B404C7E">
            <w:pPr>
              <w:pStyle w:val="196"/>
            </w:pPr>
            <w:r>
              <w:rPr>
                <w:rFonts w:hint="eastAsia"/>
              </w:rPr>
              <w:t>4</w:t>
            </w:r>
          </w:p>
        </w:tc>
        <w:tc>
          <w:tcPr>
            <w:tcW w:w="772" w:type="pct"/>
            <w:vMerge w:val="continue"/>
            <w:tcBorders>
              <w:top w:val="single" w:color="auto" w:sz="4" w:space="0"/>
              <w:left w:val="single" w:color="auto" w:sz="4" w:space="0"/>
              <w:right w:val="single" w:color="auto" w:sz="4" w:space="0"/>
            </w:tcBorders>
            <w:vAlign w:val="center"/>
          </w:tcPr>
          <w:p w14:paraId="2CC353F1">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5C781A0B">
            <w:pPr>
              <w:pStyle w:val="196"/>
            </w:pPr>
            <w:r>
              <w:rPr>
                <w:rFonts w:hint="eastAsia"/>
              </w:rPr>
              <w:t>淮安市交通运输突发事件应急预案</w:t>
            </w:r>
          </w:p>
        </w:tc>
        <w:tc>
          <w:tcPr>
            <w:tcW w:w="840" w:type="pct"/>
            <w:tcBorders>
              <w:top w:val="single" w:color="auto" w:sz="4" w:space="0"/>
              <w:left w:val="single" w:color="auto" w:sz="4" w:space="0"/>
              <w:bottom w:val="single" w:color="auto" w:sz="4" w:space="0"/>
              <w:right w:val="single" w:color="auto" w:sz="4" w:space="0"/>
            </w:tcBorders>
            <w:vAlign w:val="center"/>
          </w:tcPr>
          <w:p w14:paraId="068BFB81">
            <w:pPr>
              <w:pStyle w:val="196"/>
            </w:pPr>
            <w:r>
              <w:rPr>
                <w:rFonts w:hint="eastAsia"/>
              </w:rPr>
              <w:t>市应急管理局</w:t>
            </w:r>
          </w:p>
        </w:tc>
        <w:tc>
          <w:tcPr>
            <w:tcW w:w="563" w:type="pct"/>
            <w:tcBorders>
              <w:top w:val="single" w:color="auto" w:sz="4" w:space="0"/>
              <w:left w:val="single" w:color="auto" w:sz="4" w:space="0"/>
              <w:bottom w:val="single" w:color="auto" w:sz="4" w:space="0"/>
              <w:right w:val="single" w:color="auto" w:sz="4" w:space="0"/>
            </w:tcBorders>
            <w:vAlign w:val="center"/>
          </w:tcPr>
          <w:p w14:paraId="433C3FBB">
            <w:pPr>
              <w:pStyle w:val="196"/>
            </w:pPr>
            <w:r>
              <w:rPr>
                <w:rFonts w:hint="eastAsia"/>
              </w:rPr>
              <w:t>2020年</w:t>
            </w:r>
          </w:p>
        </w:tc>
      </w:tr>
      <w:tr w14:paraId="3DB2C73F">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63FD8918">
            <w:pPr>
              <w:pStyle w:val="196"/>
            </w:pPr>
            <w:r>
              <w:rPr>
                <w:rFonts w:hint="eastAsia"/>
              </w:rPr>
              <w:t>5</w:t>
            </w:r>
          </w:p>
        </w:tc>
        <w:tc>
          <w:tcPr>
            <w:tcW w:w="772" w:type="pct"/>
            <w:vMerge w:val="continue"/>
            <w:tcBorders>
              <w:left w:val="single" w:color="auto" w:sz="4" w:space="0"/>
              <w:right w:val="single" w:color="auto" w:sz="4" w:space="0"/>
            </w:tcBorders>
            <w:vAlign w:val="center"/>
          </w:tcPr>
          <w:p w14:paraId="1081548F">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4C95A892">
            <w:pPr>
              <w:pStyle w:val="196"/>
            </w:pPr>
            <w:r>
              <w:rPr>
                <w:rFonts w:hint="eastAsia"/>
              </w:rPr>
              <w:t>淮安市水上交通突发事件应急预案</w:t>
            </w:r>
          </w:p>
        </w:tc>
        <w:tc>
          <w:tcPr>
            <w:tcW w:w="840" w:type="pct"/>
            <w:tcBorders>
              <w:top w:val="single" w:color="auto" w:sz="4" w:space="0"/>
              <w:left w:val="single" w:color="auto" w:sz="4" w:space="0"/>
              <w:bottom w:val="single" w:color="auto" w:sz="4" w:space="0"/>
              <w:right w:val="single" w:color="auto" w:sz="4" w:space="0"/>
            </w:tcBorders>
            <w:vAlign w:val="center"/>
          </w:tcPr>
          <w:p w14:paraId="2470D2D7">
            <w:pPr>
              <w:pStyle w:val="196"/>
            </w:pPr>
            <w:r>
              <w:rPr>
                <w:rFonts w:hint="eastAsia"/>
              </w:rPr>
              <w:t>地方海事局</w:t>
            </w:r>
          </w:p>
        </w:tc>
        <w:tc>
          <w:tcPr>
            <w:tcW w:w="563" w:type="pct"/>
            <w:tcBorders>
              <w:top w:val="single" w:color="auto" w:sz="4" w:space="0"/>
              <w:left w:val="single" w:color="auto" w:sz="4" w:space="0"/>
              <w:bottom w:val="single" w:color="auto" w:sz="4" w:space="0"/>
              <w:right w:val="single" w:color="auto" w:sz="4" w:space="0"/>
            </w:tcBorders>
            <w:vAlign w:val="center"/>
          </w:tcPr>
          <w:p w14:paraId="175547DE">
            <w:pPr>
              <w:pStyle w:val="196"/>
            </w:pPr>
            <w:r>
              <w:rPr>
                <w:rFonts w:hint="eastAsia"/>
              </w:rPr>
              <w:t>2016年</w:t>
            </w:r>
          </w:p>
        </w:tc>
      </w:tr>
      <w:tr w14:paraId="642F35CD">
        <w:tblPrEx>
          <w:tblCellMar>
            <w:top w:w="0" w:type="dxa"/>
            <w:left w:w="0" w:type="dxa"/>
            <w:bottom w:w="0" w:type="dxa"/>
            <w:right w:w="0" w:type="dxa"/>
          </w:tblCellMar>
        </w:tblPrEx>
        <w:trPr>
          <w:trHeight w:val="454"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E928D30">
            <w:pPr>
              <w:pStyle w:val="196"/>
            </w:pPr>
            <w:r>
              <w:rPr>
                <w:rFonts w:hint="eastAsia"/>
              </w:rPr>
              <w:t>6</w:t>
            </w:r>
          </w:p>
        </w:tc>
        <w:tc>
          <w:tcPr>
            <w:tcW w:w="772" w:type="pct"/>
            <w:vMerge w:val="continue"/>
            <w:tcBorders>
              <w:left w:val="single" w:color="auto" w:sz="4" w:space="0"/>
              <w:right w:val="single" w:color="auto" w:sz="4" w:space="0"/>
            </w:tcBorders>
            <w:vAlign w:val="center"/>
          </w:tcPr>
          <w:p w14:paraId="273F20FD">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4C55C11E">
            <w:pPr>
              <w:pStyle w:val="196"/>
            </w:pPr>
            <w:r>
              <w:rPr>
                <w:rFonts w:hint="eastAsia"/>
              </w:rPr>
              <w:t>淮安市港口和船舶污染物接收、转运及处置设施建设方案</w:t>
            </w:r>
          </w:p>
        </w:tc>
        <w:tc>
          <w:tcPr>
            <w:tcW w:w="840" w:type="pct"/>
            <w:tcBorders>
              <w:top w:val="single" w:color="auto" w:sz="4" w:space="0"/>
              <w:left w:val="single" w:color="auto" w:sz="4" w:space="0"/>
              <w:bottom w:val="single" w:color="auto" w:sz="4" w:space="0"/>
              <w:right w:val="single" w:color="auto" w:sz="4" w:space="0"/>
            </w:tcBorders>
            <w:vAlign w:val="center"/>
          </w:tcPr>
          <w:p w14:paraId="10DE797D">
            <w:pPr>
              <w:pStyle w:val="196"/>
            </w:pPr>
            <w:r>
              <w:rPr>
                <w:rFonts w:hint="eastAsia"/>
              </w:rPr>
              <w:t>市政府</w:t>
            </w:r>
          </w:p>
        </w:tc>
        <w:tc>
          <w:tcPr>
            <w:tcW w:w="563" w:type="pct"/>
            <w:tcBorders>
              <w:top w:val="single" w:color="auto" w:sz="4" w:space="0"/>
              <w:left w:val="single" w:color="auto" w:sz="4" w:space="0"/>
              <w:bottom w:val="single" w:color="auto" w:sz="4" w:space="0"/>
              <w:right w:val="single" w:color="auto" w:sz="4" w:space="0"/>
            </w:tcBorders>
            <w:vAlign w:val="center"/>
          </w:tcPr>
          <w:p w14:paraId="41E75EDE">
            <w:pPr>
              <w:pStyle w:val="196"/>
            </w:pPr>
            <w:r>
              <w:rPr>
                <w:rFonts w:hint="eastAsia"/>
              </w:rPr>
              <w:t>2016年</w:t>
            </w:r>
          </w:p>
        </w:tc>
      </w:tr>
      <w:tr w14:paraId="06F7B1DC">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022FDA6F">
            <w:pPr>
              <w:pStyle w:val="196"/>
            </w:pPr>
            <w:r>
              <w:rPr>
                <w:rFonts w:hint="eastAsia"/>
              </w:rPr>
              <w:t>7</w:t>
            </w:r>
          </w:p>
        </w:tc>
        <w:tc>
          <w:tcPr>
            <w:tcW w:w="772" w:type="pct"/>
            <w:vMerge w:val="continue"/>
            <w:tcBorders>
              <w:left w:val="single" w:color="auto" w:sz="4" w:space="0"/>
              <w:right w:val="single" w:color="auto" w:sz="4" w:space="0"/>
            </w:tcBorders>
            <w:vAlign w:val="center"/>
          </w:tcPr>
          <w:p w14:paraId="00DB8974">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0134D24E">
            <w:pPr>
              <w:pStyle w:val="196"/>
            </w:pPr>
            <w:r>
              <w:rPr>
                <w:rFonts w:hint="eastAsia"/>
              </w:rPr>
              <w:t>淮安市船舶污染事故应急处置预案</w:t>
            </w:r>
          </w:p>
        </w:tc>
        <w:tc>
          <w:tcPr>
            <w:tcW w:w="840" w:type="pct"/>
            <w:tcBorders>
              <w:top w:val="single" w:color="auto" w:sz="4" w:space="0"/>
              <w:left w:val="single" w:color="auto" w:sz="4" w:space="0"/>
              <w:bottom w:val="single" w:color="auto" w:sz="4" w:space="0"/>
              <w:right w:val="single" w:color="auto" w:sz="4" w:space="0"/>
            </w:tcBorders>
            <w:vAlign w:val="center"/>
          </w:tcPr>
          <w:p w14:paraId="6274B66C">
            <w:pPr>
              <w:pStyle w:val="196"/>
            </w:pPr>
            <w:r>
              <w:rPr>
                <w:rFonts w:hint="eastAsia"/>
              </w:rPr>
              <w:t>地方海事局</w:t>
            </w:r>
          </w:p>
        </w:tc>
        <w:tc>
          <w:tcPr>
            <w:tcW w:w="563" w:type="pct"/>
            <w:tcBorders>
              <w:top w:val="single" w:color="auto" w:sz="4" w:space="0"/>
              <w:left w:val="single" w:color="auto" w:sz="4" w:space="0"/>
              <w:bottom w:val="single" w:color="auto" w:sz="4" w:space="0"/>
              <w:right w:val="single" w:color="auto" w:sz="4" w:space="0"/>
            </w:tcBorders>
            <w:vAlign w:val="center"/>
          </w:tcPr>
          <w:p w14:paraId="32872DE0">
            <w:pPr>
              <w:pStyle w:val="196"/>
            </w:pPr>
            <w:r>
              <w:rPr>
                <w:rFonts w:hint="eastAsia"/>
              </w:rPr>
              <w:t>2016年</w:t>
            </w:r>
          </w:p>
        </w:tc>
      </w:tr>
      <w:tr w14:paraId="4F58F7D8">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676F0356">
            <w:pPr>
              <w:pStyle w:val="196"/>
            </w:pPr>
            <w:r>
              <w:rPr>
                <w:rFonts w:hint="eastAsia"/>
              </w:rPr>
              <w:t>8</w:t>
            </w:r>
          </w:p>
        </w:tc>
        <w:tc>
          <w:tcPr>
            <w:tcW w:w="772" w:type="pct"/>
            <w:vMerge w:val="continue"/>
            <w:tcBorders>
              <w:left w:val="single" w:color="auto" w:sz="4" w:space="0"/>
              <w:right w:val="single" w:color="auto" w:sz="4" w:space="0"/>
            </w:tcBorders>
            <w:vAlign w:val="center"/>
          </w:tcPr>
          <w:p w14:paraId="28DFDFD9">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2F9B46FF">
            <w:pPr>
              <w:pStyle w:val="196"/>
            </w:pPr>
            <w:r>
              <w:rPr>
                <w:rFonts w:hint="eastAsia"/>
              </w:rPr>
              <w:t>淮安内河港环境风险应急预案</w:t>
            </w:r>
          </w:p>
        </w:tc>
        <w:tc>
          <w:tcPr>
            <w:tcW w:w="1403" w:type="pct"/>
            <w:gridSpan w:val="2"/>
            <w:tcBorders>
              <w:top w:val="single" w:color="auto" w:sz="4" w:space="0"/>
              <w:left w:val="single" w:color="auto" w:sz="4" w:space="0"/>
              <w:bottom w:val="single" w:color="auto" w:sz="4" w:space="0"/>
              <w:right w:val="single" w:color="auto" w:sz="4" w:space="0"/>
            </w:tcBorders>
            <w:vAlign w:val="center"/>
          </w:tcPr>
          <w:p w14:paraId="72FF8332">
            <w:pPr>
              <w:pStyle w:val="196"/>
            </w:pPr>
            <w:r>
              <w:rPr>
                <w:rFonts w:hint="eastAsia"/>
              </w:rPr>
              <w:t>自发布之日起</w:t>
            </w:r>
          </w:p>
        </w:tc>
      </w:tr>
      <w:tr w14:paraId="441398D2">
        <w:tblPrEx>
          <w:tblCellMar>
            <w:top w:w="0" w:type="dxa"/>
            <w:left w:w="0" w:type="dxa"/>
            <w:bottom w:w="0" w:type="dxa"/>
            <w:right w:w="0" w:type="dxa"/>
          </w:tblCellMar>
        </w:tblPrEx>
        <w:trPr>
          <w:trHeight w:val="90" w:hRule="atLeast"/>
          <w:jc w:val="center"/>
        </w:trPr>
        <w:tc>
          <w:tcPr>
            <w:tcW w:w="444" w:type="pct"/>
            <w:tcBorders>
              <w:top w:val="single" w:color="auto" w:sz="4" w:space="0"/>
              <w:left w:val="single" w:color="auto" w:sz="4" w:space="0"/>
              <w:bottom w:val="single" w:color="auto" w:sz="4" w:space="0"/>
              <w:right w:val="single" w:color="auto" w:sz="4" w:space="0"/>
            </w:tcBorders>
            <w:vAlign w:val="center"/>
          </w:tcPr>
          <w:p w14:paraId="4A751627">
            <w:pPr>
              <w:pStyle w:val="196"/>
            </w:pPr>
            <w:r>
              <w:rPr>
                <w:rFonts w:hint="eastAsia"/>
              </w:rPr>
              <w:t>9</w:t>
            </w:r>
          </w:p>
        </w:tc>
        <w:tc>
          <w:tcPr>
            <w:tcW w:w="772" w:type="pct"/>
            <w:vMerge w:val="continue"/>
            <w:tcBorders>
              <w:left w:val="single" w:color="auto" w:sz="4" w:space="0"/>
              <w:bottom w:val="single" w:color="auto" w:sz="4" w:space="0"/>
              <w:right w:val="single" w:color="auto" w:sz="4" w:space="0"/>
            </w:tcBorders>
            <w:vAlign w:val="center"/>
          </w:tcPr>
          <w:p w14:paraId="08DFB4E2">
            <w:pPr>
              <w:pStyle w:val="196"/>
            </w:pPr>
          </w:p>
        </w:tc>
        <w:tc>
          <w:tcPr>
            <w:tcW w:w="2381" w:type="pct"/>
            <w:tcBorders>
              <w:top w:val="single" w:color="auto" w:sz="4" w:space="0"/>
              <w:left w:val="single" w:color="auto" w:sz="4" w:space="0"/>
              <w:bottom w:val="single" w:color="auto" w:sz="4" w:space="0"/>
              <w:right w:val="single" w:color="auto" w:sz="4" w:space="0"/>
            </w:tcBorders>
            <w:vAlign w:val="center"/>
          </w:tcPr>
          <w:p w14:paraId="092AE5FF">
            <w:pPr>
              <w:pStyle w:val="196"/>
            </w:pPr>
            <w:r>
              <w:rPr>
                <w:rFonts w:hint="eastAsia"/>
              </w:rPr>
              <w:t>涟水县交通运输局突发事件应急预案</w:t>
            </w:r>
          </w:p>
        </w:tc>
        <w:tc>
          <w:tcPr>
            <w:tcW w:w="840" w:type="pct"/>
            <w:tcBorders>
              <w:top w:val="single" w:color="auto" w:sz="4" w:space="0"/>
              <w:left w:val="single" w:color="auto" w:sz="4" w:space="0"/>
              <w:bottom w:val="single" w:color="auto" w:sz="4" w:space="0"/>
              <w:right w:val="single" w:color="auto" w:sz="4" w:space="0"/>
            </w:tcBorders>
            <w:vAlign w:val="center"/>
          </w:tcPr>
          <w:p w14:paraId="4DC61B56">
            <w:pPr>
              <w:pStyle w:val="196"/>
            </w:pPr>
            <w:r>
              <w:rPr>
                <w:rFonts w:hint="eastAsia"/>
              </w:rPr>
              <w:t>县交通运输局</w:t>
            </w:r>
          </w:p>
        </w:tc>
        <w:tc>
          <w:tcPr>
            <w:tcW w:w="563" w:type="pct"/>
            <w:tcBorders>
              <w:top w:val="single" w:color="auto" w:sz="4" w:space="0"/>
              <w:left w:val="single" w:color="auto" w:sz="4" w:space="0"/>
              <w:bottom w:val="single" w:color="auto" w:sz="4" w:space="0"/>
              <w:right w:val="single" w:color="auto" w:sz="4" w:space="0"/>
            </w:tcBorders>
            <w:vAlign w:val="center"/>
          </w:tcPr>
          <w:p w14:paraId="646F95A6">
            <w:pPr>
              <w:pStyle w:val="196"/>
            </w:pPr>
            <w:r>
              <w:rPr>
                <w:rFonts w:hint="eastAsia"/>
              </w:rPr>
              <w:t>2023年</w:t>
            </w:r>
          </w:p>
        </w:tc>
      </w:tr>
    </w:tbl>
    <w:p w14:paraId="7652A0A0">
      <w:pPr>
        <w:pStyle w:val="139"/>
        <w:ind w:firstLine="480"/>
        <w:rPr>
          <w:color w:val="auto"/>
        </w:rPr>
      </w:pPr>
      <w:r>
        <w:rPr>
          <w:rFonts w:hint="eastAsia"/>
          <w:color w:val="auto"/>
        </w:rPr>
        <w:t>（3）应急设备设施的配备“十三五”以来，淮安市地方海事局为了应对辖区水上交通突发险情事故，陆续在市区和辖区内6个县、区陆续配套了一批应急设备实施。共建设了7处应急物资储备库，包括淮安水上交通应急物资储备库、淮阴水上交通应急物资储备库、淮安区水上交通应急物资储备库、洪泽区水上交通应急物资储备库、涟水县水上交通应急物资储备库、金湖县水上交通应急物资储备库、盱眙县水上交通应急物资储备库。按照应急物资储备类型划分，全市应急物资主要分为防护类、防污清污类、救生类、通信类、消防类和其他等。</w:t>
      </w:r>
    </w:p>
    <w:p w14:paraId="5AE9106F">
      <w:pPr>
        <w:pStyle w:val="139"/>
        <w:ind w:firstLine="480"/>
        <w:rPr>
          <w:color w:val="auto"/>
        </w:rPr>
      </w:pPr>
      <w:r>
        <w:rPr>
          <w:rFonts w:hint="eastAsia"/>
          <w:color w:val="auto"/>
        </w:rPr>
        <w:t>目前，由于各个辖区港口规模、航道通航条件不同，辖区应急物资储备库设备设施标准、库房面积、类型和数量上都不统一，淮安内河港环境风险应急装备及布置初步方案见表6.3-6。同时，淮安港其他油品和危化品码头企业较为重视环境风险防范工作，均制订有企业环境风险应急预案和配置了应急物资。</w:t>
      </w:r>
    </w:p>
    <w:p w14:paraId="3A286B56">
      <w:pPr>
        <w:pStyle w:val="86"/>
      </w:pPr>
      <w:r>
        <w:rPr>
          <w:rFonts w:hint="eastAsia"/>
        </w:rPr>
        <w:t>淮安内河港环境风险应急装备及布置初步方案</w:t>
      </w:r>
    </w:p>
    <w:tbl>
      <w:tblPr>
        <w:tblStyle w:val="38"/>
        <w:tblW w:w="8730" w:type="dxa"/>
        <w:jc w:val="center"/>
        <w:tblLayout w:type="autofit"/>
        <w:tblCellMar>
          <w:top w:w="0" w:type="dxa"/>
          <w:left w:w="0" w:type="dxa"/>
          <w:bottom w:w="0" w:type="dxa"/>
          <w:right w:w="0" w:type="dxa"/>
        </w:tblCellMar>
      </w:tblPr>
      <w:tblGrid>
        <w:gridCol w:w="785"/>
        <w:gridCol w:w="1135"/>
        <w:gridCol w:w="1135"/>
        <w:gridCol w:w="1135"/>
        <w:gridCol w:w="1135"/>
        <w:gridCol w:w="1135"/>
        <w:gridCol w:w="1135"/>
        <w:gridCol w:w="1135"/>
      </w:tblGrid>
      <w:tr w14:paraId="0F17DCC6">
        <w:tblPrEx>
          <w:tblCellMar>
            <w:top w:w="0" w:type="dxa"/>
            <w:left w:w="0" w:type="dxa"/>
            <w:bottom w:w="0" w:type="dxa"/>
            <w:right w:w="0" w:type="dxa"/>
          </w:tblCellMar>
        </w:tblPrEx>
        <w:trPr>
          <w:trHeight w:val="90" w:hRule="atLeast"/>
          <w:tblHeader/>
          <w:jc w:val="center"/>
        </w:trPr>
        <w:tc>
          <w:tcPr>
            <w:tcW w:w="78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14:paraId="3BAA8321">
            <w:pPr>
              <w:pStyle w:val="196"/>
            </w:pPr>
            <w:r>
              <w:rPr>
                <w:rFonts w:hint="eastAsia"/>
              </w:rPr>
              <w:t>设备名称</w:t>
            </w:r>
          </w:p>
        </w:tc>
        <w:tc>
          <w:tcPr>
            <w:tcW w:w="7945" w:type="dxa"/>
            <w:gridSpan w:val="7"/>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756E5E">
            <w:pPr>
              <w:pStyle w:val="196"/>
            </w:pPr>
            <w:r>
              <w:rPr>
                <w:rFonts w:hint="eastAsia"/>
              </w:rPr>
              <w:t>需求数量及布置方案</w:t>
            </w:r>
          </w:p>
        </w:tc>
      </w:tr>
      <w:tr w14:paraId="375B9ABD">
        <w:tblPrEx>
          <w:tblCellMar>
            <w:top w:w="0" w:type="dxa"/>
            <w:left w:w="0" w:type="dxa"/>
            <w:bottom w:w="0" w:type="dxa"/>
            <w:right w:w="0" w:type="dxa"/>
          </w:tblCellMar>
        </w:tblPrEx>
        <w:trPr>
          <w:trHeight w:val="135" w:hRule="atLeast"/>
          <w:tblHeader/>
          <w:jc w:val="center"/>
        </w:trPr>
        <w:tc>
          <w:tcPr>
            <w:tcW w:w="78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14:paraId="217D5C7E">
            <w:pPr>
              <w:pStyle w:val="196"/>
            </w:pP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5208F7">
            <w:pPr>
              <w:pStyle w:val="196"/>
            </w:pPr>
            <w:r>
              <w:rPr>
                <w:rFonts w:hint="eastAsia"/>
              </w:rPr>
              <w:t>市区港区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2ED89A">
            <w:pPr>
              <w:pStyle w:val="196"/>
            </w:pPr>
            <w:r>
              <w:rPr>
                <w:rFonts w:hint="eastAsia"/>
              </w:rPr>
              <w:t>淮安港区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862DC">
            <w:pPr>
              <w:pStyle w:val="196"/>
            </w:pPr>
            <w:r>
              <w:rPr>
                <w:rFonts w:hint="eastAsia"/>
              </w:rPr>
              <w:t>淮阴港区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3586BD">
            <w:pPr>
              <w:pStyle w:val="196"/>
            </w:pPr>
            <w:r>
              <w:rPr>
                <w:rFonts w:hint="eastAsia"/>
              </w:rPr>
              <w:t>洪泽港区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7EBAF5">
            <w:pPr>
              <w:pStyle w:val="196"/>
            </w:pPr>
            <w:r>
              <w:rPr>
                <w:rFonts w:hint="eastAsia"/>
              </w:rPr>
              <w:t>盱眙港区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D7089E">
            <w:pPr>
              <w:pStyle w:val="196"/>
            </w:pPr>
            <w:r>
              <w:rPr>
                <w:rFonts w:hint="eastAsia"/>
              </w:rPr>
              <w:t>金湖港区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727767">
            <w:pPr>
              <w:pStyle w:val="196"/>
            </w:pPr>
            <w:r>
              <w:rPr>
                <w:rFonts w:hint="eastAsia"/>
              </w:rPr>
              <w:t>涟水港区</w:t>
            </w:r>
          </w:p>
        </w:tc>
      </w:tr>
      <w:tr w14:paraId="3C9B9D53">
        <w:tblPrEx>
          <w:tblCellMar>
            <w:top w:w="0" w:type="dxa"/>
            <w:left w:w="0" w:type="dxa"/>
            <w:bottom w:w="0" w:type="dxa"/>
            <w:right w:w="0" w:type="dxa"/>
          </w:tblCellMar>
        </w:tblPrEx>
        <w:trPr>
          <w:trHeight w:val="2835" w:hRule="atLeast"/>
          <w:jc w:val="center"/>
        </w:trPr>
        <w:tc>
          <w:tcPr>
            <w:tcW w:w="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4C02ED">
            <w:pPr>
              <w:pStyle w:val="196"/>
            </w:pPr>
            <w:r>
              <w:rPr>
                <w:rFonts w:hint="eastAsia"/>
              </w:rPr>
              <w:t>应急型围油栏</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1915C4">
            <w:pPr>
              <w:pStyle w:val="196"/>
            </w:pPr>
            <w:r>
              <w:rPr>
                <w:rFonts w:hint="eastAsia"/>
              </w:rPr>
              <w:t>1200m，</w:t>
            </w:r>
            <w:r>
              <w:t>6</w:t>
            </w:r>
            <w:r>
              <w:rPr>
                <w:rFonts w:hint="eastAsia"/>
              </w:rPr>
              <w:t>个作业区各不少于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64C79C">
            <w:pPr>
              <w:pStyle w:val="196"/>
            </w:pPr>
            <w:r>
              <w:rPr>
                <w:rFonts w:hint="eastAsia"/>
              </w:rPr>
              <w:t>1600m，位于京杭大运河的作业区、苏淮高新区作业区、上河作业区、林集作业区各不少于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4A897B">
            <w:pPr>
              <w:pStyle w:val="196"/>
            </w:pPr>
            <w:r>
              <w:rPr>
                <w:rFonts w:hint="eastAsia"/>
              </w:rPr>
              <w:t>1000m，城西作业区、城东作业区、废黄河工业作业区、许渡作业区、淮阴工业园作业区各不少于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91D68">
            <w:pPr>
              <w:pStyle w:val="196"/>
            </w:pPr>
            <w:r>
              <w:rPr>
                <w:rFonts w:hint="eastAsia"/>
              </w:rPr>
              <w:t>200m，三河作业区各不少于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3A03EF">
            <w:pPr>
              <w:pStyle w:val="196"/>
            </w:pPr>
            <w:r>
              <w:rPr>
                <w:rFonts w:hint="eastAsia"/>
              </w:rPr>
              <w:t>400m，盱眙新港作业区、观音寺作业区不少于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5C9E8">
            <w:pPr>
              <w:pStyle w:val="196"/>
            </w:pPr>
            <w:r>
              <w:rPr>
                <w:rFonts w:hint="eastAsia"/>
              </w:rPr>
              <w:t>400m，新港作业区、金湖港口物流园作业区各不少于</w:t>
            </w:r>
            <w:r>
              <w:t>200m</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F9A34">
            <w:pPr>
              <w:pStyle w:val="196"/>
            </w:pPr>
            <w:r>
              <w:rPr>
                <w:rFonts w:hint="eastAsia"/>
              </w:rPr>
              <w:t>200m，新港作业区不少于</w:t>
            </w:r>
            <w:r>
              <w:t>200m</w:t>
            </w:r>
          </w:p>
        </w:tc>
      </w:tr>
      <w:tr w14:paraId="246D3FE6">
        <w:tblPrEx>
          <w:tblCellMar>
            <w:top w:w="0" w:type="dxa"/>
            <w:left w:w="0" w:type="dxa"/>
            <w:bottom w:w="0" w:type="dxa"/>
            <w:right w:w="0" w:type="dxa"/>
          </w:tblCellMar>
        </w:tblPrEx>
        <w:trPr>
          <w:trHeight w:val="1560" w:hRule="atLeast"/>
          <w:jc w:val="center"/>
        </w:trPr>
        <w:tc>
          <w:tcPr>
            <w:tcW w:w="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EF4A3A">
            <w:pPr>
              <w:pStyle w:val="196"/>
            </w:pPr>
            <w:r>
              <w:rPr>
                <w:rFonts w:hint="eastAsia"/>
              </w:rPr>
              <w:t>收油机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FF5B13">
            <w:pPr>
              <w:pStyle w:val="196"/>
            </w:pPr>
            <w:r>
              <w:rPr>
                <w:rFonts w:hint="eastAsia"/>
              </w:rPr>
              <w:t>总能力不少于</w:t>
            </w:r>
            <w:r>
              <w:t>20m</w:t>
            </w:r>
            <w:r>
              <w:rPr>
                <w:rFonts w:hint="eastAsia"/>
              </w:rPr>
              <w:t>³</w:t>
            </w:r>
            <w:r>
              <w:t>/h</w:t>
            </w:r>
            <w:r>
              <w:rPr>
                <w:rFonts w:hint="eastAsia"/>
              </w:rPr>
              <w:t>，布置在里运河工业作业区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5D719">
            <w:pPr>
              <w:pStyle w:val="196"/>
            </w:pPr>
            <w:r>
              <w:rPr>
                <w:rFonts w:hint="eastAsia"/>
              </w:rPr>
              <w:t>总能力不少于</w:t>
            </w:r>
            <w:r>
              <w:t>20m</w:t>
            </w:r>
            <w:r>
              <w:rPr>
                <w:rFonts w:hint="eastAsia"/>
              </w:rPr>
              <w:t>³</w:t>
            </w:r>
            <w:r>
              <w:t>/h</w:t>
            </w:r>
            <w:r>
              <w:rPr>
                <w:rFonts w:hint="eastAsia"/>
              </w:rPr>
              <w:t>，布置在苏淮高新作业区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9A2D7">
            <w:pPr>
              <w:pStyle w:val="196"/>
            </w:pPr>
            <w:r>
              <w:rPr>
                <w:rFonts w:hint="eastAsia"/>
              </w:rPr>
              <w:t>总能力不少于</w:t>
            </w:r>
            <w:r>
              <w:t>20m</w:t>
            </w:r>
            <w:r>
              <w:rPr>
                <w:rFonts w:hint="eastAsia"/>
              </w:rPr>
              <w:t>³</w:t>
            </w:r>
            <w:r>
              <w:t>/h</w:t>
            </w:r>
            <w:r>
              <w:rPr>
                <w:rFonts w:hint="eastAsia"/>
              </w:rPr>
              <w:t>，布置在城西作业区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8D3E5">
            <w:pPr>
              <w:pStyle w:val="196"/>
            </w:pPr>
            <w:r>
              <w:rPr>
                <w:rFonts w:hint="eastAsia"/>
              </w:rPr>
              <w:t>总能力不少于</w:t>
            </w:r>
            <w:r>
              <w:t>1m</w:t>
            </w:r>
            <w:r>
              <w:rPr>
                <w:rFonts w:hint="eastAsia"/>
              </w:rPr>
              <w:t>³</w:t>
            </w:r>
            <w:r>
              <w:t>/h</w:t>
            </w:r>
            <w:r>
              <w:rPr>
                <w:rFonts w:hint="eastAsia"/>
              </w:rPr>
              <w:t>，布置在三河作业区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5BE1A">
            <w:pPr>
              <w:pStyle w:val="196"/>
            </w:pPr>
            <w:r>
              <w:rPr>
                <w:rFonts w:hint="eastAsia"/>
              </w:rPr>
              <w:t>总能力不少于</w:t>
            </w:r>
            <w:r>
              <w:t>1m</w:t>
            </w:r>
            <w:r>
              <w:rPr>
                <w:rFonts w:hint="eastAsia"/>
              </w:rPr>
              <w:t>³</w:t>
            </w:r>
            <w:r>
              <w:t>/h</w:t>
            </w:r>
            <w:r>
              <w:rPr>
                <w:rFonts w:hint="eastAsia"/>
              </w:rPr>
              <w:t>，布置在盱眙新港作业区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1AB0FA">
            <w:pPr>
              <w:pStyle w:val="196"/>
            </w:pPr>
            <w:r>
              <w:rPr>
                <w:rFonts w:hint="eastAsia"/>
              </w:rPr>
              <w:t>总能力不少于</w:t>
            </w:r>
            <w:r>
              <w:t>1m</w:t>
            </w:r>
            <w:r>
              <w:rPr>
                <w:rFonts w:hint="eastAsia"/>
              </w:rPr>
              <w:t>³</w:t>
            </w:r>
            <w:r>
              <w:t>/h</w:t>
            </w:r>
            <w:r>
              <w:rPr>
                <w:rFonts w:hint="eastAsia"/>
              </w:rPr>
              <w:t>，布置在新港作业区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04563D">
            <w:pPr>
              <w:pStyle w:val="196"/>
            </w:pPr>
            <w:r>
              <w:rPr>
                <w:rFonts w:hint="eastAsia"/>
              </w:rPr>
              <w:t>总能力不少于</w:t>
            </w:r>
            <w:r>
              <w:t>1m</w:t>
            </w:r>
            <w:r>
              <w:rPr>
                <w:rFonts w:hint="eastAsia"/>
              </w:rPr>
              <w:t>³</w:t>
            </w:r>
            <w:r>
              <w:t>/h</w:t>
            </w:r>
            <w:r>
              <w:rPr>
                <w:rFonts w:hint="eastAsia"/>
              </w:rPr>
              <w:t>，布置在新港作业区</w:t>
            </w:r>
          </w:p>
        </w:tc>
      </w:tr>
      <w:tr w14:paraId="243E57A6">
        <w:tblPrEx>
          <w:tblCellMar>
            <w:top w:w="0" w:type="dxa"/>
            <w:left w:w="0" w:type="dxa"/>
            <w:bottom w:w="0" w:type="dxa"/>
            <w:right w:w="0" w:type="dxa"/>
          </w:tblCellMar>
        </w:tblPrEx>
        <w:trPr>
          <w:trHeight w:val="540" w:hRule="atLeast"/>
          <w:jc w:val="center"/>
        </w:trPr>
        <w:tc>
          <w:tcPr>
            <w:tcW w:w="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3916F3">
            <w:pPr>
              <w:pStyle w:val="196"/>
            </w:pPr>
            <w:r>
              <w:rPr>
                <w:rFonts w:hint="eastAsia"/>
              </w:rPr>
              <w:t>吸油材料</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322B30">
            <w:pPr>
              <w:pStyle w:val="196"/>
            </w:pPr>
            <w:r>
              <w:rPr>
                <w:rFonts w:hint="eastAsia"/>
              </w:rPr>
              <w:t>不少于</w:t>
            </w:r>
            <w:r>
              <w:t>2.2t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AFB226">
            <w:pPr>
              <w:pStyle w:val="196"/>
            </w:pPr>
            <w:r>
              <w:rPr>
                <w:rFonts w:hint="eastAsia"/>
              </w:rPr>
              <w:t>不少于</w:t>
            </w:r>
            <w:r>
              <w:t>2.2t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5209E3">
            <w:pPr>
              <w:pStyle w:val="196"/>
            </w:pPr>
            <w:r>
              <w:rPr>
                <w:rFonts w:hint="eastAsia"/>
              </w:rPr>
              <w:t>不少于</w:t>
            </w:r>
            <w:r>
              <w:t>2.2t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521824">
            <w:pPr>
              <w:pStyle w:val="196"/>
            </w:pPr>
            <w:r>
              <w:rPr>
                <w:rFonts w:hint="eastAsia"/>
              </w:rPr>
              <w:t>不少于</w:t>
            </w:r>
            <w:r>
              <w:t>0.2t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750348">
            <w:pPr>
              <w:pStyle w:val="196"/>
            </w:pPr>
            <w:r>
              <w:rPr>
                <w:rFonts w:hint="eastAsia"/>
              </w:rPr>
              <w:t>不少于</w:t>
            </w:r>
            <w:r>
              <w:t>0.2t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BB1B4">
            <w:pPr>
              <w:pStyle w:val="196"/>
            </w:pPr>
            <w:r>
              <w:rPr>
                <w:rFonts w:hint="eastAsia"/>
              </w:rPr>
              <w:t>不少于</w:t>
            </w:r>
            <w:r>
              <w:t>0.2t</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AD2A59">
            <w:pPr>
              <w:pStyle w:val="196"/>
            </w:pPr>
            <w:r>
              <w:rPr>
                <w:rFonts w:hint="eastAsia"/>
              </w:rPr>
              <w:t>不少于</w:t>
            </w:r>
            <w:r>
              <w:t>0.2t</w:t>
            </w:r>
          </w:p>
        </w:tc>
      </w:tr>
      <w:tr w14:paraId="275684B3">
        <w:tblPrEx>
          <w:tblCellMar>
            <w:top w:w="0" w:type="dxa"/>
            <w:left w:w="0" w:type="dxa"/>
            <w:bottom w:w="0" w:type="dxa"/>
            <w:right w:w="0" w:type="dxa"/>
          </w:tblCellMar>
        </w:tblPrEx>
        <w:trPr>
          <w:trHeight w:val="1035" w:hRule="atLeast"/>
          <w:jc w:val="center"/>
        </w:trPr>
        <w:tc>
          <w:tcPr>
            <w:tcW w:w="7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B54171">
            <w:pPr>
              <w:pStyle w:val="196"/>
            </w:pPr>
            <w:r>
              <w:rPr>
                <w:rFonts w:hint="eastAsia"/>
              </w:rPr>
              <w:t>围油栏布放艇</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C4020">
            <w:pPr>
              <w:pStyle w:val="196"/>
            </w:pPr>
            <w:r>
              <w:rPr>
                <w:rFonts w:hint="eastAsia"/>
              </w:rPr>
              <w:t>1套，里运河工业作业区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54EEAD">
            <w:pPr>
              <w:pStyle w:val="196"/>
            </w:pPr>
            <w:r>
              <w:rPr>
                <w:rFonts w:hint="eastAsia"/>
              </w:rPr>
              <w:t>1套，布置在苏淮高新作业区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56826">
            <w:pPr>
              <w:pStyle w:val="196"/>
            </w:pPr>
            <w:r>
              <w:rPr>
                <w:rFonts w:hint="eastAsia"/>
              </w:rPr>
              <w:t>1套，布置在城西作业区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8932AC">
            <w:pPr>
              <w:pStyle w:val="196"/>
            </w:pPr>
            <w:r>
              <w:rPr>
                <w:rFonts w:hint="eastAsia"/>
              </w:rPr>
              <w:t>1套，布置在三河作业区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69EB83">
            <w:pPr>
              <w:pStyle w:val="196"/>
            </w:pPr>
            <w:r>
              <w:rPr>
                <w:rFonts w:hint="eastAsia"/>
              </w:rPr>
              <w:t>1套，布置在盱眙新港作业区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7D0AAE">
            <w:pPr>
              <w:pStyle w:val="196"/>
            </w:pPr>
            <w:r>
              <w:rPr>
                <w:rFonts w:hint="eastAsia"/>
              </w:rPr>
              <w:t>1套，布置在新港作业区</w:t>
            </w:r>
          </w:p>
        </w:tc>
        <w:tc>
          <w:tcPr>
            <w:tcW w:w="113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0FAC6C">
            <w:pPr>
              <w:pStyle w:val="196"/>
            </w:pPr>
            <w:r>
              <w:rPr>
                <w:rFonts w:hint="eastAsia"/>
              </w:rPr>
              <w:t>1套，布置在新港作业区</w:t>
            </w:r>
          </w:p>
        </w:tc>
      </w:tr>
    </w:tbl>
    <w:p w14:paraId="615B9D41">
      <w:pPr>
        <w:pStyle w:val="86"/>
      </w:pPr>
      <w:r>
        <w:rPr>
          <w:rFonts w:hint="eastAsia"/>
        </w:rPr>
        <w:t>突发环境事件外部应急救援部门联系方式</w:t>
      </w:r>
    </w:p>
    <w:tbl>
      <w:tblPr>
        <w:tblStyle w:val="38"/>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445"/>
        <w:gridCol w:w="3979"/>
      </w:tblGrid>
      <w:tr w14:paraId="2B84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11" w:type="dxa"/>
            <w:vAlign w:val="center"/>
          </w:tcPr>
          <w:p w14:paraId="2AA6A26A">
            <w:pPr>
              <w:pStyle w:val="196"/>
              <w:rPr>
                <w:b/>
                <w:bCs/>
              </w:rPr>
            </w:pPr>
            <w:r>
              <w:rPr>
                <w:b/>
                <w:bCs/>
              </w:rPr>
              <w:t>序号</w:t>
            </w:r>
          </w:p>
        </w:tc>
        <w:tc>
          <w:tcPr>
            <w:tcW w:w="4445" w:type="dxa"/>
            <w:vAlign w:val="center"/>
          </w:tcPr>
          <w:p w14:paraId="55B19765">
            <w:pPr>
              <w:pStyle w:val="196"/>
              <w:rPr>
                <w:b/>
                <w:bCs/>
              </w:rPr>
            </w:pPr>
            <w:r>
              <w:rPr>
                <w:b/>
                <w:bCs/>
              </w:rPr>
              <w:t>政府部门及有关单位</w:t>
            </w:r>
          </w:p>
        </w:tc>
        <w:tc>
          <w:tcPr>
            <w:tcW w:w="3979" w:type="dxa"/>
            <w:vAlign w:val="center"/>
          </w:tcPr>
          <w:p w14:paraId="1909E432">
            <w:pPr>
              <w:pStyle w:val="196"/>
              <w:rPr>
                <w:b/>
                <w:bCs/>
              </w:rPr>
            </w:pPr>
            <w:r>
              <w:rPr>
                <w:b/>
                <w:bCs/>
              </w:rPr>
              <w:t>联系电话</w:t>
            </w:r>
          </w:p>
        </w:tc>
      </w:tr>
      <w:tr w14:paraId="17B2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05A2162E">
            <w:pPr>
              <w:pStyle w:val="196"/>
            </w:pPr>
            <w:r>
              <w:t>1</w:t>
            </w:r>
          </w:p>
        </w:tc>
        <w:tc>
          <w:tcPr>
            <w:tcW w:w="4445" w:type="dxa"/>
            <w:vAlign w:val="center"/>
          </w:tcPr>
          <w:p w14:paraId="3639A386">
            <w:pPr>
              <w:pStyle w:val="196"/>
            </w:pPr>
            <w:r>
              <w:t>淮安市政府值班室</w:t>
            </w:r>
          </w:p>
        </w:tc>
        <w:tc>
          <w:tcPr>
            <w:tcW w:w="3979" w:type="dxa"/>
            <w:vAlign w:val="center"/>
          </w:tcPr>
          <w:p w14:paraId="5C432A17">
            <w:pPr>
              <w:pStyle w:val="196"/>
            </w:pPr>
            <w:r>
              <w:t>12345/0517-83943499</w:t>
            </w:r>
          </w:p>
        </w:tc>
      </w:tr>
      <w:tr w14:paraId="1CD74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37426EA2">
            <w:pPr>
              <w:pStyle w:val="196"/>
            </w:pPr>
            <w:r>
              <w:t>2</w:t>
            </w:r>
          </w:p>
        </w:tc>
        <w:tc>
          <w:tcPr>
            <w:tcW w:w="4445" w:type="dxa"/>
            <w:vAlign w:val="center"/>
          </w:tcPr>
          <w:p w14:paraId="0A9AFB92">
            <w:pPr>
              <w:pStyle w:val="196"/>
            </w:pPr>
            <w:r>
              <w:t>淮安市生态环境局值班室</w:t>
            </w:r>
          </w:p>
        </w:tc>
        <w:tc>
          <w:tcPr>
            <w:tcW w:w="3979" w:type="dxa"/>
            <w:vAlign w:val="center"/>
          </w:tcPr>
          <w:p w14:paraId="76B1C4C9">
            <w:pPr>
              <w:pStyle w:val="196"/>
            </w:pPr>
            <w:r>
              <w:t>12345/0517-83674771</w:t>
            </w:r>
          </w:p>
        </w:tc>
      </w:tr>
      <w:tr w14:paraId="0551A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0AE88BBC">
            <w:pPr>
              <w:pStyle w:val="196"/>
            </w:pPr>
            <w:r>
              <w:t>3</w:t>
            </w:r>
          </w:p>
        </w:tc>
        <w:tc>
          <w:tcPr>
            <w:tcW w:w="4445" w:type="dxa"/>
            <w:vAlign w:val="center"/>
          </w:tcPr>
          <w:p w14:paraId="16456080">
            <w:pPr>
              <w:pStyle w:val="196"/>
            </w:pPr>
            <w:r>
              <w:t>涟水县政府值班室</w:t>
            </w:r>
          </w:p>
        </w:tc>
        <w:tc>
          <w:tcPr>
            <w:tcW w:w="3979" w:type="dxa"/>
            <w:vAlign w:val="center"/>
          </w:tcPr>
          <w:p w14:paraId="7E93C0A0">
            <w:pPr>
              <w:pStyle w:val="196"/>
            </w:pPr>
            <w:r>
              <w:t>12345/0517-82380800</w:t>
            </w:r>
          </w:p>
        </w:tc>
      </w:tr>
      <w:tr w14:paraId="4955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289FFA22">
            <w:pPr>
              <w:pStyle w:val="196"/>
            </w:pPr>
            <w:r>
              <w:t>4</w:t>
            </w:r>
          </w:p>
        </w:tc>
        <w:tc>
          <w:tcPr>
            <w:tcW w:w="4445" w:type="dxa"/>
            <w:vAlign w:val="center"/>
          </w:tcPr>
          <w:p w14:paraId="1C4BB1D6">
            <w:pPr>
              <w:pStyle w:val="196"/>
            </w:pPr>
            <w:r>
              <w:t>涟水生态环境局</w:t>
            </w:r>
          </w:p>
        </w:tc>
        <w:tc>
          <w:tcPr>
            <w:tcW w:w="3979" w:type="dxa"/>
            <w:vAlign w:val="center"/>
          </w:tcPr>
          <w:p w14:paraId="1EF21D29">
            <w:pPr>
              <w:pStyle w:val="196"/>
            </w:pPr>
            <w:r>
              <w:t>12345/0517-82396827</w:t>
            </w:r>
          </w:p>
        </w:tc>
      </w:tr>
      <w:tr w14:paraId="2D3F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6D4896E1">
            <w:pPr>
              <w:pStyle w:val="196"/>
            </w:pPr>
            <w:r>
              <w:t>5</w:t>
            </w:r>
          </w:p>
        </w:tc>
        <w:tc>
          <w:tcPr>
            <w:tcW w:w="4445" w:type="dxa"/>
            <w:vAlign w:val="center"/>
          </w:tcPr>
          <w:p w14:paraId="14D1144D">
            <w:pPr>
              <w:pStyle w:val="196"/>
            </w:pPr>
            <w:r>
              <w:t>涟水县应急管理局</w:t>
            </w:r>
          </w:p>
        </w:tc>
        <w:tc>
          <w:tcPr>
            <w:tcW w:w="3979" w:type="dxa"/>
            <w:vAlign w:val="center"/>
          </w:tcPr>
          <w:p w14:paraId="34048A71">
            <w:pPr>
              <w:pStyle w:val="196"/>
            </w:pPr>
            <w:r>
              <w:t>12345/0517-82381995</w:t>
            </w:r>
          </w:p>
        </w:tc>
      </w:tr>
      <w:tr w14:paraId="73B1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05BEBA0D">
            <w:pPr>
              <w:pStyle w:val="196"/>
            </w:pPr>
            <w:r>
              <w:t>6</w:t>
            </w:r>
          </w:p>
        </w:tc>
        <w:tc>
          <w:tcPr>
            <w:tcW w:w="4445" w:type="dxa"/>
            <w:vAlign w:val="center"/>
          </w:tcPr>
          <w:p w14:paraId="00F4332F">
            <w:pPr>
              <w:pStyle w:val="196"/>
            </w:pPr>
            <w:r>
              <w:t>涟水县环境监测站</w:t>
            </w:r>
          </w:p>
        </w:tc>
        <w:tc>
          <w:tcPr>
            <w:tcW w:w="3979" w:type="dxa"/>
            <w:vAlign w:val="center"/>
          </w:tcPr>
          <w:p w14:paraId="335C36DD">
            <w:pPr>
              <w:pStyle w:val="196"/>
            </w:pPr>
            <w:r>
              <w:t>0517-82396817</w:t>
            </w:r>
          </w:p>
        </w:tc>
      </w:tr>
      <w:tr w14:paraId="3115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7FEA3A82">
            <w:pPr>
              <w:pStyle w:val="196"/>
            </w:pPr>
            <w:r>
              <w:t>7</w:t>
            </w:r>
          </w:p>
        </w:tc>
        <w:tc>
          <w:tcPr>
            <w:tcW w:w="4445" w:type="dxa"/>
            <w:vAlign w:val="center"/>
          </w:tcPr>
          <w:p w14:paraId="57D393DF">
            <w:pPr>
              <w:pStyle w:val="196"/>
            </w:pPr>
            <w:r>
              <w:t>淮安市应急管理局</w:t>
            </w:r>
          </w:p>
        </w:tc>
        <w:tc>
          <w:tcPr>
            <w:tcW w:w="3979" w:type="dxa"/>
            <w:vAlign w:val="center"/>
          </w:tcPr>
          <w:p w14:paraId="6ADCBB95">
            <w:pPr>
              <w:pStyle w:val="196"/>
            </w:pPr>
            <w:r>
              <w:t>12345/0517-83508069</w:t>
            </w:r>
          </w:p>
        </w:tc>
      </w:tr>
      <w:tr w14:paraId="65EA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17604A14">
            <w:pPr>
              <w:pStyle w:val="196"/>
            </w:pPr>
            <w:r>
              <w:t>8</w:t>
            </w:r>
          </w:p>
        </w:tc>
        <w:tc>
          <w:tcPr>
            <w:tcW w:w="4445" w:type="dxa"/>
            <w:vAlign w:val="center"/>
          </w:tcPr>
          <w:p w14:paraId="6406B170">
            <w:pPr>
              <w:pStyle w:val="196"/>
            </w:pPr>
            <w:r>
              <w:rPr>
                <w:rFonts w:hint="eastAsia"/>
              </w:rPr>
              <w:t>涟水县水利局</w:t>
            </w:r>
          </w:p>
        </w:tc>
        <w:tc>
          <w:tcPr>
            <w:tcW w:w="3979" w:type="dxa"/>
            <w:vAlign w:val="center"/>
          </w:tcPr>
          <w:p w14:paraId="6FD1FD29">
            <w:pPr>
              <w:pStyle w:val="196"/>
            </w:pPr>
            <w:r>
              <w:t>0517-2381074</w:t>
            </w:r>
          </w:p>
        </w:tc>
      </w:tr>
      <w:tr w14:paraId="1C13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5E4890F8">
            <w:pPr>
              <w:pStyle w:val="196"/>
            </w:pPr>
            <w:r>
              <w:t>9</w:t>
            </w:r>
          </w:p>
        </w:tc>
        <w:tc>
          <w:tcPr>
            <w:tcW w:w="4445" w:type="dxa"/>
            <w:vAlign w:val="center"/>
          </w:tcPr>
          <w:p w14:paraId="20EE6624">
            <w:pPr>
              <w:pStyle w:val="196"/>
            </w:pPr>
            <w:r>
              <w:t>淮安市环境监测中心站</w:t>
            </w:r>
          </w:p>
        </w:tc>
        <w:tc>
          <w:tcPr>
            <w:tcW w:w="3979" w:type="dxa"/>
            <w:vAlign w:val="center"/>
          </w:tcPr>
          <w:p w14:paraId="74D14A11">
            <w:pPr>
              <w:pStyle w:val="196"/>
            </w:pPr>
            <w:r>
              <w:t>0517-83673516</w:t>
            </w:r>
          </w:p>
        </w:tc>
      </w:tr>
      <w:tr w14:paraId="6B28D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2FD4B88B">
            <w:pPr>
              <w:pStyle w:val="196"/>
            </w:pPr>
            <w:r>
              <w:t>10</w:t>
            </w:r>
          </w:p>
        </w:tc>
        <w:tc>
          <w:tcPr>
            <w:tcW w:w="4445" w:type="dxa"/>
            <w:vAlign w:val="center"/>
          </w:tcPr>
          <w:p w14:paraId="0EB86C7D">
            <w:pPr>
              <w:pStyle w:val="196"/>
            </w:pPr>
            <w:r>
              <w:t>公安</w:t>
            </w:r>
          </w:p>
        </w:tc>
        <w:tc>
          <w:tcPr>
            <w:tcW w:w="3979" w:type="dxa"/>
            <w:vAlign w:val="center"/>
          </w:tcPr>
          <w:p w14:paraId="5426AF88">
            <w:pPr>
              <w:pStyle w:val="196"/>
            </w:pPr>
            <w:r>
              <w:t>110</w:t>
            </w:r>
          </w:p>
        </w:tc>
      </w:tr>
      <w:tr w14:paraId="6AFB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17C4F554">
            <w:pPr>
              <w:pStyle w:val="196"/>
            </w:pPr>
            <w:r>
              <w:t>11</w:t>
            </w:r>
          </w:p>
        </w:tc>
        <w:tc>
          <w:tcPr>
            <w:tcW w:w="4445" w:type="dxa"/>
            <w:vAlign w:val="center"/>
          </w:tcPr>
          <w:p w14:paraId="7A0456AD">
            <w:pPr>
              <w:pStyle w:val="196"/>
            </w:pPr>
            <w:r>
              <w:t>消防</w:t>
            </w:r>
          </w:p>
        </w:tc>
        <w:tc>
          <w:tcPr>
            <w:tcW w:w="3979" w:type="dxa"/>
            <w:vAlign w:val="center"/>
          </w:tcPr>
          <w:p w14:paraId="137E2FC6">
            <w:pPr>
              <w:pStyle w:val="196"/>
            </w:pPr>
            <w:r>
              <w:t>119</w:t>
            </w:r>
          </w:p>
        </w:tc>
      </w:tr>
      <w:tr w14:paraId="5B96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4CB9C1EF">
            <w:pPr>
              <w:pStyle w:val="196"/>
            </w:pPr>
            <w:r>
              <w:t>12</w:t>
            </w:r>
          </w:p>
        </w:tc>
        <w:tc>
          <w:tcPr>
            <w:tcW w:w="4445" w:type="dxa"/>
            <w:vAlign w:val="center"/>
          </w:tcPr>
          <w:p w14:paraId="0D51CB90">
            <w:pPr>
              <w:pStyle w:val="196"/>
            </w:pPr>
            <w:r>
              <w:t>交通事故</w:t>
            </w:r>
          </w:p>
        </w:tc>
        <w:tc>
          <w:tcPr>
            <w:tcW w:w="3979" w:type="dxa"/>
            <w:vAlign w:val="center"/>
          </w:tcPr>
          <w:p w14:paraId="15FB0FB5">
            <w:pPr>
              <w:pStyle w:val="196"/>
            </w:pPr>
            <w:r>
              <w:t>112</w:t>
            </w:r>
          </w:p>
        </w:tc>
      </w:tr>
      <w:tr w14:paraId="1E92B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31613C77">
            <w:pPr>
              <w:pStyle w:val="196"/>
            </w:pPr>
            <w:r>
              <w:t>13</w:t>
            </w:r>
          </w:p>
        </w:tc>
        <w:tc>
          <w:tcPr>
            <w:tcW w:w="4445" w:type="dxa"/>
            <w:vAlign w:val="center"/>
          </w:tcPr>
          <w:p w14:paraId="7A5975AC">
            <w:pPr>
              <w:pStyle w:val="196"/>
            </w:pPr>
            <w:r>
              <w:t>国家化学事故应急咨询</w:t>
            </w:r>
          </w:p>
        </w:tc>
        <w:tc>
          <w:tcPr>
            <w:tcW w:w="3979" w:type="dxa"/>
            <w:vAlign w:val="center"/>
          </w:tcPr>
          <w:p w14:paraId="55043C85">
            <w:pPr>
              <w:pStyle w:val="196"/>
            </w:pPr>
            <w:r>
              <w:t>0532-83889090</w:t>
            </w:r>
          </w:p>
        </w:tc>
      </w:tr>
      <w:tr w14:paraId="0A57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7C77E417">
            <w:pPr>
              <w:pStyle w:val="196"/>
            </w:pPr>
            <w:r>
              <w:t>14</w:t>
            </w:r>
          </w:p>
        </w:tc>
        <w:tc>
          <w:tcPr>
            <w:tcW w:w="4445" w:type="dxa"/>
            <w:vAlign w:val="center"/>
          </w:tcPr>
          <w:p w14:paraId="1E76479C">
            <w:pPr>
              <w:pStyle w:val="196"/>
            </w:pPr>
            <w:r>
              <w:t>化学事故应急救援中心上海抢救中心</w:t>
            </w:r>
          </w:p>
        </w:tc>
        <w:tc>
          <w:tcPr>
            <w:tcW w:w="3979" w:type="dxa"/>
            <w:vAlign w:val="center"/>
          </w:tcPr>
          <w:p w14:paraId="3AA5EBE3">
            <w:pPr>
              <w:pStyle w:val="196"/>
            </w:pPr>
            <w:r>
              <w:t>021-62533429</w:t>
            </w:r>
          </w:p>
        </w:tc>
      </w:tr>
      <w:tr w14:paraId="5E87E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1" w:type="dxa"/>
            <w:vAlign w:val="center"/>
          </w:tcPr>
          <w:p w14:paraId="4DEC211F">
            <w:pPr>
              <w:pStyle w:val="196"/>
            </w:pPr>
            <w:r>
              <w:rPr>
                <w:rFonts w:hint="eastAsia"/>
                <w:lang w:val="en-US"/>
              </w:rPr>
              <w:t>15</w:t>
            </w:r>
          </w:p>
        </w:tc>
        <w:tc>
          <w:tcPr>
            <w:tcW w:w="4445" w:type="dxa"/>
            <w:vAlign w:val="center"/>
          </w:tcPr>
          <w:p w14:paraId="76BF89CF">
            <w:pPr>
              <w:pStyle w:val="196"/>
            </w:pPr>
            <w:r>
              <w:t>国家中毒控制中心</w:t>
            </w:r>
          </w:p>
        </w:tc>
        <w:tc>
          <w:tcPr>
            <w:tcW w:w="3979" w:type="dxa"/>
            <w:vAlign w:val="center"/>
          </w:tcPr>
          <w:p w14:paraId="2D16CB74">
            <w:pPr>
              <w:pStyle w:val="196"/>
            </w:pPr>
            <w:r>
              <w:t>(010)63131122</w:t>
            </w:r>
            <w:r>
              <w:rPr>
                <w:rFonts w:hint="eastAsia"/>
                <w:lang w:eastAsia="zh-CN"/>
              </w:rPr>
              <w:t>（</w:t>
            </w:r>
            <w:r>
              <w:t>中继线</w:t>
            </w:r>
            <w:r>
              <w:rPr>
                <w:rFonts w:hint="eastAsia"/>
                <w:lang w:eastAsia="zh-CN"/>
              </w:rPr>
              <w:t>）</w:t>
            </w:r>
            <w:r>
              <w:t>，83163338（备用）</w:t>
            </w:r>
          </w:p>
        </w:tc>
      </w:tr>
    </w:tbl>
    <w:p w14:paraId="2A52DE86">
      <w:pPr>
        <w:pStyle w:val="196"/>
      </w:pPr>
    </w:p>
    <w:p w14:paraId="3D2D9C39">
      <w:pPr>
        <w:pStyle w:val="139"/>
        <w:ind w:firstLine="480"/>
        <w:rPr>
          <w:color w:val="auto"/>
        </w:rPr>
      </w:pPr>
      <w:r>
        <w:rPr>
          <w:rFonts w:hint="eastAsia"/>
          <w:color w:val="auto"/>
        </w:rPr>
        <w:t>④应急队伍的建立</w:t>
      </w:r>
    </w:p>
    <w:p w14:paraId="19CEFE57">
      <w:pPr>
        <w:pStyle w:val="139"/>
        <w:ind w:firstLine="480"/>
        <w:rPr>
          <w:color w:val="auto"/>
        </w:rPr>
      </w:pPr>
      <w:r>
        <w:rPr>
          <w:rFonts w:hint="eastAsia"/>
          <w:color w:val="auto"/>
        </w:rPr>
        <w:t>经过近年来的不断建设，以海事、交通运输、公安、渔业、安监及其他政府部门和事业单位的专业应急力量在人员搜救、事故抢险、治安维护、交通疏导等方面发挥了重要作用，以港口企业职工组成的兼职溢油及危化品泄漏应急队伍在溢油回收、危化品处置等方面具有专业优势，以过往船只、民间救援队等组成的社会救援力量在人员搜救方面提供了良好的补充。目前，淮安市拥有的水上船舶防污染应急队伍主要由两方面组成，一方面是由辖区属地海事处的海事行业管理人员组成；另一方面由港口码头企业和蓝天志愿者救援队组成。总体上来看，现有的应急队伍构成能够应对一般水上突发事件，降低船舶污染事故造成水域环境污染的概率。</w:t>
      </w:r>
    </w:p>
    <w:p w14:paraId="35001BF5">
      <w:pPr>
        <w:pStyle w:val="139"/>
        <w:ind w:firstLine="480"/>
        <w:rPr>
          <w:color w:val="auto"/>
        </w:rPr>
      </w:pPr>
      <w:r>
        <w:rPr>
          <w:rFonts w:hint="eastAsia"/>
          <w:color w:val="auto"/>
        </w:rPr>
        <w:t>⑤监视监控跟踪水平近年来，淮安市应急信息系统基础设施初具规模，淮安市地方海事局在淮阴区、淮安区、洪泽区建设“水上交通指挥中心”，利用VITS系统、CCTV系统，现有的海巡船艇日常巡航、重点水域执勤点、VITS、AIS监控系统、VHF甚高频等。在巡航检查过程中及时发现船舶污染事故，船舶污染监视监测系统初步建立。现有监控设备仅能做到对重点水域、重点航段、重要渡口等通航水域进行在线实时监控。根据省级文件精神，未来淮安市要求对全断面、全流域进行实时监控。</w:t>
      </w:r>
    </w:p>
    <w:p w14:paraId="4D2110A7">
      <w:pPr>
        <w:pStyle w:val="139"/>
        <w:ind w:firstLine="480"/>
        <w:rPr>
          <w:color w:val="auto"/>
        </w:rPr>
      </w:pPr>
      <w:r>
        <w:rPr>
          <w:rFonts w:hint="eastAsia"/>
          <w:color w:val="auto"/>
        </w:rPr>
        <w:t>⑥后方厂区及周边企业应急物</w:t>
      </w:r>
      <w:r>
        <w:rPr>
          <w:rFonts w:hint="eastAsia"/>
          <w:color w:val="auto"/>
          <w:lang w:eastAsia="zh-CN"/>
        </w:rPr>
        <w:t>资</w:t>
      </w:r>
    </w:p>
    <w:p w14:paraId="19067305">
      <w:pPr>
        <w:pStyle w:val="139"/>
        <w:ind w:firstLine="480"/>
        <w:rPr>
          <w:color w:val="auto"/>
        </w:rPr>
      </w:pPr>
      <w:r>
        <w:rPr>
          <w:rFonts w:hint="eastAsia"/>
          <w:color w:val="auto"/>
        </w:rPr>
        <w:t>根据热电项目环评，热电项目配备了环境风险应急物资，可在本项目发生风险事故时应急使用。具体见下表。</w:t>
      </w:r>
    </w:p>
    <w:p w14:paraId="5437CCCD">
      <w:pPr>
        <w:pStyle w:val="86"/>
      </w:pPr>
      <w:r>
        <w:rPr>
          <w:rFonts w:hint="eastAsia"/>
        </w:rPr>
        <w:t>后方厂区环境风险应急物资一览表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973"/>
        <w:gridCol w:w="1110"/>
        <w:gridCol w:w="842"/>
        <w:gridCol w:w="1975"/>
      </w:tblGrid>
      <w:tr w14:paraId="7671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blHeader/>
          <w:jc w:val="center"/>
        </w:trPr>
        <w:tc>
          <w:tcPr>
            <w:tcW w:w="1983" w:type="dxa"/>
            <w:vAlign w:val="center"/>
          </w:tcPr>
          <w:p w14:paraId="625BBF9C">
            <w:pPr>
              <w:pStyle w:val="196"/>
              <w:rPr>
                <w:b/>
                <w:bCs/>
              </w:rPr>
            </w:pPr>
            <w:r>
              <w:rPr>
                <w:b/>
                <w:bCs/>
              </w:rPr>
              <w:t>物资名称</w:t>
            </w:r>
          </w:p>
        </w:tc>
        <w:tc>
          <w:tcPr>
            <w:tcW w:w="2973" w:type="dxa"/>
            <w:vAlign w:val="center"/>
          </w:tcPr>
          <w:p w14:paraId="74D2A946">
            <w:pPr>
              <w:pStyle w:val="196"/>
              <w:rPr>
                <w:b/>
                <w:bCs/>
              </w:rPr>
            </w:pPr>
            <w:r>
              <w:rPr>
                <w:b/>
                <w:bCs/>
              </w:rPr>
              <w:t>规格型号</w:t>
            </w:r>
          </w:p>
        </w:tc>
        <w:tc>
          <w:tcPr>
            <w:tcW w:w="1110" w:type="dxa"/>
            <w:vAlign w:val="center"/>
          </w:tcPr>
          <w:p w14:paraId="50B4C7F5">
            <w:pPr>
              <w:pStyle w:val="196"/>
              <w:rPr>
                <w:b/>
                <w:bCs/>
              </w:rPr>
            </w:pPr>
            <w:r>
              <w:rPr>
                <w:b/>
                <w:bCs/>
              </w:rPr>
              <w:t>单位</w:t>
            </w:r>
          </w:p>
        </w:tc>
        <w:tc>
          <w:tcPr>
            <w:tcW w:w="842" w:type="dxa"/>
            <w:vAlign w:val="center"/>
          </w:tcPr>
          <w:p w14:paraId="4267E0A3">
            <w:pPr>
              <w:pStyle w:val="196"/>
              <w:rPr>
                <w:b/>
                <w:bCs/>
              </w:rPr>
            </w:pPr>
            <w:r>
              <w:rPr>
                <w:b/>
                <w:bCs/>
              </w:rPr>
              <w:t>数量</w:t>
            </w:r>
          </w:p>
        </w:tc>
        <w:tc>
          <w:tcPr>
            <w:tcW w:w="1975" w:type="dxa"/>
            <w:vAlign w:val="center"/>
          </w:tcPr>
          <w:p w14:paraId="2621B6DE">
            <w:pPr>
              <w:pStyle w:val="196"/>
              <w:rPr>
                <w:b/>
                <w:bCs/>
              </w:rPr>
            </w:pPr>
            <w:r>
              <w:rPr>
                <w:b/>
                <w:bCs/>
              </w:rPr>
              <w:t>存储地点</w:t>
            </w:r>
          </w:p>
        </w:tc>
      </w:tr>
      <w:tr w14:paraId="71C1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C1153CB">
            <w:pPr>
              <w:pStyle w:val="196"/>
            </w:pPr>
            <w:r>
              <w:t>铁锹（尖锹）</w:t>
            </w:r>
          </w:p>
        </w:tc>
        <w:tc>
          <w:tcPr>
            <w:tcW w:w="2973" w:type="dxa"/>
            <w:vAlign w:val="center"/>
          </w:tcPr>
          <w:p w14:paraId="6FC889A8">
            <w:pPr>
              <w:pStyle w:val="196"/>
            </w:pPr>
            <w:r>
              <w:t>FT0222</w:t>
            </w:r>
          </w:p>
        </w:tc>
        <w:tc>
          <w:tcPr>
            <w:tcW w:w="1110" w:type="dxa"/>
            <w:vAlign w:val="center"/>
          </w:tcPr>
          <w:p w14:paraId="7B55D60F">
            <w:pPr>
              <w:pStyle w:val="196"/>
            </w:pPr>
            <w:r>
              <w:t>把</w:t>
            </w:r>
          </w:p>
        </w:tc>
        <w:tc>
          <w:tcPr>
            <w:tcW w:w="842" w:type="dxa"/>
            <w:vAlign w:val="center"/>
          </w:tcPr>
          <w:p w14:paraId="2701EA2C">
            <w:pPr>
              <w:pStyle w:val="196"/>
            </w:pPr>
            <w:r>
              <w:t>20</w:t>
            </w:r>
          </w:p>
        </w:tc>
        <w:tc>
          <w:tcPr>
            <w:tcW w:w="1975" w:type="dxa"/>
          </w:tcPr>
          <w:p w14:paraId="0F81630B">
            <w:pPr>
              <w:pStyle w:val="196"/>
            </w:pPr>
            <w:r>
              <w:rPr>
                <w:rFonts w:hint="eastAsia"/>
              </w:rPr>
              <w:t>办公区</w:t>
            </w:r>
          </w:p>
        </w:tc>
      </w:tr>
      <w:tr w14:paraId="1FB6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0CB9D09">
            <w:pPr>
              <w:pStyle w:val="196"/>
            </w:pPr>
            <w:r>
              <w:t>塑料布</w:t>
            </w:r>
          </w:p>
        </w:tc>
        <w:tc>
          <w:tcPr>
            <w:tcW w:w="2973" w:type="dxa"/>
            <w:vAlign w:val="center"/>
          </w:tcPr>
          <w:p w14:paraId="3E542960">
            <w:pPr>
              <w:pStyle w:val="196"/>
            </w:pPr>
            <w:r>
              <w:t>3</w:t>
            </w:r>
            <w:r>
              <w:rPr>
                <w:rFonts w:ascii="宋体" w:hAnsi="宋体"/>
              </w:rPr>
              <w:t>米</w:t>
            </w:r>
            <w:r>
              <w:t>*100</w:t>
            </w:r>
            <w:r>
              <w:rPr>
                <w:rFonts w:ascii="宋体" w:hAnsi="宋体"/>
              </w:rPr>
              <w:t>米</w:t>
            </w:r>
          </w:p>
        </w:tc>
        <w:tc>
          <w:tcPr>
            <w:tcW w:w="1110" w:type="dxa"/>
            <w:vAlign w:val="center"/>
          </w:tcPr>
          <w:p w14:paraId="3DC4302D">
            <w:pPr>
              <w:pStyle w:val="196"/>
            </w:pPr>
            <w:r>
              <w:t>卷</w:t>
            </w:r>
          </w:p>
        </w:tc>
        <w:tc>
          <w:tcPr>
            <w:tcW w:w="842" w:type="dxa"/>
            <w:vAlign w:val="center"/>
          </w:tcPr>
          <w:p w14:paraId="2A790232">
            <w:pPr>
              <w:pStyle w:val="196"/>
            </w:pPr>
            <w:r>
              <w:t>3</w:t>
            </w:r>
          </w:p>
        </w:tc>
        <w:tc>
          <w:tcPr>
            <w:tcW w:w="1975" w:type="dxa"/>
          </w:tcPr>
          <w:p w14:paraId="7F55F574">
            <w:pPr>
              <w:pStyle w:val="196"/>
            </w:pPr>
            <w:r>
              <w:rPr>
                <w:rFonts w:hint="eastAsia"/>
              </w:rPr>
              <w:t>办公区</w:t>
            </w:r>
          </w:p>
        </w:tc>
      </w:tr>
      <w:tr w14:paraId="171F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0A6D464">
            <w:pPr>
              <w:pStyle w:val="196"/>
            </w:pPr>
            <w:r>
              <w:t>移动电源盘</w:t>
            </w:r>
          </w:p>
        </w:tc>
        <w:tc>
          <w:tcPr>
            <w:tcW w:w="2973" w:type="dxa"/>
            <w:vAlign w:val="center"/>
          </w:tcPr>
          <w:p w14:paraId="0B2EE03D">
            <w:pPr>
              <w:pStyle w:val="196"/>
            </w:pPr>
            <w:r>
              <w:t>QF—C4</w:t>
            </w:r>
          </w:p>
        </w:tc>
        <w:tc>
          <w:tcPr>
            <w:tcW w:w="1110" w:type="dxa"/>
            <w:vAlign w:val="center"/>
          </w:tcPr>
          <w:p w14:paraId="205D4AD2">
            <w:pPr>
              <w:pStyle w:val="196"/>
            </w:pPr>
            <w:r>
              <w:t>只</w:t>
            </w:r>
          </w:p>
        </w:tc>
        <w:tc>
          <w:tcPr>
            <w:tcW w:w="842" w:type="dxa"/>
            <w:vAlign w:val="center"/>
          </w:tcPr>
          <w:p w14:paraId="360C18C8">
            <w:pPr>
              <w:pStyle w:val="196"/>
            </w:pPr>
            <w:r>
              <w:t>3</w:t>
            </w:r>
          </w:p>
        </w:tc>
        <w:tc>
          <w:tcPr>
            <w:tcW w:w="1975" w:type="dxa"/>
          </w:tcPr>
          <w:p w14:paraId="091F76DE">
            <w:pPr>
              <w:pStyle w:val="196"/>
            </w:pPr>
            <w:r>
              <w:rPr>
                <w:rFonts w:hint="eastAsia"/>
              </w:rPr>
              <w:t>办公区</w:t>
            </w:r>
          </w:p>
        </w:tc>
      </w:tr>
      <w:tr w14:paraId="19B8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C88AE3C">
            <w:pPr>
              <w:pStyle w:val="196"/>
            </w:pPr>
            <w:r>
              <w:t>编织袋</w:t>
            </w:r>
          </w:p>
        </w:tc>
        <w:tc>
          <w:tcPr>
            <w:tcW w:w="2973" w:type="dxa"/>
            <w:vAlign w:val="center"/>
          </w:tcPr>
          <w:p w14:paraId="629112F4">
            <w:pPr>
              <w:pStyle w:val="196"/>
            </w:pPr>
            <w:r>
              <w:t>75 kg</w:t>
            </w:r>
          </w:p>
        </w:tc>
        <w:tc>
          <w:tcPr>
            <w:tcW w:w="1110" w:type="dxa"/>
            <w:vAlign w:val="center"/>
          </w:tcPr>
          <w:p w14:paraId="72910EB4">
            <w:pPr>
              <w:pStyle w:val="196"/>
            </w:pPr>
            <w:r>
              <w:t>只</w:t>
            </w:r>
          </w:p>
        </w:tc>
        <w:tc>
          <w:tcPr>
            <w:tcW w:w="842" w:type="dxa"/>
            <w:vAlign w:val="center"/>
          </w:tcPr>
          <w:p w14:paraId="41EDF717">
            <w:pPr>
              <w:pStyle w:val="196"/>
            </w:pPr>
            <w:r>
              <w:t>500</w:t>
            </w:r>
          </w:p>
        </w:tc>
        <w:tc>
          <w:tcPr>
            <w:tcW w:w="1975" w:type="dxa"/>
          </w:tcPr>
          <w:p w14:paraId="612D162E">
            <w:pPr>
              <w:pStyle w:val="196"/>
            </w:pPr>
            <w:r>
              <w:rPr>
                <w:rFonts w:hint="eastAsia"/>
              </w:rPr>
              <w:t>办公区</w:t>
            </w:r>
          </w:p>
        </w:tc>
      </w:tr>
      <w:tr w14:paraId="771F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FCFD743">
            <w:pPr>
              <w:pStyle w:val="196"/>
            </w:pPr>
            <w:r>
              <w:t>雨靴</w:t>
            </w:r>
          </w:p>
        </w:tc>
        <w:tc>
          <w:tcPr>
            <w:tcW w:w="2973" w:type="dxa"/>
            <w:vAlign w:val="center"/>
          </w:tcPr>
          <w:p w14:paraId="43821821">
            <w:pPr>
              <w:pStyle w:val="196"/>
            </w:pPr>
            <w:r>
              <w:t>42</w:t>
            </w:r>
            <w:r>
              <w:rPr>
                <w:rFonts w:ascii="宋体" w:hAnsi="宋体"/>
              </w:rPr>
              <w:t>码</w:t>
            </w:r>
          </w:p>
        </w:tc>
        <w:tc>
          <w:tcPr>
            <w:tcW w:w="1110" w:type="dxa"/>
            <w:vAlign w:val="center"/>
          </w:tcPr>
          <w:p w14:paraId="70E48E51">
            <w:pPr>
              <w:pStyle w:val="196"/>
            </w:pPr>
            <w:r>
              <w:t>双</w:t>
            </w:r>
          </w:p>
        </w:tc>
        <w:tc>
          <w:tcPr>
            <w:tcW w:w="842" w:type="dxa"/>
            <w:vAlign w:val="center"/>
          </w:tcPr>
          <w:p w14:paraId="0B349B96">
            <w:pPr>
              <w:pStyle w:val="196"/>
            </w:pPr>
            <w:r>
              <w:t>15</w:t>
            </w:r>
          </w:p>
        </w:tc>
        <w:tc>
          <w:tcPr>
            <w:tcW w:w="1975" w:type="dxa"/>
          </w:tcPr>
          <w:p w14:paraId="7C417B2B">
            <w:pPr>
              <w:pStyle w:val="196"/>
            </w:pPr>
            <w:r>
              <w:rPr>
                <w:rFonts w:hint="eastAsia"/>
              </w:rPr>
              <w:t>办公区</w:t>
            </w:r>
          </w:p>
        </w:tc>
      </w:tr>
      <w:tr w14:paraId="0621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CF0D65D">
            <w:pPr>
              <w:pStyle w:val="196"/>
            </w:pPr>
            <w:r>
              <w:t>雨衣</w:t>
            </w:r>
          </w:p>
        </w:tc>
        <w:tc>
          <w:tcPr>
            <w:tcW w:w="2973" w:type="dxa"/>
            <w:vAlign w:val="center"/>
          </w:tcPr>
          <w:p w14:paraId="3E5CA765">
            <w:pPr>
              <w:pStyle w:val="196"/>
            </w:pPr>
            <w:r>
              <w:t xml:space="preserve"> XXL</w:t>
            </w:r>
          </w:p>
        </w:tc>
        <w:tc>
          <w:tcPr>
            <w:tcW w:w="1110" w:type="dxa"/>
            <w:vAlign w:val="center"/>
          </w:tcPr>
          <w:p w14:paraId="038EA00B">
            <w:pPr>
              <w:pStyle w:val="196"/>
            </w:pPr>
            <w:r>
              <w:t>套</w:t>
            </w:r>
          </w:p>
        </w:tc>
        <w:tc>
          <w:tcPr>
            <w:tcW w:w="842" w:type="dxa"/>
            <w:vAlign w:val="center"/>
          </w:tcPr>
          <w:p w14:paraId="119E6B04">
            <w:pPr>
              <w:pStyle w:val="196"/>
            </w:pPr>
            <w:r>
              <w:t>15</w:t>
            </w:r>
          </w:p>
        </w:tc>
        <w:tc>
          <w:tcPr>
            <w:tcW w:w="1975" w:type="dxa"/>
          </w:tcPr>
          <w:p w14:paraId="057C2198">
            <w:pPr>
              <w:pStyle w:val="196"/>
            </w:pPr>
            <w:r>
              <w:rPr>
                <w:rFonts w:hint="eastAsia"/>
              </w:rPr>
              <w:t>办公区</w:t>
            </w:r>
          </w:p>
        </w:tc>
      </w:tr>
      <w:tr w14:paraId="3D3B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B5EABD4">
            <w:pPr>
              <w:pStyle w:val="196"/>
            </w:pPr>
            <w:r>
              <w:t>安全带</w:t>
            </w:r>
          </w:p>
        </w:tc>
        <w:tc>
          <w:tcPr>
            <w:tcW w:w="2973" w:type="dxa"/>
            <w:vAlign w:val="center"/>
          </w:tcPr>
          <w:p w14:paraId="09F2CB45">
            <w:pPr>
              <w:pStyle w:val="196"/>
            </w:pPr>
            <w:r>
              <w:t>XGD—2</w:t>
            </w:r>
          </w:p>
        </w:tc>
        <w:tc>
          <w:tcPr>
            <w:tcW w:w="1110" w:type="dxa"/>
            <w:vAlign w:val="center"/>
          </w:tcPr>
          <w:p w14:paraId="426CD515">
            <w:pPr>
              <w:pStyle w:val="196"/>
            </w:pPr>
            <w:r>
              <w:t>根</w:t>
            </w:r>
          </w:p>
        </w:tc>
        <w:tc>
          <w:tcPr>
            <w:tcW w:w="842" w:type="dxa"/>
            <w:vAlign w:val="center"/>
          </w:tcPr>
          <w:p w14:paraId="64375740">
            <w:pPr>
              <w:pStyle w:val="196"/>
            </w:pPr>
            <w:r>
              <w:t>5</w:t>
            </w:r>
          </w:p>
        </w:tc>
        <w:tc>
          <w:tcPr>
            <w:tcW w:w="1975" w:type="dxa"/>
          </w:tcPr>
          <w:p w14:paraId="3A1B1D2C">
            <w:pPr>
              <w:pStyle w:val="196"/>
            </w:pPr>
            <w:r>
              <w:rPr>
                <w:rFonts w:hint="eastAsia"/>
              </w:rPr>
              <w:t>办公区</w:t>
            </w:r>
          </w:p>
        </w:tc>
      </w:tr>
      <w:tr w14:paraId="0B59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BDD5502">
            <w:pPr>
              <w:pStyle w:val="196"/>
            </w:pPr>
            <w:r>
              <w:t>强光远射灯</w:t>
            </w:r>
          </w:p>
        </w:tc>
        <w:tc>
          <w:tcPr>
            <w:tcW w:w="2973" w:type="dxa"/>
            <w:vAlign w:val="center"/>
          </w:tcPr>
          <w:p w14:paraId="1512DE48">
            <w:pPr>
              <w:pStyle w:val="196"/>
            </w:pPr>
            <w:r>
              <w:t>D08—A</w:t>
            </w:r>
          </w:p>
        </w:tc>
        <w:tc>
          <w:tcPr>
            <w:tcW w:w="1110" w:type="dxa"/>
            <w:vAlign w:val="center"/>
          </w:tcPr>
          <w:p w14:paraId="0FE63E9C">
            <w:pPr>
              <w:pStyle w:val="196"/>
            </w:pPr>
            <w:r>
              <w:t>台</w:t>
            </w:r>
          </w:p>
        </w:tc>
        <w:tc>
          <w:tcPr>
            <w:tcW w:w="842" w:type="dxa"/>
            <w:vAlign w:val="center"/>
          </w:tcPr>
          <w:p w14:paraId="0EFCA0F8">
            <w:pPr>
              <w:pStyle w:val="196"/>
            </w:pPr>
            <w:r>
              <w:t>2</w:t>
            </w:r>
          </w:p>
        </w:tc>
        <w:tc>
          <w:tcPr>
            <w:tcW w:w="1975" w:type="dxa"/>
          </w:tcPr>
          <w:p w14:paraId="0CB809B6">
            <w:pPr>
              <w:pStyle w:val="196"/>
            </w:pPr>
            <w:r>
              <w:rPr>
                <w:rFonts w:hint="eastAsia"/>
              </w:rPr>
              <w:t>办公区</w:t>
            </w:r>
          </w:p>
        </w:tc>
      </w:tr>
      <w:tr w14:paraId="5DCC1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AFC70CA">
            <w:pPr>
              <w:pStyle w:val="196"/>
            </w:pPr>
            <w:r>
              <w:t>麻绳</w:t>
            </w:r>
          </w:p>
        </w:tc>
        <w:tc>
          <w:tcPr>
            <w:tcW w:w="2973" w:type="dxa"/>
            <w:vAlign w:val="center"/>
          </w:tcPr>
          <w:p w14:paraId="4180004D">
            <w:pPr>
              <w:pStyle w:val="196"/>
            </w:pPr>
            <w:r>
              <w:t>直径20mm</w:t>
            </w:r>
          </w:p>
        </w:tc>
        <w:tc>
          <w:tcPr>
            <w:tcW w:w="1110" w:type="dxa"/>
            <w:vAlign w:val="center"/>
          </w:tcPr>
          <w:p w14:paraId="66985AD1">
            <w:pPr>
              <w:pStyle w:val="196"/>
            </w:pPr>
            <w:r>
              <w:t>米</w:t>
            </w:r>
          </w:p>
        </w:tc>
        <w:tc>
          <w:tcPr>
            <w:tcW w:w="842" w:type="dxa"/>
            <w:vAlign w:val="center"/>
          </w:tcPr>
          <w:p w14:paraId="7DE103C0">
            <w:pPr>
              <w:pStyle w:val="196"/>
            </w:pPr>
            <w:r>
              <w:t>100</w:t>
            </w:r>
          </w:p>
        </w:tc>
        <w:tc>
          <w:tcPr>
            <w:tcW w:w="1975" w:type="dxa"/>
          </w:tcPr>
          <w:p w14:paraId="3C59D84F">
            <w:pPr>
              <w:pStyle w:val="196"/>
            </w:pPr>
            <w:r>
              <w:rPr>
                <w:rFonts w:hint="eastAsia"/>
              </w:rPr>
              <w:t>办公区</w:t>
            </w:r>
          </w:p>
        </w:tc>
      </w:tr>
      <w:tr w14:paraId="67198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79846719">
            <w:pPr>
              <w:pStyle w:val="196"/>
            </w:pPr>
            <w:r>
              <w:t>潜水泵</w:t>
            </w:r>
          </w:p>
        </w:tc>
        <w:tc>
          <w:tcPr>
            <w:tcW w:w="2973" w:type="dxa"/>
            <w:vAlign w:val="center"/>
          </w:tcPr>
          <w:p w14:paraId="677429AF">
            <w:pPr>
              <w:pStyle w:val="196"/>
            </w:pPr>
            <w:r>
              <w:t>BQW15-22-3　</w:t>
            </w:r>
          </w:p>
        </w:tc>
        <w:tc>
          <w:tcPr>
            <w:tcW w:w="1110" w:type="dxa"/>
            <w:vAlign w:val="center"/>
          </w:tcPr>
          <w:p w14:paraId="6E70054C">
            <w:pPr>
              <w:pStyle w:val="196"/>
            </w:pPr>
            <w:r>
              <w:t>台</w:t>
            </w:r>
          </w:p>
        </w:tc>
        <w:tc>
          <w:tcPr>
            <w:tcW w:w="842" w:type="dxa"/>
            <w:vAlign w:val="center"/>
          </w:tcPr>
          <w:p w14:paraId="5A8835EF">
            <w:pPr>
              <w:pStyle w:val="196"/>
            </w:pPr>
            <w:r>
              <w:t>3</w:t>
            </w:r>
          </w:p>
        </w:tc>
        <w:tc>
          <w:tcPr>
            <w:tcW w:w="1975" w:type="dxa"/>
          </w:tcPr>
          <w:p w14:paraId="3689FF72">
            <w:pPr>
              <w:pStyle w:val="196"/>
            </w:pPr>
            <w:r>
              <w:rPr>
                <w:rFonts w:hint="eastAsia"/>
              </w:rPr>
              <w:t>办公区</w:t>
            </w:r>
          </w:p>
        </w:tc>
      </w:tr>
      <w:tr w14:paraId="5A24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98E4A7C">
            <w:pPr>
              <w:pStyle w:val="196"/>
            </w:pPr>
            <w:r>
              <w:t>全塑软管</w:t>
            </w:r>
          </w:p>
        </w:tc>
        <w:tc>
          <w:tcPr>
            <w:tcW w:w="2973" w:type="dxa"/>
            <w:vAlign w:val="center"/>
          </w:tcPr>
          <w:p w14:paraId="42CC5B73">
            <w:pPr>
              <w:pStyle w:val="196"/>
            </w:pPr>
            <w:r>
              <w:t>直径80mm</w:t>
            </w:r>
          </w:p>
        </w:tc>
        <w:tc>
          <w:tcPr>
            <w:tcW w:w="1110" w:type="dxa"/>
            <w:vAlign w:val="center"/>
          </w:tcPr>
          <w:p w14:paraId="34DD33E7">
            <w:pPr>
              <w:pStyle w:val="196"/>
            </w:pPr>
            <w:r>
              <w:t>米</w:t>
            </w:r>
          </w:p>
        </w:tc>
        <w:tc>
          <w:tcPr>
            <w:tcW w:w="842" w:type="dxa"/>
            <w:vAlign w:val="center"/>
          </w:tcPr>
          <w:p w14:paraId="251CF8B1">
            <w:pPr>
              <w:pStyle w:val="196"/>
            </w:pPr>
            <w:r>
              <w:t>40</w:t>
            </w:r>
          </w:p>
        </w:tc>
        <w:tc>
          <w:tcPr>
            <w:tcW w:w="1975" w:type="dxa"/>
            <w:vAlign w:val="center"/>
          </w:tcPr>
          <w:p w14:paraId="637D549F">
            <w:pPr>
              <w:pStyle w:val="196"/>
            </w:pPr>
            <w:r>
              <w:t>值班室</w:t>
            </w:r>
          </w:p>
        </w:tc>
      </w:tr>
      <w:tr w14:paraId="1647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D8664F7">
            <w:pPr>
              <w:pStyle w:val="196"/>
            </w:pPr>
            <w:r>
              <w:t>全塑软管</w:t>
            </w:r>
          </w:p>
        </w:tc>
        <w:tc>
          <w:tcPr>
            <w:tcW w:w="2973" w:type="dxa"/>
            <w:vAlign w:val="center"/>
          </w:tcPr>
          <w:p w14:paraId="67DC3431">
            <w:pPr>
              <w:pStyle w:val="196"/>
            </w:pPr>
            <w:r>
              <w:t>直径65mm</w:t>
            </w:r>
          </w:p>
        </w:tc>
        <w:tc>
          <w:tcPr>
            <w:tcW w:w="1110" w:type="dxa"/>
            <w:vAlign w:val="center"/>
          </w:tcPr>
          <w:p w14:paraId="05CB1B30">
            <w:pPr>
              <w:pStyle w:val="196"/>
            </w:pPr>
            <w:r>
              <w:t>米</w:t>
            </w:r>
          </w:p>
        </w:tc>
        <w:tc>
          <w:tcPr>
            <w:tcW w:w="842" w:type="dxa"/>
            <w:vAlign w:val="center"/>
          </w:tcPr>
          <w:p w14:paraId="5BDEBCAE">
            <w:pPr>
              <w:pStyle w:val="196"/>
            </w:pPr>
            <w:r>
              <w:t>120</w:t>
            </w:r>
          </w:p>
        </w:tc>
        <w:tc>
          <w:tcPr>
            <w:tcW w:w="1975" w:type="dxa"/>
            <w:vAlign w:val="center"/>
          </w:tcPr>
          <w:p w14:paraId="0AF93A8D">
            <w:pPr>
              <w:pStyle w:val="196"/>
            </w:pPr>
            <w:r>
              <w:t>值班室</w:t>
            </w:r>
          </w:p>
        </w:tc>
      </w:tr>
      <w:tr w14:paraId="21B6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1D436E4">
            <w:pPr>
              <w:pStyle w:val="196"/>
            </w:pPr>
            <w:r>
              <w:t>涂塑软管</w:t>
            </w:r>
          </w:p>
        </w:tc>
        <w:tc>
          <w:tcPr>
            <w:tcW w:w="2973" w:type="dxa"/>
            <w:vAlign w:val="center"/>
          </w:tcPr>
          <w:p w14:paraId="254AC4E9">
            <w:pPr>
              <w:pStyle w:val="196"/>
            </w:pPr>
            <w:r>
              <w:t>直径40mm</w:t>
            </w:r>
          </w:p>
        </w:tc>
        <w:tc>
          <w:tcPr>
            <w:tcW w:w="1110" w:type="dxa"/>
            <w:vAlign w:val="center"/>
          </w:tcPr>
          <w:p w14:paraId="4070F0B1">
            <w:pPr>
              <w:pStyle w:val="196"/>
            </w:pPr>
            <w:r>
              <w:t>米</w:t>
            </w:r>
          </w:p>
        </w:tc>
        <w:tc>
          <w:tcPr>
            <w:tcW w:w="842" w:type="dxa"/>
            <w:vAlign w:val="center"/>
          </w:tcPr>
          <w:p w14:paraId="47CE8C2B">
            <w:pPr>
              <w:pStyle w:val="196"/>
            </w:pPr>
            <w:r>
              <w:t>40</w:t>
            </w:r>
          </w:p>
        </w:tc>
        <w:tc>
          <w:tcPr>
            <w:tcW w:w="1975" w:type="dxa"/>
            <w:vAlign w:val="center"/>
          </w:tcPr>
          <w:p w14:paraId="59E42D9A">
            <w:pPr>
              <w:pStyle w:val="196"/>
            </w:pPr>
            <w:r>
              <w:t>值班室</w:t>
            </w:r>
          </w:p>
        </w:tc>
      </w:tr>
      <w:tr w14:paraId="42B94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CB1918E">
            <w:pPr>
              <w:pStyle w:val="196"/>
            </w:pPr>
            <w:r>
              <w:t>潜水泵软管</w:t>
            </w:r>
          </w:p>
        </w:tc>
        <w:tc>
          <w:tcPr>
            <w:tcW w:w="2973" w:type="dxa"/>
            <w:vAlign w:val="center"/>
          </w:tcPr>
          <w:p w14:paraId="7329E187">
            <w:pPr>
              <w:pStyle w:val="196"/>
            </w:pPr>
            <w:r>
              <w:t>直径50mm</w:t>
            </w:r>
          </w:p>
        </w:tc>
        <w:tc>
          <w:tcPr>
            <w:tcW w:w="1110" w:type="dxa"/>
            <w:vAlign w:val="center"/>
          </w:tcPr>
          <w:p w14:paraId="28BDFC71">
            <w:pPr>
              <w:pStyle w:val="196"/>
            </w:pPr>
            <w:r>
              <w:t>米</w:t>
            </w:r>
          </w:p>
        </w:tc>
        <w:tc>
          <w:tcPr>
            <w:tcW w:w="842" w:type="dxa"/>
            <w:vAlign w:val="center"/>
          </w:tcPr>
          <w:p w14:paraId="1B8A5365">
            <w:pPr>
              <w:pStyle w:val="196"/>
            </w:pPr>
            <w:r>
              <w:t>100</w:t>
            </w:r>
          </w:p>
        </w:tc>
        <w:tc>
          <w:tcPr>
            <w:tcW w:w="1975" w:type="dxa"/>
            <w:vAlign w:val="center"/>
          </w:tcPr>
          <w:p w14:paraId="24AE0317">
            <w:pPr>
              <w:pStyle w:val="196"/>
            </w:pPr>
            <w:r>
              <w:t>值班室</w:t>
            </w:r>
          </w:p>
        </w:tc>
      </w:tr>
      <w:tr w14:paraId="2FAC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828BFFF">
            <w:pPr>
              <w:pStyle w:val="196"/>
            </w:pPr>
            <w:r>
              <w:t>铅丝</w:t>
            </w:r>
          </w:p>
        </w:tc>
        <w:tc>
          <w:tcPr>
            <w:tcW w:w="2973" w:type="dxa"/>
            <w:vAlign w:val="center"/>
          </w:tcPr>
          <w:p w14:paraId="2E5A8576">
            <w:pPr>
              <w:pStyle w:val="196"/>
            </w:pPr>
            <w:r>
              <w:t>#12</w:t>
            </w:r>
          </w:p>
        </w:tc>
        <w:tc>
          <w:tcPr>
            <w:tcW w:w="1110" w:type="dxa"/>
            <w:vAlign w:val="center"/>
          </w:tcPr>
          <w:p w14:paraId="61BEC1F4">
            <w:pPr>
              <w:pStyle w:val="196"/>
            </w:pPr>
            <w:r>
              <w:rPr>
                <w:rFonts w:hint="eastAsia"/>
              </w:rPr>
              <w:t>kg</w:t>
            </w:r>
          </w:p>
        </w:tc>
        <w:tc>
          <w:tcPr>
            <w:tcW w:w="842" w:type="dxa"/>
            <w:vAlign w:val="center"/>
          </w:tcPr>
          <w:p w14:paraId="6E238F6B">
            <w:pPr>
              <w:pStyle w:val="196"/>
            </w:pPr>
            <w:r>
              <w:t>10</w:t>
            </w:r>
          </w:p>
        </w:tc>
        <w:tc>
          <w:tcPr>
            <w:tcW w:w="1975" w:type="dxa"/>
            <w:vAlign w:val="center"/>
          </w:tcPr>
          <w:p w14:paraId="6541FDA5">
            <w:pPr>
              <w:pStyle w:val="196"/>
            </w:pPr>
            <w:r>
              <w:t>值班室</w:t>
            </w:r>
          </w:p>
        </w:tc>
      </w:tr>
      <w:tr w14:paraId="41ECE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0AB12E80">
            <w:pPr>
              <w:pStyle w:val="196"/>
            </w:pPr>
            <w:r>
              <w:t>彩条尼龙布</w:t>
            </w:r>
          </w:p>
        </w:tc>
        <w:tc>
          <w:tcPr>
            <w:tcW w:w="2973" w:type="dxa"/>
            <w:vAlign w:val="center"/>
          </w:tcPr>
          <w:p w14:paraId="4A51943B">
            <w:pPr>
              <w:pStyle w:val="196"/>
            </w:pPr>
            <w:r>
              <w:t>50m×8m</w:t>
            </w:r>
          </w:p>
        </w:tc>
        <w:tc>
          <w:tcPr>
            <w:tcW w:w="1110" w:type="dxa"/>
            <w:vAlign w:val="center"/>
          </w:tcPr>
          <w:p w14:paraId="36B069F6">
            <w:pPr>
              <w:pStyle w:val="196"/>
            </w:pPr>
            <w:r>
              <w:t>m</w:t>
            </w:r>
            <w:r>
              <w:rPr>
                <w:vertAlign w:val="superscript"/>
              </w:rPr>
              <w:t>2</w:t>
            </w:r>
          </w:p>
        </w:tc>
        <w:tc>
          <w:tcPr>
            <w:tcW w:w="842" w:type="dxa"/>
            <w:vAlign w:val="center"/>
          </w:tcPr>
          <w:p w14:paraId="28DDC3A2">
            <w:pPr>
              <w:pStyle w:val="196"/>
            </w:pPr>
            <w:r>
              <w:t>1600</w:t>
            </w:r>
          </w:p>
        </w:tc>
        <w:tc>
          <w:tcPr>
            <w:tcW w:w="1975" w:type="dxa"/>
            <w:vAlign w:val="center"/>
          </w:tcPr>
          <w:p w14:paraId="5EA6D958">
            <w:pPr>
              <w:pStyle w:val="196"/>
            </w:pPr>
            <w:r>
              <w:t>值班室</w:t>
            </w:r>
          </w:p>
        </w:tc>
      </w:tr>
      <w:tr w14:paraId="15C8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8742E21">
            <w:pPr>
              <w:pStyle w:val="196"/>
            </w:pPr>
            <w:r>
              <w:t>特制泥浆专用袋</w:t>
            </w:r>
          </w:p>
        </w:tc>
        <w:tc>
          <w:tcPr>
            <w:tcW w:w="2973" w:type="dxa"/>
            <w:vAlign w:val="center"/>
          </w:tcPr>
          <w:p w14:paraId="5C1A77EF">
            <w:pPr>
              <w:pStyle w:val="196"/>
            </w:pPr>
            <w:r>
              <w:t>　</w:t>
            </w:r>
          </w:p>
        </w:tc>
        <w:tc>
          <w:tcPr>
            <w:tcW w:w="1110" w:type="dxa"/>
            <w:vAlign w:val="center"/>
          </w:tcPr>
          <w:p w14:paraId="7E7804C1">
            <w:pPr>
              <w:pStyle w:val="196"/>
            </w:pPr>
            <w:r>
              <w:t>只</w:t>
            </w:r>
          </w:p>
        </w:tc>
        <w:tc>
          <w:tcPr>
            <w:tcW w:w="842" w:type="dxa"/>
            <w:vAlign w:val="center"/>
          </w:tcPr>
          <w:p w14:paraId="5D5B66C2">
            <w:pPr>
              <w:pStyle w:val="196"/>
            </w:pPr>
            <w:r>
              <w:t>12</w:t>
            </w:r>
          </w:p>
        </w:tc>
        <w:tc>
          <w:tcPr>
            <w:tcW w:w="1975" w:type="dxa"/>
            <w:vAlign w:val="center"/>
          </w:tcPr>
          <w:p w14:paraId="16820A0E">
            <w:pPr>
              <w:pStyle w:val="196"/>
            </w:pPr>
            <w:r>
              <w:t>值班室</w:t>
            </w:r>
          </w:p>
        </w:tc>
      </w:tr>
      <w:tr w14:paraId="0334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4E1C083">
            <w:pPr>
              <w:pStyle w:val="196"/>
            </w:pPr>
            <w:r>
              <w:t>防毒面具</w:t>
            </w:r>
          </w:p>
        </w:tc>
        <w:tc>
          <w:tcPr>
            <w:tcW w:w="2973" w:type="dxa"/>
            <w:vAlign w:val="center"/>
          </w:tcPr>
          <w:p w14:paraId="23A331C4">
            <w:pPr>
              <w:pStyle w:val="196"/>
            </w:pPr>
            <w:r>
              <w:t>防止伤害和气体中毒</w:t>
            </w:r>
          </w:p>
        </w:tc>
        <w:tc>
          <w:tcPr>
            <w:tcW w:w="1110" w:type="dxa"/>
            <w:vAlign w:val="center"/>
          </w:tcPr>
          <w:p w14:paraId="46B8ED51">
            <w:pPr>
              <w:pStyle w:val="196"/>
            </w:pPr>
            <w:r>
              <w:t>套</w:t>
            </w:r>
          </w:p>
        </w:tc>
        <w:tc>
          <w:tcPr>
            <w:tcW w:w="842" w:type="dxa"/>
            <w:vAlign w:val="center"/>
          </w:tcPr>
          <w:p w14:paraId="3F751059">
            <w:pPr>
              <w:pStyle w:val="196"/>
            </w:pPr>
            <w:r>
              <w:t>6</w:t>
            </w:r>
          </w:p>
        </w:tc>
        <w:tc>
          <w:tcPr>
            <w:tcW w:w="1975" w:type="dxa"/>
            <w:vAlign w:val="center"/>
          </w:tcPr>
          <w:p w14:paraId="0900EA98">
            <w:pPr>
              <w:pStyle w:val="196"/>
            </w:pPr>
            <w:r>
              <w:t>值班室</w:t>
            </w:r>
          </w:p>
        </w:tc>
      </w:tr>
      <w:tr w14:paraId="0AF4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983" w:type="dxa"/>
            <w:vAlign w:val="center"/>
          </w:tcPr>
          <w:p w14:paraId="125B0AEA">
            <w:pPr>
              <w:pStyle w:val="196"/>
            </w:pPr>
            <w:r>
              <w:t>重型防护服</w:t>
            </w:r>
          </w:p>
        </w:tc>
        <w:tc>
          <w:tcPr>
            <w:tcW w:w="2973" w:type="dxa"/>
            <w:vAlign w:val="center"/>
          </w:tcPr>
          <w:p w14:paraId="49BE6211">
            <w:pPr>
              <w:pStyle w:val="196"/>
            </w:pPr>
            <w:r>
              <w:rPr>
                <w:rFonts w:hint="eastAsia"/>
                <w:lang w:eastAsia="zh-CN"/>
              </w:rPr>
              <w:t>防止</w:t>
            </w:r>
            <w:r>
              <w:t>接触皮肤伤害</w:t>
            </w:r>
          </w:p>
        </w:tc>
        <w:tc>
          <w:tcPr>
            <w:tcW w:w="1110" w:type="dxa"/>
            <w:vAlign w:val="center"/>
          </w:tcPr>
          <w:p w14:paraId="27C4F35B">
            <w:pPr>
              <w:pStyle w:val="196"/>
            </w:pPr>
            <w:r>
              <w:t>套</w:t>
            </w:r>
          </w:p>
        </w:tc>
        <w:tc>
          <w:tcPr>
            <w:tcW w:w="842" w:type="dxa"/>
            <w:vAlign w:val="center"/>
          </w:tcPr>
          <w:p w14:paraId="49B8A0FB">
            <w:pPr>
              <w:pStyle w:val="196"/>
            </w:pPr>
            <w:r>
              <w:t>2</w:t>
            </w:r>
          </w:p>
        </w:tc>
        <w:tc>
          <w:tcPr>
            <w:tcW w:w="1975" w:type="dxa"/>
            <w:vAlign w:val="center"/>
          </w:tcPr>
          <w:p w14:paraId="4B049C7E">
            <w:pPr>
              <w:pStyle w:val="196"/>
            </w:pPr>
            <w:r>
              <w:t>值班室</w:t>
            </w:r>
          </w:p>
        </w:tc>
      </w:tr>
      <w:tr w14:paraId="4C63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5D7CC09A">
            <w:pPr>
              <w:pStyle w:val="196"/>
            </w:pPr>
            <w:r>
              <w:t>正压式呼吸器</w:t>
            </w:r>
          </w:p>
        </w:tc>
        <w:tc>
          <w:tcPr>
            <w:tcW w:w="2973" w:type="dxa"/>
            <w:vAlign w:val="center"/>
          </w:tcPr>
          <w:p w14:paraId="15F5BD86">
            <w:pPr>
              <w:pStyle w:val="196"/>
            </w:pPr>
            <w:r>
              <w:t>防止伤害和气体中毒</w:t>
            </w:r>
          </w:p>
        </w:tc>
        <w:tc>
          <w:tcPr>
            <w:tcW w:w="1110" w:type="dxa"/>
            <w:vAlign w:val="center"/>
          </w:tcPr>
          <w:p w14:paraId="0F746E89">
            <w:pPr>
              <w:pStyle w:val="196"/>
            </w:pPr>
            <w:r>
              <w:t>套</w:t>
            </w:r>
          </w:p>
        </w:tc>
        <w:tc>
          <w:tcPr>
            <w:tcW w:w="842" w:type="dxa"/>
            <w:vAlign w:val="center"/>
          </w:tcPr>
          <w:p w14:paraId="00C141BC">
            <w:pPr>
              <w:pStyle w:val="196"/>
            </w:pPr>
            <w:r>
              <w:t>2</w:t>
            </w:r>
          </w:p>
        </w:tc>
        <w:tc>
          <w:tcPr>
            <w:tcW w:w="1975" w:type="dxa"/>
            <w:vAlign w:val="center"/>
          </w:tcPr>
          <w:p w14:paraId="1103731C">
            <w:pPr>
              <w:pStyle w:val="196"/>
            </w:pPr>
            <w:r>
              <w:t>值班室</w:t>
            </w:r>
          </w:p>
        </w:tc>
      </w:tr>
      <w:tr w14:paraId="7ED5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8EE61F1">
            <w:pPr>
              <w:pStyle w:val="196"/>
            </w:pPr>
            <w:r>
              <w:t>便携式漏氨监测仪</w:t>
            </w:r>
          </w:p>
        </w:tc>
        <w:tc>
          <w:tcPr>
            <w:tcW w:w="2973" w:type="dxa"/>
            <w:vAlign w:val="center"/>
          </w:tcPr>
          <w:p w14:paraId="5C302D6C">
            <w:pPr>
              <w:pStyle w:val="196"/>
            </w:pPr>
            <w:r>
              <w:t>检测浓度</w:t>
            </w:r>
          </w:p>
        </w:tc>
        <w:tc>
          <w:tcPr>
            <w:tcW w:w="1110" w:type="dxa"/>
            <w:vAlign w:val="center"/>
          </w:tcPr>
          <w:p w14:paraId="3F4B5E07">
            <w:pPr>
              <w:pStyle w:val="196"/>
            </w:pPr>
            <w:r>
              <w:t>套</w:t>
            </w:r>
          </w:p>
        </w:tc>
        <w:tc>
          <w:tcPr>
            <w:tcW w:w="842" w:type="dxa"/>
            <w:vAlign w:val="center"/>
          </w:tcPr>
          <w:p w14:paraId="49630B8F">
            <w:pPr>
              <w:pStyle w:val="196"/>
            </w:pPr>
            <w:r>
              <w:t>1</w:t>
            </w:r>
          </w:p>
        </w:tc>
        <w:tc>
          <w:tcPr>
            <w:tcW w:w="1975" w:type="dxa"/>
            <w:vAlign w:val="center"/>
          </w:tcPr>
          <w:p w14:paraId="77BF3EB1">
            <w:pPr>
              <w:pStyle w:val="196"/>
            </w:pPr>
            <w:r>
              <w:t>值班室</w:t>
            </w:r>
          </w:p>
        </w:tc>
      </w:tr>
      <w:tr w14:paraId="5F49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F47976F">
            <w:pPr>
              <w:pStyle w:val="196"/>
            </w:pPr>
            <w:r>
              <w:t>防护服</w:t>
            </w:r>
          </w:p>
        </w:tc>
        <w:tc>
          <w:tcPr>
            <w:tcW w:w="2973" w:type="dxa"/>
            <w:vAlign w:val="center"/>
          </w:tcPr>
          <w:p w14:paraId="08895777">
            <w:pPr>
              <w:pStyle w:val="196"/>
            </w:pPr>
            <w:r>
              <w:t>防止接触皮肤伤害</w:t>
            </w:r>
          </w:p>
        </w:tc>
        <w:tc>
          <w:tcPr>
            <w:tcW w:w="1110" w:type="dxa"/>
            <w:vAlign w:val="center"/>
          </w:tcPr>
          <w:p w14:paraId="17ED376A">
            <w:pPr>
              <w:pStyle w:val="196"/>
            </w:pPr>
            <w:r>
              <w:t>套</w:t>
            </w:r>
          </w:p>
        </w:tc>
        <w:tc>
          <w:tcPr>
            <w:tcW w:w="842" w:type="dxa"/>
            <w:vAlign w:val="center"/>
          </w:tcPr>
          <w:p w14:paraId="0273A66B">
            <w:pPr>
              <w:pStyle w:val="196"/>
            </w:pPr>
            <w:r>
              <w:t>4</w:t>
            </w:r>
          </w:p>
        </w:tc>
        <w:tc>
          <w:tcPr>
            <w:tcW w:w="1975" w:type="dxa"/>
            <w:vAlign w:val="center"/>
          </w:tcPr>
          <w:p w14:paraId="29C4003C">
            <w:pPr>
              <w:pStyle w:val="196"/>
            </w:pPr>
            <w:r>
              <w:t>值班室</w:t>
            </w:r>
          </w:p>
        </w:tc>
      </w:tr>
      <w:tr w14:paraId="7114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2AA9A185">
            <w:pPr>
              <w:pStyle w:val="196"/>
            </w:pPr>
            <w:r>
              <w:t>防护手套</w:t>
            </w:r>
          </w:p>
        </w:tc>
        <w:tc>
          <w:tcPr>
            <w:tcW w:w="2973" w:type="dxa"/>
            <w:vAlign w:val="center"/>
          </w:tcPr>
          <w:p w14:paraId="48A62443">
            <w:pPr>
              <w:pStyle w:val="196"/>
            </w:pPr>
            <w:r>
              <w:t>防止伤害</w:t>
            </w:r>
          </w:p>
        </w:tc>
        <w:tc>
          <w:tcPr>
            <w:tcW w:w="1110" w:type="dxa"/>
            <w:vAlign w:val="center"/>
          </w:tcPr>
          <w:p w14:paraId="28C9F9FB">
            <w:pPr>
              <w:pStyle w:val="196"/>
            </w:pPr>
            <w:r>
              <w:t>副</w:t>
            </w:r>
          </w:p>
        </w:tc>
        <w:tc>
          <w:tcPr>
            <w:tcW w:w="842" w:type="dxa"/>
            <w:vAlign w:val="center"/>
          </w:tcPr>
          <w:p w14:paraId="6787CB47">
            <w:pPr>
              <w:pStyle w:val="196"/>
            </w:pPr>
            <w:r>
              <w:t>4</w:t>
            </w:r>
          </w:p>
        </w:tc>
        <w:tc>
          <w:tcPr>
            <w:tcW w:w="1975" w:type="dxa"/>
            <w:vAlign w:val="center"/>
          </w:tcPr>
          <w:p w14:paraId="5F8E4C5E">
            <w:pPr>
              <w:pStyle w:val="196"/>
            </w:pPr>
            <w:r>
              <w:t>值班室</w:t>
            </w:r>
          </w:p>
        </w:tc>
      </w:tr>
      <w:tr w14:paraId="71CD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3BE69F1C">
            <w:pPr>
              <w:pStyle w:val="196"/>
            </w:pPr>
            <w:r>
              <w:t>防酸碱雨鞋</w:t>
            </w:r>
          </w:p>
        </w:tc>
        <w:tc>
          <w:tcPr>
            <w:tcW w:w="2973" w:type="dxa"/>
            <w:vAlign w:val="center"/>
          </w:tcPr>
          <w:p w14:paraId="1972C56C">
            <w:pPr>
              <w:pStyle w:val="196"/>
            </w:pPr>
            <w:r>
              <w:t>防止伤害</w:t>
            </w:r>
          </w:p>
        </w:tc>
        <w:tc>
          <w:tcPr>
            <w:tcW w:w="1110" w:type="dxa"/>
            <w:vAlign w:val="center"/>
          </w:tcPr>
          <w:p w14:paraId="630C8850">
            <w:pPr>
              <w:pStyle w:val="196"/>
            </w:pPr>
            <w:r>
              <w:t>双</w:t>
            </w:r>
          </w:p>
        </w:tc>
        <w:tc>
          <w:tcPr>
            <w:tcW w:w="842" w:type="dxa"/>
            <w:vAlign w:val="center"/>
          </w:tcPr>
          <w:p w14:paraId="72D65B39">
            <w:pPr>
              <w:pStyle w:val="196"/>
            </w:pPr>
            <w:r>
              <w:t>4</w:t>
            </w:r>
          </w:p>
        </w:tc>
        <w:tc>
          <w:tcPr>
            <w:tcW w:w="1975" w:type="dxa"/>
            <w:vAlign w:val="center"/>
          </w:tcPr>
          <w:p w14:paraId="247684B5">
            <w:pPr>
              <w:pStyle w:val="196"/>
            </w:pPr>
            <w:r>
              <w:t>值班室</w:t>
            </w:r>
          </w:p>
        </w:tc>
      </w:tr>
      <w:tr w14:paraId="31AC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00945AC3">
            <w:pPr>
              <w:pStyle w:val="196"/>
            </w:pPr>
            <w:r>
              <w:t>毛巾</w:t>
            </w:r>
          </w:p>
        </w:tc>
        <w:tc>
          <w:tcPr>
            <w:tcW w:w="2973" w:type="dxa"/>
            <w:vAlign w:val="center"/>
          </w:tcPr>
          <w:p w14:paraId="566A9BEB">
            <w:pPr>
              <w:pStyle w:val="196"/>
            </w:pPr>
            <w:r>
              <w:t>擦拭、清理伤害部位</w:t>
            </w:r>
          </w:p>
        </w:tc>
        <w:tc>
          <w:tcPr>
            <w:tcW w:w="1110" w:type="dxa"/>
            <w:vAlign w:val="center"/>
          </w:tcPr>
          <w:p w14:paraId="52EC5F3D">
            <w:pPr>
              <w:pStyle w:val="196"/>
            </w:pPr>
            <w:r>
              <w:t>条</w:t>
            </w:r>
          </w:p>
        </w:tc>
        <w:tc>
          <w:tcPr>
            <w:tcW w:w="842" w:type="dxa"/>
            <w:vAlign w:val="center"/>
          </w:tcPr>
          <w:p w14:paraId="510E766F">
            <w:pPr>
              <w:pStyle w:val="196"/>
            </w:pPr>
            <w:r>
              <w:t>若干</w:t>
            </w:r>
          </w:p>
        </w:tc>
        <w:tc>
          <w:tcPr>
            <w:tcW w:w="1975" w:type="dxa"/>
            <w:vAlign w:val="center"/>
          </w:tcPr>
          <w:p w14:paraId="32E260E8">
            <w:pPr>
              <w:pStyle w:val="196"/>
            </w:pPr>
            <w:r>
              <w:t>值班室</w:t>
            </w:r>
          </w:p>
        </w:tc>
      </w:tr>
      <w:tr w14:paraId="12D7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83" w:type="dxa"/>
            <w:vAlign w:val="center"/>
          </w:tcPr>
          <w:p w14:paraId="42359403">
            <w:pPr>
              <w:pStyle w:val="196"/>
            </w:pPr>
            <w:r>
              <w:t>肥皂</w:t>
            </w:r>
          </w:p>
        </w:tc>
        <w:tc>
          <w:tcPr>
            <w:tcW w:w="2973" w:type="dxa"/>
            <w:vAlign w:val="center"/>
          </w:tcPr>
          <w:p w14:paraId="1C7C00AC">
            <w:pPr>
              <w:pStyle w:val="196"/>
            </w:pPr>
            <w:r>
              <w:t>清理伤害部位</w:t>
            </w:r>
          </w:p>
        </w:tc>
        <w:tc>
          <w:tcPr>
            <w:tcW w:w="1110" w:type="dxa"/>
            <w:vAlign w:val="center"/>
          </w:tcPr>
          <w:p w14:paraId="5C328832">
            <w:pPr>
              <w:pStyle w:val="196"/>
            </w:pPr>
            <w:r>
              <w:t>块</w:t>
            </w:r>
          </w:p>
        </w:tc>
        <w:tc>
          <w:tcPr>
            <w:tcW w:w="842" w:type="dxa"/>
            <w:vAlign w:val="center"/>
          </w:tcPr>
          <w:p w14:paraId="199FCB78">
            <w:pPr>
              <w:pStyle w:val="196"/>
            </w:pPr>
            <w:r>
              <w:t>若干</w:t>
            </w:r>
          </w:p>
        </w:tc>
        <w:tc>
          <w:tcPr>
            <w:tcW w:w="1975" w:type="dxa"/>
            <w:vAlign w:val="center"/>
          </w:tcPr>
          <w:p w14:paraId="224D8440">
            <w:pPr>
              <w:pStyle w:val="196"/>
            </w:pPr>
            <w:r>
              <w:t>值班室</w:t>
            </w:r>
          </w:p>
        </w:tc>
      </w:tr>
      <w:tr w14:paraId="4467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69BBB2A4">
            <w:pPr>
              <w:pStyle w:val="196"/>
            </w:pPr>
            <w:r>
              <w:rPr>
                <w:rFonts w:hint="eastAsia"/>
              </w:rPr>
              <w:t>手提灭火器</w:t>
            </w:r>
          </w:p>
        </w:tc>
        <w:tc>
          <w:tcPr>
            <w:tcW w:w="2973" w:type="dxa"/>
            <w:vAlign w:val="center"/>
          </w:tcPr>
          <w:p w14:paraId="60C12DF8">
            <w:pPr>
              <w:pStyle w:val="196"/>
            </w:pPr>
            <w:r>
              <w:t>灭火</w:t>
            </w:r>
          </w:p>
        </w:tc>
        <w:tc>
          <w:tcPr>
            <w:tcW w:w="1110" w:type="dxa"/>
            <w:vAlign w:val="center"/>
          </w:tcPr>
          <w:p w14:paraId="6E0D6E9D">
            <w:pPr>
              <w:pStyle w:val="196"/>
            </w:pPr>
            <w:r>
              <w:t>个</w:t>
            </w:r>
          </w:p>
        </w:tc>
        <w:tc>
          <w:tcPr>
            <w:tcW w:w="842" w:type="dxa"/>
            <w:vAlign w:val="center"/>
          </w:tcPr>
          <w:p w14:paraId="14596FFA">
            <w:pPr>
              <w:pStyle w:val="196"/>
            </w:pPr>
            <w:r>
              <w:rPr>
                <w:rFonts w:hint="eastAsia"/>
              </w:rPr>
              <w:t>6</w:t>
            </w:r>
          </w:p>
        </w:tc>
        <w:tc>
          <w:tcPr>
            <w:tcW w:w="1975" w:type="dxa"/>
            <w:vAlign w:val="center"/>
          </w:tcPr>
          <w:p w14:paraId="462995DF">
            <w:pPr>
              <w:pStyle w:val="196"/>
            </w:pPr>
            <w:r>
              <w:rPr>
                <w:rFonts w:hint="eastAsia"/>
              </w:rPr>
              <w:t>办公区、</w:t>
            </w:r>
          </w:p>
        </w:tc>
      </w:tr>
      <w:tr w14:paraId="6717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4FD4B5AF">
            <w:pPr>
              <w:pStyle w:val="196"/>
            </w:pPr>
            <w:r>
              <w:rPr>
                <w:rFonts w:hint="eastAsia"/>
              </w:rPr>
              <w:t>手推式灭火器</w:t>
            </w:r>
          </w:p>
        </w:tc>
        <w:tc>
          <w:tcPr>
            <w:tcW w:w="2973" w:type="dxa"/>
            <w:vAlign w:val="center"/>
          </w:tcPr>
          <w:p w14:paraId="2E4AD098">
            <w:pPr>
              <w:pStyle w:val="196"/>
            </w:pPr>
            <w:r>
              <w:t>灭火</w:t>
            </w:r>
          </w:p>
        </w:tc>
        <w:tc>
          <w:tcPr>
            <w:tcW w:w="1110" w:type="dxa"/>
            <w:vAlign w:val="center"/>
          </w:tcPr>
          <w:p w14:paraId="07311EC7">
            <w:pPr>
              <w:pStyle w:val="196"/>
            </w:pPr>
            <w:r>
              <w:t>个</w:t>
            </w:r>
          </w:p>
        </w:tc>
        <w:tc>
          <w:tcPr>
            <w:tcW w:w="842" w:type="dxa"/>
            <w:vAlign w:val="center"/>
          </w:tcPr>
          <w:p w14:paraId="02767DAE">
            <w:pPr>
              <w:pStyle w:val="196"/>
            </w:pPr>
            <w:r>
              <w:rPr>
                <w:rFonts w:hint="eastAsia"/>
              </w:rPr>
              <w:t>10</w:t>
            </w:r>
          </w:p>
        </w:tc>
        <w:tc>
          <w:tcPr>
            <w:tcW w:w="1975" w:type="dxa"/>
            <w:vAlign w:val="center"/>
          </w:tcPr>
          <w:p w14:paraId="16C03755">
            <w:pPr>
              <w:pStyle w:val="196"/>
            </w:pPr>
            <w:r>
              <w:rPr>
                <w:rFonts w:hint="eastAsia"/>
              </w:rPr>
              <w:t>柴油储罐区、锅炉房、汽机房</w:t>
            </w:r>
          </w:p>
        </w:tc>
      </w:tr>
      <w:tr w14:paraId="494C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0A4D35EA">
            <w:pPr>
              <w:pStyle w:val="196"/>
            </w:pPr>
            <w:r>
              <w:rPr>
                <w:rFonts w:hint="eastAsia"/>
              </w:rPr>
              <w:t>黄沙</w:t>
            </w:r>
          </w:p>
        </w:tc>
        <w:tc>
          <w:tcPr>
            <w:tcW w:w="2973" w:type="dxa"/>
            <w:vAlign w:val="center"/>
          </w:tcPr>
          <w:p w14:paraId="4F1A1704">
            <w:pPr>
              <w:pStyle w:val="196"/>
            </w:pPr>
            <w:r>
              <w:t>灭火</w:t>
            </w:r>
          </w:p>
        </w:tc>
        <w:tc>
          <w:tcPr>
            <w:tcW w:w="1110" w:type="dxa"/>
            <w:vAlign w:val="center"/>
          </w:tcPr>
          <w:p w14:paraId="36F1D975">
            <w:pPr>
              <w:pStyle w:val="196"/>
            </w:pPr>
            <w:r>
              <w:rPr>
                <w:rFonts w:hint="eastAsia"/>
              </w:rPr>
              <w:t>吨</w:t>
            </w:r>
          </w:p>
        </w:tc>
        <w:tc>
          <w:tcPr>
            <w:tcW w:w="842" w:type="dxa"/>
            <w:vAlign w:val="center"/>
          </w:tcPr>
          <w:p w14:paraId="773031A5">
            <w:pPr>
              <w:pStyle w:val="196"/>
            </w:pPr>
            <w:r>
              <w:rPr>
                <w:rFonts w:hint="eastAsia"/>
              </w:rPr>
              <w:t>1</w:t>
            </w:r>
          </w:p>
        </w:tc>
        <w:tc>
          <w:tcPr>
            <w:tcW w:w="1975" w:type="dxa"/>
            <w:vAlign w:val="center"/>
          </w:tcPr>
          <w:p w14:paraId="0EED8679">
            <w:pPr>
              <w:pStyle w:val="196"/>
            </w:pPr>
            <w:r>
              <w:rPr>
                <w:rFonts w:hint="eastAsia"/>
              </w:rPr>
              <w:t>柴油储罐区</w:t>
            </w:r>
          </w:p>
        </w:tc>
      </w:tr>
      <w:tr w14:paraId="323D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983" w:type="dxa"/>
            <w:vAlign w:val="center"/>
          </w:tcPr>
          <w:p w14:paraId="184100A7">
            <w:pPr>
              <w:pStyle w:val="196"/>
            </w:pPr>
            <w:r>
              <w:rPr>
                <w:rFonts w:hint="eastAsia"/>
              </w:rPr>
              <w:t>消防水带</w:t>
            </w:r>
          </w:p>
        </w:tc>
        <w:tc>
          <w:tcPr>
            <w:tcW w:w="2973" w:type="dxa"/>
            <w:vAlign w:val="center"/>
          </w:tcPr>
          <w:p w14:paraId="10C2C948">
            <w:pPr>
              <w:pStyle w:val="196"/>
            </w:pPr>
            <w:r>
              <w:t>灭火</w:t>
            </w:r>
          </w:p>
        </w:tc>
        <w:tc>
          <w:tcPr>
            <w:tcW w:w="1110" w:type="dxa"/>
            <w:vAlign w:val="center"/>
          </w:tcPr>
          <w:p w14:paraId="1BB094FE">
            <w:pPr>
              <w:pStyle w:val="196"/>
            </w:pPr>
            <w:r>
              <w:t>米</w:t>
            </w:r>
          </w:p>
        </w:tc>
        <w:tc>
          <w:tcPr>
            <w:tcW w:w="842" w:type="dxa"/>
            <w:vAlign w:val="center"/>
          </w:tcPr>
          <w:p w14:paraId="605092D6">
            <w:pPr>
              <w:pStyle w:val="196"/>
            </w:pPr>
            <w:r>
              <w:rPr>
                <w:rFonts w:hint="eastAsia"/>
              </w:rPr>
              <w:t>200</w:t>
            </w:r>
          </w:p>
        </w:tc>
        <w:tc>
          <w:tcPr>
            <w:tcW w:w="1975" w:type="dxa"/>
            <w:vAlign w:val="center"/>
          </w:tcPr>
          <w:p w14:paraId="0E1E0F49">
            <w:pPr>
              <w:pStyle w:val="196"/>
            </w:pPr>
            <w:r>
              <w:rPr>
                <w:rFonts w:hint="eastAsia"/>
              </w:rPr>
              <w:t>锅炉房、办公区、点火油罐区</w:t>
            </w:r>
          </w:p>
        </w:tc>
      </w:tr>
    </w:tbl>
    <w:p w14:paraId="7D9CC195">
      <w:pPr>
        <w:pStyle w:val="139"/>
        <w:ind w:firstLine="480"/>
        <w:rPr>
          <w:color w:val="auto"/>
        </w:rPr>
      </w:pPr>
      <w:r>
        <w:rPr>
          <w:rFonts w:hint="eastAsia"/>
          <w:color w:val="auto"/>
        </w:rPr>
        <w:t>根据调查，巨石集团淮安有限公司高性能特种玻纤新材料项目配套码头</w:t>
      </w:r>
      <w:r>
        <w:rPr>
          <w:color w:val="auto"/>
        </w:rPr>
        <w:t>根据《港口码头溢油应急设备配置要求》</w:t>
      </w:r>
      <w:r>
        <w:rPr>
          <w:rFonts w:hint="eastAsia"/>
          <w:color w:val="auto"/>
          <w:lang w:eastAsia="zh-CN"/>
        </w:rPr>
        <w:t>（</w:t>
      </w:r>
      <w:r>
        <w:rPr>
          <w:color w:val="auto"/>
        </w:rPr>
        <w:t>JT/T451-2009</w:t>
      </w:r>
      <w:r>
        <w:rPr>
          <w:rFonts w:hint="eastAsia"/>
          <w:color w:val="auto"/>
          <w:lang w:eastAsia="zh-CN"/>
        </w:rPr>
        <w:t>）</w:t>
      </w:r>
      <w:r>
        <w:rPr>
          <w:rFonts w:hint="eastAsia"/>
          <w:color w:val="auto"/>
        </w:rPr>
        <w:t>和《港口码头水上污染事故应急防备能力要求》（JT/T451-2017），</w:t>
      </w:r>
      <w:r>
        <w:rPr>
          <w:color w:val="auto"/>
        </w:rPr>
        <w:t>配置以下设备（见表</w:t>
      </w:r>
      <w:r>
        <w:rPr>
          <w:rFonts w:hint="eastAsia"/>
          <w:color w:val="auto"/>
        </w:rPr>
        <w:t>6.3-9</w:t>
      </w:r>
      <w:r>
        <w:rPr>
          <w:color w:val="auto"/>
        </w:rPr>
        <w:t>）以满足</w:t>
      </w:r>
      <w:r>
        <w:rPr>
          <w:rFonts w:hint="eastAsia"/>
          <w:color w:val="auto"/>
        </w:rPr>
        <w:t>其</w:t>
      </w:r>
      <w:r>
        <w:rPr>
          <w:color w:val="auto"/>
        </w:rPr>
        <w:t>应急需求</w:t>
      </w:r>
      <w:r>
        <w:rPr>
          <w:rFonts w:hint="eastAsia"/>
          <w:color w:val="auto"/>
        </w:rPr>
        <w:t>，该码头位于本项目下游，距离本项目约500m，可供本项目发生风险事故时的应急使用。</w:t>
      </w:r>
    </w:p>
    <w:p w14:paraId="01BB70A9">
      <w:pPr>
        <w:pStyle w:val="86"/>
      </w:pPr>
      <w:r>
        <w:rPr>
          <w:rFonts w:hint="eastAsia"/>
        </w:rPr>
        <w:t>巨石集团淮安有限公司码头配置</w:t>
      </w:r>
      <w:r>
        <w:t>的设备</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3"/>
        <w:gridCol w:w="3335"/>
        <w:gridCol w:w="3760"/>
      </w:tblGrid>
      <w:tr w14:paraId="1078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trPr>
        <w:tc>
          <w:tcPr>
            <w:tcW w:w="835" w:type="pct"/>
            <w:vAlign w:val="center"/>
          </w:tcPr>
          <w:p w14:paraId="0EDDBCDE">
            <w:pPr>
              <w:pStyle w:val="196"/>
              <w:rPr>
                <w:b/>
                <w:bCs/>
              </w:rPr>
            </w:pPr>
            <w:r>
              <w:rPr>
                <w:b/>
                <w:bCs/>
              </w:rPr>
              <w:t>编号</w:t>
            </w:r>
          </w:p>
        </w:tc>
        <w:tc>
          <w:tcPr>
            <w:tcW w:w="1957" w:type="pct"/>
            <w:vAlign w:val="center"/>
          </w:tcPr>
          <w:p w14:paraId="6BA35056">
            <w:pPr>
              <w:pStyle w:val="196"/>
              <w:rPr>
                <w:b/>
                <w:bCs/>
              </w:rPr>
            </w:pPr>
            <w:r>
              <w:rPr>
                <w:b/>
                <w:bCs/>
              </w:rPr>
              <w:t>设备名称</w:t>
            </w:r>
          </w:p>
        </w:tc>
        <w:tc>
          <w:tcPr>
            <w:tcW w:w="2206" w:type="pct"/>
            <w:vAlign w:val="center"/>
          </w:tcPr>
          <w:p w14:paraId="734DF338">
            <w:pPr>
              <w:pStyle w:val="196"/>
              <w:rPr>
                <w:b/>
                <w:bCs/>
              </w:rPr>
            </w:pPr>
            <w:r>
              <w:rPr>
                <w:rFonts w:hint="eastAsia"/>
                <w:b/>
                <w:bCs/>
              </w:rPr>
              <w:t>靠泊能力：1000吨级-5000吨级</w:t>
            </w:r>
          </w:p>
        </w:tc>
      </w:tr>
      <w:tr w14:paraId="6EE9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7BFE9DC8">
            <w:pPr>
              <w:pStyle w:val="196"/>
            </w:pPr>
            <w:r>
              <w:rPr>
                <w:rFonts w:hint="eastAsia"/>
              </w:rPr>
              <w:t>1</w:t>
            </w:r>
          </w:p>
        </w:tc>
        <w:tc>
          <w:tcPr>
            <w:tcW w:w="1957" w:type="pct"/>
            <w:vAlign w:val="center"/>
          </w:tcPr>
          <w:p w14:paraId="71F7FC16">
            <w:pPr>
              <w:pStyle w:val="196"/>
              <w:rPr>
                <w:rFonts w:cs="宋体"/>
              </w:rPr>
            </w:pPr>
            <w:r>
              <w:rPr>
                <w:rFonts w:hint="eastAsia" w:cs="宋体"/>
              </w:rPr>
              <w:t>围油栏</w:t>
            </w:r>
          </w:p>
        </w:tc>
        <w:tc>
          <w:tcPr>
            <w:tcW w:w="2206" w:type="pct"/>
            <w:vAlign w:val="center"/>
          </w:tcPr>
          <w:p w14:paraId="518ED0B3">
            <w:pPr>
              <w:pStyle w:val="196"/>
              <w:rPr>
                <w:rFonts w:cs="宋体"/>
              </w:rPr>
            </w:pPr>
            <w:r>
              <w:rPr>
                <w:rFonts w:hint="eastAsia" w:cs="宋体"/>
              </w:rPr>
              <w:t>不低于最大设计船型的3倍设计船长</w:t>
            </w:r>
          </w:p>
        </w:tc>
      </w:tr>
      <w:tr w14:paraId="0496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0868B8F1">
            <w:pPr>
              <w:pStyle w:val="196"/>
            </w:pPr>
            <w:r>
              <w:t>2</w:t>
            </w:r>
          </w:p>
        </w:tc>
        <w:tc>
          <w:tcPr>
            <w:tcW w:w="1957" w:type="pct"/>
            <w:vAlign w:val="center"/>
          </w:tcPr>
          <w:p w14:paraId="348B9A57">
            <w:pPr>
              <w:pStyle w:val="196"/>
              <w:rPr>
                <w:rFonts w:cs="宋体"/>
              </w:rPr>
            </w:pPr>
            <w:r>
              <w:rPr>
                <w:rFonts w:hint="eastAsia" w:cs="宋体"/>
              </w:rPr>
              <w:t>收油机</w:t>
            </w:r>
          </w:p>
        </w:tc>
        <w:tc>
          <w:tcPr>
            <w:tcW w:w="2206" w:type="pct"/>
            <w:vAlign w:val="center"/>
          </w:tcPr>
          <w:p w14:paraId="6AACDC8F">
            <w:pPr>
              <w:pStyle w:val="196"/>
            </w:pPr>
            <w:r>
              <w:t>1台</w:t>
            </w:r>
            <w:r>
              <w:rPr>
                <w:rFonts w:hint="eastAsia"/>
                <w:lang w:eastAsia="zh-CN"/>
              </w:rPr>
              <w:t>（</w:t>
            </w:r>
            <w:r>
              <w:rPr>
                <w:rFonts w:hint="eastAsia"/>
              </w:rPr>
              <w:t>1</w:t>
            </w:r>
            <w:r>
              <w:t>m</w:t>
            </w:r>
            <w:r>
              <w:rPr>
                <w:vertAlign w:val="superscript"/>
              </w:rPr>
              <w:t>3</w:t>
            </w:r>
            <w:r>
              <w:t>/h</w:t>
            </w:r>
            <w:r>
              <w:rPr>
                <w:rFonts w:hint="eastAsia"/>
                <w:lang w:eastAsia="zh-CN"/>
              </w:rPr>
              <w:t>）</w:t>
            </w:r>
          </w:p>
        </w:tc>
      </w:tr>
      <w:tr w14:paraId="6F8C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174C98FF">
            <w:pPr>
              <w:pStyle w:val="196"/>
            </w:pPr>
            <w:r>
              <w:t>3</w:t>
            </w:r>
          </w:p>
        </w:tc>
        <w:tc>
          <w:tcPr>
            <w:tcW w:w="1957" w:type="pct"/>
            <w:vAlign w:val="center"/>
          </w:tcPr>
          <w:p w14:paraId="70963A16">
            <w:pPr>
              <w:pStyle w:val="196"/>
              <w:rPr>
                <w:rFonts w:cs="宋体"/>
              </w:rPr>
            </w:pPr>
            <w:r>
              <w:rPr>
                <w:rFonts w:hint="eastAsia" w:cs="宋体"/>
              </w:rPr>
              <w:t>油拖网</w:t>
            </w:r>
          </w:p>
        </w:tc>
        <w:tc>
          <w:tcPr>
            <w:tcW w:w="2206" w:type="pct"/>
            <w:vAlign w:val="center"/>
          </w:tcPr>
          <w:p w14:paraId="4E3F5AD2">
            <w:pPr>
              <w:pStyle w:val="196"/>
              <w:rPr>
                <w:rFonts w:cs="宋体"/>
              </w:rPr>
            </w:pPr>
            <w:r>
              <w:rPr>
                <w:rFonts w:hint="eastAsia" w:cs="宋体"/>
              </w:rPr>
              <w:t>1套</w:t>
            </w:r>
          </w:p>
        </w:tc>
      </w:tr>
      <w:tr w14:paraId="3F06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6D138ECA">
            <w:pPr>
              <w:pStyle w:val="196"/>
            </w:pPr>
            <w:r>
              <w:t>4</w:t>
            </w:r>
          </w:p>
        </w:tc>
        <w:tc>
          <w:tcPr>
            <w:tcW w:w="1957" w:type="pct"/>
            <w:vAlign w:val="center"/>
          </w:tcPr>
          <w:p w14:paraId="2259DD63">
            <w:pPr>
              <w:pStyle w:val="196"/>
              <w:rPr>
                <w:rFonts w:cs="宋体"/>
              </w:rPr>
            </w:pPr>
            <w:r>
              <w:rPr>
                <w:rFonts w:hint="eastAsia" w:cs="宋体"/>
              </w:rPr>
              <w:t>吸油材料（</w:t>
            </w:r>
            <w:r>
              <w:t>吸油毡</w:t>
            </w:r>
            <w:r>
              <w:rPr>
                <w:rFonts w:hint="eastAsia" w:cs="宋体"/>
              </w:rPr>
              <w:t>）</w:t>
            </w:r>
          </w:p>
        </w:tc>
        <w:tc>
          <w:tcPr>
            <w:tcW w:w="2206" w:type="pct"/>
            <w:vAlign w:val="center"/>
          </w:tcPr>
          <w:p w14:paraId="6C8ED822">
            <w:pPr>
              <w:pStyle w:val="196"/>
              <w:rPr>
                <w:rFonts w:cs="宋体"/>
              </w:rPr>
            </w:pPr>
            <w:r>
              <w:rPr>
                <w:rFonts w:hint="eastAsia" w:cs="宋体"/>
              </w:rPr>
              <w:t>0.2t</w:t>
            </w:r>
          </w:p>
        </w:tc>
      </w:tr>
      <w:tr w14:paraId="7EE8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778BA46F">
            <w:pPr>
              <w:pStyle w:val="196"/>
            </w:pPr>
            <w:r>
              <w:rPr>
                <w:rFonts w:hint="eastAsia"/>
              </w:rPr>
              <w:t>5</w:t>
            </w:r>
          </w:p>
        </w:tc>
        <w:tc>
          <w:tcPr>
            <w:tcW w:w="1957" w:type="pct"/>
            <w:vAlign w:val="center"/>
          </w:tcPr>
          <w:p w14:paraId="43302EF5">
            <w:pPr>
              <w:pStyle w:val="196"/>
              <w:rPr>
                <w:rFonts w:cs="宋体"/>
              </w:rPr>
            </w:pPr>
            <w:r>
              <w:rPr>
                <w:rFonts w:hint="eastAsia" w:cs="宋体"/>
              </w:rPr>
              <w:t>应急设备库</w:t>
            </w:r>
          </w:p>
        </w:tc>
        <w:tc>
          <w:tcPr>
            <w:tcW w:w="2206" w:type="pct"/>
            <w:vAlign w:val="center"/>
          </w:tcPr>
          <w:p w14:paraId="2A8657EE">
            <w:pPr>
              <w:pStyle w:val="196"/>
              <w:rPr>
                <w:rFonts w:cs="宋体"/>
              </w:rPr>
            </w:pPr>
            <w:r>
              <w:rPr>
                <w:rFonts w:hint="eastAsia" w:cs="宋体"/>
              </w:rPr>
              <w:t>1座</w:t>
            </w:r>
          </w:p>
        </w:tc>
      </w:tr>
      <w:tr w14:paraId="3FDC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256DF38A">
            <w:pPr>
              <w:pStyle w:val="196"/>
            </w:pPr>
            <w:r>
              <w:rPr>
                <w:rFonts w:hint="eastAsia"/>
              </w:rPr>
              <w:t>6</w:t>
            </w:r>
          </w:p>
        </w:tc>
        <w:tc>
          <w:tcPr>
            <w:tcW w:w="1957" w:type="pct"/>
            <w:vAlign w:val="center"/>
          </w:tcPr>
          <w:p w14:paraId="0624CC21">
            <w:pPr>
              <w:pStyle w:val="196"/>
            </w:pPr>
            <w:r>
              <w:t>溢油分散剂</w:t>
            </w:r>
          </w:p>
        </w:tc>
        <w:tc>
          <w:tcPr>
            <w:tcW w:w="2206" w:type="pct"/>
            <w:vAlign w:val="center"/>
          </w:tcPr>
          <w:p w14:paraId="4CB7BD0B">
            <w:pPr>
              <w:pStyle w:val="196"/>
            </w:pPr>
            <w:r>
              <w:rPr>
                <w:rFonts w:hint="eastAsia"/>
              </w:rPr>
              <w:t>0.11</w:t>
            </w:r>
            <w:r>
              <w:t>吨</w:t>
            </w:r>
          </w:p>
        </w:tc>
      </w:tr>
      <w:tr w14:paraId="5BE0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7C7EE6C1">
            <w:pPr>
              <w:pStyle w:val="196"/>
            </w:pPr>
            <w:r>
              <w:rPr>
                <w:rFonts w:hint="eastAsia"/>
              </w:rPr>
              <w:t>7</w:t>
            </w:r>
          </w:p>
        </w:tc>
        <w:tc>
          <w:tcPr>
            <w:tcW w:w="1957" w:type="pct"/>
            <w:vAlign w:val="center"/>
          </w:tcPr>
          <w:p w14:paraId="2B677EF6">
            <w:pPr>
              <w:pStyle w:val="196"/>
            </w:pPr>
            <w:r>
              <w:t>溢油分散剂喷洒装置</w:t>
            </w:r>
          </w:p>
        </w:tc>
        <w:tc>
          <w:tcPr>
            <w:tcW w:w="2206" w:type="pct"/>
            <w:vAlign w:val="center"/>
          </w:tcPr>
          <w:p w14:paraId="3C7E7F28">
            <w:pPr>
              <w:pStyle w:val="196"/>
            </w:pPr>
            <w:r>
              <w:t>1套</w:t>
            </w:r>
          </w:p>
        </w:tc>
      </w:tr>
      <w:tr w14:paraId="2BD1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5E46BDA5">
            <w:pPr>
              <w:pStyle w:val="196"/>
            </w:pPr>
            <w:r>
              <w:rPr>
                <w:rFonts w:hint="eastAsia"/>
              </w:rPr>
              <w:t>8</w:t>
            </w:r>
          </w:p>
        </w:tc>
        <w:tc>
          <w:tcPr>
            <w:tcW w:w="1957" w:type="pct"/>
            <w:vAlign w:val="center"/>
          </w:tcPr>
          <w:p w14:paraId="5AE63AE8">
            <w:pPr>
              <w:pStyle w:val="196"/>
            </w:pPr>
            <w:r>
              <w:t>围油栏布放艇</w:t>
            </w:r>
          </w:p>
        </w:tc>
        <w:tc>
          <w:tcPr>
            <w:tcW w:w="2206" w:type="pct"/>
            <w:vAlign w:val="center"/>
          </w:tcPr>
          <w:p w14:paraId="4D6EB990">
            <w:pPr>
              <w:pStyle w:val="196"/>
            </w:pPr>
            <w:r>
              <w:t>1艘</w:t>
            </w:r>
          </w:p>
        </w:tc>
      </w:tr>
      <w:tr w14:paraId="0C92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228CD670">
            <w:pPr>
              <w:pStyle w:val="196"/>
            </w:pPr>
            <w:r>
              <w:rPr>
                <w:rFonts w:hint="eastAsia"/>
              </w:rPr>
              <w:t>9</w:t>
            </w:r>
          </w:p>
        </w:tc>
        <w:tc>
          <w:tcPr>
            <w:tcW w:w="1957" w:type="pct"/>
            <w:vAlign w:val="center"/>
          </w:tcPr>
          <w:p w14:paraId="100B5DC2">
            <w:pPr>
              <w:pStyle w:val="196"/>
            </w:pPr>
            <w:r>
              <w:t>储存装置</w:t>
            </w:r>
          </w:p>
        </w:tc>
        <w:tc>
          <w:tcPr>
            <w:tcW w:w="2206" w:type="pct"/>
            <w:vAlign w:val="center"/>
          </w:tcPr>
          <w:p w14:paraId="1F189181">
            <w:pPr>
              <w:pStyle w:val="196"/>
            </w:pPr>
            <w:r>
              <w:rPr>
                <w:rFonts w:hint="eastAsia"/>
              </w:rPr>
              <w:t>1</w:t>
            </w:r>
            <w:r>
              <w:t>m</w:t>
            </w:r>
            <w:r>
              <w:rPr>
                <w:vertAlign w:val="superscript"/>
              </w:rPr>
              <w:t>3</w:t>
            </w:r>
          </w:p>
        </w:tc>
      </w:tr>
      <w:tr w14:paraId="6B86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730CFEBB">
            <w:pPr>
              <w:pStyle w:val="196"/>
            </w:pPr>
            <w:r>
              <w:rPr>
                <w:rFonts w:hint="eastAsia"/>
              </w:rPr>
              <w:t>10</w:t>
            </w:r>
          </w:p>
        </w:tc>
        <w:tc>
          <w:tcPr>
            <w:tcW w:w="1957" w:type="pct"/>
            <w:vAlign w:val="center"/>
          </w:tcPr>
          <w:p w14:paraId="54954D42">
            <w:pPr>
              <w:pStyle w:val="196"/>
            </w:pPr>
            <w:r>
              <w:rPr>
                <w:rFonts w:hint="eastAsia" w:cs="宋体"/>
              </w:rPr>
              <w:t>应急设备库</w:t>
            </w:r>
          </w:p>
        </w:tc>
        <w:tc>
          <w:tcPr>
            <w:tcW w:w="2206" w:type="pct"/>
            <w:vAlign w:val="center"/>
          </w:tcPr>
          <w:p w14:paraId="7EC1CA98">
            <w:pPr>
              <w:pStyle w:val="196"/>
            </w:pPr>
            <w:r>
              <w:rPr>
                <w:rFonts w:hint="eastAsia"/>
              </w:rPr>
              <w:t>1座</w:t>
            </w:r>
          </w:p>
        </w:tc>
      </w:tr>
      <w:tr w14:paraId="6A55B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35" w:type="pct"/>
            <w:vAlign w:val="center"/>
          </w:tcPr>
          <w:p w14:paraId="13719742">
            <w:pPr>
              <w:pStyle w:val="196"/>
            </w:pPr>
            <w:r>
              <w:rPr>
                <w:rFonts w:hint="eastAsia"/>
              </w:rPr>
              <w:t>11</w:t>
            </w:r>
          </w:p>
        </w:tc>
        <w:tc>
          <w:tcPr>
            <w:tcW w:w="1957" w:type="pct"/>
            <w:vAlign w:val="center"/>
          </w:tcPr>
          <w:p w14:paraId="07C48B08">
            <w:pPr>
              <w:pStyle w:val="196"/>
            </w:pPr>
            <w:r>
              <w:rPr>
                <w:rFonts w:hint="eastAsia"/>
              </w:rPr>
              <w:t>通讯设施等</w:t>
            </w:r>
          </w:p>
        </w:tc>
        <w:tc>
          <w:tcPr>
            <w:tcW w:w="2206" w:type="pct"/>
            <w:vAlign w:val="center"/>
          </w:tcPr>
          <w:p w14:paraId="1A167365">
            <w:pPr>
              <w:pStyle w:val="196"/>
            </w:pPr>
            <w:r>
              <w:rPr>
                <w:rFonts w:hint="eastAsia"/>
              </w:rPr>
              <w:t>/</w:t>
            </w:r>
          </w:p>
        </w:tc>
      </w:tr>
    </w:tbl>
    <w:p w14:paraId="455E80F1">
      <w:pPr>
        <w:pStyle w:val="82"/>
      </w:pPr>
      <w:bookmarkStart w:id="352" w:name="_Hlk182167091"/>
      <w:r>
        <w:rPr>
          <w:rFonts w:hint="eastAsia"/>
        </w:rPr>
        <w:t>环境风险应急预案区域联动</w:t>
      </w:r>
    </w:p>
    <w:bookmarkEnd w:id="352"/>
    <w:p w14:paraId="55857F8E">
      <w:pPr>
        <w:pStyle w:val="139"/>
        <w:ind w:firstLine="480"/>
        <w:rPr>
          <w:color w:val="auto"/>
        </w:rPr>
      </w:pPr>
      <w:r>
        <w:rPr>
          <w:rFonts w:hint="eastAsia"/>
          <w:color w:val="auto"/>
        </w:rPr>
        <w:t>本项目码头项目水污染事件风险防范与应急在立足“自救”的基础上，主要做好与《淮安市突发环境污染事件应急处理预案</w:t>
      </w:r>
      <w:r>
        <w:rPr>
          <w:rFonts w:hint="eastAsia"/>
          <w:color w:val="auto"/>
          <w:lang w:eastAsia="zh-CN"/>
        </w:rPr>
        <w:t>》《</w:t>
      </w:r>
      <w:r>
        <w:rPr>
          <w:rFonts w:hint="eastAsia"/>
          <w:color w:val="auto"/>
        </w:rPr>
        <w:t>淮安市水上突发事件应急预案</w:t>
      </w:r>
      <w:r>
        <w:rPr>
          <w:rFonts w:hint="eastAsia"/>
          <w:color w:val="auto"/>
          <w:lang w:eastAsia="zh-CN"/>
        </w:rPr>
        <w:t>》《</w:t>
      </w:r>
      <w:r>
        <w:rPr>
          <w:rFonts w:hint="eastAsia"/>
          <w:color w:val="auto"/>
        </w:rPr>
        <w:t>淮安市船舶污染事故应急处置预案</w:t>
      </w:r>
      <w:r>
        <w:rPr>
          <w:rFonts w:hint="eastAsia"/>
          <w:color w:val="auto"/>
          <w:lang w:eastAsia="zh-CN"/>
        </w:rPr>
        <w:t>》《</w:t>
      </w:r>
      <w:r>
        <w:rPr>
          <w:rFonts w:hint="eastAsia"/>
          <w:color w:val="auto"/>
        </w:rPr>
        <w:t>淮安内河港环境风险应急预案》等应急预案的衔接，将码头事故风险应急</w:t>
      </w:r>
      <w:r>
        <w:rPr>
          <w:rFonts w:hint="eastAsia"/>
          <w:color w:val="auto"/>
          <w:lang w:eastAsia="zh-CN"/>
        </w:rPr>
        <w:t>纳入</w:t>
      </w:r>
      <w:r>
        <w:rPr>
          <w:rFonts w:hint="eastAsia"/>
          <w:color w:val="auto"/>
        </w:rPr>
        <w:t>淮安市的应急系统中，设立应急响应与报告制度，形成联动机制。当事故规模、气候条件使码头人员、设备无法满足要求时，码头应立刻报告上级启动上述应急预案</w:t>
      </w:r>
      <w:r>
        <w:rPr>
          <w:rFonts w:hint="eastAsia"/>
          <w:color w:val="auto"/>
          <w:lang w:eastAsia="zh-CN"/>
        </w:rPr>
        <w:t>，要</w:t>
      </w:r>
      <w:r>
        <w:rPr>
          <w:rFonts w:hint="eastAsia"/>
          <w:color w:val="auto"/>
        </w:rPr>
        <w:t>求提供外部力量支援，实现区域联动应急。上级应急队伍接到事故发生报告后，视事故性质立即决定是否派救助船舶及设施到现场，如发生船舶相撞漏油事故，将视情况立即调派围油栏、清油队、消防船等赴现场救助并采取应急措施。</w:t>
      </w:r>
    </w:p>
    <w:p w14:paraId="7D7B5AE6">
      <w:pPr>
        <w:pStyle w:val="139"/>
        <w:ind w:firstLine="480"/>
        <w:rPr>
          <w:color w:val="auto"/>
        </w:rPr>
      </w:pPr>
      <w:r>
        <w:rPr>
          <w:rFonts w:hint="eastAsia"/>
          <w:color w:val="auto"/>
        </w:rPr>
        <w:t>根据以上分析，各层级应急预案中关于与上下级应急预案的衔接内容尚不完善。考虑到在组织、人员、设备等方面应急能力和应急物资有限，将本项目的应急预案</w:t>
      </w:r>
      <w:r>
        <w:rPr>
          <w:rFonts w:hint="eastAsia"/>
          <w:color w:val="auto"/>
          <w:lang w:eastAsia="zh-CN"/>
        </w:rPr>
        <w:t>纳入</w:t>
      </w:r>
      <w:r>
        <w:rPr>
          <w:rFonts w:hint="eastAsia"/>
          <w:color w:val="auto"/>
        </w:rPr>
        <w:t>淮安市、各区县以及园区、淮安内河港应急</w:t>
      </w:r>
      <w:r>
        <w:rPr>
          <w:rFonts w:hint="eastAsia"/>
          <w:color w:val="auto"/>
          <w:lang w:eastAsia="zh-CN"/>
        </w:rPr>
        <w:t>系统</w:t>
      </w:r>
      <w:r>
        <w:rPr>
          <w:rFonts w:hint="eastAsia"/>
          <w:color w:val="auto"/>
        </w:rPr>
        <w:t>，使本项目码头环境风险应急预案与区域应急预案相衔接，一旦发生泄漏事故后采取区域联动，控制溢油事故产生的环境风险。</w:t>
      </w:r>
    </w:p>
    <w:p w14:paraId="005B347A">
      <w:pPr>
        <w:pStyle w:val="139"/>
        <w:ind w:firstLine="480"/>
        <w:rPr>
          <w:color w:val="auto"/>
        </w:rPr>
      </w:pPr>
      <w:r>
        <w:rPr>
          <w:rFonts w:hint="eastAsia"/>
          <w:color w:val="auto"/>
        </w:rPr>
        <w:t>发生轻微突发事件，内部就可快速控制住事件发展</w:t>
      </w:r>
      <w:r>
        <w:rPr>
          <w:rFonts w:hint="eastAsia"/>
          <w:color w:val="auto"/>
          <w:lang w:eastAsia="zh-CN"/>
        </w:rPr>
        <w:t>态势</w:t>
      </w:r>
      <w:r>
        <w:rPr>
          <w:rFonts w:hint="eastAsia"/>
          <w:color w:val="auto"/>
        </w:rPr>
        <w:t>，应在第一时间启动应急预案，应急领导小组按照相应的预案全力以赴组织救援。发生超出应急领导控制能</w:t>
      </w:r>
      <w:r>
        <w:rPr>
          <w:rFonts w:hint="eastAsia"/>
          <w:color w:val="auto"/>
          <w:lang w:eastAsia="zh-CN"/>
        </w:rPr>
        <w:t>力的</w:t>
      </w:r>
      <w:r>
        <w:rPr>
          <w:rFonts w:hint="eastAsia"/>
          <w:color w:val="auto"/>
        </w:rPr>
        <w:t>突发环境事件时，应急领导小组在接到事故报警后，及时向上级政府部门进行汇报和请求紧急救援，由上级部门甄别事件级别，适时启动市、县、园区突发环境事件应急预案，采取相应级别的应急响应，迅速调集救援力量。当事故扩大化需要外部力量救援时，淮安市及涟水县地方海事处、淮安市及涟水县生态环境局等上级部门可以发布支援命令，调动相关政府部门进行全力支持和救护，可以联系环保、海事、消防队、医院、公安、交通、安监局以及各相关职能部门，请求救援力量、设备、应急物资的支持。上级应急队伍接到事故发生报告后，视事故性立即决定是否派救助船舶及设施到，如发生船舶相撞漏油事故，视情况立即派油、清油、消防船等赴救助并采取应急措施。</w:t>
      </w:r>
    </w:p>
    <w:p w14:paraId="6E34C535">
      <w:pPr>
        <w:pStyle w:val="82"/>
      </w:pPr>
      <w:bookmarkStart w:id="353" w:name="_Hlk182167623"/>
      <w:r>
        <w:rPr>
          <w:rFonts w:hint="eastAsia"/>
        </w:rPr>
        <w:t>与上级及社会区域风险防范与应急响应机制</w:t>
      </w:r>
    </w:p>
    <w:bookmarkEnd w:id="353"/>
    <w:p w14:paraId="797E7BDC">
      <w:pPr>
        <w:pStyle w:val="93"/>
        <w:rPr>
          <w:rFonts w:hint="eastAsia" w:ascii="宋体" w:hAnsi="宋体" w:eastAsia="宋体" w:cs="宋体"/>
        </w:rPr>
      </w:pPr>
      <w:r>
        <w:rPr>
          <w:rFonts w:hint="eastAsia" w:ascii="宋体" w:hAnsi="宋体" w:eastAsia="宋体" w:cs="宋体"/>
        </w:rPr>
        <w:t>（1）与后方厂区应急预案的衔接</w:t>
      </w:r>
    </w:p>
    <w:p w14:paraId="04629FA3">
      <w:pPr>
        <w:pStyle w:val="93"/>
      </w:pPr>
      <w:r>
        <w:rPr>
          <w:rFonts w:hint="eastAsia"/>
        </w:rPr>
        <w:t>①信息共享：码头项目应与后方厂区建立常态化的信息沟通机制。通过建立共享数据库或信息平台，实时共享可能影响环境风险的各类信息，包括货物种类及存储量、运输计划、设备运行状况、气象条件、水文数据等。后方厂区的原材料采购信息、生产工艺变更情况以及港区内其他码头的作业动态等，都对码头项目的环境风险评估和应对策略制定具有重要参考价值。这样，各方能够全面了解整个区域的潜在环境风险因素，提前做好应对准备。</w:t>
      </w:r>
    </w:p>
    <w:p w14:paraId="5692D54E">
      <w:pPr>
        <w:pStyle w:val="93"/>
      </w:pPr>
      <w:r>
        <w:rPr>
          <w:rFonts w:hint="eastAsia"/>
        </w:rPr>
        <w:t>②进行联合环境风险评估工作。码头项目和后方厂区在开展风险评估时，相互协作，综合考虑各方的工艺流程、设施布局、人员活动等因素对区域环境的整体影响。评估码头装卸作业与后方厂区生产过程中可能产生的污染物叠加效应。</w:t>
      </w:r>
    </w:p>
    <w:p w14:paraId="5A0DE7CD">
      <w:pPr>
        <w:pStyle w:val="93"/>
      </w:pPr>
      <w:r>
        <w:rPr>
          <w:rFonts w:hint="eastAsia"/>
        </w:rPr>
        <w:t>③对环境风险应急资源进行统筹调配。包括应急救援设备（如消防器材、泄漏控制工具、防护装备等）、应急物资（如吸附材料、中和剂、沙袋等）、应急救援人员（如消防队员、专业抢险队伍、医疗救护人员等）以及应急资金等。根据码头项目、后方厂区和港区的实际需求和资源储备情况，制定资源共享和调配计划，明确在不同环境风险情景下，各方资源的调配流程和优先顺序。</w:t>
      </w:r>
    </w:p>
    <w:p w14:paraId="628294D6">
      <w:pPr>
        <w:pStyle w:val="93"/>
      </w:pPr>
      <w:r>
        <w:rPr>
          <w:rFonts w:hint="eastAsia"/>
        </w:rPr>
        <w:t>④构建统一的应急指挥体系。在港区层面设立环境风险应急指挥中心，作为整个港区环境风险应急处置的最高指挥机构，码头项目和后方厂区的应急指挥部门作为其分支或下属机构。在发生环境风险事件时，应急指挥中心根据事件的性质、规模和影响范围，迅速启动相应的指挥机制，统一调配各方资源，下达应急处置指令。建立应急</w:t>
      </w:r>
      <w:r>
        <w:rPr>
          <w:rFonts w:hint="eastAsia"/>
          <w:lang w:eastAsia="zh-CN"/>
        </w:rPr>
        <w:t>指挥通信</w:t>
      </w:r>
      <w:r>
        <w:rPr>
          <w:rFonts w:hint="eastAsia"/>
        </w:rPr>
        <w:t>网络。确保码头项目和后方厂区之间的通讯畅通无阻。采用多种通讯手段，如固定电话、移动电话、无线电对讲机、卫星</w:t>
      </w:r>
      <w:r>
        <w:rPr>
          <w:rFonts w:hint="eastAsia"/>
          <w:lang w:eastAsia="zh-CN"/>
        </w:rPr>
        <w:t>通信等</w:t>
      </w:r>
      <w:r>
        <w:rPr>
          <w:rFonts w:hint="eastAsia"/>
        </w:rPr>
        <w:t>，构建多层次、多渠道的通讯网络。在应急处置过程中，各方指挥人员能够及时沟通信息、协调行动，保证应急指挥的高效性和准确性。</w:t>
      </w:r>
    </w:p>
    <w:p w14:paraId="4694CF20">
      <w:pPr>
        <w:pStyle w:val="93"/>
      </w:pPr>
      <w:r>
        <w:rPr>
          <w:rFonts w:hint="eastAsia"/>
        </w:rPr>
        <w:t>⑤制定联合应急响应流程。明确在不同级别环境风险事件发生时，码头项目和后方厂区的响应顺序、响应措施和响应时间要求。当码头发生小规模危险物质泄漏时，码头项目首先启动自身的应急响应程序，进行初步的泄漏控制和人员疏散，并及时向港区应急指挥中心和后方厂区通报情况。后方厂区做好可能受到影响的防护准备工作。如果事件升级为较大规模的环境风险事故，各方则按照预先制定的联动响应流程，全面启动应急响应，共同开展事故抢险、环境监测、人员救援、交通管制等工作。</w:t>
      </w:r>
    </w:p>
    <w:p w14:paraId="55DAE25B">
      <w:pPr>
        <w:pStyle w:val="93"/>
      </w:pPr>
      <w:r>
        <w:rPr>
          <w:rFonts w:hint="eastAsia"/>
        </w:rPr>
        <w:t>⑥开展联合应急演练。定期组织码头项目、后方厂区共同参与的环境风险应急演练，模拟不同类型的环境风险事件场景，检验各方应急响应联动机制的有效性和协调性。通过演练，发现问题并及时进行整改完善，提高各方在实际应急处置中的联动配合能力和应急处置水平。</w:t>
      </w:r>
    </w:p>
    <w:p w14:paraId="492A8DD5">
      <w:pPr>
        <w:pStyle w:val="139"/>
        <w:ind w:firstLine="480"/>
        <w:rPr>
          <w:color w:val="auto"/>
        </w:rPr>
      </w:pPr>
      <w:r>
        <w:rPr>
          <w:rFonts w:hint="eastAsia" w:ascii="宋体" w:hAnsi="宋体" w:eastAsia="宋体" w:cs="宋体"/>
          <w:color w:val="auto"/>
        </w:rPr>
        <w:t>（2）</w:t>
      </w:r>
      <w:r>
        <w:rPr>
          <w:rFonts w:hint="eastAsia"/>
          <w:color w:val="auto"/>
        </w:rPr>
        <w:t>与园区风险应急预案的衔接</w:t>
      </w:r>
    </w:p>
    <w:p w14:paraId="008FF6E1">
      <w:pPr>
        <w:pStyle w:val="93"/>
      </w:pPr>
      <w:r>
        <w:rPr>
          <w:rFonts w:hint="eastAsia"/>
        </w:rPr>
        <w:t>①应急组织机构、人员的衔接当发生风险事故时，项目综合协调小组应及时承担起与当地区域或各职能管理部门的应急指挥机构的联系工作，及时将事故发生情况及最新进展向有关部门汇报，并将上级指挥机构的命令及时向建设项目应急指挥小组汇报；编制环境污染事故报告，并将报告向上级部门汇报。</w:t>
      </w:r>
    </w:p>
    <w:p w14:paraId="2DFEC8B1">
      <w:pPr>
        <w:ind w:firstLine="480"/>
      </w:pPr>
      <w:r>
        <w:rPr>
          <w:rFonts w:hint="eastAsia"/>
        </w:rPr>
        <w:t>②预案分级响应的衔接</w:t>
      </w:r>
    </w:p>
    <w:p w14:paraId="2265F590">
      <w:pPr>
        <w:ind w:firstLine="480"/>
      </w:pPr>
      <w:r>
        <w:rPr>
          <w:rFonts w:hint="eastAsia"/>
        </w:rPr>
        <w:t>⑴一般污染事故：在污染事故现场处置妥当后，经应急指挥小组研究确定后，向当地生态环境部门事故应急处理指挥部报告处理结果。</w:t>
      </w:r>
    </w:p>
    <w:p w14:paraId="3C8A4A53">
      <w:pPr>
        <w:pStyle w:val="93"/>
      </w:pPr>
      <w:r>
        <w:rPr>
          <w:rFonts w:hint="eastAsia"/>
        </w:rPr>
        <w:t>⑵较大或严重污染事故：应急指挥小组在接到事故报警后，及时向淮安市应急处理指挥部报告，并请求支援；生态环境部门应急处理指挥部进行紧急动员，适时启动区域的环境污染事故应急预案迅速调集救援力量，指挥区域成员单位、相关职能部门，根据应急预案组成各个应急行动小组，按照各自的职责和现场救援具体方案开展抢险救援工作，应急小组听从生态环境部门现场指挥部的领导。现场指挥部同时将有关进展情况向淮安市应急处理指挥部汇报；污染事故基本控制稳定后，现场应急指挥部将根据专家意见，迅速调集后援力量展开事故处置工作。现场应急处理结束。当污染事故有进一步扩大、发展趋势，或因事故衍生问题造成重大社会不稳定事态，现场应急指挥部将根据事态发展，及时调整应急响应级别，发布预警信息，同时向淮安市应急处理指挥部和省环境污染事故应急处理指挥部请求援助。</w:t>
      </w:r>
    </w:p>
    <w:p w14:paraId="20522C68">
      <w:pPr>
        <w:pStyle w:val="139"/>
        <w:ind w:firstLine="480"/>
        <w:rPr>
          <w:color w:val="auto"/>
        </w:rPr>
      </w:pPr>
      <w:bookmarkStart w:id="354" w:name="_Toc7090"/>
      <w:bookmarkEnd w:id="354"/>
      <w:r>
        <w:rPr>
          <w:rFonts w:hint="eastAsia" w:ascii="宋体" w:hAnsi="宋体" w:eastAsia="宋体" w:cs="宋体"/>
          <w:color w:val="auto"/>
        </w:rPr>
        <w:t>（3）</w:t>
      </w:r>
      <w:r>
        <w:rPr>
          <w:rFonts w:hint="eastAsia"/>
          <w:color w:val="auto"/>
        </w:rPr>
        <w:t>与港口部门风险应急预案的衔接、联动</w:t>
      </w:r>
    </w:p>
    <w:p w14:paraId="0B7E5046">
      <w:pPr>
        <w:ind w:firstLine="480"/>
      </w:pPr>
      <w:r>
        <w:rPr>
          <w:rFonts w:hint="eastAsia"/>
        </w:rPr>
        <w:t>1、先期处置</w:t>
      </w:r>
    </w:p>
    <w:p w14:paraId="07DA53A4">
      <w:pPr>
        <w:ind w:firstLine="480"/>
      </w:pPr>
      <w:r>
        <w:rPr>
          <w:rFonts w:hint="eastAsia"/>
        </w:rPr>
        <w:t>港口突发事件发生后，港口企业应立即启动相关应急预案，采取应急救援行动，控制事态发展，避免事件升级，同时立即报告事发地港口管理部门、港口应急办和其他相关部门。</w:t>
      </w:r>
    </w:p>
    <w:p w14:paraId="5DC7759F">
      <w:pPr>
        <w:pStyle w:val="93"/>
      </w:pPr>
      <w:r>
        <w:rPr>
          <w:rFonts w:hint="eastAsia"/>
        </w:rPr>
        <w:t>事发地港口管理部门根据职责和规定的权限启动应急预案，开展应急救援工作，并收集现场动态信息随时报告港口应急办。</w:t>
      </w:r>
    </w:p>
    <w:p w14:paraId="47F833B2">
      <w:pPr>
        <w:ind w:firstLine="480"/>
      </w:pPr>
      <w:bookmarkStart w:id="355" w:name="_Toc18377"/>
      <w:bookmarkEnd w:id="355"/>
      <w:r>
        <w:rPr>
          <w:rFonts w:hint="eastAsia"/>
        </w:rPr>
        <w:t>2、应急启动</w:t>
      </w:r>
    </w:p>
    <w:p w14:paraId="17E412D3">
      <w:pPr>
        <w:pStyle w:val="93"/>
      </w:pPr>
      <w:r>
        <w:rPr>
          <w:rFonts w:hint="eastAsia"/>
        </w:rPr>
        <w:t>港口应急办对收集到的港口突发事件信息，经初步评估确定为Ⅲ级以上突发事件的，向港口应急指挥部提出启动Ⅲ级应急响应的建议。港口应急指挥部总指挥决定启动Ⅱ级应急响应后，立即向市政府报告。</w:t>
      </w:r>
    </w:p>
    <w:p w14:paraId="23B2F65B">
      <w:pPr>
        <w:ind w:firstLine="480"/>
      </w:pPr>
      <w:bookmarkStart w:id="356" w:name="_Toc7630"/>
      <w:bookmarkEnd w:id="356"/>
      <w:r>
        <w:rPr>
          <w:rFonts w:hint="eastAsia"/>
        </w:rPr>
        <w:t>3、指挥协调</w:t>
      </w:r>
    </w:p>
    <w:p w14:paraId="23A1C266">
      <w:pPr>
        <w:pStyle w:val="93"/>
      </w:pPr>
      <w:r>
        <w:rPr>
          <w:rFonts w:hint="eastAsia"/>
        </w:rPr>
        <w:t>Ⅲ级应急响应启动后，港口应急指挥部根据实际需要，组织成立现场应急指挥部确定现场指挥长，同时由港口应急办通知相关成员单位赶赴现场，现场指挥长由港口应急指挥部总指挥指定，未指定前，一般由事发现场的港口企业负责人担任。</w:t>
      </w:r>
    </w:p>
    <w:p w14:paraId="0FAB8585">
      <w:pPr>
        <w:pStyle w:val="93"/>
      </w:pPr>
      <w:r>
        <w:rPr>
          <w:rFonts w:hint="eastAsia"/>
        </w:rPr>
        <w:t>市应急指挥部具体负责现场应急处置工作，及时向港口应急指挥部报告情况，请示重大问题的处置。</w:t>
      </w:r>
    </w:p>
    <w:p w14:paraId="422DF737">
      <w:pPr>
        <w:pStyle w:val="93"/>
      </w:pPr>
      <w:r>
        <w:rPr>
          <w:rFonts w:hint="eastAsia"/>
        </w:rPr>
        <w:t>参与突发事件处置的成员单位，在现场应急指挥部的统一指挥下，按照各自职责，开展现场应急处置和救援工作。</w:t>
      </w:r>
    </w:p>
    <w:p w14:paraId="7871BFC9">
      <w:pPr>
        <w:ind w:firstLine="480"/>
      </w:pPr>
      <w:bookmarkStart w:id="357" w:name="_Toc23569"/>
      <w:bookmarkEnd w:id="357"/>
      <w:r>
        <w:rPr>
          <w:rFonts w:hint="eastAsia"/>
        </w:rPr>
        <w:t>4、扩大应急</w:t>
      </w:r>
    </w:p>
    <w:p w14:paraId="3ED774CF">
      <w:pPr>
        <w:pStyle w:val="93"/>
      </w:pPr>
      <w:r>
        <w:rPr>
          <w:rFonts w:hint="eastAsia"/>
        </w:rPr>
        <w:t>当港口突发事件超出港口应急指挥部的应急处置能力，需要实施扩大应急行动时，港口应急指挥部应及时向市政府报告，建议启动市级相关应急预案。</w:t>
      </w:r>
    </w:p>
    <w:p w14:paraId="6AA90D87">
      <w:pPr>
        <w:pStyle w:val="93"/>
      </w:pPr>
      <w:bookmarkStart w:id="358" w:name="_Toc12994"/>
      <w:bookmarkEnd w:id="358"/>
      <w:r>
        <w:rPr>
          <w:rFonts w:hint="eastAsia"/>
        </w:rPr>
        <w:t>5、安全防护</w:t>
      </w:r>
    </w:p>
    <w:p w14:paraId="7278D632">
      <w:pPr>
        <w:pStyle w:val="93"/>
      </w:pPr>
      <w:r>
        <w:rPr>
          <w:rFonts w:hint="eastAsia"/>
        </w:rPr>
        <w:t>应急救援人员在接近危险区域或有潜在危险的区域时，必须做好充分防护的准备，经现场指挥部同意方可进入现场，并严格</w:t>
      </w:r>
      <w:r>
        <w:rPr>
          <w:rFonts w:hint="eastAsia"/>
          <w:lang w:eastAsia="zh-CN"/>
        </w:rPr>
        <w:t>按照</w:t>
      </w:r>
      <w:r>
        <w:rPr>
          <w:rFonts w:hint="eastAsia"/>
        </w:rPr>
        <w:t>安全防护要求和相关操作规程进行处置。</w:t>
      </w:r>
    </w:p>
    <w:p w14:paraId="20BE3A6C">
      <w:pPr>
        <w:pStyle w:val="93"/>
      </w:pPr>
      <w:r>
        <w:rPr>
          <w:rFonts w:hint="eastAsia"/>
        </w:rPr>
        <w:t>现场指挥部要密切监视险情，做好受到突发事件威胁群众的疏散撤离工作，如果需要大规模疏散居民，应由当地政府负责，拟定撤离计划，确定撤离路径、备用路线及交通工具，车流量控制，疏散目的地的接纳条件，通知撤离方式，告诉有关人员自身保护的注意事项或预防措施，及时公开相关信息，保持社会秩序和公众情绪稳定。</w:t>
      </w:r>
    </w:p>
    <w:p w14:paraId="3CD3F742">
      <w:pPr>
        <w:ind w:firstLine="480"/>
      </w:pPr>
      <w:bookmarkStart w:id="359" w:name="_Toc17138"/>
      <w:bookmarkEnd w:id="359"/>
      <w:r>
        <w:rPr>
          <w:rFonts w:hint="eastAsia"/>
        </w:rPr>
        <w:t>6、信息发布</w:t>
      </w:r>
    </w:p>
    <w:p w14:paraId="2AC17765">
      <w:pPr>
        <w:pStyle w:val="93"/>
      </w:pPr>
      <w:r>
        <w:rPr>
          <w:rFonts w:hint="eastAsia"/>
        </w:rPr>
        <w:t>港口突发事件的信息发布应当统一、及时、准确、事件发生的第一</w:t>
      </w:r>
      <w:r>
        <w:rPr>
          <w:rFonts w:hint="eastAsia"/>
          <w:lang w:eastAsia="zh-CN"/>
        </w:rPr>
        <w:t>时间</w:t>
      </w:r>
      <w:r>
        <w:rPr>
          <w:rFonts w:hint="eastAsia"/>
        </w:rPr>
        <w:t>向社会发布简要信息，随后发布初步核实情况，政府应对措施和公众防范措施等，并根据事件处置情况做好后续发布工作。</w:t>
      </w:r>
    </w:p>
    <w:p w14:paraId="5B0E1E0E">
      <w:pPr>
        <w:ind w:firstLine="480"/>
      </w:pPr>
      <w:bookmarkStart w:id="360" w:name="_Toc15247"/>
      <w:bookmarkEnd w:id="360"/>
      <w:r>
        <w:rPr>
          <w:rFonts w:hint="eastAsia"/>
        </w:rPr>
        <w:t>7、应急结束</w:t>
      </w:r>
    </w:p>
    <w:p w14:paraId="47A3DA0C">
      <w:pPr>
        <w:ind w:firstLine="480"/>
      </w:pPr>
      <w:r>
        <w:rPr>
          <w:rFonts w:hint="eastAsia"/>
        </w:rPr>
        <w:t>港口突发事件的威胁和危害已得到有效控制或消除时，由现场应急指挥部向港口应急指挥部提出Ⅱ级应急响应结束的建议。港口应急指挥部决定结束Ⅲ级应急响应的，可委托现场应急指挥部宣布解除应急状态。</w:t>
      </w:r>
    </w:p>
    <w:p w14:paraId="73F0EBD4">
      <w:pPr>
        <w:pStyle w:val="139"/>
        <w:ind w:firstLine="480"/>
        <w:rPr>
          <w:color w:val="auto"/>
        </w:rPr>
      </w:pPr>
      <w:bookmarkStart w:id="361" w:name="_Toc25692"/>
      <w:bookmarkEnd w:id="361"/>
      <w:r>
        <w:rPr>
          <w:rFonts w:hint="eastAsia"/>
          <w:color w:val="auto"/>
        </w:rPr>
        <w:t>（4）与海事部门风险应急预案的衔接、联动</w:t>
      </w:r>
    </w:p>
    <w:p w14:paraId="7C940C50">
      <w:pPr>
        <w:ind w:firstLine="480"/>
      </w:pPr>
      <w:r>
        <w:rPr>
          <w:rFonts w:hint="eastAsia"/>
        </w:rPr>
        <w:t>8、信息处置</w:t>
      </w:r>
    </w:p>
    <w:p w14:paraId="56A95345">
      <w:pPr>
        <w:ind w:firstLine="480"/>
      </w:pPr>
      <w:r>
        <w:rPr>
          <w:rFonts w:hint="eastAsia"/>
        </w:rPr>
        <w:t>（1）报告：船舶、设施发生故障，首先应采取一切有效措施组织自救，必要时发出求救信号，并应迅速使用一切有效手段向搜救中心或下属机构报告，下属机构接获该信息后，应立即向搜救中心办公室报告。事故现场附近的船舶，在获悉信息后，在当事船无法报告的情况下应协助报告。搜救中心办公室接到报告后，判断是否需要启动应急预案；如果需要启用，则应立即报告指挥长决定。</w:t>
      </w:r>
    </w:p>
    <w:p w14:paraId="38EC61CC">
      <w:pPr>
        <w:ind w:firstLine="480"/>
      </w:pPr>
      <w:r>
        <w:rPr>
          <w:rFonts w:hint="eastAsia"/>
        </w:rPr>
        <w:t>（2）通知：根据执行指挥长的指示精神，搜救中心办公室立即通知应急处置有关的单位、人员按预案要求各就各位。</w:t>
      </w:r>
    </w:p>
    <w:p w14:paraId="5F709FE1">
      <w:pPr>
        <w:ind w:firstLine="480"/>
      </w:pPr>
      <w:r>
        <w:rPr>
          <w:rFonts w:hint="eastAsia"/>
        </w:rPr>
        <w:t>（3）启用应急预案：根据事故发生的时间、地点、人员及船货情况，当事船的人员的危险程度，须由搜救中心决定启用应急预案。</w:t>
      </w:r>
    </w:p>
    <w:p w14:paraId="7EB27398">
      <w:pPr>
        <w:ind w:firstLine="480"/>
      </w:pPr>
      <w:bookmarkStart w:id="362" w:name="_Toc18290"/>
      <w:bookmarkEnd w:id="362"/>
      <w:r>
        <w:rPr>
          <w:rFonts w:hint="eastAsia"/>
        </w:rPr>
        <w:t>9、应急预案启用后，搜救中心办公室操作要领：</w:t>
      </w:r>
    </w:p>
    <w:p w14:paraId="1F098DE6">
      <w:pPr>
        <w:ind w:firstLine="480"/>
      </w:pPr>
      <w:r>
        <w:rPr>
          <w:rFonts w:hint="eastAsia"/>
        </w:rPr>
        <w:t>（1）根据指挥长指令通知救助成员单位及有关部门。</w:t>
      </w:r>
    </w:p>
    <w:p w14:paraId="4C9577D0">
      <w:pPr>
        <w:ind w:firstLine="480"/>
      </w:pPr>
      <w:r>
        <w:rPr>
          <w:rFonts w:hint="eastAsia"/>
        </w:rPr>
        <w:t>（2）专人处理上报，传达指令。</w:t>
      </w:r>
    </w:p>
    <w:p w14:paraId="1D223670">
      <w:pPr>
        <w:ind w:firstLine="480"/>
      </w:pPr>
      <w:r>
        <w:rPr>
          <w:rFonts w:hint="eastAsia"/>
        </w:rPr>
        <w:t>（3）处理来电、来函，接待来人，并做好相关记录。</w:t>
      </w:r>
    </w:p>
    <w:p w14:paraId="448F324A">
      <w:pPr>
        <w:ind w:firstLine="480"/>
      </w:pPr>
      <w:r>
        <w:rPr>
          <w:rFonts w:hint="eastAsia"/>
        </w:rPr>
        <w:t>（4）通知搜救区域的监督处站密切配合工作。</w:t>
      </w:r>
    </w:p>
    <w:p w14:paraId="44892549">
      <w:pPr>
        <w:ind w:firstLine="480"/>
      </w:pPr>
      <w:r>
        <w:rPr>
          <w:rFonts w:hint="eastAsia"/>
        </w:rPr>
        <w:t>（5）根据指挥长的指令通知港监有关部门发布航行通电通知。</w:t>
      </w:r>
    </w:p>
    <w:p w14:paraId="5C684AA4">
      <w:pPr>
        <w:ind w:firstLine="480"/>
      </w:pPr>
      <w:r>
        <w:rPr>
          <w:rFonts w:hint="eastAsia"/>
        </w:rPr>
        <w:t>（6）督促有关专业小组人员到位、工作到位，执行。指挥长指令到位。</w:t>
      </w:r>
    </w:p>
    <w:p w14:paraId="28046FB7">
      <w:pPr>
        <w:ind w:firstLine="480"/>
      </w:pPr>
      <w:r>
        <w:rPr>
          <w:rFonts w:hint="eastAsia"/>
        </w:rPr>
        <w:t>（7）配合现场工作组，随时提供现场需要的各种资料。</w:t>
      </w:r>
    </w:p>
    <w:p w14:paraId="4D3E75CE">
      <w:pPr>
        <w:ind w:firstLine="480"/>
      </w:pPr>
      <w:r>
        <w:rPr>
          <w:rFonts w:hint="eastAsia"/>
        </w:rPr>
        <w:t>（8）协助指挥长协调各有关专业小组的工作。</w:t>
      </w:r>
    </w:p>
    <w:p w14:paraId="703A2DC2">
      <w:pPr>
        <w:ind w:firstLine="480"/>
      </w:pPr>
      <w:r>
        <w:rPr>
          <w:rFonts w:hint="eastAsia"/>
        </w:rPr>
        <w:t>（9）设置VHF专用频道。</w:t>
      </w:r>
    </w:p>
    <w:p w14:paraId="2729B24D">
      <w:pPr>
        <w:pStyle w:val="82"/>
      </w:pPr>
      <w:r>
        <w:rPr>
          <w:rFonts w:hint="eastAsia"/>
        </w:rPr>
        <w:t>环境风险防范措施“三同时”要求</w:t>
      </w:r>
    </w:p>
    <w:p w14:paraId="464B44A9">
      <w:pPr>
        <w:pStyle w:val="139"/>
        <w:ind w:firstLine="480"/>
        <w:rPr>
          <w:color w:val="auto"/>
        </w:rPr>
      </w:pPr>
      <w:r>
        <w:rPr>
          <w:rFonts w:hint="eastAsia"/>
          <w:color w:val="auto"/>
        </w:rPr>
        <w:t>环境风险防范措施应与主体工程同时设计、同时建设、同时验收，即环境风险防范措施应纳入环保投资和建设项目竣工环保验收。</w:t>
      </w:r>
    </w:p>
    <w:p w14:paraId="53FBBFDF">
      <w:pPr>
        <w:pStyle w:val="82"/>
      </w:pPr>
      <w:r>
        <w:rPr>
          <w:rFonts w:hint="eastAsia"/>
        </w:rPr>
        <w:t>环境风险防范措施分析结论</w:t>
      </w:r>
    </w:p>
    <w:p w14:paraId="35F82262">
      <w:pPr>
        <w:pStyle w:val="139"/>
        <w:ind w:firstLine="480"/>
        <w:rPr>
          <w:color w:val="auto"/>
        </w:rPr>
      </w:pPr>
      <w:r>
        <w:rPr>
          <w:rFonts w:hint="eastAsia"/>
          <w:color w:val="auto"/>
        </w:rPr>
        <w:t>本项目环境风险物质主要有船舶用油。危险单元为码头水域区域。风险事故类型有船舶溢油等。通过环境风险预测和评价可知，采取相应的风险防范措施及建立完善的应急管理制度后，不仅可以将风险事故发生概率降至最低，同时可降低环境风险，确保本项目环境风险可防控。</w:t>
      </w:r>
    </w:p>
    <w:p w14:paraId="73745F6E">
      <w:pPr>
        <w:spacing w:line="240" w:lineRule="auto"/>
        <w:ind w:firstLine="0" w:firstLineChars="0"/>
        <w:rPr>
          <w:kern w:val="0"/>
          <w:szCs w:val="20"/>
          <w:lang w:val="zh-CN"/>
        </w:rPr>
      </w:pPr>
      <w:r>
        <w:br w:type="page"/>
      </w:r>
    </w:p>
    <w:p w14:paraId="34F35494">
      <w:pPr>
        <w:pStyle w:val="76"/>
      </w:pPr>
      <w:bookmarkStart w:id="363" w:name="_Toc182171829"/>
      <w:r>
        <w:rPr>
          <w:rFonts w:hint="eastAsia"/>
        </w:rPr>
        <w:t>环境</w:t>
      </w:r>
      <w:bookmarkEnd w:id="349"/>
      <w:r>
        <w:rPr>
          <w:rFonts w:hint="eastAsia"/>
        </w:rPr>
        <w:t>影响经济损益分析</w:t>
      </w:r>
      <w:bookmarkEnd w:id="363"/>
    </w:p>
    <w:p w14:paraId="760083A9">
      <w:pPr>
        <w:pStyle w:val="80"/>
      </w:pPr>
      <w:bookmarkStart w:id="364" w:name="_Toc30549"/>
      <w:bookmarkEnd w:id="364"/>
      <w:bookmarkStart w:id="365" w:name="_Toc22200"/>
      <w:bookmarkStart w:id="366" w:name="_Toc182171830"/>
      <w:r>
        <w:rPr>
          <w:rFonts w:hint="eastAsia"/>
        </w:rPr>
        <w:t>环境损益分析</w:t>
      </w:r>
      <w:bookmarkEnd w:id="365"/>
      <w:bookmarkEnd w:id="366"/>
    </w:p>
    <w:p w14:paraId="0CC7D8B1">
      <w:pPr>
        <w:pStyle w:val="82"/>
      </w:pPr>
      <w:r>
        <w:rPr>
          <w:rFonts w:hint="eastAsia"/>
        </w:rPr>
        <w:t>环保投资</w:t>
      </w:r>
    </w:p>
    <w:p w14:paraId="69D0C029">
      <w:pPr>
        <w:ind w:firstLine="480"/>
      </w:pPr>
      <w:r>
        <w:rPr>
          <w:rFonts w:hint="eastAsia"/>
        </w:rPr>
        <w:t>本项目总投资：5942.36万元，其中环保投资70万元，占总投资的1.52%环保投资估算及“三同时”验收清单见表7.1-1。</w:t>
      </w:r>
    </w:p>
    <w:p w14:paraId="0868D823">
      <w:pPr>
        <w:ind w:firstLine="480"/>
      </w:pPr>
      <w:r>
        <w:rPr>
          <w:rFonts w:hint="eastAsia"/>
        </w:rPr>
        <w:t xml:space="preserve"> </w:t>
      </w:r>
    </w:p>
    <w:p w14:paraId="055AFFDF">
      <w:pPr>
        <w:ind w:firstLine="482"/>
        <w:rPr>
          <w:b/>
        </w:rPr>
        <w:sectPr>
          <w:pgSz w:w="11905" w:h="16838"/>
          <w:pgMar w:top="1440" w:right="1800" w:bottom="1440" w:left="1800" w:header="851" w:footer="992" w:gutter="0"/>
          <w:cols w:space="720" w:num="1"/>
          <w:docGrid w:type="lines" w:linePitch="332" w:charSpace="0"/>
        </w:sectPr>
      </w:pPr>
    </w:p>
    <w:p w14:paraId="4665536B">
      <w:pPr>
        <w:pStyle w:val="86"/>
      </w:pPr>
      <w:r>
        <w:rPr>
          <w:rFonts w:hint="eastAsia"/>
        </w:rPr>
        <w:t>本项目环保投资估算及“三同时”验收一览表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969"/>
        <w:gridCol w:w="1631"/>
        <w:gridCol w:w="1273"/>
        <w:gridCol w:w="4413"/>
        <w:gridCol w:w="2185"/>
        <w:gridCol w:w="988"/>
        <w:gridCol w:w="807"/>
      </w:tblGrid>
      <w:tr w14:paraId="5199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2" w:type="pct"/>
            <w:gridSpan w:val="2"/>
            <w:vAlign w:val="center"/>
          </w:tcPr>
          <w:p w14:paraId="383E0A03">
            <w:pPr>
              <w:pStyle w:val="196"/>
              <w:rPr>
                <w:b/>
                <w:bCs/>
              </w:rPr>
            </w:pPr>
            <w:r>
              <w:rPr>
                <w:rFonts w:hint="eastAsia"/>
                <w:b/>
                <w:bCs/>
              </w:rPr>
              <w:t>项目名称</w:t>
            </w:r>
          </w:p>
        </w:tc>
        <w:tc>
          <w:tcPr>
            <w:tcW w:w="4198" w:type="pct"/>
            <w:gridSpan w:val="6"/>
            <w:vAlign w:val="center"/>
          </w:tcPr>
          <w:p w14:paraId="3F12DC46">
            <w:pPr>
              <w:pStyle w:val="196"/>
              <w:rPr>
                <w:b/>
                <w:bCs/>
              </w:rPr>
            </w:pPr>
            <w:r>
              <w:rPr>
                <w:rFonts w:hint="eastAsia"/>
                <w:b/>
                <w:bCs/>
              </w:rPr>
              <w:t>淮安港涟水港区薛行作业区国能涟水一期热电联产项目配套码头工程</w:t>
            </w:r>
          </w:p>
        </w:tc>
      </w:tr>
      <w:tr w14:paraId="1AEA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2" w:type="pct"/>
            <w:gridSpan w:val="2"/>
            <w:vAlign w:val="center"/>
          </w:tcPr>
          <w:p w14:paraId="7D2CDCF6">
            <w:pPr>
              <w:pStyle w:val="196"/>
              <w:rPr>
                <w:b/>
                <w:bCs/>
              </w:rPr>
            </w:pPr>
            <w:r>
              <w:rPr>
                <w:rFonts w:hint="eastAsia"/>
                <w:b/>
                <w:bCs/>
              </w:rPr>
              <w:t>类别</w:t>
            </w:r>
          </w:p>
        </w:tc>
        <w:tc>
          <w:tcPr>
            <w:tcW w:w="606" w:type="pct"/>
            <w:vAlign w:val="center"/>
          </w:tcPr>
          <w:p w14:paraId="3D25D3C3">
            <w:pPr>
              <w:pStyle w:val="196"/>
              <w:rPr>
                <w:b/>
                <w:bCs/>
              </w:rPr>
            </w:pPr>
            <w:r>
              <w:rPr>
                <w:rFonts w:hint="eastAsia"/>
                <w:b/>
                <w:bCs/>
              </w:rPr>
              <w:t>污染源</w:t>
            </w:r>
          </w:p>
        </w:tc>
        <w:tc>
          <w:tcPr>
            <w:tcW w:w="473" w:type="pct"/>
            <w:vAlign w:val="center"/>
          </w:tcPr>
          <w:p w14:paraId="6F39A632">
            <w:pPr>
              <w:pStyle w:val="196"/>
              <w:rPr>
                <w:b/>
                <w:bCs/>
              </w:rPr>
            </w:pPr>
            <w:r>
              <w:rPr>
                <w:rFonts w:hint="eastAsia"/>
                <w:b/>
                <w:bCs/>
              </w:rPr>
              <w:t>污染物</w:t>
            </w:r>
          </w:p>
        </w:tc>
        <w:tc>
          <w:tcPr>
            <w:tcW w:w="1640" w:type="pct"/>
            <w:vAlign w:val="center"/>
          </w:tcPr>
          <w:p w14:paraId="11A9BB83">
            <w:pPr>
              <w:pStyle w:val="196"/>
              <w:rPr>
                <w:b/>
                <w:bCs/>
              </w:rPr>
            </w:pPr>
            <w:r>
              <w:rPr>
                <w:rFonts w:hint="eastAsia"/>
                <w:b/>
                <w:bCs/>
              </w:rPr>
              <w:t>治理措施（设施数量、规模、处理能力等）</w:t>
            </w:r>
          </w:p>
        </w:tc>
        <w:tc>
          <w:tcPr>
            <w:tcW w:w="812" w:type="pct"/>
            <w:vAlign w:val="center"/>
          </w:tcPr>
          <w:p w14:paraId="378B4112">
            <w:pPr>
              <w:pStyle w:val="196"/>
              <w:rPr>
                <w:b/>
                <w:bCs/>
              </w:rPr>
            </w:pPr>
            <w:r>
              <w:rPr>
                <w:rFonts w:hint="eastAsia"/>
                <w:b/>
                <w:bCs/>
              </w:rPr>
              <w:t>处理效果、执行标准或拟达要求</w:t>
            </w:r>
          </w:p>
        </w:tc>
        <w:tc>
          <w:tcPr>
            <w:tcW w:w="367" w:type="pct"/>
            <w:vAlign w:val="center"/>
          </w:tcPr>
          <w:p w14:paraId="744C1705">
            <w:pPr>
              <w:pStyle w:val="196"/>
              <w:rPr>
                <w:b/>
                <w:bCs/>
              </w:rPr>
            </w:pPr>
            <w:r>
              <w:rPr>
                <w:rFonts w:hint="eastAsia"/>
                <w:b/>
                <w:bCs/>
              </w:rPr>
              <w:t>投资</w:t>
            </w:r>
          </w:p>
          <w:p w14:paraId="261BFF99">
            <w:pPr>
              <w:pStyle w:val="196"/>
              <w:rPr>
                <w:b/>
                <w:bCs/>
              </w:rPr>
            </w:pPr>
            <w:r>
              <w:rPr>
                <w:rFonts w:hint="eastAsia"/>
                <w:b/>
                <w:bCs/>
              </w:rPr>
              <w:t>（万元）</w:t>
            </w:r>
          </w:p>
        </w:tc>
        <w:tc>
          <w:tcPr>
            <w:tcW w:w="300" w:type="pct"/>
            <w:vAlign w:val="center"/>
          </w:tcPr>
          <w:p w14:paraId="1B294FE6">
            <w:pPr>
              <w:pStyle w:val="196"/>
              <w:rPr>
                <w:b/>
                <w:bCs/>
              </w:rPr>
            </w:pPr>
            <w:r>
              <w:rPr>
                <w:rFonts w:hint="eastAsia"/>
                <w:b/>
                <w:bCs/>
              </w:rPr>
              <w:t>完成时间</w:t>
            </w:r>
          </w:p>
        </w:tc>
      </w:tr>
      <w:tr w14:paraId="4ECA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vAlign w:val="center"/>
          </w:tcPr>
          <w:p w14:paraId="42206A60">
            <w:pPr>
              <w:pStyle w:val="196"/>
            </w:pPr>
            <w:bookmarkStart w:id="367" w:name="_Hlk302584627"/>
            <w:r>
              <w:rPr>
                <w:rFonts w:hint="eastAsia"/>
              </w:rPr>
              <w:t>施工期</w:t>
            </w:r>
            <w:bookmarkEnd w:id="367"/>
          </w:p>
        </w:tc>
        <w:tc>
          <w:tcPr>
            <w:tcW w:w="360" w:type="pct"/>
            <w:vMerge w:val="restart"/>
            <w:vAlign w:val="center"/>
          </w:tcPr>
          <w:p w14:paraId="709DC7ED">
            <w:pPr>
              <w:pStyle w:val="196"/>
            </w:pPr>
            <w:r>
              <w:rPr>
                <w:rFonts w:hint="eastAsia"/>
              </w:rPr>
              <w:t>废气</w:t>
            </w:r>
          </w:p>
        </w:tc>
        <w:tc>
          <w:tcPr>
            <w:tcW w:w="606" w:type="pct"/>
            <w:vAlign w:val="center"/>
          </w:tcPr>
          <w:p w14:paraId="700BD43E">
            <w:pPr>
              <w:pStyle w:val="196"/>
            </w:pPr>
            <w:r>
              <w:rPr>
                <w:rFonts w:hint="eastAsia"/>
              </w:rPr>
              <w:t>施工粉尘（汽车扬尘、临时堆场扬尘、运输砂石料粉尘）</w:t>
            </w:r>
          </w:p>
        </w:tc>
        <w:tc>
          <w:tcPr>
            <w:tcW w:w="473" w:type="pct"/>
            <w:vAlign w:val="center"/>
          </w:tcPr>
          <w:p w14:paraId="10DA4630">
            <w:pPr>
              <w:pStyle w:val="196"/>
            </w:pPr>
            <w:r>
              <w:rPr>
                <w:rFonts w:hint="eastAsia"/>
              </w:rPr>
              <w:t>粉尘</w:t>
            </w:r>
          </w:p>
        </w:tc>
        <w:tc>
          <w:tcPr>
            <w:tcW w:w="1640" w:type="pct"/>
            <w:vAlign w:val="center"/>
          </w:tcPr>
          <w:p w14:paraId="20C35610">
            <w:pPr>
              <w:pStyle w:val="196"/>
            </w:pPr>
            <w:r>
              <w:rPr>
                <w:rFonts w:hint="eastAsia"/>
              </w:rPr>
              <w:t>施工现场及临时堆场四周设置2.5</w:t>
            </w:r>
            <w:r>
              <w:rPr>
                <w:rFonts w:hint="eastAsia"/>
                <w:lang w:eastAsia="zh-CN"/>
              </w:rPr>
              <w:t>—</w:t>
            </w:r>
            <w:r>
              <w:rPr>
                <w:rFonts w:hint="eastAsia"/>
              </w:rPr>
              <w:t>3m的围幛；道路硬化；堆料加盖篷布、施工运行车辆行驶道路定时洒水；建筑材料及施工垃圾配套覆盖措施；禁止在大风天气开挖土方。</w:t>
            </w:r>
          </w:p>
        </w:tc>
        <w:tc>
          <w:tcPr>
            <w:tcW w:w="812" w:type="pct"/>
            <w:vAlign w:val="center"/>
          </w:tcPr>
          <w:p w14:paraId="00C96741">
            <w:pPr>
              <w:pStyle w:val="196"/>
            </w:pPr>
            <w:r>
              <w:rPr>
                <w:rFonts w:hint="eastAsia"/>
              </w:rPr>
              <w:t>减少施工扬尘量</w:t>
            </w:r>
          </w:p>
        </w:tc>
        <w:tc>
          <w:tcPr>
            <w:tcW w:w="367" w:type="pct"/>
            <w:vAlign w:val="center"/>
          </w:tcPr>
          <w:p w14:paraId="498AC802">
            <w:pPr>
              <w:pStyle w:val="196"/>
            </w:pPr>
            <w:r>
              <w:rPr>
                <w:rFonts w:hint="eastAsia"/>
              </w:rPr>
              <w:t>2</w:t>
            </w:r>
          </w:p>
        </w:tc>
        <w:tc>
          <w:tcPr>
            <w:tcW w:w="300" w:type="pct"/>
            <w:vMerge w:val="restart"/>
            <w:vAlign w:val="center"/>
          </w:tcPr>
          <w:p w14:paraId="6C27D2AF">
            <w:pPr>
              <w:pStyle w:val="196"/>
            </w:pPr>
            <w:r>
              <w:rPr>
                <w:rFonts w:hint="eastAsia"/>
              </w:rPr>
              <w:t>与主体工程同步</w:t>
            </w:r>
          </w:p>
        </w:tc>
      </w:tr>
      <w:tr w14:paraId="5D8E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A9E5612">
            <w:pPr>
              <w:pStyle w:val="196"/>
            </w:pPr>
          </w:p>
        </w:tc>
        <w:tc>
          <w:tcPr>
            <w:tcW w:w="0" w:type="auto"/>
            <w:vMerge w:val="continue"/>
            <w:vAlign w:val="center"/>
          </w:tcPr>
          <w:p w14:paraId="3758D099">
            <w:pPr>
              <w:pStyle w:val="196"/>
            </w:pPr>
          </w:p>
        </w:tc>
        <w:tc>
          <w:tcPr>
            <w:tcW w:w="606" w:type="pct"/>
            <w:vAlign w:val="center"/>
          </w:tcPr>
          <w:p w14:paraId="6547522D">
            <w:pPr>
              <w:pStyle w:val="196"/>
            </w:pPr>
            <w:r>
              <w:rPr>
                <w:rFonts w:hint="eastAsia"/>
              </w:rPr>
              <w:t>施工船舶、车辆和机械废气</w:t>
            </w:r>
          </w:p>
        </w:tc>
        <w:tc>
          <w:tcPr>
            <w:tcW w:w="473" w:type="pct"/>
            <w:vAlign w:val="center"/>
          </w:tcPr>
          <w:p w14:paraId="7C2864F5">
            <w:pPr>
              <w:pStyle w:val="196"/>
              <w:rPr>
                <w:lang w:val="en-US"/>
              </w:rPr>
            </w:pPr>
            <w:r>
              <w:rPr>
                <w:rFonts w:hint="eastAsia"/>
                <w:lang w:val="en-US"/>
              </w:rPr>
              <w:t>CO</w:t>
            </w:r>
            <w:r>
              <w:rPr>
                <w:rFonts w:hint="eastAsia"/>
              </w:rPr>
              <w:t>、</w:t>
            </w:r>
            <w:r>
              <w:rPr>
                <w:rFonts w:hint="eastAsia"/>
                <w:lang w:val="en-US"/>
              </w:rPr>
              <w:t>NO</w:t>
            </w:r>
            <w:r>
              <w:rPr>
                <w:rFonts w:hint="eastAsia"/>
                <w:vertAlign w:val="subscript"/>
                <w:lang w:val="en-US"/>
              </w:rPr>
              <w:t>x</w:t>
            </w:r>
            <w:r>
              <w:rPr>
                <w:rFonts w:hint="eastAsia"/>
              </w:rPr>
              <w:t>、</w:t>
            </w:r>
            <w:r>
              <w:rPr>
                <w:rFonts w:hint="eastAsia"/>
                <w:lang w:val="en-US"/>
              </w:rPr>
              <w:t>C</w:t>
            </w:r>
            <w:r>
              <w:rPr>
                <w:rFonts w:hint="eastAsia"/>
                <w:vertAlign w:val="subscript"/>
                <w:lang w:val="en-US"/>
              </w:rPr>
              <w:t>n</w:t>
            </w:r>
            <w:r>
              <w:rPr>
                <w:rFonts w:hint="eastAsia"/>
                <w:lang w:val="en-US"/>
              </w:rPr>
              <w:t>H</w:t>
            </w:r>
            <w:r>
              <w:rPr>
                <w:rFonts w:hint="eastAsia"/>
                <w:vertAlign w:val="subscript"/>
                <w:lang w:val="en-US"/>
              </w:rPr>
              <w:t>m</w:t>
            </w:r>
          </w:p>
        </w:tc>
        <w:tc>
          <w:tcPr>
            <w:tcW w:w="1640" w:type="pct"/>
            <w:vAlign w:val="center"/>
          </w:tcPr>
          <w:p w14:paraId="34B5F853">
            <w:pPr>
              <w:pStyle w:val="196"/>
            </w:pPr>
            <w:r>
              <w:rPr>
                <w:rFonts w:hint="eastAsia"/>
              </w:rPr>
              <w:t>选择优质燃料，定期</w:t>
            </w:r>
            <w:r>
              <w:rPr>
                <w:rFonts w:hint="eastAsia"/>
                <w:lang w:eastAsia="zh-CN"/>
              </w:rPr>
              <w:t>对</w:t>
            </w:r>
            <w:r>
              <w:rPr>
                <w:rFonts w:hint="eastAsia"/>
              </w:rPr>
              <w:t>车辆</w:t>
            </w:r>
            <w:r>
              <w:rPr>
                <w:rFonts w:hint="eastAsia"/>
                <w:lang w:eastAsia="zh-CN"/>
              </w:rPr>
              <w:t>、运</w:t>
            </w:r>
            <w:r>
              <w:rPr>
                <w:rFonts w:hint="eastAsia"/>
              </w:rPr>
              <w:t>卸机械进行保养和维护，加强管理。</w:t>
            </w:r>
          </w:p>
        </w:tc>
        <w:tc>
          <w:tcPr>
            <w:tcW w:w="812" w:type="pct"/>
            <w:vAlign w:val="center"/>
          </w:tcPr>
          <w:p w14:paraId="44046297">
            <w:pPr>
              <w:pStyle w:val="196"/>
            </w:pPr>
          </w:p>
        </w:tc>
        <w:tc>
          <w:tcPr>
            <w:tcW w:w="367" w:type="pct"/>
            <w:vAlign w:val="center"/>
          </w:tcPr>
          <w:p w14:paraId="77471DE8">
            <w:pPr>
              <w:pStyle w:val="196"/>
            </w:pPr>
            <w:r>
              <w:rPr>
                <w:rFonts w:hint="eastAsia"/>
              </w:rPr>
              <w:t>1</w:t>
            </w:r>
          </w:p>
        </w:tc>
        <w:tc>
          <w:tcPr>
            <w:tcW w:w="0" w:type="auto"/>
            <w:vMerge w:val="continue"/>
            <w:vAlign w:val="center"/>
          </w:tcPr>
          <w:p w14:paraId="7E53526D">
            <w:pPr>
              <w:pStyle w:val="196"/>
            </w:pPr>
          </w:p>
        </w:tc>
      </w:tr>
      <w:tr w14:paraId="49B2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2F1F1BF7">
            <w:pPr>
              <w:pStyle w:val="196"/>
            </w:pPr>
          </w:p>
        </w:tc>
        <w:tc>
          <w:tcPr>
            <w:tcW w:w="0" w:type="auto"/>
            <w:vMerge w:val="continue"/>
            <w:vAlign w:val="center"/>
          </w:tcPr>
          <w:p w14:paraId="5780962A">
            <w:pPr>
              <w:pStyle w:val="196"/>
            </w:pPr>
          </w:p>
        </w:tc>
        <w:tc>
          <w:tcPr>
            <w:tcW w:w="606" w:type="pct"/>
            <w:vAlign w:val="center"/>
          </w:tcPr>
          <w:p w14:paraId="7B0DB560">
            <w:pPr>
              <w:pStyle w:val="196"/>
            </w:pPr>
            <w:r>
              <w:rPr>
                <w:rFonts w:hint="eastAsia"/>
              </w:rPr>
              <w:t>水下土方干化场恶臭废气</w:t>
            </w:r>
          </w:p>
        </w:tc>
        <w:tc>
          <w:tcPr>
            <w:tcW w:w="473" w:type="pct"/>
            <w:vAlign w:val="center"/>
          </w:tcPr>
          <w:p w14:paraId="57F42832">
            <w:pPr>
              <w:pStyle w:val="196"/>
            </w:pPr>
            <w:r>
              <w:rPr>
                <w:rFonts w:hint="eastAsia"/>
              </w:rPr>
              <w:t>NH</w:t>
            </w:r>
            <w:r>
              <w:rPr>
                <w:rFonts w:hint="eastAsia"/>
                <w:vertAlign w:val="subscript"/>
              </w:rPr>
              <w:t>3</w:t>
            </w:r>
            <w:r>
              <w:rPr>
                <w:rFonts w:hint="eastAsia"/>
              </w:rPr>
              <w:t>、H</w:t>
            </w:r>
            <w:r>
              <w:rPr>
                <w:rFonts w:hint="eastAsia"/>
                <w:vertAlign w:val="subscript"/>
              </w:rPr>
              <w:t>2</w:t>
            </w:r>
            <w:r>
              <w:rPr>
                <w:rFonts w:hint="eastAsia"/>
              </w:rPr>
              <w:t>S、臭气浓度</w:t>
            </w:r>
          </w:p>
        </w:tc>
        <w:tc>
          <w:tcPr>
            <w:tcW w:w="1640" w:type="pct"/>
            <w:vAlign w:val="center"/>
          </w:tcPr>
          <w:p w14:paraId="4CB6FDF9">
            <w:pPr>
              <w:pStyle w:val="196"/>
            </w:pPr>
            <w:r>
              <w:rPr>
                <w:rFonts w:hint="eastAsia"/>
              </w:rPr>
              <w:t>围堰、围挡</w:t>
            </w:r>
          </w:p>
        </w:tc>
        <w:tc>
          <w:tcPr>
            <w:tcW w:w="812" w:type="pct"/>
            <w:vAlign w:val="center"/>
          </w:tcPr>
          <w:p w14:paraId="233A244F">
            <w:pPr>
              <w:pStyle w:val="196"/>
            </w:pPr>
            <w:r>
              <w:rPr>
                <w:rFonts w:hint="eastAsia"/>
              </w:rPr>
              <w:t>-</w:t>
            </w:r>
          </w:p>
        </w:tc>
        <w:tc>
          <w:tcPr>
            <w:tcW w:w="367" w:type="pct"/>
            <w:vAlign w:val="center"/>
          </w:tcPr>
          <w:p w14:paraId="088F9EEE">
            <w:pPr>
              <w:pStyle w:val="196"/>
            </w:pPr>
            <w:r>
              <w:rPr>
                <w:rFonts w:hint="eastAsia"/>
              </w:rPr>
              <w:t>1</w:t>
            </w:r>
          </w:p>
        </w:tc>
        <w:tc>
          <w:tcPr>
            <w:tcW w:w="0" w:type="auto"/>
            <w:vMerge w:val="continue"/>
            <w:vAlign w:val="center"/>
          </w:tcPr>
          <w:p w14:paraId="08D0B4BB">
            <w:pPr>
              <w:pStyle w:val="196"/>
            </w:pPr>
          </w:p>
        </w:tc>
      </w:tr>
      <w:tr w14:paraId="7508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0A09C82">
            <w:pPr>
              <w:pStyle w:val="196"/>
            </w:pPr>
          </w:p>
        </w:tc>
        <w:tc>
          <w:tcPr>
            <w:tcW w:w="360" w:type="pct"/>
            <w:vMerge w:val="restart"/>
            <w:vAlign w:val="center"/>
          </w:tcPr>
          <w:p w14:paraId="3CA0F620">
            <w:pPr>
              <w:pStyle w:val="196"/>
            </w:pPr>
            <w:r>
              <w:rPr>
                <w:rFonts w:hint="eastAsia"/>
              </w:rPr>
              <w:t>废水</w:t>
            </w:r>
          </w:p>
        </w:tc>
        <w:tc>
          <w:tcPr>
            <w:tcW w:w="606" w:type="pct"/>
            <w:vAlign w:val="center"/>
          </w:tcPr>
          <w:p w14:paraId="060F0DBC">
            <w:pPr>
              <w:pStyle w:val="196"/>
            </w:pPr>
            <w:r>
              <w:rPr>
                <w:rFonts w:hint="eastAsia"/>
              </w:rPr>
              <w:t>疏浚作业</w:t>
            </w:r>
          </w:p>
        </w:tc>
        <w:tc>
          <w:tcPr>
            <w:tcW w:w="473" w:type="pct"/>
            <w:vAlign w:val="center"/>
          </w:tcPr>
          <w:p w14:paraId="0A8E8C30">
            <w:pPr>
              <w:pStyle w:val="196"/>
            </w:pPr>
            <w:r>
              <w:rPr>
                <w:rFonts w:hint="eastAsia"/>
              </w:rPr>
              <w:t>SS</w:t>
            </w:r>
          </w:p>
        </w:tc>
        <w:tc>
          <w:tcPr>
            <w:tcW w:w="1640" w:type="pct"/>
            <w:vAlign w:val="center"/>
          </w:tcPr>
          <w:p w14:paraId="19A4CB55">
            <w:pPr>
              <w:pStyle w:val="196"/>
            </w:pPr>
            <w:r>
              <w:rPr>
                <w:rFonts w:hint="eastAsia"/>
              </w:rPr>
              <w:t>GPS定位系统、环保疏浚技术、跟踪监测</w:t>
            </w:r>
          </w:p>
        </w:tc>
        <w:tc>
          <w:tcPr>
            <w:tcW w:w="812" w:type="pct"/>
            <w:vAlign w:val="center"/>
          </w:tcPr>
          <w:p w14:paraId="621930B4">
            <w:pPr>
              <w:pStyle w:val="196"/>
            </w:pPr>
            <w:r>
              <w:rPr>
                <w:rFonts w:hint="eastAsia"/>
              </w:rPr>
              <w:t>-</w:t>
            </w:r>
          </w:p>
        </w:tc>
        <w:tc>
          <w:tcPr>
            <w:tcW w:w="367" w:type="pct"/>
            <w:vAlign w:val="center"/>
          </w:tcPr>
          <w:p w14:paraId="7B6E4566">
            <w:pPr>
              <w:pStyle w:val="196"/>
            </w:pPr>
            <w:r>
              <w:rPr>
                <w:rFonts w:hint="eastAsia"/>
              </w:rPr>
              <w:t>2.5</w:t>
            </w:r>
          </w:p>
        </w:tc>
        <w:tc>
          <w:tcPr>
            <w:tcW w:w="0" w:type="auto"/>
            <w:vMerge w:val="continue"/>
            <w:vAlign w:val="center"/>
          </w:tcPr>
          <w:p w14:paraId="50695C5B">
            <w:pPr>
              <w:pStyle w:val="196"/>
            </w:pPr>
          </w:p>
        </w:tc>
      </w:tr>
      <w:tr w14:paraId="6B6A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239980">
            <w:pPr>
              <w:pStyle w:val="196"/>
            </w:pPr>
          </w:p>
        </w:tc>
        <w:tc>
          <w:tcPr>
            <w:tcW w:w="0" w:type="auto"/>
            <w:vMerge w:val="continue"/>
            <w:vAlign w:val="center"/>
          </w:tcPr>
          <w:p w14:paraId="7DC4BE9B">
            <w:pPr>
              <w:pStyle w:val="196"/>
            </w:pPr>
          </w:p>
        </w:tc>
        <w:tc>
          <w:tcPr>
            <w:tcW w:w="606" w:type="pct"/>
            <w:vAlign w:val="center"/>
          </w:tcPr>
          <w:p w14:paraId="7FD12AEE">
            <w:pPr>
              <w:pStyle w:val="196"/>
            </w:pPr>
            <w:r>
              <w:rPr>
                <w:rFonts w:hint="eastAsia"/>
              </w:rPr>
              <w:t>水下土方干化场余水</w:t>
            </w:r>
          </w:p>
        </w:tc>
        <w:tc>
          <w:tcPr>
            <w:tcW w:w="473" w:type="pct"/>
            <w:vAlign w:val="center"/>
          </w:tcPr>
          <w:p w14:paraId="1668D896">
            <w:pPr>
              <w:pStyle w:val="196"/>
            </w:pPr>
            <w:r>
              <w:rPr>
                <w:rFonts w:hint="eastAsia"/>
              </w:rPr>
              <w:t>SS</w:t>
            </w:r>
          </w:p>
        </w:tc>
        <w:tc>
          <w:tcPr>
            <w:tcW w:w="1640" w:type="pct"/>
            <w:vAlign w:val="center"/>
          </w:tcPr>
          <w:p w14:paraId="4F49AA2A">
            <w:pPr>
              <w:pStyle w:val="196"/>
            </w:pPr>
            <w:r>
              <w:rPr>
                <w:rFonts w:hint="eastAsia"/>
              </w:rPr>
              <w:t>经围堰、泄水口及后续沉淀池等预处理后</w:t>
            </w:r>
            <w:r>
              <w:rPr>
                <w:rFonts w:hint="eastAsia"/>
                <w:bCs/>
              </w:rPr>
              <w:t>满足《污水综合排放标准》（GB8978-1996）表4一级标准就近排入盐河</w:t>
            </w:r>
          </w:p>
        </w:tc>
        <w:tc>
          <w:tcPr>
            <w:tcW w:w="812" w:type="pct"/>
            <w:vAlign w:val="center"/>
          </w:tcPr>
          <w:p w14:paraId="5811E586">
            <w:pPr>
              <w:pStyle w:val="196"/>
            </w:pPr>
            <w:r>
              <w:rPr>
                <w:rFonts w:hint="eastAsia"/>
                <w:bCs/>
              </w:rPr>
              <w:t>满足《污水综合排放标准》（GB8978-1996）表4一级标准就近排入盐河</w:t>
            </w:r>
          </w:p>
        </w:tc>
        <w:tc>
          <w:tcPr>
            <w:tcW w:w="367" w:type="pct"/>
            <w:vAlign w:val="center"/>
          </w:tcPr>
          <w:p w14:paraId="419F1E78">
            <w:pPr>
              <w:pStyle w:val="196"/>
            </w:pPr>
            <w:r>
              <w:rPr>
                <w:rFonts w:hint="eastAsia"/>
              </w:rPr>
              <w:t>2.5</w:t>
            </w:r>
          </w:p>
        </w:tc>
        <w:tc>
          <w:tcPr>
            <w:tcW w:w="0" w:type="auto"/>
            <w:vMerge w:val="continue"/>
            <w:vAlign w:val="center"/>
          </w:tcPr>
          <w:p w14:paraId="1060C4CD">
            <w:pPr>
              <w:pStyle w:val="196"/>
            </w:pPr>
          </w:p>
        </w:tc>
      </w:tr>
      <w:tr w14:paraId="3E69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75B5E5B">
            <w:pPr>
              <w:pStyle w:val="196"/>
            </w:pPr>
          </w:p>
        </w:tc>
        <w:tc>
          <w:tcPr>
            <w:tcW w:w="0" w:type="auto"/>
            <w:vMerge w:val="continue"/>
            <w:vAlign w:val="center"/>
          </w:tcPr>
          <w:p w14:paraId="073FC644">
            <w:pPr>
              <w:pStyle w:val="196"/>
            </w:pPr>
          </w:p>
        </w:tc>
        <w:tc>
          <w:tcPr>
            <w:tcW w:w="606" w:type="pct"/>
            <w:vAlign w:val="center"/>
          </w:tcPr>
          <w:p w14:paraId="34A5E643">
            <w:pPr>
              <w:pStyle w:val="196"/>
            </w:pPr>
            <w:r>
              <w:rPr>
                <w:rFonts w:hint="eastAsia"/>
              </w:rPr>
              <w:t>港池及基坑排水</w:t>
            </w:r>
          </w:p>
        </w:tc>
        <w:tc>
          <w:tcPr>
            <w:tcW w:w="473" w:type="pct"/>
            <w:vAlign w:val="center"/>
          </w:tcPr>
          <w:p w14:paraId="5B7F5DB9">
            <w:pPr>
              <w:pStyle w:val="196"/>
            </w:pPr>
            <w:r>
              <w:rPr>
                <w:rFonts w:hint="eastAsia"/>
              </w:rPr>
              <w:t>SS</w:t>
            </w:r>
          </w:p>
        </w:tc>
        <w:tc>
          <w:tcPr>
            <w:tcW w:w="1640" w:type="pct"/>
            <w:vAlign w:val="center"/>
          </w:tcPr>
          <w:p w14:paraId="403B63B0">
            <w:pPr>
              <w:pStyle w:val="196"/>
            </w:pPr>
            <w:r>
              <w:rPr>
                <w:rFonts w:hint="eastAsia"/>
              </w:rPr>
              <w:t>港池内沉淀2h以上。</w:t>
            </w:r>
          </w:p>
        </w:tc>
        <w:tc>
          <w:tcPr>
            <w:tcW w:w="812" w:type="pct"/>
            <w:vAlign w:val="center"/>
          </w:tcPr>
          <w:p w14:paraId="416C3CD7">
            <w:pPr>
              <w:pStyle w:val="196"/>
            </w:pPr>
            <w:r>
              <w:rPr>
                <w:rFonts w:hint="eastAsia"/>
              </w:rPr>
              <w:t>石油类指标参照执行《污水综合排放标准》（GB8978－1996）表4中三级标准。</w:t>
            </w:r>
          </w:p>
        </w:tc>
        <w:tc>
          <w:tcPr>
            <w:tcW w:w="367" w:type="pct"/>
            <w:vAlign w:val="center"/>
          </w:tcPr>
          <w:p w14:paraId="7066DF24">
            <w:pPr>
              <w:pStyle w:val="196"/>
            </w:pPr>
            <w:r>
              <w:rPr>
                <w:rFonts w:hint="eastAsia"/>
              </w:rPr>
              <w:t>1</w:t>
            </w:r>
          </w:p>
        </w:tc>
        <w:tc>
          <w:tcPr>
            <w:tcW w:w="0" w:type="auto"/>
            <w:vMerge w:val="continue"/>
            <w:vAlign w:val="center"/>
          </w:tcPr>
          <w:p w14:paraId="358B5C85">
            <w:pPr>
              <w:pStyle w:val="196"/>
            </w:pPr>
          </w:p>
        </w:tc>
      </w:tr>
      <w:tr w14:paraId="46C7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0D56450">
            <w:pPr>
              <w:pStyle w:val="196"/>
            </w:pPr>
          </w:p>
        </w:tc>
        <w:tc>
          <w:tcPr>
            <w:tcW w:w="0" w:type="auto"/>
            <w:vMerge w:val="continue"/>
            <w:vAlign w:val="center"/>
          </w:tcPr>
          <w:p w14:paraId="757628F3">
            <w:pPr>
              <w:pStyle w:val="196"/>
            </w:pPr>
          </w:p>
        </w:tc>
        <w:tc>
          <w:tcPr>
            <w:tcW w:w="606" w:type="pct"/>
            <w:vAlign w:val="center"/>
          </w:tcPr>
          <w:p w14:paraId="510DF4F4">
            <w:pPr>
              <w:pStyle w:val="196"/>
            </w:pPr>
            <w:r>
              <w:rPr>
                <w:rFonts w:hint="eastAsia"/>
              </w:rPr>
              <w:t>船舶含油污水</w:t>
            </w:r>
          </w:p>
        </w:tc>
        <w:tc>
          <w:tcPr>
            <w:tcW w:w="473" w:type="pct"/>
            <w:vAlign w:val="center"/>
          </w:tcPr>
          <w:p w14:paraId="1F7B0617">
            <w:pPr>
              <w:pStyle w:val="196"/>
            </w:pPr>
            <w:r>
              <w:rPr>
                <w:rFonts w:hint="eastAsia"/>
              </w:rPr>
              <w:t>COD、SS、石油类</w:t>
            </w:r>
          </w:p>
        </w:tc>
        <w:tc>
          <w:tcPr>
            <w:tcW w:w="1640" w:type="pct"/>
            <w:vAlign w:val="center"/>
          </w:tcPr>
          <w:p w14:paraId="4DA564D7">
            <w:pPr>
              <w:pStyle w:val="196"/>
            </w:pPr>
            <w:r>
              <w:rPr>
                <w:rFonts w:hint="eastAsia"/>
              </w:rPr>
              <w:t>船舶自行带走</w:t>
            </w:r>
          </w:p>
        </w:tc>
        <w:tc>
          <w:tcPr>
            <w:tcW w:w="812" w:type="pct"/>
            <w:vAlign w:val="center"/>
          </w:tcPr>
          <w:p w14:paraId="5D1A66B1">
            <w:pPr>
              <w:pStyle w:val="196"/>
            </w:pPr>
            <w:r>
              <w:rPr>
                <w:rFonts w:hint="eastAsia"/>
              </w:rPr>
              <w:t>不外排</w:t>
            </w:r>
          </w:p>
        </w:tc>
        <w:tc>
          <w:tcPr>
            <w:tcW w:w="367" w:type="pct"/>
            <w:vMerge w:val="restart"/>
            <w:vAlign w:val="center"/>
          </w:tcPr>
          <w:p w14:paraId="58E2854B">
            <w:pPr>
              <w:pStyle w:val="196"/>
            </w:pPr>
            <w:r>
              <w:rPr>
                <w:rFonts w:hint="eastAsia"/>
              </w:rPr>
              <w:t>0.5</w:t>
            </w:r>
          </w:p>
        </w:tc>
        <w:tc>
          <w:tcPr>
            <w:tcW w:w="0" w:type="auto"/>
            <w:vMerge w:val="continue"/>
            <w:vAlign w:val="center"/>
          </w:tcPr>
          <w:p w14:paraId="052064CB">
            <w:pPr>
              <w:pStyle w:val="196"/>
            </w:pPr>
          </w:p>
        </w:tc>
      </w:tr>
      <w:tr w14:paraId="6523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B6E50F5">
            <w:pPr>
              <w:pStyle w:val="196"/>
            </w:pPr>
          </w:p>
        </w:tc>
        <w:tc>
          <w:tcPr>
            <w:tcW w:w="0" w:type="auto"/>
            <w:vMerge w:val="continue"/>
            <w:vAlign w:val="center"/>
          </w:tcPr>
          <w:p w14:paraId="0224AB1D">
            <w:pPr>
              <w:pStyle w:val="196"/>
            </w:pPr>
          </w:p>
        </w:tc>
        <w:tc>
          <w:tcPr>
            <w:tcW w:w="606" w:type="pct"/>
            <w:vAlign w:val="center"/>
          </w:tcPr>
          <w:p w14:paraId="53C51E6C">
            <w:pPr>
              <w:pStyle w:val="196"/>
            </w:pPr>
            <w:r>
              <w:rPr>
                <w:rFonts w:hint="eastAsia"/>
              </w:rPr>
              <w:t>船舶生活污水</w:t>
            </w:r>
          </w:p>
        </w:tc>
        <w:tc>
          <w:tcPr>
            <w:tcW w:w="473" w:type="pct"/>
            <w:vAlign w:val="center"/>
          </w:tcPr>
          <w:p w14:paraId="4C2CF97E">
            <w:pPr>
              <w:pStyle w:val="196"/>
            </w:pPr>
            <w:r>
              <w:rPr>
                <w:rFonts w:hint="eastAsia"/>
              </w:rPr>
              <w:t>COD、SS、NH</w:t>
            </w:r>
            <w:r>
              <w:rPr>
                <w:rFonts w:hint="eastAsia"/>
                <w:vertAlign w:val="subscript"/>
              </w:rPr>
              <w:t>3</w:t>
            </w:r>
            <w:r>
              <w:rPr>
                <w:rFonts w:hint="eastAsia"/>
              </w:rPr>
              <w:t>-N、TN、TP</w:t>
            </w:r>
          </w:p>
        </w:tc>
        <w:tc>
          <w:tcPr>
            <w:tcW w:w="1640" w:type="pct"/>
            <w:vAlign w:val="center"/>
          </w:tcPr>
          <w:p w14:paraId="746C2299">
            <w:pPr>
              <w:pStyle w:val="196"/>
            </w:pPr>
            <w:r>
              <w:rPr>
                <w:rFonts w:hint="eastAsia"/>
              </w:rPr>
              <w:t>船舶自行带走</w:t>
            </w:r>
          </w:p>
        </w:tc>
        <w:tc>
          <w:tcPr>
            <w:tcW w:w="812" w:type="pct"/>
            <w:vAlign w:val="center"/>
          </w:tcPr>
          <w:p w14:paraId="737840E3">
            <w:pPr>
              <w:pStyle w:val="196"/>
            </w:pPr>
            <w:r>
              <w:rPr>
                <w:rFonts w:hint="eastAsia"/>
              </w:rPr>
              <w:t>不外排</w:t>
            </w:r>
          </w:p>
        </w:tc>
        <w:tc>
          <w:tcPr>
            <w:tcW w:w="0" w:type="auto"/>
            <w:vMerge w:val="continue"/>
            <w:vAlign w:val="center"/>
          </w:tcPr>
          <w:p w14:paraId="675E47AA">
            <w:pPr>
              <w:pStyle w:val="196"/>
            </w:pPr>
          </w:p>
        </w:tc>
        <w:tc>
          <w:tcPr>
            <w:tcW w:w="0" w:type="auto"/>
            <w:vMerge w:val="continue"/>
            <w:vAlign w:val="center"/>
          </w:tcPr>
          <w:p w14:paraId="26F020B2">
            <w:pPr>
              <w:pStyle w:val="196"/>
            </w:pPr>
          </w:p>
        </w:tc>
      </w:tr>
      <w:tr w14:paraId="5E07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0FCE1CF2">
            <w:pPr>
              <w:pStyle w:val="196"/>
            </w:pPr>
          </w:p>
        </w:tc>
        <w:tc>
          <w:tcPr>
            <w:tcW w:w="0" w:type="auto"/>
            <w:vMerge w:val="continue"/>
            <w:vAlign w:val="center"/>
          </w:tcPr>
          <w:p w14:paraId="71392243">
            <w:pPr>
              <w:pStyle w:val="196"/>
            </w:pPr>
          </w:p>
        </w:tc>
        <w:tc>
          <w:tcPr>
            <w:tcW w:w="606" w:type="pct"/>
            <w:vAlign w:val="center"/>
          </w:tcPr>
          <w:p w14:paraId="37E466F1">
            <w:pPr>
              <w:pStyle w:val="196"/>
            </w:pPr>
            <w:r>
              <w:rPr>
                <w:rFonts w:hint="eastAsia"/>
              </w:rPr>
              <w:t>陆域生活污水</w:t>
            </w:r>
          </w:p>
        </w:tc>
        <w:tc>
          <w:tcPr>
            <w:tcW w:w="473" w:type="pct"/>
            <w:vAlign w:val="center"/>
          </w:tcPr>
          <w:p w14:paraId="504DF61B">
            <w:pPr>
              <w:pStyle w:val="196"/>
            </w:pPr>
            <w:r>
              <w:rPr>
                <w:rFonts w:hint="eastAsia"/>
              </w:rPr>
              <w:t>COD、SS、NH</w:t>
            </w:r>
            <w:r>
              <w:rPr>
                <w:rFonts w:hint="eastAsia"/>
                <w:vertAlign w:val="subscript"/>
              </w:rPr>
              <w:t>3</w:t>
            </w:r>
            <w:r>
              <w:rPr>
                <w:rFonts w:hint="eastAsia"/>
              </w:rPr>
              <w:t>-N、TN、TP</w:t>
            </w:r>
          </w:p>
        </w:tc>
        <w:tc>
          <w:tcPr>
            <w:tcW w:w="1640" w:type="pct"/>
            <w:vAlign w:val="center"/>
          </w:tcPr>
          <w:p w14:paraId="59E73962">
            <w:pPr>
              <w:pStyle w:val="196"/>
            </w:pPr>
            <w:r>
              <w:rPr>
                <w:rFonts w:hint="eastAsia"/>
              </w:rPr>
              <w:t>依托国能涟水一期热电联产项目施工生活区临时生活污水处理站进行处理，不外排。</w:t>
            </w:r>
          </w:p>
        </w:tc>
        <w:tc>
          <w:tcPr>
            <w:tcW w:w="812" w:type="pct"/>
            <w:vMerge w:val="restart"/>
            <w:vAlign w:val="center"/>
          </w:tcPr>
          <w:p w14:paraId="16913AB2">
            <w:pPr>
              <w:pStyle w:val="196"/>
            </w:pPr>
            <w:r>
              <w:rPr>
                <w:rFonts w:hint="eastAsia"/>
              </w:rPr>
              <w:t>石油类指标参照执行《污水综合排放标准》（GB8978－1996）表4中三级标准。</w:t>
            </w:r>
          </w:p>
        </w:tc>
        <w:tc>
          <w:tcPr>
            <w:tcW w:w="367" w:type="pct"/>
            <w:vAlign w:val="center"/>
          </w:tcPr>
          <w:p w14:paraId="5C858D30">
            <w:pPr>
              <w:pStyle w:val="196"/>
            </w:pPr>
            <w:r>
              <w:rPr>
                <w:rFonts w:hint="eastAsia"/>
              </w:rPr>
              <w:t>1</w:t>
            </w:r>
          </w:p>
        </w:tc>
        <w:tc>
          <w:tcPr>
            <w:tcW w:w="0" w:type="auto"/>
            <w:vMerge w:val="continue"/>
            <w:vAlign w:val="center"/>
          </w:tcPr>
          <w:p w14:paraId="0A865211">
            <w:pPr>
              <w:pStyle w:val="196"/>
            </w:pPr>
          </w:p>
        </w:tc>
      </w:tr>
      <w:tr w14:paraId="1894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03DAF80">
            <w:pPr>
              <w:pStyle w:val="196"/>
            </w:pPr>
          </w:p>
        </w:tc>
        <w:tc>
          <w:tcPr>
            <w:tcW w:w="0" w:type="auto"/>
            <w:vMerge w:val="continue"/>
            <w:vAlign w:val="center"/>
          </w:tcPr>
          <w:p w14:paraId="6982AE4B">
            <w:pPr>
              <w:pStyle w:val="196"/>
            </w:pPr>
          </w:p>
        </w:tc>
        <w:tc>
          <w:tcPr>
            <w:tcW w:w="606" w:type="pct"/>
            <w:vAlign w:val="center"/>
          </w:tcPr>
          <w:p w14:paraId="5565698F">
            <w:pPr>
              <w:pStyle w:val="196"/>
            </w:pPr>
            <w:r>
              <w:rPr>
                <w:rFonts w:hint="eastAsia"/>
              </w:rPr>
              <w:t>施工车辆及机械冲洗废水</w:t>
            </w:r>
          </w:p>
        </w:tc>
        <w:tc>
          <w:tcPr>
            <w:tcW w:w="473" w:type="pct"/>
            <w:vAlign w:val="center"/>
          </w:tcPr>
          <w:p w14:paraId="2E8F6586">
            <w:pPr>
              <w:pStyle w:val="196"/>
            </w:pPr>
            <w:r>
              <w:rPr>
                <w:rFonts w:hint="eastAsia"/>
              </w:rPr>
              <w:t>COD、SS、石油类</w:t>
            </w:r>
          </w:p>
        </w:tc>
        <w:tc>
          <w:tcPr>
            <w:tcW w:w="1640" w:type="pct"/>
            <w:vAlign w:val="center"/>
          </w:tcPr>
          <w:p w14:paraId="4E367F99">
            <w:pPr>
              <w:pStyle w:val="196"/>
            </w:pPr>
            <w:r>
              <w:rPr>
                <w:rFonts w:hint="eastAsia"/>
              </w:rPr>
              <w:t>施工车辆及机械冲洗废水经沉淀池预处理后用作场地洒水抑尘不外排。</w:t>
            </w:r>
          </w:p>
        </w:tc>
        <w:tc>
          <w:tcPr>
            <w:tcW w:w="0" w:type="auto"/>
            <w:vMerge w:val="continue"/>
            <w:vAlign w:val="center"/>
          </w:tcPr>
          <w:p w14:paraId="1BC9FA15">
            <w:pPr>
              <w:pStyle w:val="196"/>
            </w:pPr>
          </w:p>
        </w:tc>
        <w:tc>
          <w:tcPr>
            <w:tcW w:w="367" w:type="pct"/>
            <w:vAlign w:val="center"/>
          </w:tcPr>
          <w:p w14:paraId="2E8BC7E1">
            <w:pPr>
              <w:pStyle w:val="196"/>
            </w:pPr>
            <w:r>
              <w:rPr>
                <w:rFonts w:hint="eastAsia"/>
              </w:rPr>
              <w:t>1</w:t>
            </w:r>
          </w:p>
        </w:tc>
        <w:tc>
          <w:tcPr>
            <w:tcW w:w="0" w:type="auto"/>
            <w:vMerge w:val="continue"/>
            <w:vAlign w:val="center"/>
          </w:tcPr>
          <w:p w14:paraId="437FCAD2">
            <w:pPr>
              <w:pStyle w:val="196"/>
            </w:pPr>
          </w:p>
        </w:tc>
      </w:tr>
      <w:tr w14:paraId="63CB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A4DF8FE">
            <w:pPr>
              <w:pStyle w:val="196"/>
            </w:pPr>
          </w:p>
        </w:tc>
        <w:tc>
          <w:tcPr>
            <w:tcW w:w="360" w:type="pct"/>
            <w:vAlign w:val="center"/>
          </w:tcPr>
          <w:p w14:paraId="3C55EA70">
            <w:pPr>
              <w:pStyle w:val="196"/>
            </w:pPr>
            <w:r>
              <w:rPr>
                <w:rFonts w:hint="eastAsia"/>
              </w:rPr>
              <w:t>噪声</w:t>
            </w:r>
          </w:p>
        </w:tc>
        <w:tc>
          <w:tcPr>
            <w:tcW w:w="606" w:type="pct"/>
            <w:vAlign w:val="center"/>
          </w:tcPr>
          <w:p w14:paraId="470F8D13">
            <w:pPr>
              <w:pStyle w:val="196"/>
            </w:pPr>
            <w:r>
              <w:rPr>
                <w:rFonts w:hint="eastAsia"/>
              </w:rPr>
              <w:t>施工噪声</w:t>
            </w:r>
          </w:p>
        </w:tc>
        <w:tc>
          <w:tcPr>
            <w:tcW w:w="473" w:type="pct"/>
            <w:vAlign w:val="center"/>
          </w:tcPr>
          <w:p w14:paraId="3AA3E932">
            <w:pPr>
              <w:pStyle w:val="196"/>
            </w:pPr>
            <w:r>
              <w:rPr>
                <w:rFonts w:hint="eastAsia"/>
              </w:rPr>
              <w:t>高噪声设备</w:t>
            </w:r>
          </w:p>
        </w:tc>
        <w:tc>
          <w:tcPr>
            <w:tcW w:w="1640" w:type="pct"/>
            <w:vAlign w:val="center"/>
          </w:tcPr>
          <w:p w14:paraId="3D35EE18">
            <w:pPr>
              <w:pStyle w:val="196"/>
            </w:pPr>
            <w:r>
              <w:rPr>
                <w:rFonts w:hint="eastAsia"/>
              </w:rPr>
              <w:t>合理安排施工时间，选用低噪声设备</w:t>
            </w:r>
          </w:p>
        </w:tc>
        <w:tc>
          <w:tcPr>
            <w:tcW w:w="812" w:type="pct"/>
            <w:vAlign w:val="center"/>
          </w:tcPr>
          <w:p w14:paraId="58FBDAC5">
            <w:pPr>
              <w:pStyle w:val="196"/>
            </w:pPr>
            <w:r>
              <w:rPr>
                <w:rFonts w:hint="eastAsia"/>
              </w:rPr>
              <w:t>《建筑施工场界环境噪声排放标准》（GB 12523－2011）</w:t>
            </w:r>
          </w:p>
        </w:tc>
        <w:tc>
          <w:tcPr>
            <w:tcW w:w="367" w:type="pct"/>
            <w:vAlign w:val="center"/>
          </w:tcPr>
          <w:p w14:paraId="51049F6B">
            <w:pPr>
              <w:pStyle w:val="196"/>
            </w:pPr>
            <w:r>
              <w:rPr>
                <w:rFonts w:hint="eastAsia"/>
              </w:rPr>
              <w:t>1</w:t>
            </w:r>
          </w:p>
        </w:tc>
        <w:tc>
          <w:tcPr>
            <w:tcW w:w="0" w:type="auto"/>
            <w:vMerge w:val="continue"/>
            <w:vAlign w:val="center"/>
          </w:tcPr>
          <w:p w14:paraId="39649C45">
            <w:pPr>
              <w:pStyle w:val="196"/>
            </w:pPr>
          </w:p>
        </w:tc>
      </w:tr>
      <w:tr w14:paraId="2301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E53E88D">
            <w:pPr>
              <w:pStyle w:val="196"/>
            </w:pPr>
          </w:p>
        </w:tc>
        <w:tc>
          <w:tcPr>
            <w:tcW w:w="360" w:type="pct"/>
            <w:vMerge w:val="restart"/>
            <w:vAlign w:val="center"/>
          </w:tcPr>
          <w:p w14:paraId="140D2E9C">
            <w:pPr>
              <w:pStyle w:val="196"/>
            </w:pPr>
            <w:r>
              <w:rPr>
                <w:rFonts w:hint="eastAsia"/>
              </w:rPr>
              <w:t>固废</w:t>
            </w:r>
          </w:p>
        </w:tc>
        <w:tc>
          <w:tcPr>
            <w:tcW w:w="606" w:type="pct"/>
            <w:vMerge w:val="restart"/>
            <w:vAlign w:val="center"/>
          </w:tcPr>
          <w:p w14:paraId="58C1D1CA">
            <w:pPr>
              <w:pStyle w:val="196"/>
            </w:pPr>
            <w:r>
              <w:rPr>
                <w:rFonts w:hint="eastAsia"/>
              </w:rPr>
              <w:t>施工垃圾</w:t>
            </w:r>
          </w:p>
        </w:tc>
        <w:tc>
          <w:tcPr>
            <w:tcW w:w="473" w:type="pct"/>
            <w:vAlign w:val="center"/>
          </w:tcPr>
          <w:p w14:paraId="1E9A184A">
            <w:pPr>
              <w:pStyle w:val="196"/>
            </w:pPr>
            <w:r>
              <w:rPr>
                <w:rFonts w:hint="eastAsia"/>
              </w:rPr>
              <w:t>生活垃圾、建筑垃圾</w:t>
            </w:r>
          </w:p>
        </w:tc>
        <w:tc>
          <w:tcPr>
            <w:tcW w:w="1640" w:type="pct"/>
            <w:vAlign w:val="center"/>
          </w:tcPr>
          <w:p w14:paraId="18A2838F">
            <w:pPr>
              <w:pStyle w:val="196"/>
            </w:pPr>
            <w:r>
              <w:rPr>
                <w:rFonts w:hint="eastAsia"/>
              </w:rPr>
              <w:t>设置固体废弃物临时贮存场所等</w:t>
            </w:r>
          </w:p>
        </w:tc>
        <w:tc>
          <w:tcPr>
            <w:tcW w:w="812" w:type="pct"/>
            <w:vMerge w:val="restart"/>
            <w:vAlign w:val="center"/>
          </w:tcPr>
          <w:p w14:paraId="2D9DD307">
            <w:pPr>
              <w:pStyle w:val="196"/>
            </w:pPr>
            <w:r>
              <w:rPr>
                <w:rFonts w:hint="eastAsia"/>
              </w:rPr>
              <w:t>有效处置</w:t>
            </w:r>
          </w:p>
        </w:tc>
        <w:tc>
          <w:tcPr>
            <w:tcW w:w="367" w:type="pct"/>
            <w:vMerge w:val="restart"/>
            <w:vAlign w:val="center"/>
          </w:tcPr>
          <w:p w14:paraId="1AB5715D">
            <w:pPr>
              <w:pStyle w:val="196"/>
            </w:pPr>
            <w:r>
              <w:rPr>
                <w:rFonts w:hint="eastAsia"/>
              </w:rPr>
              <w:t>1.5</w:t>
            </w:r>
          </w:p>
        </w:tc>
        <w:tc>
          <w:tcPr>
            <w:tcW w:w="0" w:type="auto"/>
            <w:vMerge w:val="continue"/>
            <w:vAlign w:val="center"/>
          </w:tcPr>
          <w:p w14:paraId="3DCAAAA4">
            <w:pPr>
              <w:pStyle w:val="196"/>
            </w:pPr>
          </w:p>
        </w:tc>
      </w:tr>
      <w:tr w14:paraId="6FF0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007662AF">
            <w:pPr>
              <w:pStyle w:val="196"/>
            </w:pPr>
          </w:p>
        </w:tc>
        <w:tc>
          <w:tcPr>
            <w:tcW w:w="0" w:type="auto"/>
            <w:vMerge w:val="continue"/>
            <w:vAlign w:val="center"/>
          </w:tcPr>
          <w:p w14:paraId="58B485B3">
            <w:pPr>
              <w:pStyle w:val="196"/>
            </w:pPr>
          </w:p>
        </w:tc>
        <w:tc>
          <w:tcPr>
            <w:tcW w:w="0" w:type="auto"/>
            <w:vMerge w:val="continue"/>
            <w:vAlign w:val="center"/>
          </w:tcPr>
          <w:p w14:paraId="207A11BA">
            <w:pPr>
              <w:pStyle w:val="196"/>
            </w:pPr>
          </w:p>
        </w:tc>
        <w:tc>
          <w:tcPr>
            <w:tcW w:w="473" w:type="pct"/>
            <w:vAlign w:val="center"/>
          </w:tcPr>
          <w:p w14:paraId="0606C884">
            <w:pPr>
              <w:pStyle w:val="196"/>
            </w:pPr>
            <w:r>
              <w:rPr>
                <w:rFonts w:hint="eastAsia"/>
              </w:rPr>
              <w:t>弃方</w:t>
            </w:r>
          </w:p>
        </w:tc>
        <w:tc>
          <w:tcPr>
            <w:tcW w:w="1640" w:type="pct"/>
            <w:vAlign w:val="center"/>
          </w:tcPr>
          <w:p w14:paraId="4D472F6B">
            <w:pPr>
              <w:pStyle w:val="196"/>
            </w:pPr>
            <w:r>
              <w:rPr>
                <w:rFonts w:hint="eastAsia"/>
              </w:rPr>
              <w:t>弃方统一运送至淮安市管理行政执法局和城市管理局核准的工程渣土弃置场统一处理</w:t>
            </w:r>
          </w:p>
        </w:tc>
        <w:tc>
          <w:tcPr>
            <w:tcW w:w="0" w:type="auto"/>
            <w:vMerge w:val="continue"/>
            <w:vAlign w:val="center"/>
          </w:tcPr>
          <w:p w14:paraId="3EF2EFF1">
            <w:pPr>
              <w:pStyle w:val="196"/>
            </w:pPr>
          </w:p>
        </w:tc>
        <w:tc>
          <w:tcPr>
            <w:tcW w:w="0" w:type="auto"/>
            <w:vMerge w:val="continue"/>
            <w:vAlign w:val="center"/>
          </w:tcPr>
          <w:p w14:paraId="08EBC2C0">
            <w:pPr>
              <w:pStyle w:val="196"/>
            </w:pPr>
          </w:p>
        </w:tc>
        <w:tc>
          <w:tcPr>
            <w:tcW w:w="0" w:type="auto"/>
            <w:vMerge w:val="continue"/>
            <w:vAlign w:val="center"/>
          </w:tcPr>
          <w:p w14:paraId="579AFD31">
            <w:pPr>
              <w:pStyle w:val="196"/>
            </w:pPr>
          </w:p>
        </w:tc>
      </w:tr>
      <w:tr w14:paraId="272F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8EA5ADE">
            <w:pPr>
              <w:pStyle w:val="196"/>
            </w:pPr>
          </w:p>
        </w:tc>
        <w:tc>
          <w:tcPr>
            <w:tcW w:w="360" w:type="pct"/>
            <w:vAlign w:val="center"/>
          </w:tcPr>
          <w:p w14:paraId="01ACF6DB">
            <w:pPr>
              <w:pStyle w:val="196"/>
            </w:pPr>
            <w:r>
              <w:rPr>
                <w:rFonts w:hint="eastAsia"/>
              </w:rPr>
              <w:t>生态</w:t>
            </w:r>
          </w:p>
        </w:tc>
        <w:tc>
          <w:tcPr>
            <w:tcW w:w="606" w:type="pct"/>
            <w:vAlign w:val="center"/>
          </w:tcPr>
          <w:p w14:paraId="6386DADE">
            <w:pPr>
              <w:pStyle w:val="196"/>
            </w:pPr>
            <w:r>
              <w:rPr>
                <w:rFonts w:hint="eastAsia"/>
              </w:rPr>
              <w:t>打桩、护岸</w:t>
            </w:r>
          </w:p>
        </w:tc>
        <w:tc>
          <w:tcPr>
            <w:tcW w:w="473" w:type="pct"/>
            <w:vAlign w:val="center"/>
          </w:tcPr>
          <w:p w14:paraId="4787500A">
            <w:pPr>
              <w:pStyle w:val="196"/>
            </w:pPr>
            <w:r>
              <w:rPr>
                <w:rFonts w:hint="eastAsia"/>
              </w:rPr>
              <w:t>水域生态</w:t>
            </w:r>
          </w:p>
        </w:tc>
        <w:tc>
          <w:tcPr>
            <w:tcW w:w="1640" w:type="pct"/>
            <w:vAlign w:val="center"/>
          </w:tcPr>
          <w:p w14:paraId="2D1674DD">
            <w:pPr>
              <w:pStyle w:val="196"/>
            </w:pPr>
            <w:r>
              <w:rPr>
                <w:rFonts w:hint="eastAsia"/>
              </w:rPr>
              <w:t>宣传教育、设置围堰、施工营造区和水下土方干化场生态补偿，采取土地整治绿化覆土、撒播植草。</w:t>
            </w:r>
          </w:p>
        </w:tc>
        <w:tc>
          <w:tcPr>
            <w:tcW w:w="812" w:type="pct"/>
            <w:vAlign w:val="center"/>
          </w:tcPr>
          <w:p w14:paraId="518E04F8">
            <w:pPr>
              <w:pStyle w:val="196"/>
            </w:pPr>
            <w:r>
              <w:rPr>
                <w:rFonts w:hint="eastAsia"/>
              </w:rPr>
              <w:t>减少SS扩散，减轻对水域生态环境影响</w:t>
            </w:r>
          </w:p>
        </w:tc>
        <w:tc>
          <w:tcPr>
            <w:tcW w:w="367" w:type="pct"/>
            <w:vAlign w:val="center"/>
          </w:tcPr>
          <w:p w14:paraId="50619142">
            <w:pPr>
              <w:pStyle w:val="196"/>
            </w:pPr>
            <w:r>
              <w:rPr>
                <w:rFonts w:hint="eastAsia"/>
              </w:rPr>
              <w:t>2</w:t>
            </w:r>
          </w:p>
        </w:tc>
        <w:tc>
          <w:tcPr>
            <w:tcW w:w="0" w:type="auto"/>
            <w:vMerge w:val="continue"/>
            <w:vAlign w:val="center"/>
          </w:tcPr>
          <w:p w14:paraId="4A0E71C9">
            <w:pPr>
              <w:pStyle w:val="196"/>
            </w:pPr>
          </w:p>
        </w:tc>
      </w:tr>
      <w:tr w14:paraId="7B11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restart"/>
            <w:vAlign w:val="center"/>
          </w:tcPr>
          <w:p w14:paraId="76862FCD">
            <w:pPr>
              <w:pStyle w:val="196"/>
            </w:pPr>
            <w:r>
              <w:rPr>
                <w:rFonts w:hint="eastAsia"/>
              </w:rPr>
              <w:t>营运期</w:t>
            </w:r>
          </w:p>
        </w:tc>
        <w:tc>
          <w:tcPr>
            <w:tcW w:w="360" w:type="pct"/>
            <w:vMerge w:val="restart"/>
            <w:vAlign w:val="center"/>
          </w:tcPr>
          <w:p w14:paraId="14E4BC8B">
            <w:pPr>
              <w:pStyle w:val="196"/>
            </w:pPr>
            <w:r>
              <w:rPr>
                <w:rFonts w:hint="eastAsia"/>
              </w:rPr>
              <w:t>废气</w:t>
            </w:r>
          </w:p>
        </w:tc>
        <w:tc>
          <w:tcPr>
            <w:tcW w:w="606" w:type="pct"/>
            <w:vAlign w:val="center"/>
          </w:tcPr>
          <w:p w14:paraId="2621D7B8">
            <w:pPr>
              <w:pStyle w:val="196"/>
            </w:pPr>
            <w:r>
              <w:rPr>
                <w:rFonts w:hint="eastAsia"/>
              </w:rPr>
              <w:t>道路扬尘</w:t>
            </w:r>
          </w:p>
        </w:tc>
        <w:tc>
          <w:tcPr>
            <w:tcW w:w="473" w:type="pct"/>
            <w:vAlign w:val="center"/>
          </w:tcPr>
          <w:p w14:paraId="7B5D82A9">
            <w:pPr>
              <w:pStyle w:val="196"/>
            </w:pPr>
            <w:r>
              <w:rPr>
                <w:rFonts w:hint="eastAsia"/>
              </w:rPr>
              <w:t>粉尘</w:t>
            </w:r>
          </w:p>
        </w:tc>
        <w:tc>
          <w:tcPr>
            <w:tcW w:w="1640" w:type="pct"/>
            <w:vAlign w:val="center"/>
          </w:tcPr>
          <w:p w14:paraId="4D6A7EE9">
            <w:pPr>
              <w:pStyle w:val="196"/>
            </w:pPr>
            <w:r>
              <w:rPr>
                <w:rFonts w:hint="eastAsia"/>
              </w:rPr>
              <w:t>除尘炮雾车</w:t>
            </w:r>
          </w:p>
        </w:tc>
        <w:tc>
          <w:tcPr>
            <w:tcW w:w="812" w:type="pct"/>
            <w:vMerge w:val="restart"/>
            <w:vAlign w:val="center"/>
          </w:tcPr>
          <w:p w14:paraId="099391AE">
            <w:pPr>
              <w:pStyle w:val="196"/>
            </w:pPr>
            <w:r>
              <w:rPr>
                <w:rFonts w:hint="eastAsia"/>
              </w:rPr>
              <w:t>达到《大气污染物综合排放标准》（DB32/4041-2021）表3</w:t>
            </w:r>
          </w:p>
        </w:tc>
        <w:tc>
          <w:tcPr>
            <w:tcW w:w="367" w:type="pct"/>
            <w:vAlign w:val="center"/>
          </w:tcPr>
          <w:p w14:paraId="7D487C4D">
            <w:pPr>
              <w:pStyle w:val="196"/>
            </w:pPr>
            <w:r>
              <w:rPr>
                <w:rFonts w:hint="eastAsia"/>
              </w:rPr>
              <w:t>2</w:t>
            </w:r>
          </w:p>
        </w:tc>
        <w:tc>
          <w:tcPr>
            <w:tcW w:w="0" w:type="auto"/>
            <w:vMerge w:val="continue"/>
            <w:vAlign w:val="center"/>
          </w:tcPr>
          <w:p w14:paraId="60D589BC">
            <w:pPr>
              <w:pStyle w:val="196"/>
            </w:pPr>
          </w:p>
        </w:tc>
      </w:tr>
      <w:tr w14:paraId="36BE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vMerge w:val="continue"/>
            <w:vAlign w:val="center"/>
          </w:tcPr>
          <w:p w14:paraId="5C5F5F54">
            <w:pPr>
              <w:pStyle w:val="196"/>
            </w:pPr>
          </w:p>
        </w:tc>
        <w:tc>
          <w:tcPr>
            <w:tcW w:w="360" w:type="pct"/>
            <w:vMerge w:val="continue"/>
            <w:vAlign w:val="center"/>
          </w:tcPr>
          <w:p w14:paraId="51D90B1B">
            <w:pPr>
              <w:pStyle w:val="196"/>
            </w:pPr>
          </w:p>
        </w:tc>
        <w:tc>
          <w:tcPr>
            <w:tcW w:w="606" w:type="pct"/>
            <w:vAlign w:val="center"/>
          </w:tcPr>
          <w:p w14:paraId="0E8BF2BD">
            <w:pPr>
              <w:pStyle w:val="196"/>
            </w:pPr>
            <w:r>
              <w:rPr>
                <w:rFonts w:hint="eastAsia"/>
              </w:rPr>
              <w:t>煤炭卸船废气、煤炭转运粉尘</w:t>
            </w:r>
          </w:p>
        </w:tc>
        <w:tc>
          <w:tcPr>
            <w:tcW w:w="473" w:type="pct"/>
            <w:vAlign w:val="center"/>
          </w:tcPr>
          <w:p w14:paraId="29EBEDAA">
            <w:pPr>
              <w:pStyle w:val="196"/>
            </w:pPr>
            <w:r>
              <w:rPr>
                <w:rFonts w:hint="eastAsia"/>
              </w:rPr>
              <w:t>粉尘</w:t>
            </w:r>
          </w:p>
        </w:tc>
        <w:tc>
          <w:tcPr>
            <w:tcW w:w="1640" w:type="pct"/>
            <w:vAlign w:val="center"/>
          </w:tcPr>
          <w:p w14:paraId="6FCB44C8">
            <w:pPr>
              <w:pStyle w:val="196"/>
            </w:pPr>
            <w:bookmarkStart w:id="368" w:name="_Hlk182167815"/>
            <w:r>
              <w:rPr>
                <w:rFonts w:hint="eastAsia"/>
              </w:rPr>
              <w:t>桥式抓斗卸船机的防尘、抑尘系统：</w:t>
            </w:r>
            <w:r>
              <w:rPr>
                <w:rFonts w:hint="eastAsia"/>
              </w:rPr>
              <w:tab/>
            </w:r>
            <w:r>
              <w:rPr>
                <w:rFonts w:hint="eastAsia"/>
              </w:rPr>
              <w:t>每台桥式抓斗卸船机装备1套干雾加高压水雾的抑尘系统，并对桥式抓斗卸船机在运转过程中的起尘部位采取密闭防尘措施。桥式抓斗卸船机漏斗上口设挡风板，漏斗至码头皮带转运处设密闭溜槽和密闭导料槽，</w:t>
            </w:r>
            <w:r>
              <w:rPr>
                <w:rFonts w:cs="Times New Roman"/>
              </w:rPr>
              <w:t>卸船接料斗下口应设闸板、出料溜筒</w:t>
            </w:r>
            <w:r>
              <w:rPr>
                <w:rFonts w:hint="eastAsia" w:cs="Times New Roman"/>
              </w:rPr>
              <w:t>，</w:t>
            </w:r>
            <w:r>
              <w:rPr>
                <w:rFonts w:hint="eastAsia"/>
              </w:rPr>
              <w:t>进、出口设橡胶帘。</w:t>
            </w:r>
          </w:p>
          <w:p w14:paraId="5B0964A7">
            <w:pPr>
              <w:pStyle w:val="196"/>
            </w:pPr>
            <w:r>
              <w:rPr>
                <w:rFonts w:hint="eastAsia"/>
              </w:rPr>
              <w:t>带式输送机的防尘、抑尘措施：</w:t>
            </w:r>
            <w:r>
              <w:rPr>
                <w:rFonts w:hint="eastAsia"/>
              </w:rPr>
              <w:tab/>
            </w:r>
            <w:r>
              <w:rPr>
                <w:rFonts w:hint="eastAsia"/>
              </w:rPr>
              <w:t>带式输送机设置皮带机罩，混凝土栈桥两侧设置防风板，在带式输送机卸料处回程皮带头部设置自动洗带装置。</w:t>
            </w:r>
            <w:bookmarkEnd w:id="368"/>
          </w:p>
        </w:tc>
        <w:tc>
          <w:tcPr>
            <w:tcW w:w="812" w:type="pct"/>
            <w:vMerge w:val="continue"/>
            <w:vAlign w:val="center"/>
          </w:tcPr>
          <w:p w14:paraId="126748F7">
            <w:pPr>
              <w:pStyle w:val="196"/>
            </w:pPr>
          </w:p>
        </w:tc>
        <w:tc>
          <w:tcPr>
            <w:tcW w:w="367" w:type="pct"/>
            <w:vAlign w:val="center"/>
          </w:tcPr>
          <w:p w14:paraId="1F66ED98">
            <w:pPr>
              <w:pStyle w:val="196"/>
            </w:pPr>
            <w:r>
              <w:rPr>
                <w:rFonts w:hint="eastAsia"/>
              </w:rPr>
              <w:t>20</w:t>
            </w:r>
          </w:p>
        </w:tc>
        <w:tc>
          <w:tcPr>
            <w:tcW w:w="0" w:type="auto"/>
            <w:vMerge w:val="continue"/>
            <w:vAlign w:val="center"/>
          </w:tcPr>
          <w:p w14:paraId="4AB5AD18">
            <w:pPr>
              <w:pStyle w:val="196"/>
            </w:pPr>
          </w:p>
        </w:tc>
      </w:tr>
      <w:tr w14:paraId="4CBA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853E539">
            <w:pPr>
              <w:pStyle w:val="196"/>
            </w:pPr>
          </w:p>
        </w:tc>
        <w:tc>
          <w:tcPr>
            <w:tcW w:w="0" w:type="auto"/>
            <w:vMerge w:val="continue"/>
            <w:vAlign w:val="center"/>
          </w:tcPr>
          <w:p w14:paraId="458DBAB6">
            <w:pPr>
              <w:pStyle w:val="196"/>
            </w:pPr>
          </w:p>
        </w:tc>
        <w:tc>
          <w:tcPr>
            <w:tcW w:w="606" w:type="pct"/>
            <w:vAlign w:val="center"/>
          </w:tcPr>
          <w:p w14:paraId="6940AD75">
            <w:pPr>
              <w:pStyle w:val="196"/>
            </w:pPr>
            <w:r>
              <w:rPr>
                <w:rFonts w:hint="eastAsia"/>
              </w:rPr>
              <w:t>车辆和机械废气</w:t>
            </w:r>
          </w:p>
        </w:tc>
        <w:tc>
          <w:tcPr>
            <w:tcW w:w="473" w:type="pct"/>
            <w:vAlign w:val="center"/>
          </w:tcPr>
          <w:p w14:paraId="714B5D6F">
            <w:pPr>
              <w:pStyle w:val="196"/>
            </w:pPr>
            <w:r>
              <w:rPr>
                <w:rFonts w:hint="eastAsia"/>
              </w:rPr>
              <w:t>CO、NO</w:t>
            </w:r>
            <w:r>
              <w:rPr>
                <w:rFonts w:hint="eastAsia"/>
                <w:vertAlign w:val="subscript"/>
              </w:rPr>
              <w:t>x</w:t>
            </w:r>
            <w:r>
              <w:rPr>
                <w:rFonts w:hint="eastAsia"/>
              </w:rPr>
              <w:t>、SO</w:t>
            </w:r>
            <w:r>
              <w:rPr>
                <w:rFonts w:hint="eastAsia"/>
                <w:vertAlign w:val="subscript"/>
              </w:rPr>
              <w:t>2</w:t>
            </w:r>
            <w:r>
              <w:rPr>
                <w:rFonts w:hint="eastAsia"/>
              </w:rPr>
              <w:t>、C</w:t>
            </w:r>
            <w:r>
              <w:rPr>
                <w:rFonts w:hint="eastAsia"/>
                <w:vertAlign w:val="subscript"/>
              </w:rPr>
              <w:t>n</w:t>
            </w:r>
            <w:r>
              <w:rPr>
                <w:rFonts w:hint="eastAsia"/>
              </w:rPr>
              <w:t>H</w:t>
            </w:r>
            <w:r>
              <w:rPr>
                <w:rFonts w:hint="eastAsia"/>
                <w:vertAlign w:val="subscript"/>
              </w:rPr>
              <w:t>m</w:t>
            </w:r>
          </w:p>
        </w:tc>
        <w:tc>
          <w:tcPr>
            <w:tcW w:w="1640" w:type="pct"/>
            <w:vAlign w:val="center"/>
          </w:tcPr>
          <w:p w14:paraId="734C55CB">
            <w:pPr>
              <w:pStyle w:val="196"/>
            </w:pPr>
            <w:r>
              <w:rPr>
                <w:rFonts w:hint="eastAsia"/>
              </w:rPr>
              <w:t>选择优质燃料，定期对车辆、装卸机械进行保养和维护，加强管理。</w:t>
            </w:r>
          </w:p>
        </w:tc>
        <w:tc>
          <w:tcPr>
            <w:tcW w:w="0" w:type="auto"/>
            <w:vMerge w:val="continue"/>
            <w:vAlign w:val="center"/>
          </w:tcPr>
          <w:p w14:paraId="5284514B">
            <w:pPr>
              <w:pStyle w:val="196"/>
            </w:pPr>
          </w:p>
        </w:tc>
        <w:tc>
          <w:tcPr>
            <w:tcW w:w="367" w:type="pct"/>
            <w:vAlign w:val="center"/>
          </w:tcPr>
          <w:p w14:paraId="392F9086">
            <w:pPr>
              <w:pStyle w:val="196"/>
            </w:pPr>
            <w:r>
              <w:rPr>
                <w:rFonts w:hint="eastAsia"/>
              </w:rPr>
              <w:t>2</w:t>
            </w:r>
          </w:p>
        </w:tc>
        <w:tc>
          <w:tcPr>
            <w:tcW w:w="0" w:type="auto"/>
            <w:vMerge w:val="continue"/>
            <w:vAlign w:val="center"/>
          </w:tcPr>
          <w:p w14:paraId="70C83C31">
            <w:pPr>
              <w:pStyle w:val="196"/>
            </w:pPr>
          </w:p>
        </w:tc>
      </w:tr>
      <w:tr w14:paraId="19C72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CEA01C4">
            <w:pPr>
              <w:pStyle w:val="196"/>
            </w:pPr>
          </w:p>
        </w:tc>
        <w:tc>
          <w:tcPr>
            <w:tcW w:w="360" w:type="pct"/>
            <w:vMerge w:val="restart"/>
            <w:vAlign w:val="center"/>
          </w:tcPr>
          <w:p w14:paraId="585285C8">
            <w:pPr>
              <w:pStyle w:val="196"/>
            </w:pPr>
            <w:r>
              <w:rPr>
                <w:rFonts w:hint="eastAsia"/>
              </w:rPr>
              <w:t>废水</w:t>
            </w:r>
          </w:p>
        </w:tc>
        <w:tc>
          <w:tcPr>
            <w:tcW w:w="606" w:type="pct"/>
            <w:vAlign w:val="center"/>
          </w:tcPr>
          <w:p w14:paraId="70E331BB">
            <w:pPr>
              <w:pStyle w:val="196"/>
            </w:pPr>
            <w:r>
              <w:rPr>
                <w:rFonts w:hint="eastAsia"/>
              </w:rPr>
              <w:t>船舶油污水</w:t>
            </w:r>
          </w:p>
        </w:tc>
        <w:tc>
          <w:tcPr>
            <w:tcW w:w="473" w:type="pct"/>
            <w:vAlign w:val="center"/>
          </w:tcPr>
          <w:p w14:paraId="56F7B83C">
            <w:pPr>
              <w:pStyle w:val="196"/>
            </w:pPr>
            <w:r>
              <w:rPr>
                <w:rFonts w:hint="eastAsia"/>
              </w:rPr>
              <w:t>COD、石油类</w:t>
            </w:r>
          </w:p>
        </w:tc>
        <w:tc>
          <w:tcPr>
            <w:tcW w:w="1640" w:type="pct"/>
            <w:vAlign w:val="center"/>
          </w:tcPr>
          <w:p w14:paraId="7863C5D0">
            <w:pPr>
              <w:pStyle w:val="196"/>
            </w:pPr>
            <w:r>
              <w:rPr>
                <w:rFonts w:hint="eastAsia"/>
              </w:rPr>
              <w:t>船舶舱底油污水经码头前沿接收装置收集，用不锈钢水箱作为船舶含油污水收集容器，配备自吸排污泵，标准法兰盘以及铜丝软管收集船舶含油污水。水箱盛满后，委托有资质单位处置；</w:t>
            </w:r>
          </w:p>
        </w:tc>
        <w:tc>
          <w:tcPr>
            <w:tcW w:w="812" w:type="pct"/>
            <w:vAlign w:val="center"/>
          </w:tcPr>
          <w:p w14:paraId="26A8AB9C">
            <w:pPr>
              <w:pStyle w:val="196"/>
            </w:pPr>
            <w:r>
              <w:rPr>
                <w:rFonts w:hint="eastAsia"/>
              </w:rPr>
              <w:t>/</w:t>
            </w:r>
          </w:p>
        </w:tc>
        <w:tc>
          <w:tcPr>
            <w:tcW w:w="367" w:type="pct"/>
            <w:vAlign w:val="center"/>
          </w:tcPr>
          <w:p w14:paraId="2FCC3AA4">
            <w:pPr>
              <w:pStyle w:val="196"/>
            </w:pPr>
            <w:r>
              <w:rPr>
                <w:rFonts w:hint="eastAsia"/>
              </w:rPr>
              <w:t>1.5</w:t>
            </w:r>
          </w:p>
        </w:tc>
        <w:tc>
          <w:tcPr>
            <w:tcW w:w="0" w:type="auto"/>
            <w:vMerge w:val="continue"/>
            <w:vAlign w:val="center"/>
          </w:tcPr>
          <w:p w14:paraId="48F27D8B">
            <w:pPr>
              <w:pStyle w:val="196"/>
            </w:pPr>
          </w:p>
        </w:tc>
      </w:tr>
      <w:tr w14:paraId="585C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07413F9F">
            <w:pPr>
              <w:pStyle w:val="196"/>
            </w:pPr>
          </w:p>
        </w:tc>
        <w:tc>
          <w:tcPr>
            <w:tcW w:w="0" w:type="auto"/>
            <w:vMerge w:val="continue"/>
            <w:vAlign w:val="center"/>
          </w:tcPr>
          <w:p w14:paraId="6D327B9E">
            <w:pPr>
              <w:pStyle w:val="196"/>
            </w:pPr>
          </w:p>
        </w:tc>
        <w:tc>
          <w:tcPr>
            <w:tcW w:w="606" w:type="pct"/>
            <w:vAlign w:val="center"/>
          </w:tcPr>
          <w:p w14:paraId="44BD59D4">
            <w:pPr>
              <w:pStyle w:val="196"/>
            </w:pPr>
            <w:r>
              <w:rPr>
                <w:rFonts w:hint="eastAsia"/>
              </w:rPr>
              <w:t>船舶生活污水</w:t>
            </w:r>
          </w:p>
        </w:tc>
        <w:tc>
          <w:tcPr>
            <w:tcW w:w="473" w:type="pct"/>
            <w:vAlign w:val="center"/>
          </w:tcPr>
          <w:p w14:paraId="2F2BF68E">
            <w:pPr>
              <w:pStyle w:val="196"/>
            </w:pPr>
            <w:r>
              <w:rPr>
                <w:rFonts w:hint="eastAsia"/>
              </w:rPr>
              <w:t>COD、SS、NH</w:t>
            </w:r>
            <w:r>
              <w:rPr>
                <w:rFonts w:hint="eastAsia"/>
                <w:vertAlign w:val="subscript"/>
              </w:rPr>
              <w:t>3</w:t>
            </w:r>
            <w:r>
              <w:rPr>
                <w:rFonts w:hint="eastAsia"/>
              </w:rPr>
              <w:t>-N、TN、TP</w:t>
            </w:r>
          </w:p>
        </w:tc>
        <w:tc>
          <w:tcPr>
            <w:tcW w:w="1640" w:type="pct"/>
            <w:vAlign w:val="center"/>
          </w:tcPr>
          <w:p w14:paraId="449E6593">
            <w:pPr>
              <w:pStyle w:val="196"/>
            </w:pPr>
            <w:r>
              <w:rPr>
                <w:rFonts w:hint="eastAsia"/>
              </w:rPr>
              <w:t>船舶生活污水经岸上接收装置接收后接管至国能涟水一期热电联产项目污水处理厂处理</w:t>
            </w:r>
          </w:p>
        </w:tc>
        <w:tc>
          <w:tcPr>
            <w:tcW w:w="812" w:type="pct"/>
            <w:vMerge w:val="restart"/>
            <w:vAlign w:val="center"/>
          </w:tcPr>
          <w:p w14:paraId="0BAB96E4">
            <w:pPr>
              <w:pStyle w:val="196"/>
            </w:pPr>
            <w:r>
              <w:rPr>
                <w:rFonts w:hint="eastAsia"/>
              </w:rPr>
              <w:t>其中石油类指标参照执行《污水综合排放标准》（GB8978－1996）表4中三级标准。</w:t>
            </w:r>
          </w:p>
        </w:tc>
        <w:tc>
          <w:tcPr>
            <w:tcW w:w="367" w:type="pct"/>
            <w:vAlign w:val="center"/>
          </w:tcPr>
          <w:p w14:paraId="50C85E2D">
            <w:pPr>
              <w:pStyle w:val="196"/>
            </w:pPr>
            <w:r>
              <w:rPr>
                <w:rFonts w:hint="eastAsia"/>
              </w:rPr>
              <w:t>2</w:t>
            </w:r>
          </w:p>
        </w:tc>
        <w:tc>
          <w:tcPr>
            <w:tcW w:w="0" w:type="auto"/>
            <w:vMerge w:val="continue"/>
            <w:vAlign w:val="center"/>
          </w:tcPr>
          <w:p w14:paraId="31D1CAC7">
            <w:pPr>
              <w:pStyle w:val="196"/>
            </w:pPr>
          </w:p>
        </w:tc>
      </w:tr>
      <w:tr w14:paraId="251A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00F1CE32">
            <w:pPr>
              <w:pStyle w:val="196"/>
            </w:pPr>
          </w:p>
        </w:tc>
        <w:tc>
          <w:tcPr>
            <w:tcW w:w="0" w:type="auto"/>
            <w:vMerge w:val="continue"/>
            <w:vAlign w:val="center"/>
          </w:tcPr>
          <w:p w14:paraId="5780149A">
            <w:pPr>
              <w:pStyle w:val="196"/>
            </w:pPr>
          </w:p>
        </w:tc>
        <w:tc>
          <w:tcPr>
            <w:tcW w:w="606" w:type="pct"/>
            <w:vAlign w:val="center"/>
          </w:tcPr>
          <w:p w14:paraId="67A339E0">
            <w:pPr>
              <w:pStyle w:val="196"/>
            </w:pPr>
            <w:r>
              <w:rPr>
                <w:rFonts w:hint="eastAsia"/>
              </w:rPr>
              <w:t>陆域生活污水</w:t>
            </w:r>
          </w:p>
        </w:tc>
        <w:tc>
          <w:tcPr>
            <w:tcW w:w="473" w:type="pct"/>
            <w:vAlign w:val="center"/>
          </w:tcPr>
          <w:p w14:paraId="7BF03B2F">
            <w:pPr>
              <w:pStyle w:val="196"/>
            </w:pPr>
            <w:r>
              <w:rPr>
                <w:rFonts w:hint="eastAsia"/>
              </w:rPr>
              <w:t>COD、SS、NH</w:t>
            </w:r>
            <w:r>
              <w:rPr>
                <w:rFonts w:hint="eastAsia"/>
                <w:vertAlign w:val="subscript"/>
              </w:rPr>
              <w:t>3</w:t>
            </w:r>
            <w:r>
              <w:rPr>
                <w:rFonts w:hint="eastAsia"/>
              </w:rPr>
              <w:t>-N、TN、TP</w:t>
            </w:r>
          </w:p>
        </w:tc>
        <w:tc>
          <w:tcPr>
            <w:tcW w:w="1640" w:type="pct"/>
            <w:vAlign w:val="center"/>
          </w:tcPr>
          <w:p w14:paraId="4A1B8118">
            <w:pPr>
              <w:pStyle w:val="196"/>
            </w:pPr>
            <w:r>
              <w:rPr>
                <w:rFonts w:hint="eastAsia"/>
              </w:rPr>
              <w:t>陆域生活污水依托国能涟水一期热电联产项目厂区污水处理设施处理，不外排</w:t>
            </w:r>
          </w:p>
        </w:tc>
        <w:tc>
          <w:tcPr>
            <w:tcW w:w="0" w:type="auto"/>
            <w:vMerge w:val="continue"/>
            <w:vAlign w:val="center"/>
          </w:tcPr>
          <w:p w14:paraId="1C345BD9">
            <w:pPr>
              <w:pStyle w:val="196"/>
            </w:pPr>
          </w:p>
        </w:tc>
        <w:tc>
          <w:tcPr>
            <w:tcW w:w="367" w:type="pct"/>
            <w:vAlign w:val="center"/>
          </w:tcPr>
          <w:p w14:paraId="1FB45D6A">
            <w:pPr>
              <w:pStyle w:val="196"/>
            </w:pPr>
            <w:r>
              <w:rPr>
                <w:rFonts w:hint="eastAsia"/>
              </w:rPr>
              <w:t>1</w:t>
            </w:r>
          </w:p>
        </w:tc>
        <w:tc>
          <w:tcPr>
            <w:tcW w:w="0" w:type="auto"/>
            <w:vMerge w:val="continue"/>
            <w:vAlign w:val="center"/>
          </w:tcPr>
          <w:p w14:paraId="65706D38">
            <w:pPr>
              <w:pStyle w:val="196"/>
            </w:pPr>
          </w:p>
        </w:tc>
      </w:tr>
      <w:tr w14:paraId="439F8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375C3F6">
            <w:pPr>
              <w:pStyle w:val="196"/>
            </w:pPr>
          </w:p>
        </w:tc>
        <w:tc>
          <w:tcPr>
            <w:tcW w:w="0" w:type="auto"/>
            <w:vMerge w:val="continue"/>
            <w:vAlign w:val="center"/>
          </w:tcPr>
          <w:p w14:paraId="27EB7D0D">
            <w:pPr>
              <w:pStyle w:val="196"/>
            </w:pPr>
          </w:p>
        </w:tc>
        <w:tc>
          <w:tcPr>
            <w:tcW w:w="606" w:type="pct"/>
            <w:vAlign w:val="center"/>
          </w:tcPr>
          <w:p w14:paraId="1029168B">
            <w:pPr>
              <w:pStyle w:val="196"/>
            </w:pPr>
            <w:r>
              <w:rPr>
                <w:rFonts w:hint="eastAsia"/>
              </w:rPr>
              <w:t>初期雨水</w:t>
            </w:r>
          </w:p>
        </w:tc>
        <w:tc>
          <w:tcPr>
            <w:tcW w:w="473" w:type="pct"/>
            <w:vAlign w:val="center"/>
          </w:tcPr>
          <w:p w14:paraId="13529C87">
            <w:pPr>
              <w:pStyle w:val="196"/>
            </w:pPr>
            <w:r>
              <w:rPr>
                <w:rFonts w:hint="eastAsia"/>
              </w:rPr>
              <w:t>COD、SS、石油类</w:t>
            </w:r>
          </w:p>
        </w:tc>
        <w:tc>
          <w:tcPr>
            <w:tcW w:w="1640" w:type="pct"/>
            <w:vAlign w:val="center"/>
          </w:tcPr>
          <w:p w14:paraId="634BAC33">
            <w:pPr>
              <w:pStyle w:val="196"/>
            </w:pPr>
            <w:r>
              <w:rPr>
                <w:rFonts w:hint="eastAsia"/>
              </w:rPr>
              <w:t>码头初期雨水经排水沟收集后汇入码头面污水池，经潜污泵提升至国能涟水一期热电联产项目厂区初期雨水池，容积约1500m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w:t>
            </w:r>
          </w:p>
        </w:tc>
        <w:tc>
          <w:tcPr>
            <w:tcW w:w="0" w:type="auto"/>
            <w:vMerge w:val="continue"/>
            <w:vAlign w:val="center"/>
          </w:tcPr>
          <w:p w14:paraId="691A1377">
            <w:pPr>
              <w:pStyle w:val="196"/>
            </w:pPr>
          </w:p>
        </w:tc>
        <w:tc>
          <w:tcPr>
            <w:tcW w:w="367" w:type="pct"/>
            <w:vAlign w:val="center"/>
          </w:tcPr>
          <w:p w14:paraId="2869AE7F">
            <w:pPr>
              <w:pStyle w:val="196"/>
            </w:pPr>
            <w:r>
              <w:rPr>
                <w:rFonts w:hint="eastAsia"/>
              </w:rPr>
              <w:t>2</w:t>
            </w:r>
          </w:p>
        </w:tc>
        <w:tc>
          <w:tcPr>
            <w:tcW w:w="0" w:type="auto"/>
            <w:vMerge w:val="continue"/>
            <w:vAlign w:val="center"/>
          </w:tcPr>
          <w:p w14:paraId="7958180C">
            <w:pPr>
              <w:pStyle w:val="196"/>
            </w:pPr>
          </w:p>
        </w:tc>
      </w:tr>
      <w:tr w14:paraId="75D3F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97F5C21">
            <w:pPr>
              <w:pStyle w:val="196"/>
            </w:pPr>
          </w:p>
        </w:tc>
        <w:tc>
          <w:tcPr>
            <w:tcW w:w="0" w:type="auto"/>
            <w:vMerge w:val="continue"/>
            <w:vAlign w:val="center"/>
          </w:tcPr>
          <w:p w14:paraId="05FE338F">
            <w:pPr>
              <w:pStyle w:val="196"/>
            </w:pPr>
          </w:p>
        </w:tc>
        <w:tc>
          <w:tcPr>
            <w:tcW w:w="606" w:type="pct"/>
            <w:vAlign w:val="center"/>
          </w:tcPr>
          <w:p w14:paraId="040CB910">
            <w:pPr>
              <w:pStyle w:val="196"/>
            </w:pPr>
            <w:r>
              <w:rPr>
                <w:rFonts w:hint="eastAsia"/>
              </w:rPr>
              <w:t>车辆及机械冲洗废水、码头冲洗废水</w:t>
            </w:r>
          </w:p>
        </w:tc>
        <w:tc>
          <w:tcPr>
            <w:tcW w:w="473" w:type="pct"/>
            <w:vAlign w:val="center"/>
          </w:tcPr>
          <w:p w14:paraId="7724528E">
            <w:pPr>
              <w:pStyle w:val="196"/>
            </w:pPr>
            <w:r>
              <w:rPr>
                <w:rFonts w:hint="eastAsia"/>
              </w:rPr>
              <w:t>COD、SS、石油类</w:t>
            </w:r>
          </w:p>
        </w:tc>
        <w:tc>
          <w:tcPr>
            <w:tcW w:w="1640" w:type="pct"/>
            <w:vAlign w:val="center"/>
          </w:tcPr>
          <w:p w14:paraId="4780172F">
            <w:pPr>
              <w:pStyle w:val="196"/>
            </w:pPr>
            <w:r>
              <w:rPr>
                <w:rFonts w:hint="eastAsia"/>
              </w:rPr>
              <w:t>码头冲洗废水经排水沟收集排入国能涟水一期热电联产项目含煤废水处理系统处理后用作厂区煤场喷淋和输煤栈桥冲洗，不外排。车辆及机械冲洗废水、维修废水经电厂隔油池处理后排至回用水池回用。</w:t>
            </w:r>
          </w:p>
        </w:tc>
        <w:tc>
          <w:tcPr>
            <w:tcW w:w="0" w:type="auto"/>
            <w:vMerge w:val="continue"/>
            <w:vAlign w:val="center"/>
          </w:tcPr>
          <w:p w14:paraId="18063AD2">
            <w:pPr>
              <w:pStyle w:val="196"/>
            </w:pPr>
          </w:p>
        </w:tc>
        <w:tc>
          <w:tcPr>
            <w:tcW w:w="367" w:type="pct"/>
            <w:vAlign w:val="center"/>
          </w:tcPr>
          <w:p w14:paraId="420B4E79">
            <w:pPr>
              <w:pStyle w:val="196"/>
            </w:pPr>
            <w:r>
              <w:rPr>
                <w:rFonts w:hint="eastAsia"/>
              </w:rPr>
              <w:t>2</w:t>
            </w:r>
          </w:p>
        </w:tc>
        <w:tc>
          <w:tcPr>
            <w:tcW w:w="0" w:type="auto"/>
            <w:vMerge w:val="continue"/>
            <w:vAlign w:val="center"/>
          </w:tcPr>
          <w:p w14:paraId="46CE5D09">
            <w:pPr>
              <w:pStyle w:val="196"/>
            </w:pPr>
          </w:p>
        </w:tc>
      </w:tr>
      <w:tr w14:paraId="672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60AC6DA5">
            <w:pPr>
              <w:pStyle w:val="196"/>
            </w:pPr>
          </w:p>
        </w:tc>
        <w:tc>
          <w:tcPr>
            <w:tcW w:w="360" w:type="pct"/>
            <w:vAlign w:val="center"/>
          </w:tcPr>
          <w:p w14:paraId="51F73313">
            <w:pPr>
              <w:pStyle w:val="196"/>
            </w:pPr>
            <w:r>
              <w:rPr>
                <w:rFonts w:hint="eastAsia"/>
              </w:rPr>
              <w:t>噪声</w:t>
            </w:r>
          </w:p>
        </w:tc>
        <w:tc>
          <w:tcPr>
            <w:tcW w:w="606" w:type="pct"/>
            <w:vAlign w:val="center"/>
          </w:tcPr>
          <w:p w14:paraId="136F3B78">
            <w:pPr>
              <w:pStyle w:val="196"/>
            </w:pPr>
            <w:r>
              <w:rPr>
                <w:rFonts w:hint="eastAsia"/>
              </w:rPr>
              <w:t>各类机械、船舶</w:t>
            </w:r>
          </w:p>
        </w:tc>
        <w:tc>
          <w:tcPr>
            <w:tcW w:w="473" w:type="pct"/>
            <w:vAlign w:val="center"/>
          </w:tcPr>
          <w:p w14:paraId="2D491CB9">
            <w:pPr>
              <w:pStyle w:val="196"/>
            </w:pPr>
            <w:r>
              <w:rPr>
                <w:rFonts w:hint="eastAsia"/>
              </w:rPr>
              <w:t>高噪声设备</w:t>
            </w:r>
          </w:p>
        </w:tc>
        <w:tc>
          <w:tcPr>
            <w:tcW w:w="1640" w:type="pct"/>
            <w:vAlign w:val="center"/>
          </w:tcPr>
          <w:p w14:paraId="68DFAC89">
            <w:pPr>
              <w:pStyle w:val="196"/>
            </w:pPr>
            <w:r>
              <w:rPr>
                <w:rFonts w:hint="eastAsia"/>
              </w:rPr>
              <w:t>采用低噪声设备、减震隔声、消音等</w:t>
            </w:r>
          </w:p>
        </w:tc>
        <w:tc>
          <w:tcPr>
            <w:tcW w:w="812" w:type="pct"/>
            <w:vAlign w:val="center"/>
          </w:tcPr>
          <w:p w14:paraId="67EB00F9">
            <w:pPr>
              <w:pStyle w:val="196"/>
            </w:pPr>
            <w:r>
              <w:rPr>
                <w:rFonts w:hint="eastAsia"/>
              </w:rPr>
              <w:t>厂界达《工业企业厂界环境噪声排放标准》（GB12348-2008）中3、4类标准</w:t>
            </w:r>
          </w:p>
        </w:tc>
        <w:tc>
          <w:tcPr>
            <w:tcW w:w="367" w:type="pct"/>
            <w:vAlign w:val="center"/>
          </w:tcPr>
          <w:p w14:paraId="3D913E4D">
            <w:pPr>
              <w:pStyle w:val="196"/>
            </w:pPr>
            <w:r>
              <w:rPr>
                <w:rFonts w:hint="eastAsia"/>
              </w:rPr>
              <w:t>8</w:t>
            </w:r>
          </w:p>
        </w:tc>
        <w:tc>
          <w:tcPr>
            <w:tcW w:w="0" w:type="auto"/>
            <w:vMerge w:val="continue"/>
            <w:vAlign w:val="center"/>
          </w:tcPr>
          <w:p w14:paraId="080FF4C1">
            <w:pPr>
              <w:pStyle w:val="196"/>
            </w:pPr>
          </w:p>
        </w:tc>
      </w:tr>
      <w:tr w14:paraId="24E6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504A1539">
            <w:pPr>
              <w:pStyle w:val="196"/>
            </w:pPr>
          </w:p>
        </w:tc>
        <w:tc>
          <w:tcPr>
            <w:tcW w:w="360" w:type="pct"/>
            <w:vMerge w:val="restart"/>
            <w:vAlign w:val="center"/>
          </w:tcPr>
          <w:p w14:paraId="451D0A44">
            <w:pPr>
              <w:pStyle w:val="196"/>
            </w:pPr>
            <w:r>
              <w:rPr>
                <w:rFonts w:hint="eastAsia"/>
              </w:rPr>
              <w:t>固废</w:t>
            </w:r>
          </w:p>
        </w:tc>
        <w:tc>
          <w:tcPr>
            <w:tcW w:w="606" w:type="pct"/>
            <w:vAlign w:val="center"/>
          </w:tcPr>
          <w:p w14:paraId="061FB563">
            <w:pPr>
              <w:pStyle w:val="196"/>
            </w:pPr>
            <w:r>
              <w:rPr>
                <w:rFonts w:hint="eastAsia"/>
              </w:rPr>
              <w:t>船舶</w:t>
            </w:r>
          </w:p>
        </w:tc>
        <w:tc>
          <w:tcPr>
            <w:tcW w:w="473" w:type="pct"/>
            <w:vAlign w:val="center"/>
          </w:tcPr>
          <w:p w14:paraId="097E52E9">
            <w:pPr>
              <w:pStyle w:val="196"/>
            </w:pPr>
            <w:r>
              <w:rPr>
                <w:rFonts w:hint="eastAsia"/>
              </w:rPr>
              <w:t>船舶生活垃圾</w:t>
            </w:r>
          </w:p>
        </w:tc>
        <w:tc>
          <w:tcPr>
            <w:tcW w:w="1640" w:type="pct"/>
            <w:vAlign w:val="center"/>
          </w:tcPr>
          <w:p w14:paraId="4E3F741C">
            <w:pPr>
              <w:pStyle w:val="196"/>
            </w:pPr>
            <w:r>
              <w:rPr>
                <w:rFonts w:hint="eastAsia"/>
              </w:rPr>
              <w:t>由环卫部门定期清运</w:t>
            </w:r>
          </w:p>
        </w:tc>
        <w:tc>
          <w:tcPr>
            <w:tcW w:w="812" w:type="pct"/>
            <w:vMerge w:val="restart"/>
            <w:vAlign w:val="center"/>
          </w:tcPr>
          <w:p w14:paraId="73562A3D">
            <w:pPr>
              <w:pStyle w:val="196"/>
            </w:pPr>
            <w:r>
              <w:rPr>
                <w:rFonts w:hint="eastAsia"/>
              </w:rPr>
              <w:t>满足环保要求</w:t>
            </w:r>
          </w:p>
        </w:tc>
        <w:tc>
          <w:tcPr>
            <w:tcW w:w="367" w:type="pct"/>
            <w:vMerge w:val="restart"/>
            <w:vAlign w:val="center"/>
          </w:tcPr>
          <w:p w14:paraId="4B9F5EB8">
            <w:pPr>
              <w:pStyle w:val="196"/>
            </w:pPr>
            <w:r>
              <w:rPr>
                <w:rFonts w:hint="eastAsia"/>
              </w:rPr>
              <w:t>5</w:t>
            </w:r>
          </w:p>
        </w:tc>
        <w:tc>
          <w:tcPr>
            <w:tcW w:w="0" w:type="auto"/>
            <w:vMerge w:val="continue"/>
            <w:vAlign w:val="center"/>
          </w:tcPr>
          <w:p w14:paraId="3C019CB9">
            <w:pPr>
              <w:pStyle w:val="196"/>
            </w:pPr>
          </w:p>
        </w:tc>
      </w:tr>
      <w:tr w14:paraId="2D50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0" w:type="auto"/>
            <w:vMerge w:val="continue"/>
            <w:vAlign w:val="center"/>
          </w:tcPr>
          <w:p w14:paraId="30C858A0">
            <w:pPr>
              <w:pStyle w:val="196"/>
            </w:pPr>
          </w:p>
        </w:tc>
        <w:tc>
          <w:tcPr>
            <w:tcW w:w="0" w:type="auto"/>
            <w:vMerge w:val="continue"/>
            <w:vAlign w:val="center"/>
          </w:tcPr>
          <w:p w14:paraId="10FCCC31">
            <w:pPr>
              <w:pStyle w:val="196"/>
            </w:pPr>
          </w:p>
        </w:tc>
        <w:tc>
          <w:tcPr>
            <w:tcW w:w="606" w:type="pct"/>
            <w:vMerge w:val="restart"/>
            <w:vAlign w:val="center"/>
          </w:tcPr>
          <w:p w14:paraId="4D323404">
            <w:pPr>
              <w:pStyle w:val="196"/>
            </w:pPr>
            <w:r>
              <w:rPr>
                <w:rFonts w:hint="eastAsia"/>
              </w:rPr>
              <w:t>陆域</w:t>
            </w:r>
          </w:p>
        </w:tc>
        <w:tc>
          <w:tcPr>
            <w:tcW w:w="473" w:type="pct"/>
            <w:vAlign w:val="center"/>
          </w:tcPr>
          <w:p w14:paraId="1A024A7B">
            <w:pPr>
              <w:pStyle w:val="196"/>
            </w:pPr>
            <w:r>
              <w:rPr>
                <w:rFonts w:hint="eastAsia"/>
              </w:rPr>
              <w:t>陆域生活垃圾、装卸作业生产的固体废物、含油抹布及手套</w:t>
            </w:r>
          </w:p>
        </w:tc>
        <w:tc>
          <w:tcPr>
            <w:tcW w:w="1640" w:type="pct"/>
            <w:vAlign w:val="center"/>
          </w:tcPr>
          <w:p w14:paraId="64F02008">
            <w:pPr>
              <w:pStyle w:val="196"/>
            </w:pPr>
            <w:r>
              <w:rPr>
                <w:rFonts w:hint="eastAsia"/>
              </w:rPr>
              <w:t>由环卫部门定期清运</w:t>
            </w:r>
          </w:p>
        </w:tc>
        <w:tc>
          <w:tcPr>
            <w:tcW w:w="0" w:type="auto"/>
            <w:vMerge w:val="continue"/>
            <w:vAlign w:val="center"/>
          </w:tcPr>
          <w:p w14:paraId="6B09BA74">
            <w:pPr>
              <w:pStyle w:val="196"/>
            </w:pPr>
          </w:p>
        </w:tc>
        <w:tc>
          <w:tcPr>
            <w:tcW w:w="0" w:type="auto"/>
            <w:vMerge w:val="continue"/>
            <w:vAlign w:val="center"/>
          </w:tcPr>
          <w:p w14:paraId="6F42F564">
            <w:pPr>
              <w:pStyle w:val="196"/>
            </w:pPr>
          </w:p>
        </w:tc>
        <w:tc>
          <w:tcPr>
            <w:tcW w:w="0" w:type="auto"/>
            <w:vMerge w:val="continue"/>
            <w:vAlign w:val="center"/>
          </w:tcPr>
          <w:p w14:paraId="76CCE3E7">
            <w:pPr>
              <w:pStyle w:val="196"/>
            </w:pPr>
          </w:p>
        </w:tc>
      </w:tr>
      <w:tr w14:paraId="49BF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25E6DFE">
            <w:pPr>
              <w:pStyle w:val="196"/>
            </w:pPr>
          </w:p>
        </w:tc>
        <w:tc>
          <w:tcPr>
            <w:tcW w:w="0" w:type="auto"/>
            <w:vMerge w:val="continue"/>
            <w:vAlign w:val="center"/>
          </w:tcPr>
          <w:p w14:paraId="2BAE93AC">
            <w:pPr>
              <w:pStyle w:val="196"/>
            </w:pPr>
          </w:p>
        </w:tc>
        <w:tc>
          <w:tcPr>
            <w:tcW w:w="0" w:type="auto"/>
            <w:vMerge w:val="continue"/>
            <w:vAlign w:val="center"/>
          </w:tcPr>
          <w:p w14:paraId="636404A0">
            <w:pPr>
              <w:pStyle w:val="196"/>
            </w:pPr>
          </w:p>
        </w:tc>
        <w:tc>
          <w:tcPr>
            <w:tcW w:w="473" w:type="pct"/>
            <w:vAlign w:val="center"/>
          </w:tcPr>
          <w:p w14:paraId="0F12517C">
            <w:pPr>
              <w:pStyle w:val="196"/>
            </w:pPr>
            <w:r>
              <w:rPr>
                <w:rFonts w:hint="eastAsia"/>
              </w:rPr>
              <w:t>含油污泥、机修废油</w:t>
            </w:r>
          </w:p>
        </w:tc>
        <w:tc>
          <w:tcPr>
            <w:tcW w:w="1640" w:type="pct"/>
            <w:vAlign w:val="center"/>
          </w:tcPr>
          <w:p w14:paraId="4CCCAFFA">
            <w:pPr>
              <w:pStyle w:val="196"/>
            </w:pPr>
            <w:r>
              <w:rPr>
                <w:rFonts w:hint="eastAsia"/>
              </w:rPr>
              <w:t>委托有资质的单位处置</w:t>
            </w:r>
          </w:p>
        </w:tc>
        <w:tc>
          <w:tcPr>
            <w:tcW w:w="0" w:type="auto"/>
            <w:vMerge w:val="continue"/>
            <w:vAlign w:val="center"/>
          </w:tcPr>
          <w:p w14:paraId="6387F0EB">
            <w:pPr>
              <w:pStyle w:val="196"/>
            </w:pPr>
          </w:p>
        </w:tc>
        <w:tc>
          <w:tcPr>
            <w:tcW w:w="0" w:type="auto"/>
            <w:vMerge w:val="continue"/>
            <w:vAlign w:val="center"/>
          </w:tcPr>
          <w:p w14:paraId="7132652C">
            <w:pPr>
              <w:pStyle w:val="196"/>
            </w:pPr>
          </w:p>
        </w:tc>
        <w:tc>
          <w:tcPr>
            <w:tcW w:w="0" w:type="auto"/>
            <w:vMerge w:val="continue"/>
            <w:vAlign w:val="center"/>
          </w:tcPr>
          <w:p w14:paraId="35604837">
            <w:pPr>
              <w:pStyle w:val="196"/>
            </w:pPr>
          </w:p>
        </w:tc>
      </w:tr>
      <w:tr w14:paraId="3535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45B8D2B9">
            <w:pPr>
              <w:pStyle w:val="196"/>
            </w:pPr>
          </w:p>
        </w:tc>
        <w:tc>
          <w:tcPr>
            <w:tcW w:w="0" w:type="auto"/>
            <w:vMerge w:val="continue"/>
            <w:vAlign w:val="center"/>
          </w:tcPr>
          <w:p w14:paraId="5E78EAAE">
            <w:pPr>
              <w:pStyle w:val="196"/>
            </w:pPr>
          </w:p>
        </w:tc>
        <w:tc>
          <w:tcPr>
            <w:tcW w:w="606" w:type="pct"/>
            <w:vAlign w:val="center"/>
          </w:tcPr>
          <w:p w14:paraId="5FD00F7E">
            <w:pPr>
              <w:pStyle w:val="196"/>
            </w:pPr>
            <w:r>
              <w:rPr>
                <w:rFonts w:hint="eastAsia"/>
              </w:rPr>
              <w:t>危废暂存仓库</w:t>
            </w:r>
          </w:p>
        </w:tc>
        <w:tc>
          <w:tcPr>
            <w:tcW w:w="473" w:type="pct"/>
            <w:vAlign w:val="center"/>
          </w:tcPr>
          <w:p w14:paraId="4BEF3F65">
            <w:pPr>
              <w:pStyle w:val="196"/>
            </w:pPr>
            <w:r>
              <w:rPr>
                <w:rFonts w:hint="eastAsia"/>
              </w:rPr>
              <w:t>-</w:t>
            </w:r>
          </w:p>
        </w:tc>
        <w:tc>
          <w:tcPr>
            <w:tcW w:w="1640" w:type="pct"/>
            <w:vAlign w:val="center"/>
          </w:tcPr>
          <w:p w14:paraId="345FF1BD">
            <w:pPr>
              <w:pStyle w:val="196"/>
            </w:pPr>
            <w:r>
              <w:rPr>
                <w:rFonts w:hint="eastAsia"/>
              </w:rPr>
              <w:t>依托国能涟水一期热电联产项目危废暂存仓库，占地50m</w:t>
            </w:r>
            <w:r>
              <w:rPr>
                <w:rFonts w:hint="eastAsia"/>
                <w:vertAlign w:val="superscript"/>
              </w:rPr>
              <w:t>2</w:t>
            </w:r>
          </w:p>
        </w:tc>
        <w:tc>
          <w:tcPr>
            <w:tcW w:w="812" w:type="pct"/>
            <w:vAlign w:val="center"/>
          </w:tcPr>
          <w:p w14:paraId="5FC9B6A6">
            <w:pPr>
              <w:pStyle w:val="196"/>
            </w:pPr>
            <w:r>
              <w:rPr>
                <w:rFonts w:hint="eastAsia"/>
              </w:rPr>
              <w:t>按《危险废物贮存污染控制标准》（GB18597-2023）要求进行设置</w:t>
            </w:r>
          </w:p>
        </w:tc>
        <w:tc>
          <w:tcPr>
            <w:tcW w:w="0" w:type="auto"/>
            <w:vMerge w:val="continue"/>
            <w:vAlign w:val="center"/>
          </w:tcPr>
          <w:p w14:paraId="5870FA16">
            <w:pPr>
              <w:pStyle w:val="196"/>
            </w:pPr>
          </w:p>
        </w:tc>
        <w:tc>
          <w:tcPr>
            <w:tcW w:w="0" w:type="auto"/>
            <w:vMerge w:val="continue"/>
            <w:vAlign w:val="center"/>
          </w:tcPr>
          <w:p w14:paraId="0136FA88">
            <w:pPr>
              <w:pStyle w:val="196"/>
            </w:pPr>
          </w:p>
        </w:tc>
      </w:tr>
      <w:tr w14:paraId="758F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71C7482D">
            <w:pPr>
              <w:pStyle w:val="196"/>
            </w:pPr>
          </w:p>
        </w:tc>
        <w:tc>
          <w:tcPr>
            <w:tcW w:w="360" w:type="pct"/>
            <w:vMerge w:val="restart"/>
            <w:vAlign w:val="center"/>
          </w:tcPr>
          <w:p w14:paraId="0528CD91">
            <w:pPr>
              <w:pStyle w:val="196"/>
            </w:pPr>
            <w:r>
              <w:rPr>
                <w:rFonts w:hint="eastAsia"/>
              </w:rPr>
              <w:t>生态、防洪</w:t>
            </w:r>
          </w:p>
        </w:tc>
        <w:tc>
          <w:tcPr>
            <w:tcW w:w="606" w:type="pct"/>
            <w:vMerge w:val="restart"/>
            <w:vAlign w:val="center"/>
          </w:tcPr>
          <w:p w14:paraId="0962DC11">
            <w:pPr>
              <w:pStyle w:val="196"/>
            </w:pPr>
            <w:r>
              <w:rPr>
                <w:rFonts w:hint="eastAsia"/>
              </w:rPr>
              <w:t>-</w:t>
            </w:r>
          </w:p>
        </w:tc>
        <w:tc>
          <w:tcPr>
            <w:tcW w:w="473" w:type="pct"/>
            <w:vAlign w:val="center"/>
          </w:tcPr>
          <w:p w14:paraId="30A127FB">
            <w:pPr>
              <w:pStyle w:val="196"/>
            </w:pPr>
            <w:r>
              <w:rPr>
                <w:rFonts w:hint="eastAsia"/>
              </w:rPr>
              <w:t>水生生态</w:t>
            </w:r>
          </w:p>
        </w:tc>
        <w:tc>
          <w:tcPr>
            <w:tcW w:w="1640" w:type="pct"/>
            <w:vAlign w:val="center"/>
          </w:tcPr>
          <w:p w14:paraId="31879DAE">
            <w:pPr>
              <w:pStyle w:val="196"/>
            </w:pPr>
            <w:r>
              <w:rPr>
                <w:rFonts w:hint="eastAsia"/>
              </w:rPr>
              <w:t>对码头区实施加固工程，以保证码头结构及岸坡的稳定</w:t>
            </w:r>
          </w:p>
        </w:tc>
        <w:tc>
          <w:tcPr>
            <w:tcW w:w="812" w:type="pct"/>
            <w:vAlign w:val="center"/>
          </w:tcPr>
          <w:p w14:paraId="3AB8D95A">
            <w:pPr>
              <w:pStyle w:val="196"/>
            </w:pPr>
            <w:r>
              <w:rPr>
                <w:rFonts w:hint="eastAsia"/>
              </w:rPr>
              <w:t>减少对水生生态系统的影响，降低地区受洪灾影响的危险程度</w:t>
            </w:r>
          </w:p>
        </w:tc>
        <w:tc>
          <w:tcPr>
            <w:tcW w:w="367" w:type="pct"/>
            <w:vAlign w:val="center"/>
          </w:tcPr>
          <w:p w14:paraId="607733ED">
            <w:pPr>
              <w:pStyle w:val="196"/>
            </w:pPr>
            <w:r>
              <w:rPr>
                <w:rFonts w:hint="eastAsia"/>
              </w:rPr>
              <w:t>10</w:t>
            </w:r>
          </w:p>
        </w:tc>
        <w:tc>
          <w:tcPr>
            <w:tcW w:w="0" w:type="auto"/>
            <w:vMerge w:val="continue"/>
            <w:vAlign w:val="center"/>
          </w:tcPr>
          <w:p w14:paraId="580FE9F5">
            <w:pPr>
              <w:pStyle w:val="196"/>
            </w:pPr>
          </w:p>
        </w:tc>
      </w:tr>
      <w:tr w14:paraId="5268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vMerge w:val="continue"/>
            <w:vAlign w:val="center"/>
          </w:tcPr>
          <w:p w14:paraId="11D233FD">
            <w:pPr>
              <w:pStyle w:val="196"/>
            </w:pPr>
          </w:p>
        </w:tc>
        <w:tc>
          <w:tcPr>
            <w:tcW w:w="0" w:type="auto"/>
            <w:vMerge w:val="continue"/>
            <w:vAlign w:val="center"/>
          </w:tcPr>
          <w:p w14:paraId="482131DF">
            <w:pPr>
              <w:pStyle w:val="196"/>
            </w:pPr>
          </w:p>
        </w:tc>
        <w:tc>
          <w:tcPr>
            <w:tcW w:w="0" w:type="auto"/>
            <w:vMerge w:val="continue"/>
            <w:vAlign w:val="center"/>
          </w:tcPr>
          <w:p w14:paraId="3C83245C">
            <w:pPr>
              <w:pStyle w:val="196"/>
            </w:pPr>
          </w:p>
        </w:tc>
        <w:tc>
          <w:tcPr>
            <w:tcW w:w="473" w:type="pct"/>
            <w:vAlign w:val="center"/>
          </w:tcPr>
          <w:p w14:paraId="0E16A9ED">
            <w:pPr>
              <w:pStyle w:val="196"/>
            </w:pPr>
            <w:r>
              <w:rPr>
                <w:rFonts w:hint="eastAsia"/>
              </w:rPr>
              <w:t>陆域生态</w:t>
            </w:r>
          </w:p>
        </w:tc>
        <w:tc>
          <w:tcPr>
            <w:tcW w:w="1640" w:type="pct"/>
            <w:vAlign w:val="center"/>
          </w:tcPr>
          <w:p w14:paraId="1681AE09">
            <w:pPr>
              <w:pStyle w:val="196"/>
            </w:pPr>
            <w:r>
              <w:rPr>
                <w:rFonts w:hint="eastAsia"/>
              </w:rPr>
              <w:t>选择适宜当地气候生长的常绿乔木和灌木等进行绿化</w:t>
            </w:r>
          </w:p>
        </w:tc>
        <w:tc>
          <w:tcPr>
            <w:tcW w:w="812" w:type="pct"/>
            <w:vAlign w:val="center"/>
          </w:tcPr>
          <w:p w14:paraId="07FE46F2">
            <w:pPr>
              <w:pStyle w:val="196"/>
            </w:pPr>
            <w:r>
              <w:rPr>
                <w:rFonts w:hint="eastAsia"/>
              </w:rPr>
              <w:t>-</w:t>
            </w:r>
          </w:p>
        </w:tc>
        <w:tc>
          <w:tcPr>
            <w:tcW w:w="367" w:type="pct"/>
            <w:vAlign w:val="center"/>
          </w:tcPr>
          <w:p w14:paraId="40F463D1">
            <w:pPr>
              <w:pStyle w:val="196"/>
            </w:pPr>
            <w:r>
              <w:rPr>
                <w:rFonts w:hint="eastAsia"/>
              </w:rPr>
              <w:t>4</w:t>
            </w:r>
          </w:p>
        </w:tc>
        <w:tc>
          <w:tcPr>
            <w:tcW w:w="0" w:type="auto"/>
            <w:vMerge w:val="continue"/>
            <w:vAlign w:val="center"/>
          </w:tcPr>
          <w:p w14:paraId="7AA621B6">
            <w:pPr>
              <w:pStyle w:val="196"/>
            </w:pPr>
          </w:p>
        </w:tc>
      </w:tr>
      <w:tr w14:paraId="5970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gridSpan w:val="2"/>
            <w:vAlign w:val="center"/>
          </w:tcPr>
          <w:p w14:paraId="0652C24D">
            <w:pPr>
              <w:pStyle w:val="196"/>
            </w:pPr>
            <w:r>
              <w:rPr>
                <w:rFonts w:hint="eastAsia"/>
              </w:rPr>
              <w:t>风险应急措施</w:t>
            </w:r>
          </w:p>
        </w:tc>
        <w:tc>
          <w:tcPr>
            <w:tcW w:w="2719" w:type="pct"/>
            <w:gridSpan w:val="3"/>
            <w:vAlign w:val="center"/>
          </w:tcPr>
          <w:p w14:paraId="2FF4A697">
            <w:pPr>
              <w:pStyle w:val="196"/>
            </w:pPr>
            <w:r>
              <w:rPr>
                <w:rFonts w:hint="eastAsia"/>
              </w:rPr>
              <w:t>事故应急人员培训，</w:t>
            </w:r>
            <w:r>
              <w:rPr>
                <w:rFonts w:hint="eastAsia"/>
                <w:lang w:val="en-US"/>
              </w:rPr>
              <w:t>引</w:t>
            </w:r>
            <w:r>
              <w:rPr>
                <w:rFonts w:hint="eastAsia"/>
              </w:rPr>
              <w:t>导助航等安全保障设施、建设VTS、围油设备、事故应急池、收油设备、吸油毡及其他防护设备，制定污染应急计划，通信报警设备</w:t>
            </w:r>
          </w:p>
        </w:tc>
        <w:tc>
          <w:tcPr>
            <w:tcW w:w="812" w:type="pct"/>
            <w:vAlign w:val="center"/>
          </w:tcPr>
          <w:p w14:paraId="57A7C58C">
            <w:pPr>
              <w:pStyle w:val="196"/>
            </w:pPr>
            <w:r>
              <w:rPr>
                <w:rFonts w:hint="eastAsia"/>
              </w:rPr>
              <w:t>-</w:t>
            </w:r>
          </w:p>
        </w:tc>
        <w:tc>
          <w:tcPr>
            <w:tcW w:w="367" w:type="pct"/>
            <w:vAlign w:val="center"/>
          </w:tcPr>
          <w:p w14:paraId="5A526BC4">
            <w:pPr>
              <w:pStyle w:val="196"/>
            </w:pPr>
            <w:r>
              <w:rPr>
                <w:rFonts w:hint="eastAsia"/>
              </w:rPr>
              <w:t>8.5</w:t>
            </w:r>
          </w:p>
        </w:tc>
        <w:tc>
          <w:tcPr>
            <w:tcW w:w="0" w:type="auto"/>
            <w:vMerge w:val="continue"/>
            <w:vAlign w:val="center"/>
          </w:tcPr>
          <w:p w14:paraId="26FD2B3A">
            <w:pPr>
              <w:pStyle w:val="196"/>
            </w:pPr>
          </w:p>
        </w:tc>
      </w:tr>
      <w:tr w14:paraId="6D94C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gridSpan w:val="2"/>
            <w:vMerge w:val="restart"/>
            <w:vAlign w:val="center"/>
          </w:tcPr>
          <w:p w14:paraId="3AEB7085">
            <w:pPr>
              <w:pStyle w:val="196"/>
            </w:pPr>
            <w:r>
              <w:rPr>
                <w:rFonts w:hint="eastAsia"/>
              </w:rPr>
              <w:t>环境管理（机构、监测能力等）</w:t>
            </w:r>
          </w:p>
        </w:tc>
        <w:tc>
          <w:tcPr>
            <w:tcW w:w="2719" w:type="pct"/>
            <w:gridSpan w:val="3"/>
            <w:vAlign w:val="center"/>
          </w:tcPr>
          <w:p w14:paraId="75487FB8">
            <w:pPr>
              <w:pStyle w:val="196"/>
            </w:pPr>
            <w:r>
              <w:rPr>
                <w:rFonts w:hint="eastAsia"/>
              </w:rPr>
              <w:t>本项目建成后，应设立专门的环境管理机构和专职或兼职环保人员1～2名，负责环境保护监督管理工作。本工程施工期和营运期的环境保护和防治污染设施由建设单位实施，安装粉尘在线监测设备。</w:t>
            </w:r>
          </w:p>
        </w:tc>
        <w:tc>
          <w:tcPr>
            <w:tcW w:w="812" w:type="pct"/>
            <w:vAlign w:val="center"/>
          </w:tcPr>
          <w:p w14:paraId="7958BB23">
            <w:pPr>
              <w:pStyle w:val="196"/>
            </w:pPr>
            <w:r>
              <w:rPr>
                <w:rFonts w:hint="eastAsia"/>
              </w:rPr>
              <w:t>-</w:t>
            </w:r>
          </w:p>
        </w:tc>
        <w:tc>
          <w:tcPr>
            <w:tcW w:w="367" w:type="pct"/>
            <w:vMerge w:val="restart"/>
            <w:vAlign w:val="center"/>
          </w:tcPr>
          <w:p w14:paraId="5C103350">
            <w:pPr>
              <w:pStyle w:val="196"/>
            </w:pPr>
            <w:r>
              <w:rPr>
                <w:rFonts w:hint="eastAsia"/>
              </w:rPr>
              <w:t>5</w:t>
            </w:r>
          </w:p>
        </w:tc>
        <w:tc>
          <w:tcPr>
            <w:tcW w:w="0" w:type="auto"/>
            <w:vMerge w:val="continue"/>
            <w:vAlign w:val="center"/>
          </w:tcPr>
          <w:p w14:paraId="748D58CE">
            <w:pPr>
              <w:pStyle w:val="196"/>
            </w:pPr>
          </w:p>
        </w:tc>
      </w:tr>
      <w:tr w14:paraId="2692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0" w:type="auto"/>
            <w:gridSpan w:val="2"/>
            <w:vMerge w:val="continue"/>
            <w:vAlign w:val="center"/>
          </w:tcPr>
          <w:p w14:paraId="7ECBB1D4">
            <w:pPr>
              <w:pStyle w:val="196"/>
            </w:pPr>
          </w:p>
        </w:tc>
        <w:tc>
          <w:tcPr>
            <w:tcW w:w="2719" w:type="pct"/>
            <w:gridSpan w:val="3"/>
            <w:vAlign w:val="center"/>
          </w:tcPr>
          <w:p w14:paraId="6771FB23">
            <w:pPr>
              <w:pStyle w:val="196"/>
            </w:pPr>
            <w:r>
              <w:rPr>
                <w:rFonts w:hint="eastAsia"/>
              </w:rPr>
              <w:t>施工期和营运期环境监测（含生态）</w:t>
            </w:r>
          </w:p>
        </w:tc>
        <w:tc>
          <w:tcPr>
            <w:tcW w:w="812" w:type="pct"/>
            <w:vAlign w:val="center"/>
          </w:tcPr>
          <w:p w14:paraId="1ABC67ED">
            <w:pPr>
              <w:pStyle w:val="196"/>
            </w:pPr>
            <w:r>
              <w:rPr>
                <w:rFonts w:hint="eastAsia"/>
              </w:rPr>
              <w:t>满足环境监测计划</w:t>
            </w:r>
          </w:p>
        </w:tc>
        <w:tc>
          <w:tcPr>
            <w:tcW w:w="0" w:type="auto"/>
            <w:vMerge w:val="continue"/>
            <w:vAlign w:val="center"/>
          </w:tcPr>
          <w:p w14:paraId="48EBAC64">
            <w:pPr>
              <w:pStyle w:val="196"/>
            </w:pPr>
          </w:p>
        </w:tc>
        <w:tc>
          <w:tcPr>
            <w:tcW w:w="0" w:type="auto"/>
            <w:vMerge w:val="continue"/>
            <w:vAlign w:val="center"/>
          </w:tcPr>
          <w:p w14:paraId="14414223">
            <w:pPr>
              <w:pStyle w:val="196"/>
            </w:pPr>
          </w:p>
        </w:tc>
      </w:tr>
      <w:tr w14:paraId="6BA5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gridSpan w:val="2"/>
            <w:vAlign w:val="center"/>
          </w:tcPr>
          <w:p w14:paraId="6D004B08">
            <w:pPr>
              <w:pStyle w:val="196"/>
            </w:pPr>
            <w:r>
              <w:rPr>
                <w:rFonts w:hint="eastAsia"/>
              </w:rPr>
              <w:t>清污分流、排污口规范化设置</w:t>
            </w:r>
          </w:p>
        </w:tc>
        <w:tc>
          <w:tcPr>
            <w:tcW w:w="2719" w:type="pct"/>
            <w:gridSpan w:val="3"/>
            <w:vAlign w:val="center"/>
          </w:tcPr>
          <w:p w14:paraId="3F4B630C">
            <w:pPr>
              <w:pStyle w:val="196"/>
            </w:pPr>
            <w:r>
              <w:rPr>
                <w:rFonts w:hint="eastAsia"/>
              </w:rPr>
              <w:t xml:space="preserve">清污分流，雨污分流管网铺设 </w:t>
            </w:r>
          </w:p>
        </w:tc>
        <w:tc>
          <w:tcPr>
            <w:tcW w:w="812" w:type="pct"/>
            <w:vAlign w:val="center"/>
          </w:tcPr>
          <w:p w14:paraId="4A23A7FD">
            <w:pPr>
              <w:pStyle w:val="196"/>
            </w:pPr>
            <w:r>
              <w:rPr>
                <w:rFonts w:hint="eastAsia"/>
              </w:rPr>
              <w:t>符合相关规范</w:t>
            </w:r>
          </w:p>
        </w:tc>
        <w:tc>
          <w:tcPr>
            <w:tcW w:w="0" w:type="auto"/>
            <w:vMerge w:val="continue"/>
            <w:vAlign w:val="center"/>
          </w:tcPr>
          <w:p w14:paraId="54F06C93">
            <w:pPr>
              <w:pStyle w:val="196"/>
            </w:pPr>
          </w:p>
        </w:tc>
        <w:tc>
          <w:tcPr>
            <w:tcW w:w="0" w:type="auto"/>
            <w:vMerge w:val="continue"/>
            <w:vAlign w:val="center"/>
          </w:tcPr>
          <w:p w14:paraId="2682312D">
            <w:pPr>
              <w:pStyle w:val="196"/>
            </w:pPr>
          </w:p>
        </w:tc>
      </w:tr>
      <w:tr w14:paraId="3B8D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gridSpan w:val="2"/>
            <w:vAlign w:val="center"/>
          </w:tcPr>
          <w:p w14:paraId="3E004F78">
            <w:pPr>
              <w:pStyle w:val="196"/>
            </w:pPr>
            <w:r>
              <w:rPr>
                <w:rFonts w:hint="eastAsia"/>
              </w:rPr>
              <w:t>总量平衡具体方案</w:t>
            </w:r>
          </w:p>
        </w:tc>
        <w:tc>
          <w:tcPr>
            <w:tcW w:w="3531" w:type="pct"/>
            <w:gridSpan w:val="4"/>
            <w:vAlign w:val="center"/>
          </w:tcPr>
          <w:p w14:paraId="2CF593D3">
            <w:pPr>
              <w:pStyle w:val="196"/>
            </w:pPr>
            <w:r>
              <w:rPr>
                <w:rFonts w:hint="eastAsia"/>
              </w:rPr>
              <w:t>建设项目废气排放</w:t>
            </w:r>
            <w:r>
              <w:rPr>
                <w:rFonts w:hint="eastAsia"/>
                <w:lang w:eastAsia="zh-CN"/>
              </w:rPr>
              <w:t>均</w:t>
            </w:r>
            <w:r>
              <w:rPr>
                <w:rFonts w:hint="eastAsia"/>
              </w:rPr>
              <w:t>无组织排放。无组织：颗粒物（TSP）</w:t>
            </w:r>
            <w:r>
              <w:t>3.715</w:t>
            </w:r>
            <w:r>
              <w:rPr>
                <w:rFonts w:hint="eastAsia"/>
              </w:rPr>
              <w:t>t/a，SO</w:t>
            </w:r>
            <w:r>
              <w:rPr>
                <w:rFonts w:hint="eastAsia"/>
                <w:vertAlign w:val="subscript"/>
              </w:rPr>
              <w:t>2</w:t>
            </w:r>
            <w:r>
              <w:rPr>
                <w:rFonts w:hint="eastAsia"/>
              </w:rPr>
              <w:t>0.</w:t>
            </w:r>
            <w:r>
              <w:t>00056</w:t>
            </w:r>
            <w:r>
              <w:rPr>
                <w:rFonts w:hint="eastAsia"/>
              </w:rPr>
              <w:t>t/a，NOx</w:t>
            </w:r>
            <w:r>
              <w:t>0.046</w:t>
            </w:r>
            <w:r>
              <w:rPr>
                <w:rFonts w:hint="eastAsia"/>
              </w:rPr>
              <w:t>t/a。</w:t>
            </w:r>
          </w:p>
          <w:p w14:paraId="6434C856">
            <w:pPr>
              <w:pStyle w:val="196"/>
            </w:pPr>
            <w:r>
              <w:rPr>
                <w:rFonts w:hint="eastAsia"/>
              </w:rPr>
              <w:t>建设项目建成后生活污水（陆域、船舶）全部处理后回用不外排</w:t>
            </w:r>
          </w:p>
        </w:tc>
        <w:tc>
          <w:tcPr>
            <w:tcW w:w="367" w:type="pct"/>
            <w:vAlign w:val="center"/>
          </w:tcPr>
          <w:p w14:paraId="57F67E68">
            <w:pPr>
              <w:pStyle w:val="196"/>
            </w:pPr>
            <w:r>
              <w:rPr>
                <w:rFonts w:hint="eastAsia"/>
              </w:rPr>
              <w:t>-</w:t>
            </w:r>
          </w:p>
        </w:tc>
        <w:tc>
          <w:tcPr>
            <w:tcW w:w="300" w:type="pct"/>
            <w:vAlign w:val="center"/>
          </w:tcPr>
          <w:p w14:paraId="265C3C97">
            <w:pPr>
              <w:pStyle w:val="196"/>
            </w:pPr>
            <w:r>
              <w:rPr>
                <w:rFonts w:hint="eastAsia"/>
              </w:rPr>
              <w:t>-</w:t>
            </w:r>
          </w:p>
        </w:tc>
      </w:tr>
      <w:tr w14:paraId="1C8A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2" w:type="pct"/>
            <w:gridSpan w:val="2"/>
            <w:vAlign w:val="center"/>
          </w:tcPr>
          <w:p w14:paraId="3406818C">
            <w:pPr>
              <w:pStyle w:val="196"/>
            </w:pPr>
            <w:r>
              <w:rPr>
                <w:rFonts w:hint="eastAsia"/>
              </w:rPr>
              <w:t>卫生防护距离设置（以设施或厂界设置，敏感保护目标情况等）</w:t>
            </w:r>
          </w:p>
        </w:tc>
        <w:tc>
          <w:tcPr>
            <w:tcW w:w="3531" w:type="pct"/>
            <w:gridSpan w:val="4"/>
            <w:vAlign w:val="center"/>
          </w:tcPr>
          <w:p w14:paraId="78A4A28F">
            <w:pPr>
              <w:pStyle w:val="196"/>
            </w:pPr>
            <w:r>
              <w:rPr>
                <w:rFonts w:hint="eastAsia"/>
              </w:rPr>
              <w:t>建设项目不设置大气环境防护区域。项目建成后全厂卫生防护距离是以码头厂界为执行边界的50m范围，卫生防护距离范围内无医院、居民等敏感保护目标，可满足建设项目卫生防护距离的要求</w:t>
            </w:r>
          </w:p>
        </w:tc>
        <w:tc>
          <w:tcPr>
            <w:tcW w:w="367" w:type="pct"/>
            <w:vAlign w:val="center"/>
          </w:tcPr>
          <w:p w14:paraId="5EFD4BD2">
            <w:pPr>
              <w:pStyle w:val="196"/>
            </w:pPr>
            <w:r>
              <w:rPr>
                <w:rFonts w:hint="eastAsia"/>
              </w:rPr>
              <w:t>-</w:t>
            </w:r>
          </w:p>
        </w:tc>
        <w:tc>
          <w:tcPr>
            <w:tcW w:w="300" w:type="pct"/>
            <w:vAlign w:val="center"/>
          </w:tcPr>
          <w:p w14:paraId="3652AB81">
            <w:pPr>
              <w:pStyle w:val="196"/>
            </w:pPr>
            <w:r>
              <w:rPr>
                <w:rFonts w:hint="eastAsia"/>
              </w:rPr>
              <w:t>-</w:t>
            </w:r>
          </w:p>
        </w:tc>
      </w:tr>
      <w:tr w14:paraId="5C6A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33" w:type="pct"/>
            <w:gridSpan w:val="6"/>
            <w:vAlign w:val="center"/>
          </w:tcPr>
          <w:p w14:paraId="7F3E764B">
            <w:pPr>
              <w:pStyle w:val="196"/>
            </w:pPr>
            <w:r>
              <w:rPr>
                <w:rFonts w:hint="eastAsia"/>
              </w:rPr>
              <w:t>共计</w:t>
            </w:r>
          </w:p>
        </w:tc>
        <w:tc>
          <w:tcPr>
            <w:tcW w:w="367" w:type="pct"/>
            <w:vAlign w:val="center"/>
          </w:tcPr>
          <w:p w14:paraId="1A4D209F">
            <w:pPr>
              <w:pStyle w:val="196"/>
            </w:pPr>
            <w:r>
              <w:rPr>
                <w:rFonts w:hint="eastAsia"/>
              </w:rPr>
              <w:t>90</w:t>
            </w:r>
          </w:p>
        </w:tc>
        <w:tc>
          <w:tcPr>
            <w:tcW w:w="300" w:type="pct"/>
            <w:vAlign w:val="center"/>
          </w:tcPr>
          <w:p w14:paraId="1BE93387">
            <w:pPr>
              <w:pStyle w:val="196"/>
            </w:pPr>
            <w:r>
              <w:rPr>
                <w:rFonts w:hint="eastAsia"/>
              </w:rPr>
              <w:t>-</w:t>
            </w:r>
          </w:p>
        </w:tc>
      </w:tr>
    </w:tbl>
    <w:p w14:paraId="6FEB1315">
      <w:pPr>
        <w:ind w:firstLine="482"/>
        <w:rPr>
          <w:b/>
          <w:bCs/>
        </w:rPr>
        <w:sectPr>
          <w:pgSz w:w="16838" w:h="11905" w:orient="landscape"/>
          <w:pgMar w:top="1440" w:right="1800" w:bottom="1440" w:left="1800" w:header="851" w:footer="992" w:gutter="0"/>
          <w:cols w:space="720" w:num="1"/>
          <w:docGrid w:type="lines" w:linePitch="332" w:charSpace="0"/>
        </w:sectPr>
      </w:pPr>
    </w:p>
    <w:p w14:paraId="588D090B">
      <w:pPr>
        <w:pStyle w:val="82"/>
      </w:pPr>
      <w:r>
        <w:rPr>
          <w:rFonts w:hint="eastAsia"/>
        </w:rPr>
        <w:t>环境效益</w:t>
      </w:r>
    </w:p>
    <w:p w14:paraId="35A0DB04">
      <w:pPr>
        <w:ind w:firstLine="480"/>
      </w:pPr>
      <w:r>
        <w:rPr>
          <w:rFonts w:hint="eastAsia"/>
        </w:rPr>
        <w:t>本项目环境保护投资约为90万元，通过采取可行的环境保护措施，项目建设的环境影响可以接受，环保投资效益比较明显。</w:t>
      </w:r>
    </w:p>
    <w:p w14:paraId="76FEF121">
      <w:pPr>
        <w:ind w:firstLine="480"/>
      </w:pPr>
      <w:r>
        <w:rPr>
          <w:rFonts w:hint="eastAsia"/>
        </w:rPr>
        <w:t>项目采取的废水、废气、噪声、固废等污染治理及清洁生产措施，达到了有效控制污染和保护环境的目的。本项目环境保护投资的环境效益主要表现在以下几方面；</w:t>
      </w:r>
    </w:p>
    <w:p w14:paraId="2D758689">
      <w:pPr>
        <w:pStyle w:val="93"/>
      </w:pPr>
      <w:r>
        <w:rPr>
          <w:rFonts w:hint="eastAsia"/>
        </w:rPr>
        <w:t>（1）废水处理环境效益：本项目将分别建设生产、生活废水处理系统、初期雨水系统，实行清污分流、雨污分流制，分类处置，可减少废水处理量和处置费用，环境效益显著。</w:t>
      </w:r>
    </w:p>
    <w:p w14:paraId="10B6FFE0">
      <w:pPr>
        <w:pStyle w:val="93"/>
      </w:pPr>
      <w:r>
        <w:rPr>
          <w:rFonts w:hint="eastAsia"/>
        </w:rPr>
        <w:t>（2）废气治理环境效益：采用喷洒水抑尘防尘，路面上的积尘应及时清理，加强码头周围环境的绿化，减轻大气环境的污染，环境效益明显。</w:t>
      </w:r>
    </w:p>
    <w:p w14:paraId="57830080">
      <w:pPr>
        <w:pStyle w:val="93"/>
      </w:pPr>
      <w:r>
        <w:rPr>
          <w:rFonts w:hint="eastAsia"/>
        </w:rPr>
        <w:t>（3）噪声治理的环境效益：噪声治理措施落实后可减小对居民点的影响，有良好的环境效益。</w:t>
      </w:r>
    </w:p>
    <w:p w14:paraId="57B71D51">
      <w:pPr>
        <w:pStyle w:val="93"/>
      </w:pPr>
      <w:r>
        <w:rPr>
          <w:rFonts w:hint="eastAsia"/>
        </w:rPr>
        <w:t>（4）固废处置的环境效益：本项目基本无工业固废，生活垃圾送环卫部门处理，完全没有排放。</w:t>
      </w:r>
    </w:p>
    <w:p w14:paraId="26EC9F11">
      <w:pPr>
        <w:pStyle w:val="93"/>
      </w:pPr>
      <w:r>
        <w:rPr>
          <w:rFonts w:hint="eastAsia"/>
        </w:rPr>
        <w:t>（5）绿化建设的环境效益：本项目在控制污染、治理污染的同时，绿化起到净化空气、降噪等作用，同时美化了厂区环境，为企业职工提供良好的厂区环境。防护林的建设，可有效保证码头的正常运行。</w:t>
      </w:r>
    </w:p>
    <w:p w14:paraId="5E9F2591">
      <w:pPr>
        <w:pStyle w:val="93"/>
      </w:pPr>
      <w:r>
        <w:rPr>
          <w:rFonts w:hint="eastAsia"/>
        </w:rPr>
        <w:t>由此可见，本项目环保工程投入的环境效益显著。</w:t>
      </w:r>
    </w:p>
    <w:p w14:paraId="1A711614">
      <w:pPr>
        <w:pStyle w:val="80"/>
      </w:pPr>
      <w:bookmarkStart w:id="369" w:name="_Toc15952"/>
      <w:bookmarkEnd w:id="369"/>
      <w:bookmarkStart w:id="370" w:name="_Toc10991"/>
      <w:bookmarkStart w:id="371" w:name="_Toc182171831"/>
      <w:r>
        <w:rPr>
          <w:rFonts w:hint="eastAsia"/>
        </w:rPr>
        <w:t>工程环境经济损益分析</w:t>
      </w:r>
      <w:bookmarkEnd w:id="370"/>
      <w:bookmarkEnd w:id="371"/>
    </w:p>
    <w:p w14:paraId="7F68AE0A">
      <w:pPr>
        <w:pStyle w:val="93"/>
      </w:pPr>
      <w:r>
        <w:rPr>
          <w:rFonts w:hint="eastAsia"/>
        </w:rPr>
        <w:t>（1）直接效益</w:t>
      </w:r>
    </w:p>
    <w:p w14:paraId="6DE9BF59">
      <w:pPr>
        <w:pStyle w:val="93"/>
      </w:pPr>
      <w:r>
        <w:rPr>
          <w:rFonts w:hint="eastAsia"/>
        </w:rPr>
        <w:t>项目在营运期间的机动车尾气、装卸设备废气、粉尘排放等和生产噪声辐射会对厂区内工作人员生活质量产生不利影响，对当地生态环境产生一定的负面影响，但这些负面影响必将是复杂的、多方面的。采取操作性强的、切实可行的环保措施后，每年所挽回的经济损失，亦即环保投资的直接效益是显而易见的。但目前很难用具体货币形式来衡量，只能对若不采取措施时，项目导致的生态环境、水环境、声环境和环境空气质量的变化所引起的人体健康、生活质量等方面的经济损失作粗略计算或定性分析用以反馈环保投资的直接经济效益。</w:t>
      </w:r>
    </w:p>
    <w:p w14:paraId="3B5EB424">
      <w:pPr>
        <w:ind w:firstLine="480"/>
      </w:pPr>
      <w:r>
        <w:rPr>
          <w:rFonts w:hint="eastAsia"/>
        </w:rPr>
        <w:t>（2）间接效益</w:t>
      </w:r>
    </w:p>
    <w:p w14:paraId="3B3197D4">
      <w:pPr>
        <w:pStyle w:val="93"/>
      </w:pPr>
      <w:r>
        <w:rPr>
          <w:rFonts w:hint="eastAsia"/>
        </w:rPr>
        <w:t>在实施有效的环保措施后，会产生以下的间接效益：保证项目厂区内工作人员的生活质量和正常生活秩序，维护工作人员的环境心理健康和减轻居民的烦躁情绪，减少社会不稳定的诱发因素等。所有这些间接效益在目前很难用货币形式来度量，但可以肯定的是，它应是环保投资所获取的社会效益的主要组成部分。</w:t>
      </w:r>
    </w:p>
    <w:p w14:paraId="789A762E">
      <w:pPr>
        <w:pStyle w:val="93"/>
      </w:pPr>
      <w:r>
        <w:rPr>
          <w:rFonts w:hint="eastAsia"/>
        </w:rPr>
        <w:t>总之，本项目所产生的环境经济的正效益占主导地位，从环保角度来看该项目是可行的。</w:t>
      </w:r>
    </w:p>
    <w:p w14:paraId="2F9E2214">
      <w:pPr>
        <w:ind w:firstLine="482"/>
        <w:rPr>
          <w:b/>
          <w:bCs/>
        </w:rPr>
        <w:sectPr>
          <w:pgSz w:w="11905" w:h="16838"/>
          <w:pgMar w:top="1440" w:right="1800" w:bottom="1440" w:left="1800" w:header="851" w:footer="992" w:gutter="0"/>
          <w:cols w:space="720" w:num="1"/>
          <w:docGrid w:type="lines" w:linePitch="332" w:charSpace="0"/>
        </w:sectPr>
      </w:pPr>
    </w:p>
    <w:p w14:paraId="28FFA442">
      <w:pPr>
        <w:pStyle w:val="76"/>
      </w:pPr>
      <w:bookmarkStart w:id="372" w:name="_Toc15761"/>
      <w:bookmarkEnd w:id="372"/>
      <w:bookmarkStart w:id="373" w:name="_Toc182171832"/>
      <w:bookmarkStart w:id="374" w:name="_Toc19009"/>
      <w:r>
        <w:rPr>
          <w:rFonts w:hint="eastAsia"/>
        </w:rPr>
        <w:t>环境管理与监测计划</w:t>
      </w:r>
      <w:bookmarkEnd w:id="373"/>
      <w:bookmarkEnd w:id="374"/>
    </w:p>
    <w:p w14:paraId="724D3ACF">
      <w:pPr>
        <w:pStyle w:val="80"/>
      </w:pPr>
      <w:bookmarkStart w:id="375" w:name="_Toc9688"/>
      <w:bookmarkEnd w:id="375"/>
      <w:bookmarkStart w:id="376" w:name="_Toc27870"/>
      <w:bookmarkEnd w:id="376"/>
      <w:bookmarkStart w:id="377" w:name="_Toc1120"/>
      <w:bookmarkEnd w:id="377"/>
      <w:bookmarkStart w:id="378" w:name="_Toc5463"/>
      <w:bookmarkEnd w:id="378"/>
      <w:bookmarkStart w:id="379" w:name="_Toc29567"/>
      <w:bookmarkStart w:id="380" w:name="_Toc182171833"/>
      <w:r>
        <w:rPr>
          <w:rFonts w:hint="eastAsia"/>
        </w:rPr>
        <w:t>环境管理</w:t>
      </w:r>
      <w:bookmarkEnd w:id="379"/>
      <w:bookmarkEnd w:id="380"/>
    </w:p>
    <w:p w14:paraId="17D6184E">
      <w:pPr>
        <w:pStyle w:val="93"/>
      </w:pPr>
      <w:r>
        <w:rPr>
          <w:rFonts w:hint="eastAsia"/>
        </w:rPr>
        <w:t>环境管理是以环境科学理论为基础，运用经济、法律、技术、行政、教育等手段对经济、社会发展过程中施加给环境的污染和破坏影响进行调节控制、实现经济、社会和环境效益的和谐统一。本环境管理计划依据环评报告书提出的主要环境问题、环保工程措施及省、地市环保部门对企业环境管理的要求，提出该项目的环境管理和监测计划，供各级环保部门对该项目进行环境管理时参考，并作为企业项目设计、建设及运营阶段环境保护管理工作的依据。</w:t>
      </w:r>
    </w:p>
    <w:p w14:paraId="0B6F1A9E">
      <w:pPr>
        <w:pStyle w:val="82"/>
      </w:pPr>
      <w:r>
        <w:rPr>
          <w:rFonts w:hint="eastAsia"/>
        </w:rPr>
        <w:t>环境管理任务</w:t>
      </w:r>
    </w:p>
    <w:p w14:paraId="405CCE4E">
      <w:pPr>
        <w:pStyle w:val="93"/>
      </w:pPr>
      <w:r>
        <w:rPr>
          <w:rFonts w:hint="eastAsia"/>
        </w:rPr>
        <w:t>（1）贯彻执行国家有关环境保护方针、政策及法规条例；</w:t>
      </w:r>
    </w:p>
    <w:p w14:paraId="436354F0">
      <w:pPr>
        <w:pStyle w:val="93"/>
      </w:pPr>
      <w:r>
        <w:rPr>
          <w:rFonts w:hint="eastAsia"/>
        </w:rPr>
        <w:t>（2）制定年度项目环境保护工作计划，整编相关资料，建立环境信息系统，编制年度环境质量报告，并呈报上级主管部门；</w:t>
      </w:r>
    </w:p>
    <w:p w14:paraId="54BE436B">
      <w:pPr>
        <w:pStyle w:val="93"/>
      </w:pPr>
      <w:r>
        <w:rPr>
          <w:rFonts w:hint="eastAsia"/>
        </w:rPr>
        <w:t>（3）加强项目环境监测管理，审定监测计划，委托具有相应资质的环境、卫生监测等专业部门实施环境监测计划；</w:t>
      </w:r>
    </w:p>
    <w:p w14:paraId="222D3D9C">
      <w:pPr>
        <w:pStyle w:val="93"/>
      </w:pPr>
      <w:r>
        <w:rPr>
          <w:rFonts w:hint="eastAsia"/>
        </w:rPr>
        <w:t>（4）组织实施项目的环境保护规划，并监督、检查环境保护措施的执行情况和环保经费的使用情况；</w:t>
      </w:r>
    </w:p>
    <w:p w14:paraId="3CA14611">
      <w:pPr>
        <w:ind w:firstLine="480"/>
      </w:pPr>
      <w:r>
        <w:rPr>
          <w:rFonts w:hint="eastAsia"/>
        </w:rPr>
        <w:t>（5）协调处理项目引起的环境污染事故和环境纠纷；</w:t>
      </w:r>
    </w:p>
    <w:p w14:paraId="1209BD17">
      <w:pPr>
        <w:ind w:firstLine="480"/>
      </w:pPr>
      <w:r>
        <w:rPr>
          <w:rFonts w:hint="eastAsia"/>
        </w:rPr>
        <w:t>（6）加强环境保护的宣传教育和技术培训，提高工程建设、管理人员的环境保护意识与环境保护技术水平。</w:t>
      </w:r>
    </w:p>
    <w:p w14:paraId="1AA7D6B4">
      <w:pPr>
        <w:pStyle w:val="82"/>
      </w:pPr>
      <w:r>
        <w:rPr>
          <w:rFonts w:hint="eastAsia"/>
        </w:rPr>
        <w:t>环境管理机构</w:t>
      </w:r>
    </w:p>
    <w:p w14:paraId="33E46579">
      <w:pPr>
        <w:pStyle w:val="86"/>
      </w:pPr>
      <w:r>
        <w:rPr>
          <w:rFonts w:hint="eastAsia"/>
        </w:rPr>
        <w:t>环境保护管理机</w:t>
      </w:r>
      <w:r>
        <w:rPr>
          <w:rFonts w:hint="eastAsia"/>
          <w:lang w:eastAsia="zh-CN"/>
        </w:rPr>
        <w:t>构的</w:t>
      </w:r>
      <w:r>
        <w:rPr>
          <w:rFonts w:hint="eastAsia"/>
        </w:rPr>
        <w:t>主要工作职能</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596"/>
        <w:gridCol w:w="2708"/>
        <w:gridCol w:w="4057"/>
      </w:tblGrid>
      <w:tr w14:paraId="4A6F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tblHeader/>
          <w:jc w:val="center"/>
        </w:trPr>
        <w:tc>
          <w:tcPr>
            <w:tcW w:w="1596" w:type="dxa"/>
            <w:vAlign w:val="center"/>
          </w:tcPr>
          <w:p w14:paraId="5C15A1A1">
            <w:pPr>
              <w:pStyle w:val="196"/>
              <w:rPr>
                <w:b/>
                <w:bCs/>
              </w:rPr>
            </w:pPr>
            <w:r>
              <w:rPr>
                <w:rFonts w:hint="eastAsia"/>
                <w:b/>
                <w:bCs/>
              </w:rPr>
              <w:t>管理内容</w:t>
            </w:r>
          </w:p>
          <w:p w14:paraId="44E6930D">
            <w:pPr>
              <w:pStyle w:val="196"/>
              <w:rPr>
                <w:b/>
                <w:bCs/>
              </w:rPr>
            </w:pPr>
            <w:r>
              <w:rPr>
                <w:rFonts w:hint="eastAsia"/>
                <w:b/>
                <w:bCs/>
              </w:rPr>
              <w:t>项目阶段</w:t>
            </w:r>
          </w:p>
        </w:tc>
        <w:tc>
          <w:tcPr>
            <w:tcW w:w="2708" w:type="dxa"/>
            <w:vAlign w:val="center"/>
          </w:tcPr>
          <w:p w14:paraId="5CA43356">
            <w:pPr>
              <w:pStyle w:val="196"/>
              <w:rPr>
                <w:b/>
                <w:bCs/>
              </w:rPr>
            </w:pPr>
            <w:r>
              <w:rPr>
                <w:rFonts w:hint="eastAsia"/>
                <w:b/>
                <w:bCs/>
              </w:rPr>
              <w:t>工程建设内容</w:t>
            </w:r>
          </w:p>
        </w:tc>
        <w:tc>
          <w:tcPr>
            <w:tcW w:w="4057" w:type="dxa"/>
            <w:vAlign w:val="center"/>
          </w:tcPr>
          <w:p w14:paraId="22524D60">
            <w:pPr>
              <w:pStyle w:val="196"/>
              <w:rPr>
                <w:b/>
                <w:bCs/>
              </w:rPr>
            </w:pPr>
            <w:r>
              <w:rPr>
                <w:rFonts w:hint="eastAsia"/>
                <w:b/>
                <w:bCs/>
              </w:rPr>
              <w:t>环境管理内容</w:t>
            </w:r>
          </w:p>
        </w:tc>
      </w:tr>
      <w:tr w14:paraId="3F13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596" w:type="dxa"/>
            <w:vAlign w:val="center"/>
          </w:tcPr>
          <w:p w14:paraId="2375CCCE">
            <w:pPr>
              <w:pStyle w:val="196"/>
            </w:pPr>
            <w:r>
              <w:rPr>
                <w:rFonts w:hint="eastAsia"/>
              </w:rPr>
              <w:t>项目前期工作</w:t>
            </w:r>
          </w:p>
        </w:tc>
        <w:tc>
          <w:tcPr>
            <w:tcW w:w="2708" w:type="dxa"/>
            <w:vAlign w:val="center"/>
          </w:tcPr>
          <w:p w14:paraId="793ED126">
            <w:pPr>
              <w:pStyle w:val="196"/>
            </w:pPr>
            <w:r>
              <w:rPr>
                <w:rFonts w:hint="eastAsia"/>
              </w:rPr>
              <w:t>1. 编制项目建议书</w:t>
            </w:r>
          </w:p>
          <w:p w14:paraId="79EAA898">
            <w:pPr>
              <w:pStyle w:val="196"/>
            </w:pPr>
            <w:r>
              <w:rPr>
                <w:rFonts w:hint="eastAsia"/>
              </w:rPr>
              <w:t>2. 编制可行性研究报告</w:t>
            </w:r>
          </w:p>
          <w:p w14:paraId="3A52D0EC">
            <w:pPr>
              <w:pStyle w:val="196"/>
            </w:pPr>
            <w:r>
              <w:rPr>
                <w:rFonts w:hint="eastAsia"/>
              </w:rPr>
              <w:t>3. 编制设计任务书</w:t>
            </w:r>
          </w:p>
        </w:tc>
        <w:tc>
          <w:tcPr>
            <w:tcW w:w="4057" w:type="dxa"/>
            <w:vAlign w:val="center"/>
          </w:tcPr>
          <w:p w14:paraId="1625B166">
            <w:pPr>
              <w:pStyle w:val="196"/>
            </w:pPr>
            <w:r>
              <w:rPr>
                <w:rFonts w:hint="eastAsia"/>
              </w:rPr>
              <w:t>委托环评单位编制环境影响报告书</w:t>
            </w:r>
          </w:p>
        </w:tc>
      </w:tr>
      <w:tr w14:paraId="0B0B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596" w:type="dxa"/>
            <w:vAlign w:val="center"/>
          </w:tcPr>
          <w:p w14:paraId="621856A7">
            <w:pPr>
              <w:pStyle w:val="196"/>
            </w:pPr>
            <w:r>
              <w:rPr>
                <w:rFonts w:hint="eastAsia"/>
              </w:rPr>
              <w:t>设计阶段</w:t>
            </w:r>
          </w:p>
        </w:tc>
        <w:tc>
          <w:tcPr>
            <w:tcW w:w="2708" w:type="dxa"/>
            <w:vAlign w:val="center"/>
          </w:tcPr>
          <w:p w14:paraId="5AC13D73">
            <w:pPr>
              <w:pStyle w:val="196"/>
            </w:pPr>
            <w:r>
              <w:rPr>
                <w:rFonts w:hint="eastAsia"/>
              </w:rPr>
              <w:t>1. 工程初步设计</w:t>
            </w:r>
          </w:p>
          <w:p w14:paraId="425F5D7D">
            <w:pPr>
              <w:pStyle w:val="196"/>
            </w:pPr>
            <w:r>
              <w:rPr>
                <w:rFonts w:hint="eastAsia"/>
              </w:rPr>
              <w:t>2. 工程施工图设计</w:t>
            </w:r>
          </w:p>
        </w:tc>
        <w:tc>
          <w:tcPr>
            <w:tcW w:w="4057" w:type="dxa"/>
            <w:vAlign w:val="center"/>
          </w:tcPr>
          <w:p w14:paraId="5F924FC9">
            <w:pPr>
              <w:pStyle w:val="196"/>
            </w:pPr>
            <w:r>
              <w:rPr>
                <w:rFonts w:hint="eastAsia"/>
              </w:rPr>
              <w:t>1. 协助设计单位落实环评报告书中提出的各项环境保护措施</w:t>
            </w:r>
          </w:p>
        </w:tc>
      </w:tr>
      <w:tr w14:paraId="2539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596" w:type="dxa"/>
            <w:vAlign w:val="center"/>
          </w:tcPr>
          <w:p w14:paraId="5DFFF839">
            <w:pPr>
              <w:pStyle w:val="196"/>
            </w:pPr>
            <w:r>
              <w:rPr>
                <w:rFonts w:hint="eastAsia"/>
              </w:rPr>
              <w:t>施工阶段</w:t>
            </w:r>
          </w:p>
        </w:tc>
        <w:tc>
          <w:tcPr>
            <w:tcW w:w="2708" w:type="dxa"/>
            <w:vAlign w:val="center"/>
          </w:tcPr>
          <w:p w14:paraId="3FE29BB7">
            <w:pPr>
              <w:pStyle w:val="196"/>
            </w:pPr>
            <w:r>
              <w:rPr>
                <w:rFonts w:hint="eastAsia"/>
              </w:rPr>
              <w:t>1. 编制施工文件及施工报告</w:t>
            </w:r>
          </w:p>
          <w:p w14:paraId="737CA2BB">
            <w:pPr>
              <w:pStyle w:val="196"/>
            </w:pPr>
            <w:r>
              <w:rPr>
                <w:rFonts w:hint="eastAsia"/>
              </w:rPr>
              <w:t>2. 施工安装、提出竣工报告</w:t>
            </w:r>
          </w:p>
        </w:tc>
        <w:tc>
          <w:tcPr>
            <w:tcW w:w="4057" w:type="dxa"/>
            <w:vAlign w:val="center"/>
          </w:tcPr>
          <w:p w14:paraId="0F7BC551">
            <w:pPr>
              <w:pStyle w:val="196"/>
            </w:pPr>
            <w:r>
              <w:rPr>
                <w:rFonts w:hint="eastAsia"/>
              </w:rPr>
              <w:t>1. 监督施工单位落实环境保护措施</w:t>
            </w:r>
          </w:p>
          <w:p w14:paraId="1A4D5EC3">
            <w:pPr>
              <w:pStyle w:val="196"/>
            </w:pPr>
            <w:r>
              <w:rPr>
                <w:rFonts w:hint="eastAsia"/>
              </w:rPr>
              <w:t>2. 环保设备施工及竣工验收</w:t>
            </w:r>
          </w:p>
        </w:tc>
      </w:tr>
      <w:tr w14:paraId="1261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0" w:hRule="atLeast"/>
          <w:jc w:val="center"/>
        </w:trPr>
        <w:tc>
          <w:tcPr>
            <w:tcW w:w="1596" w:type="dxa"/>
            <w:vAlign w:val="center"/>
          </w:tcPr>
          <w:p w14:paraId="1D1B3596">
            <w:pPr>
              <w:pStyle w:val="196"/>
            </w:pPr>
            <w:r>
              <w:rPr>
                <w:rFonts w:hint="eastAsia"/>
              </w:rPr>
              <w:t>运营阶段</w:t>
            </w:r>
          </w:p>
        </w:tc>
        <w:tc>
          <w:tcPr>
            <w:tcW w:w="2708" w:type="dxa"/>
            <w:vAlign w:val="center"/>
          </w:tcPr>
          <w:p w14:paraId="37E38260">
            <w:pPr>
              <w:pStyle w:val="196"/>
            </w:pPr>
            <w:r>
              <w:rPr>
                <w:rFonts w:hint="eastAsia"/>
              </w:rPr>
              <w:t>1. 生产装卸作业</w:t>
            </w:r>
          </w:p>
          <w:p w14:paraId="2E0D7046">
            <w:pPr>
              <w:pStyle w:val="196"/>
            </w:pPr>
            <w:r>
              <w:rPr>
                <w:rFonts w:hint="eastAsia"/>
              </w:rPr>
              <w:t>2. 环保设施运行</w:t>
            </w:r>
          </w:p>
        </w:tc>
        <w:tc>
          <w:tcPr>
            <w:tcW w:w="4057" w:type="dxa"/>
            <w:vAlign w:val="center"/>
          </w:tcPr>
          <w:p w14:paraId="5498E746">
            <w:pPr>
              <w:pStyle w:val="196"/>
            </w:pPr>
            <w:r>
              <w:rPr>
                <w:rFonts w:hint="eastAsia"/>
              </w:rPr>
              <w:t>1. 检查环保设施运行情况</w:t>
            </w:r>
          </w:p>
          <w:p w14:paraId="08ED4AF7">
            <w:pPr>
              <w:pStyle w:val="196"/>
            </w:pPr>
            <w:r>
              <w:rPr>
                <w:rFonts w:hint="eastAsia"/>
              </w:rPr>
              <w:t>2. 做好内部环境监测和管理工作，并定期与当地环境保护管理部门汇报</w:t>
            </w:r>
          </w:p>
        </w:tc>
      </w:tr>
    </w:tbl>
    <w:p w14:paraId="446D815E">
      <w:pPr>
        <w:pStyle w:val="93"/>
        <w:rPr>
          <w:b/>
        </w:rPr>
      </w:pPr>
      <w:r>
        <w:rPr>
          <w:rFonts w:hint="eastAsia"/>
        </w:rPr>
        <w:t>生态环境局负责对项目保护工作实施监督管理，组织协调有关机构为项目环境保护工作服务，监督项目环境管理计划的实施，项目环保设施的竣工验收、运行情况的检查和监督管理。工程施工实行监理制度，按工程质量和环保要求对项目进行全面质量管理。</w:t>
      </w:r>
    </w:p>
    <w:p w14:paraId="3808C678">
      <w:pPr>
        <w:pStyle w:val="82"/>
      </w:pPr>
      <w:r>
        <w:rPr>
          <w:rFonts w:hint="eastAsia"/>
        </w:rPr>
        <w:t>环境管理制度</w:t>
      </w:r>
    </w:p>
    <w:p w14:paraId="43B2C2D5">
      <w:pPr>
        <w:ind w:firstLine="480"/>
      </w:pPr>
      <w:r>
        <w:rPr>
          <w:rFonts w:hint="eastAsia"/>
        </w:rPr>
        <w:t>（1）“三同时”制度</w:t>
      </w:r>
    </w:p>
    <w:p w14:paraId="3BE94C08">
      <w:pPr>
        <w:ind w:firstLine="480"/>
      </w:pPr>
      <w:r>
        <w:rPr>
          <w:rFonts w:hint="eastAsia"/>
        </w:rPr>
        <w:t>在项目筹备、实施和建设阶段，应严格执行“三同时”制度确保各项环保设施能够和生产工艺“同时设计、同时施工、同时投产使用”。</w:t>
      </w:r>
    </w:p>
    <w:p w14:paraId="0016A2E8">
      <w:pPr>
        <w:pStyle w:val="93"/>
      </w:pPr>
      <w:r>
        <w:rPr>
          <w:rFonts w:hint="eastAsia"/>
        </w:rPr>
        <w:t>（2）报告制度</w:t>
      </w:r>
    </w:p>
    <w:p w14:paraId="7F744324">
      <w:pPr>
        <w:ind w:firstLine="480"/>
      </w:pPr>
      <w:r>
        <w:rPr>
          <w:rFonts w:hint="eastAsia"/>
        </w:rPr>
        <w:t>企业排污发生重大变化、污染治理设施改变或企业改、扩建等都必须向当地环保部门申报，改、扩建项目，必须</w:t>
      </w:r>
      <w:r>
        <w:rPr>
          <w:rFonts w:hint="eastAsia"/>
          <w:lang w:eastAsia="zh-CN"/>
        </w:rPr>
        <w:t>按照</w:t>
      </w:r>
      <w:r>
        <w:rPr>
          <w:rFonts w:hint="eastAsia"/>
        </w:rPr>
        <w:t>《建设项目环境保护管理条例》的要求，报请有审批权限的环保部门审批。</w:t>
      </w:r>
    </w:p>
    <w:p w14:paraId="2A40CA5F">
      <w:pPr>
        <w:pStyle w:val="93"/>
      </w:pPr>
      <w:r>
        <w:rPr>
          <w:rFonts w:hint="eastAsia"/>
        </w:rPr>
        <w:t>（3）污染治理设施的管理、监控制度</w:t>
      </w:r>
    </w:p>
    <w:p w14:paraId="12A05D3B">
      <w:pPr>
        <w:pStyle w:val="93"/>
      </w:pPr>
      <w:r>
        <w:rPr>
          <w:rFonts w:hint="eastAsia"/>
        </w:rPr>
        <w:t>项目建成后，必须确保</w:t>
      </w:r>
      <w:r>
        <w:rPr>
          <w:rFonts w:hint="eastAsia"/>
          <w:lang w:eastAsia="zh-CN"/>
        </w:rPr>
        <w:t>污水处理</w:t>
      </w:r>
      <w:r>
        <w:rPr>
          <w:rFonts w:hint="eastAsia"/>
        </w:rPr>
        <w:t>设施长期、稳定、有效地运行，不得擅自拆除或者闲置污染处理设施，不得故意不正常使用</w:t>
      </w:r>
      <w:r>
        <w:rPr>
          <w:rFonts w:hint="eastAsia"/>
          <w:lang w:eastAsia="zh-CN"/>
        </w:rPr>
        <w:t>污水</w:t>
      </w:r>
      <w:r>
        <w:rPr>
          <w:rFonts w:hint="eastAsia"/>
        </w:rPr>
        <w:t>处理设施。</w:t>
      </w:r>
      <w:r>
        <w:rPr>
          <w:rFonts w:hint="eastAsia"/>
          <w:lang w:eastAsia="zh-CN"/>
        </w:rPr>
        <w:t>污水处理</w:t>
      </w:r>
      <w:r>
        <w:rPr>
          <w:rFonts w:hint="eastAsia"/>
        </w:rPr>
        <w:t>设施的管理必须与生产经营活动一起纳入公司日常管理工作的范畴，落实责任人、操作人员、维修人员、运行经费、设备的备品备件和其他原辅材料。同时要建立岗位责任制、制定操作规程、建立管理台账，对危险废物进厂、存放、处理以及设备运行情况进行日常记录。</w:t>
      </w:r>
    </w:p>
    <w:p w14:paraId="2D25552F">
      <w:pPr>
        <w:pStyle w:val="93"/>
      </w:pPr>
      <w:r>
        <w:rPr>
          <w:rFonts w:hint="eastAsia"/>
        </w:rPr>
        <w:t>（4）环保奖惩条例</w:t>
      </w:r>
    </w:p>
    <w:p w14:paraId="0C41C11F">
      <w:pPr>
        <w:pStyle w:val="93"/>
      </w:pPr>
      <w:r>
        <w:rPr>
          <w:rFonts w:hint="eastAsia"/>
        </w:rPr>
        <w:t>本项目建设期以及建成后，各级管理人员都应树立保护环境的思想，公司设置环境保护奖惩条例。对爱护环保设施、节能降耗、改善环境者实行奖励；对环保观念淡薄，不按环保要求管理，造成环境设施损坏、环境污染及资源和能源浪费者一律予以重罚。</w:t>
      </w:r>
    </w:p>
    <w:p w14:paraId="519A7BF5">
      <w:pPr>
        <w:pStyle w:val="93"/>
      </w:pPr>
      <w:r>
        <w:rPr>
          <w:rFonts w:hint="eastAsia"/>
        </w:rPr>
        <w:t>（5）环境保护人员培训计划</w:t>
      </w:r>
    </w:p>
    <w:p w14:paraId="2E923A99">
      <w:pPr>
        <w:pStyle w:val="93"/>
      </w:pPr>
      <w:r>
        <w:rPr>
          <w:rFonts w:hint="eastAsia"/>
        </w:rPr>
        <w:t>对专、兼职环境管理人员进行环保业务知识的培训，并在全公司范围内进行环保知识的宣传和教育，树立全员的环保意识</w:t>
      </w:r>
    </w:p>
    <w:p w14:paraId="3ADEDC32">
      <w:pPr>
        <w:ind w:firstLine="480"/>
      </w:pPr>
      <w:r>
        <w:rPr>
          <w:rFonts w:hint="eastAsia"/>
        </w:rPr>
        <w:t>（6）其他制度</w:t>
      </w:r>
    </w:p>
    <w:p w14:paraId="12B23120">
      <w:pPr>
        <w:pStyle w:val="93"/>
      </w:pPr>
      <w:r>
        <w:rPr>
          <w:rFonts w:hint="eastAsia"/>
        </w:rPr>
        <w:t>本项目建成后，除上述一般企业均须有的通用规章制度外，还必须制定以下几个方面的制度：</w:t>
      </w:r>
    </w:p>
    <w:p w14:paraId="59134CA0">
      <w:pPr>
        <w:ind w:firstLine="480"/>
      </w:pPr>
      <w:r>
        <w:rPr>
          <w:rFonts w:hint="eastAsia" w:ascii="宋体" w:hAnsi="宋体" w:eastAsia="宋体" w:cs="宋体"/>
        </w:rPr>
        <w:t>①</w:t>
      </w:r>
      <w:r>
        <w:rPr>
          <w:rFonts w:hint="eastAsia"/>
        </w:rPr>
        <w:t>风险事故应急救援制度；</w:t>
      </w:r>
    </w:p>
    <w:p w14:paraId="546F7236">
      <w:pPr>
        <w:pStyle w:val="93"/>
      </w:pPr>
      <w:r>
        <w:rPr>
          <w:rFonts w:hint="eastAsia" w:ascii="宋体" w:hAnsi="宋体" w:eastAsia="宋体" w:cs="宋体"/>
        </w:rPr>
        <w:t>②</w:t>
      </w:r>
      <w:r>
        <w:rPr>
          <w:rFonts w:hint="eastAsia"/>
        </w:rPr>
        <w:t>危险废物安全处置有关的规章制度，包括安全操作规程、岗位责任制、车辆设备保养维修等规章制度；</w:t>
      </w:r>
    </w:p>
    <w:p w14:paraId="527D6486">
      <w:pPr>
        <w:ind w:firstLine="480"/>
      </w:pPr>
      <w:r>
        <w:rPr>
          <w:rFonts w:hint="eastAsia" w:ascii="宋体" w:hAnsi="宋体" w:eastAsia="宋体" w:cs="宋体"/>
        </w:rPr>
        <w:t>③</w:t>
      </w:r>
      <w:r>
        <w:rPr>
          <w:rFonts w:hint="eastAsia"/>
        </w:rPr>
        <w:t>工业危险废物处置全过程的管理制度；</w:t>
      </w:r>
    </w:p>
    <w:p w14:paraId="2F863987">
      <w:pPr>
        <w:ind w:firstLine="480"/>
      </w:pPr>
      <w:r>
        <w:rPr>
          <w:rFonts w:hint="eastAsia" w:ascii="宋体" w:hAnsi="宋体" w:eastAsia="宋体" w:cs="宋体"/>
        </w:rPr>
        <w:t>④</w:t>
      </w:r>
      <w:r>
        <w:rPr>
          <w:rFonts w:hint="eastAsia"/>
        </w:rPr>
        <w:t>转移联单管理制度；</w:t>
      </w:r>
    </w:p>
    <w:p w14:paraId="4B59C982">
      <w:pPr>
        <w:ind w:firstLine="480"/>
      </w:pPr>
      <w:r>
        <w:rPr>
          <w:rFonts w:hint="eastAsia" w:ascii="宋体" w:hAnsi="宋体" w:eastAsia="宋体" w:cs="宋体"/>
        </w:rPr>
        <w:t>⑤</w:t>
      </w:r>
      <w:r>
        <w:rPr>
          <w:rFonts w:hint="eastAsia"/>
        </w:rPr>
        <w:t>职业健康、安全、环保管理体系（HSE）；</w:t>
      </w:r>
    </w:p>
    <w:p w14:paraId="4E94556B">
      <w:pPr>
        <w:ind w:firstLine="480"/>
      </w:pPr>
      <w:r>
        <w:rPr>
          <w:rFonts w:hint="eastAsia" w:ascii="宋体" w:hAnsi="宋体" w:eastAsia="宋体" w:cs="宋体"/>
        </w:rPr>
        <w:t>⑥</w:t>
      </w:r>
      <w:r>
        <w:rPr>
          <w:rFonts w:hint="eastAsia"/>
        </w:rPr>
        <w:t>参加环保主管部门的培训制度；</w:t>
      </w:r>
    </w:p>
    <w:p w14:paraId="2B9DD7DE">
      <w:pPr>
        <w:ind w:firstLine="480"/>
      </w:pPr>
      <w:r>
        <w:rPr>
          <w:rFonts w:hint="eastAsia" w:ascii="宋体" w:hAnsi="宋体" w:eastAsia="宋体" w:cs="宋体"/>
        </w:rPr>
        <w:t>⑦</w:t>
      </w:r>
      <w:r>
        <w:rPr>
          <w:rFonts w:hint="eastAsia"/>
        </w:rPr>
        <w:t>档案管理制度。</w:t>
      </w:r>
    </w:p>
    <w:p w14:paraId="616F2C00">
      <w:pPr>
        <w:ind w:firstLine="480"/>
      </w:pPr>
      <w:r>
        <w:rPr>
          <w:rFonts w:hint="eastAsia"/>
        </w:rPr>
        <w:t>（6）公众开放</w:t>
      </w:r>
    </w:p>
    <w:p w14:paraId="00F7D95D">
      <w:pPr>
        <w:ind w:firstLine="480"/>
      </w:pPr>
      <w:r>
        <w:rPr>
          <w:rFonts w:hint="eastAsia"/>
        </w:rPr>
        <w:t>配备环保公益宣传的场所和设施。</w:t>
      </w:r>
    </w:p>
    <w:p w14:paraId="3F5A84B3">
      <w:pPr>
        <w:pStyle w:val="82"/>
      </w:pPr>
      <w:r>
        <w:rPr>
          <w:rFonts w:hint="eastAsia"/>
        </w:rPr>
        <w:t>施工期环境管理计划</w:t>
      </w:r>
    </w:p>
    <w:p w14:paraId="0EA19E8C">
      <w:pPr>
        <w:pStyle w:val="86"/>
      </w:pPr>
      <w:r>
        <w:rPr>
          <w:rFonts w:hint="eastAsia"/>
        </w:rPr>
        <w:t>施工期环境管理计划</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80"/>
        <w:gridCol w:w="4402"/>
        <w:gridCol w:w="2127"/>
      </w:tblGrid>
      <w:tr w14:paraId="01C3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694C25CB">
            <w:pPr>
              <w:pStyle w:val="196"/>
            </w:pPr>
            <w:r>
              <w:rPr>
                <w:rFonts w:hint="eastAsia"/>
              </w:rPr>
              <w:t>序号</w:t>
            </w:r>
          </w:p>
        </w:tc>
        <w:tc>
          <w:tcPr>
            <w:tcW w:w="751" w:type="pct"/>
            <w:vAlign w:val="center"/>
          </w:tcPr>
          <w:p w14:paraId="2952BAC8">
            <w:pPr>
              <w:pStyle w:val="196"/>
            </w:pPr>
            <w:r>
              <w:rPr>
                <w:rFonts w:hint="eastAsia"/>
              </w:rPr>
              <w:t>项目</w:t>
            </w:r>
          </w:p>
        </w:tc>
        <w:tc>
          <w:tcPr>
            <w:tcW w:w="2583" w:type="pct"/>
            <w:vAlign w:val="center"/>
          </w:tcPr>
          <w:p w14:paraId="65D462EB">
            <w:pPr>
              <w:pStyle w:val="196"/>
            </w:pPr>
            <w:r>
              <w:rPr>
                <w:rFonts w:hint="eastAsia"/>
              </w:rPr>
              <w:t>监督内容</w:t>
            </w:r>
          </w:p>
        </w:tc>
        <w:tc>
          <w:tcPr>
            <w:tcW w:w="1248" w:type="pct"/>
            <w:vAlign w:val="center"/>
          </w:tcPr>
          <w:p w14:paraId="1FE3D087">
            <w:pPr>
              <w:pStyle w:val="196"/>
            </w:pPr>
            <w:r>
              <w:rPr>
                <w:rFonts w:hint="eastAsia"/>
              </w:rPr>
              <w:t>监督单位</w:t>
            </w:r>
          </w:p>
        </w:tc>
      </w:tr>
      <w:tr w14:paraId="6C07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4540D5D3">
            <w:pPr>
              <w:pStyle w:val="196"/>
            </w:pPr>
            <w:r>
              <w:rPr>
                <w:rFonts w:hint="eastAsia"/>
              </w:rPr>
              <w:t>1</w:t>
            </w:r>
          </w:p>
        </w:tc>
        <w:tc>
          <w:tcPr>
            <w:tcW w:w="751" w:type="pct"/>
            <w:vAlign w:val="center"/>
          </w:tcPr>
          <w:p w14:paraId="6357C8A2">
            <w:pPr>
              <w:pStyle w:val="196"/>
            </w:pPr>
            <w:r>
              <w:rPr>
                <w:rFonts w:hint="eastAsia"/>
              </w:rPr>
              <w:t>废气</w:t>
            </w:r>
          </w:p>
        </w:tc>
        <w:tc>
          <w:tcPr>
            <w:tcW w:w="2583" w:type="pct"/>
            <w:vAlign w:val="center"/>
          </w:tcPr>
          <w:p w14:paraId="39B8DC8C">
            <w:pPr>
              <w:pStyle w:val="196"/>
            </w:pPr>
            <w:r>
              <w:rPr>
                <w:rFonts w:hint="eastAsia"/>
              </w:rPr>
              <w:t>施工场所围挡；出入口及厂内道路硬化；堆料覆盖；车辆冲洗；使用商品混凝土；洒水抑尘等</w:t>
            </w:r>
          </w:p>
        </w:tc>
        <w:tc>
          <w:tcPr>
            <w:tcW w:w="1248" w:type="pct"/>
            <w:vAlign w:val="center"/>
          </w:tcPr>
          <w:p w14:paraId="03F1BDB5">
            <w:pPr>
              <w:pStyle w:val="196"/>
            </w:pPr>
            <w:r>
              <w:rPr>
                <w:rFonts w:hint="eastAsia"/>
              </w:rPr>
              <w:t>地方生态环境部门</w:t>
            </w:r>
          </w:p>
        </w:tc>
      </w:tr>
      <w:tr w14:paraId="7256D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737574CA">
            <w:pPr>
              <w:pStyle w:val="196"/>
            </w:pPr>
            <w:r>
              <w:rPr>
                <w:rFonts w:hint="eastAsia"/>
              </w:rPr>
              <w:t>2</w:t>
            </w:r>
          </w:p>
        </w:tc>
        <w:tc>
          <w:tcPr>
            <w:tcW w:w="751" w:type="pct"/>
            <w:vAlign w:val="center"/>
          </w:tcPr>
          <w:p w14:paraId="7C0E4F0F">
            <w:pPr>
              <w:pStyle w:val="196"/>
            </w:pPr>
            <w:r>
              <w:rPr>
                <w:rFonts w:hint="eastAsia"/>
              </w:rPr>
              <w:t>废水</w:t>
            </w:r>
          </w:p>
        </w:tc>
        <w:tc>
          <w:tcPr>
            <w:tcW w:w="2583" w:type="pct"/>
            <w:vAlign w:val="center"/>
          </w:tcPr>
          <w:p w14:paraId="4BFBDF05">
            <w:pPr>
              <w:pStyle w:val="196"/>
            </w:pPr>
            <w:r>
              <w:rPr>
                <w:rFonts w:hint="eastAsia"/>
              </w:rPr>
              <w:t>施工船舶污水严禁直接排入水体；港池及基坑排水沉淀后用于洒水抑尘；疏浚废水：采用环保疏浚技术及设备，SS跟踪监测，控制疏浚作业强度等，疏浚污泥余水经围堰、泄水口及后续沉淀池等预处理后</w:t>
            </w:r>
            <w:r>
              <w:rPr>
                <w:rFonts w:hint="eastAsia"/>
                <w:bCs/>
              </w:rPr>
              <w:t>满足《污水综合排放标准》（GB8978-1996）表4一级标准就近排入盐河</w:t>
            </w:r>
          </w:p>
        </w:tc>
        <w:tc>
          <w:tcPr>
            <w:tcW w:w="1248" w:type="pct"/>
            <w:vAlign w:val="center"/>
          </w:tcPr>
          <w:p w14:paraId="18A7A44D">
            <w:pPr>
              <w:pStyle w:val="196"/>
            </w:pPr>
            <w:r>
              <w:rPr>
                <w:rFonts w:hint="eastAsia"/>
              </w:rPr>
              <w:t>地方生态环境部门</w:t>
            </w:r>
          </w:p>
        </w:tc>
      </w:tr>
      <w:tr w14:paraId="1452B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097CC5A2">
            <w:pPr>
              <w:pStyle w:val="196"/>
            </w:pPr>
            <w:r>
              <w:rPr>
                <w:rFonts w:hint="eastAsia"/>
              </w:rPr>
              <w:t>3</w:t>
            </w:r>
          </w:p>
        </w:tc>
        <w:tc>
          <w:tcPr>
            <w:tcW w:w="751" w:type="pct"/>
            <w:vAlign w:val="center"/>
          </w:tcPr>
          <w:p w14:paraId="12B67FA4">
            <w:pPr>
              <w:pStyle w:val="196"/>
            </w:pPr>
            <w:r>
              <w:rPr>
                <w:rFonts w:hint="eastAsia"/>
              </w:rPr>
              <w:t>噪声</w:t>
            </w:r>
          </w:p>
        </w:tc>
        <w:tc>
          <w:tcPr>
            <w:tcW w:w="2583" w:type="pct"/>
            <w:vAlign w:val="center"/>
          </w:tcPr>
          <w:p w14:paraId="7E4B7B5C">
            <w:pPr>
              <w:pStyle w:val="196"/>
            </w:pPr>
            <w:r>
              <w:rPr>
                <w:rFonts w:hint="eastAsia"/>
              </w:rPr>
              <w:t>加强各种机械设备的维修保养；控制作业时间，尽量避免夜间施工等</w:t>
            </w:r>
          </w:p>
        </w:tc>
        <w:tc>
          <w:tcPr>
            <w:tcW w:w="1248" w:type="pct"/>
            <w:vAlign w:val="center"/>
          </w:tcPr>
          <w:p w14:paraId="30C86EE2">
            <w:pPr>
              <w:pStyle w:val="196"/>
            </w:pPr>
            <w:r>
              <w:rPr>
                <w:rFonts w:hint="eastAsia"/>
              </w:rPr>
              <w:t>地方生态环境部门</w:t>
            </w:r>
          </w:p>
        </w:tc>
      </w:tr>
      <w:tr w14:paraId="4465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43EA7C95">
            <w:pPr>
              <w:pStyle w:val="196"/>
            </w:pPr>
            <w:r>
              <w:rPr>
                <w:rFonts w:hint="eastAsia"/>
              </w:rPr>
              <w:t>4</w:t>
            </w:r>
          </w:p>
        </w:tc>
        <w:tc>
          <w:tcPr>
            <w:tcW w:w="751" w:type="pct"/>
            <w:vAlign w:val="center"/>
          </w:tcPr>
          <w:p w14:paraId="15BA4642">
            <w:pPr>
              <w:pStyle w:val="196"/>
            </w:pPr>
            <w:r>
              <w:rPr>
                <w:rFonts w:hint="eastAsia"/>
              </w:rPr>
              <w:t>固废</w:t>
            </w:r>
          </w:p>
        </w:tc>
        <w:tc>
          <w:tcPr>
            <w:tcW w:w="2583" w:type="pct"/>
            <w:vAlign w:val="center"/>
          </w:tcPr>
          <w:p w14:paraId="26261B8F">
            <w:pPr>
              <w:pStyle w:val="196"/>
            </w:pPr>
            <w:r>
              <w:rPr>
                <w:rFonts w:hint="eastAsia"/>
              </w:rPr>
              <w:t>施工固体废物集中收集等</w:t>
            </w:r>
          </w:p>
        </w:tc>
        <w:tc>
          <w:tcPr>
            <w:tcW w:w="1248" w:type="pct"/>
            <w:vAlign w:val="center"/>
          </w:tcPr>
          <w:p w14:paraId="1EFBFEAA">
            <w:pPr>
              <w:pStyle w:val="196"/>
            </w:pPr>
            <w:r>
              <w:rPr>
                <w:rFonts w:hint="eastAsia"/>
              </w:rPr>
              <w:t>地方生态环境部门</w:t>
            </w:r>
          </w:p>
        </w:tc>
      </w:tr>
      <w:tr w14:paraId="03D0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04BA62B0">
            <w:pPr>
              <w:pStyle w:val="196"/>
            </w:pPr>
            <w:r>
              <w:rPr>
                <w:rFonts w:hint="eastAsia"/>
              </w:rPr>
              <w:t>5</w:t>
            </w:r>
          </w:p>
        </w:tc>
        <w:tc>
          <w:tcPr>
            <w:tcW w:w="751" w:type="pct"/>
            <w:vAlign w:val="center"/>
          </w:tcPr>
          <w:p w14:paraId="7D689C40">
            <w:pPr>
              <w:pStyle w:val="196"/>
            </w:pPr>
            <w:r>
              <w:rPr>
                <w:rFonts w:hint="eastAsia"/>
              </w:rPr>
              <w:t>生态</w:t>
            </w:r>
          </w:p>
        </w:tc>
        <w:tc>
          <w:tcPr>
            <w:tcW w:w="2583" w:type="pct"/>
            <w:vAlign w:val="center"/>
          </w:tcPr>
          <w:p w14:paraId="313F4ACC">
            <w:pPr>
              <w:pStyle w:val="196"/>
            </w:pPr>
            <w:r>
              <w:rPr>
                <w:rFonts w:hint="eastAsia"/>
              </w:rPr>
              <w:t>植物群落变化、生境质量变化</w:t>
            </w:r>
          </w:p>
        </w:tc>
        <w:tc>
          <w:tcPr>
            <w:tcW w:w="1248" w:type="pct"/>
            <w:vAlign w:val="center"/>
          </w:tcPr>
          <w:p w14:paraId="64253E36">
            <w:pPr>
              <w:pStyle w:val="196"/>
            </w:pPr>
            <w:r>
              <w:rPr>
                <w:rFonts w:hint="eastAsia"/>
              </w:rPr>
              <w:t>地方生态环境部门</w:t>
            </w:r>
          </w:p>
        </w:tc>
      </w:tr>
    </w:tbl>
    <w:p w14:paraId="73354AA0">
      <w:pPr>
        <w:pStyle w:val="82"/>
      </w:pPr>
      <w:r>
        <w:rPr>
          <w:rFonts w:hint="eastAsia"/>
        </w:rPr>
        <w:t>营运期环境管理计划</w:t>
      </w:r>
    </w:p>
    <w:p w14:paraId="5E7CCEC4">
      <w:pPr>
        <w:pStyle w:val="86"/>
      </w:pPr>
      <w:r>
        <w:rPr>
          <w:rFonts w:hint="eastAsia"/>
        </w:rPr>
        <w:t>营运期环境管理计划</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279"/>
        <w:gridCol w:w="5288"/>
        <w:gridCol w:w="1240"/>
      </w:tblGrid>
      <w:tr w14:paraId="575AD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16" w:type="pct"/>
            <w:vAlign w:val="center"/>
          </w:tcPr>
          <w:p w14:paraId="75150BBE">
            <w:pPr>
              <w:pStyle w:val="196"/>
            </w:pPr>
            <w:r>
              <w:rPr>
                <w:rFonts w:hint="eastAsia"/>
              </w:rPr>
              <w:t>序号</w:t>
            </w:r>
          </w:p>
        </w:tc>
        <w:tc>
          <w:tcPr>
            <w:tcW w:w="751" w:type="pct"/>
            <w:vAlign w:val="center"/>
          </w:tcPr>
          <w:p w14:paraId="4370705C">
            <w:pPr>
              <w:pStyle w:val="196"/>
            </w:pPr>
            <w:r>
              <w:rPr>
                <w:rFonts w:hint="eastAsia"/>
              </w:rPr>
              <w:t>项目</w:t>
            </w:r>
          </w:p>
        </w:tc>
        <w:tc>
          <w:tcPr>
            <w:tcW w:w="3105" w:type="pct"/>
            <w:vAlign w:val="center"/>
          </w:tcPr>
          <w:p w14:paraId="4B934879">
            <w:pPr>
              <w:pStyle w:val="196"/>
            </w:pPr>
            <w:r>
              <w:rPr>
                <w:rFonts w:hint="eastAsia"/>
              </w:rPr>
              <w:t>监督内容</w:t>
            </w:r>
          </w:p>
        </w:tc>
        <w:tc>
          <w:tcPr>
            <w:tcW w:w="728" w:type="pct"/>
            <w:vAlign w:val="center"/>
          </w:tcPr>
          <w:p w14:paraId="6C5015A2">
            <w:pPr>
              <w:pStyle w:val="196"/>
            </w:pPr>
            <w:r>
              <w:rPr>
                <w:rFonts w:hint="eastAsia"/>
              </w:rPr>
              <w:t>监督单位</w:t>
            </w:r>
          </w:p>
        </w:tc>
      </w:tr>
      <w:tr w14:paraId="2E074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526616C9">
            <w:pPr>
              <w:pStyle w:val="196"/>
            </w:pPr>
            <w:r>
              <w:rPr>
                <w:rFonts w:hint="eastAsia"/>
              </w:rPr>
              <w:t>1</w:t>
            </w:r>
          </w:p>
        </w:tc>
        <w:tc>
          <w:tcPr>
            <w:tcW w:w="751" w:type="pct"/>
            <w:vAlign w:val="center"/>
          </w:tcPr>
          <w:p w14:paraId="3184F822">
            <w:pPr>
              <w:pStyle w:val="196"/>
            </w:pPr>
            <w:r>
              <w:rPr>
                <w:rFonts w:hint="eastAsia"/>
              </w:rPr>
              <w:t>废气</w:t>
            </w:r>
          </w:p>
        </w:tc>
        <w:tc>
          <w:tcPr>
            <w:tcW w:w="3105" w:type="pct"/>
            <w:vAlign w:val="center"/>
          </w:tcPr>
          <w:p w14:paraId="55300565">
            <w:pPr>
              <w:pStyle w:val="196"/>
            </w:pPr>
            <w:r>
              <w:rPr>
                <w:rFonts w:hint="eastAsia"/>
              </w:rPr>
              <w:t>配备洒水车，对道路面进行洒水抑尘；装卸船皮带头部密闭，装卸区域配备雾炮机、厂区边界设置围墙，防护林等</w:t>
            </w:r>
          </w:p>
        </w:tc>
        <w:tc>
          <w:tcPr>
            <w:tcW w:w="728" w:type="pct"/>
            <w:vMerge w:val="restart"/>
            <w:vAlign w:val="center"/>
          </w:tcPr>
          <w:p w14:paraId="2E4BD3C0">
            <w:pPr>
              <w:pStyle w:val="196"/>
            </w:pPr>
            <w:r>
              <w:rPr>
                <w:rFonts w:hint="eastAsia"/>
              </w:rPr>
              <w:t>地方生态环境部门</w:t>
            </w:r>
          </w:p>
        </w:tc>
      </w:tr>
      <w:tr w14:paraId="579A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6762A994">
            <w:pPr>
              <w:pStyle w:val="196"/>
            </w:pPr>
            <w:r>
              <w:rPr>
                <w:rFonts w:hint="eastAsia"/>
              </w:rPr>
              <w:t>2</w:t>
            </w:r>
          </w:p>
        </w:tc>
        <w:tc>
          <w:tcPr>
            <w:tcW w:w="751" w:type="pct"/>
            <w:vAlign w:val="center"/>
          </w:tcPr>
          <w:p w14:paraId="4F108016">
            <w:pPr>
              <w:pStyle w:val="196"/>
            </w:pPr>
            <w:r>
              <w:rPr>
                <w:rFonts w:hint="eastAsia"/>
              </w:rPr>
              <w:t>废水</w:t>
            </w:r>
          </w:p>
        </w:tc>
        <w:tc>
          <w:tcPr>
            <w:tcW w:w="3105" w:type="pct"/>
            <w:vAlign w:val="center"/>
          </w:tcPr>
          <w:p w14:paraId="470EA65B">
            <w:pPr>
              <w:pStyle w:val="196"/>
            </w:pPr>
            <w:r>
              <w:rPr>
                <w:rFonts w:hint="eastAsia"/>
              </w:rPr>
              <w:t>本项目船舶舱底油污水由码头前沿接收装置收集，用不锈钢水箱作为船舶含油污水收集容器，配备自吸排污泵，标准法兰盘以及铜丝软管收集船舶含油污水。水箱盛满后，委托有资质单位处置；船舶生活污水经岸上接收装置接收后接管至国能涟水一期热电联产项目污水处理厂处理；陆域生活污水接管至国能涟水一期热电联产项目污水处理厂处理；码头初期雨水经排水沟收集后汇入</w:t>
            </w:r>
            <w:r>
              <w:rPr>
                <w:rFonts w:hint="eastAsia"/>
                <w:lang w:eastAsia="zh-CN"/>
              </w:rPr>
              <w:t>码头</w:t>
            </w:r>
            <w:r>
              <w:rPr>
                <w:rFonts w:hint="eastAsia"/>
              </w:rPr>
              <w:t>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w:t>
            </w:r>
          </w:p>
        </w:tc>
        <w:tc>
          <w:tcPr>
            <w:tcW w:w="728" w:type="pct"/>
            <w:vMerge w:val="continue"/>
            <w:vAlign w:val="center"/>
          </w:tcPr>
          <w:p w14:paraId="1810CD26">
            <w:pPr>
              <w:pStyle w:val="196"/>
            </w:pPr>
          </w:p>
        </w:tc>
      </w:tr>
      <w:tr w14:paraId="24CB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6CAA122D">
            <w:pPr>
              <w:pStyle w:val="196"/>
            </w:pPr>
            <w:r>
              <w:rPr>
                <w:rFonts w:hint="eastAsia"/>
              </w:rPr>
              <w:t>3</w:t>
            </w:r>
          </w:p>
        </w:tc>
        <w:tc>
          <w:tcPr>
            <w:tcW w:w="751" w:type="pct"/>
            <w:vAlign w:val="center"/>
          </w:tcPr>
          <w:p w14:paraId="5388482D">
            <w:pPr>
              <w:pStyle w:val="196"/>
            </w:pPr>
            <w:r>
              <w:rPr>
                <w:rFonts w:hint="eastAsia"/>
              </w:rPr>
              <w:t>噪声</w:t>
            </w:r>
          </w:p>
        </w:tc>
        <w:tc>
          <w:tcPr>
            <w:tcW w:w="3105" w:type="pct"/>
            <w:vAlign w:val="center"/>
          </w:tcPr>
          <w:p w14:paraId="2E45BBB1">
            <w:pPr>
              <w:pStyle w:val="196"/>
            </w:pPr>
            <w:r>
              <w:rPr>
                <w:rFonts w:hint="eastAsia"/>
              </w:rPr>
              <w:t>机械设备定期保养和维护；安装减震垫等</w:t>
            </w:r>
          </w:p>
        </w:tc>
        <w:tc>
          <w:tcPr>
            <w:tcW w:w="728" w:type="pct"/>
            <w:vMerge w:val="continue"/>
            <w:vAlign w:val="center"/>
          </w:tcPr>
          <w:p w14:paraId="443E4ADE">
            <w:pPr>
              <w:pStyle w:val="196"/>
            </w:pPr>
          </w:p>
        </w:tc>
      </w:tr>
      <w:tr w14:paraId="5C4B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1D5CB060">
            <w:pPr>
              <w:pStyle w:val="196"/>
            </w:pPr>
            <w:r>
              <w:rPr>
                <w:rFonts w:hint="eastAsia"/>
              </w:rPr>
              <w:t>4</w:t>
            </w:r>
          </w:p>
        </w:tc>
        <w:tc>
          <w:tcPr>
            <w:tcW w:w="751" w:type="pct"/>
            <w:vAlign w:val="center"/>
          </w:tcPr>
          <w:p w14:paraId="07E70BC0">
            <w:pPr>
              <w:pStyle w:val="196"/>
            </w:pPr>
            <w:r>
              <w:rPr>
                <w:rFonts w:hint="eastAsia"/>
              </w:rPr>
              <w:t>固废</w:t>
            </w:r>
          </w:p>
        </w:tc>
        <w:tc>
          <w:tcPr>
            <w:tcW w:w="3105" w:type="pct"/>
            <w:vAlign w:val="center"/>
          </w:tcPr>
          <w:p w14:paraId="45BA730E">
            <w:pPr>
              <w:pStyle w:val="196"/>
            </w:pPr>
            <w:r>
              <w:rPr>
                <w:rFonts w:hint="eastAsia"/>
              </w:rPr>
              <w:t>分类处理收集，危险废物交由资质单位处理处置。</w:t>
            </w:r>
          </w:p>
        </w:tc>
        <w:tc>
          <w:tcPr>
            <w:tcW w:w="728" w:type="pct"/>
            <w:vMerge w:val="continue"/>
            <w:vAlign w:val="center"/>
          </w:tcPr>
          <w:p w14:paraId="1CDCC3AB">
            <w:pPr>
              <w:pStyle w:val="196"/>
            </w:pPr>
          </w:p>
        </w:tc>
      </w:tr>
      <w:tr w14:paraId="491C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 w:type="pct"/>
            <w:vAlign w:val="center"/>
          </w:tcPr>
          <w:p w14:paraId="4CFB46BE">
            <w:pPr>
              <w:pStyle w:val="196"/>
            </w:pPr>
            <w:r>
              <w:rPr>
                <w:rFonts w:hint="eastAsia"/>
              </w:rPr>
              <w:t>5</w:t>
            </w:r>
          </w:p>
        </w:tc>
        <w:tc>
          <w:tcPr>
            <w:tcW w:w="751" w:type="pct"/>
            <w:vAlign w:val="center"/>
          </w:tcPr>
          <w:p w14:paraId="5ED5BF96">
            <w:pPr>
              <w:pStyle w:val="196"/>
            </w:pPr>
            <w:r>
              <w:rPr>
                <w:rFonts w:hint="eastAsia"/>
              </w:rPr>
              <w:t>生态</w:t>
            </w:r>
          </w:p>
        </w:tc>
        <w:tc>
          <w:tcPr>
            <w:tcW w:w="3105" w:type="pct"/>
            <w:vAlign w:val="center"/>
          </w:tcPr>
          <w:p w14:paraId="4923D228">
            <w:pPr>
              <w:pStyle w:val="196"/>
            </w:pPr>
            <w:r>
              <w:rPr>
                <w:rFonts w:hint="eastAsia"/>
              </w:rPr>
              <w:t>群落变化、生境质量变化</w:t>
            </w:r>
          </w:p>
        </w:tc>
        <w:tc>
          <w:tcPr>
            <w:tcW w:w="728" w:type="pct"/>
            <w:vMerge w:val="continue"/>
            <w:vAlign w:val="center"/>
          </w:tcPr>
          <w:p w14:paraId="7E421B40">
            <w:pPr>
              <w:pStyle w:val="196"/>
            </w:pPr>
          </w:p>
        </w:tc>
      </w:tr>
    </w:tbl>
    <w:p w14:paraId="1C8B3640">
      <w:pPr>
        <w:ind w:firstLine="482"/>
        <w:rPr>
          <w:b/>
          <w:bCs/>
        </w:rPr>
        <w:sectPr>
          <w:pgSz w:w="11905" w:h="16838"/>
          <w:pgMar w:top="1440" w:right="1800" w:bottom="1440" w:left="1800" w:header="851" w:footer="992" w:gutter="0"/>
          <w:cols w:space="720" w:num="1"/>
          <w:docGrid w:type="lines" w:linePitch="332" w:charSpace="0"/>
        </w:sectPr>
      </w:pPr>
    </w:p>
    <w:p w14:paraId="07503C11">
      <w:pPr>
        <w:pStyle w:val="82"/>
      </w:pPr>
      <w:r>
        <w:rPr>
          <w:rFonts w:hint="eastAsia"/>
        </w:rPr>
        <w:t>污染物排放清单</w:t>
      </w:r>
    </w:p>
    <w:p w14:paraId="2C1D1518">
      <w:pPr>
        <w:pStyle w:val="86"/>
      </w:pPr>
      <w:r>
        <w:rPr>
          <w:rFonts w:hint="eastAsia"/>
        </w:rPr>
        <w:t>本项目主要污染物排放清单</w:t>
      </w:r>
    </w:p>
    <w:tbl>
      <w:tblPr>
        <w:tblStyle w:val="38"/>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133"/>
        <w:gridCol w:w="1981"/>
        <w:gridCol w:w="1413"/>
        <w:gridCol w:w="571"/>
        <w:gridCol w:w="1285"/>
        <w:gridCol w:w="1130"/>
        <w:gridCol w:w="992"/>
        <w:gridCol w:w="834"/>
        <w:gridCol w:w="942"/>
        <w:gridCol w:w="1199"/>
        <w:gridCol w:w="1308"/>
      </w:tblGrid>
      <w:tr w14:paraId="40F0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blHeader/>
        </w:trPr>
        <w:tc>
          <w:tcPr>
            <w:tcW w:w="667" w:type="dxa"/>
            <w:vMerge w:val="restart"/>
            <w:vAlign w:val="center"/>
          </w:tcPr>
          <w:p w14:paraId="72BF070B">
            <w:pPr>
              <w:pStyle w:val="196"/>
              <w:rPr>
                <w:b/>
                <w:bCs/>
              </w:rPr>
            </w:pPr>
            <w:r>
              <w:rPr>
                <w:rFonts w:hint="eastAsia"/>
                <w:b/>
                <w:bCs/>
              </w:rPr>
              <w:t>污染物类别</w:t>
            </w:r>
          </w:p>
        </w:tc>
        <w:tc>
          <w:tcPr>
            <w:tcW w:w="1114" w:type="dxa"/>
            <w:vMerge w:val="restart"/>
            <w:vAlign w:val="center"/>
          </w:tcPr>
          <w:p w14:paraId="257E1C38">
            <w:pPr>
              <w:pStyle w:val="196"/>
              <w:rPr>
                <w:b/>
                <w:bCs/>
              </w:rPr>
            </w:pPr>
            <w:r>
              <w:rPr>
                <w:rFonts w:hint="eastAsia"/>
                <w:b/>
                <w:bCs/>
              </w:rPr>
              <w:t>生产工序</w:t>
            </w:r>
          </w:p>
        </w:tc>
        <w:tc>
          <w:tcPr>
            <w:tcW w:w="1948" w:type="dxa"/>
            <w:vMerge w:val="restart"/>
            <w:vAlign w:val="center"/>
          </w:tcPr>
          <w:p w14:paraId="720D677C">
            <w:pPr>
              <w:pStyle w:val="196"/>
              <w:rPr>
                <w:b/>
                <w:bCs/>
              </w:rPr>
            </w:pPr>
            <w:r>
              <w:rPr>
                <w:rFonts w:hint="eastAsia"/>
                <w:b/>
                <w:bCs/>
              </w:rPr>
              <w:t>污染源名称</w:t>
            </w:r>
          </w:p>
        </w:tc>
        <w:tc>
          <w:tcPr>
            <w:tcW w:w="1389" w:type="dxa"/>
            <w:vMerge w:val="restart"/>
            <w:vAlign w:val="center"/>
          </w:tcPr>
          <w:p w14:paraId="0747E368">
            <w:pPr>
              <w:pStyle w:val="196"/>
              <w:rPr>
                <w:b/>
                <w:bCs/>
              </w:rPr>
            </w:pPr>
            <w:r>
              <w:rPr>
                <w:rFonts w:hint="eastAsia"/>
                <w:b/>
                <w:bCs/>
              </w:rPr>
              <w:t>治理措施</w:t>
            </w:r>
          </w:p>
        </w:tc>
        <w:tc>
          <w:tcPr>
            <w:tcW w:w="1824" w:type="dxa"/>
            <w:gridSpan w:val="2"/>
            <w:vAlign w:val="center"/>
          </w:tcPr>
          <w:p w14:paraId="6BEBBADC">
            <w:pPr>
              <w:pStyle w:val="196"/>
              <w:rPr>
                <w:b/>
                <w:bCs/>
              </w:rPr>
            </w:pPr>
            <w:r>
              <w:rPr>
                <w:rFonts w:hint="eastAsia"/>
                <w:b/>
                <w:bCs/>
              </w:rPr>
              <w:t>排污口信息</w:t>
            </w:r>
          </w:p>
        </w:tc>
        <w:tc>
          <w:tcPr>
            <w:tcW w:w="3832" w:type="dxa"/>
            <w:gridSpan w:val="4"/>
            <w:vAlign w:val="center"/>
          </w:tcPr>
          <w:p w14:paraId="4D6C7EF6">
            <w:pPr>
              <w:pStyle w:val="196"/>
              <w:rPr>
                <w:b/>
                <w:bCs/>
              </w:rPr>
            </w:pPr>
            <w:r>
              <w:rPr>
                <w:rFonts w:hint="eastAsia"/>
                <w:b/>
                <w:bCs/>
              </w:rPr>
              <w:t>排放状况</w:t>
            </w:r>
          </w:p>
        </w:tc>
        <w:tc>
          <w:tcPr>
            <w:tcW w:w="2465" w:type="dxa"/>
            <w:gridSpan w:val="2"/>
            <w:vAlign w:val="center"/>
          </w:tcPr>
          <w:p w14:paraId="564F72B7">
            <w:pPr>
              <w:pStyle w:val="196"/>
              <w:rPr>
                <w:b/>
                <w:bCs/>
              </w:rPr>
            </w:pPr>
            <w:r>
              <w:rPr>
                <w:rFonts w:hint="eastAsia"/>
                <w:b/>
                <w:bCs/>
              </w:rPr>
              <w:t>执行标准</w:t>
            </w:r>
          </w:p>
        </w:tc>
      </w:tr>
      <w:tr w14:paraId="5955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trPr>
        <w:tc>
          <w:tcPr>
            <w:tcW w:w="667" w:type="dxa"/>
            <w:vMerge w:val="continue"/>
            <w:vAlign w:val="center"/>
          </w:tcPr>
          <w:p w14:paraId="6EB713CB">
            <w:pPr>
              <w:pStyle w:val="196"/>
              <w:rPr>
                <w:b/>
                <w:bCs/>
              </w:rPr>
            </w:pPr>
          </w:p>
        </w:tc>
        <w:tc>
          <w:tcPr>
            <w:tcW w:w="1114" w:type="dxa"/>
            <w:vMerge w:val="continue"/>
            <w:vAlign w:val="center"/>
          </w:tcPr>
          <w:p w14:paraId="007F3941">
            <w:pPr>
              <w:pStyle w:val="196"/>
              <w:rPr>
                <w:b/>
                <w:bCs/>
              </w:rPr>
            </w:pPr>
          </w:p>
        </w:tc>
        <w:tc>
          <w:tcPr>
            <w:tcW w:w="1948" w:type="dxa"/>
            <w:vMerge w:val="continue"/>
            <w:vAlign w:val="center"/>
          </w:tcPr>
          <w:p w14:paraId="2BC4124F">
            <w:pPr>
              <w:pStyle w:val="196"/>
              <w:rPr>
                <w:b/>
                <w:bCs/>
              </w:rPr>
            </w:pPr>
          </w:p>
        </w:tc>
        <w:tc>
          <w:tcPr>
            <w:tcW w:w="1389" w:type="dxa"/>
            <w:vMerge w:val="continue"/>
            <w:vAlign w:val="center"/>
          </w:tcPr>
          <w:p w14:paraId="1BFF342C">
            <w:pPr>
              <w:pStyle w:val="196"/>
              <w:rPr>
                <w:b/>
                <w:bCs/>
              </w:rPr>
            </w:pPr>
          </w:p>
        </w:tc>
        <w:tc>
          <w:tcPr>
            <w:tcW w:w="1824" w:type="dxa"/>
            <w:gridSpan w:val="2"/>
            <w:vAlign w:val="center"/>
          </w:tcPr>
          <w:p w14:paraId="2881484D">
            <w:pPr>
              <w:pStyle w:val="196"/>
              <w:rPr>
                <w:b/>
                <w:bCs/>
              </w:rPr>
            </w:pPr>
            <w:r>
              <w:rPr>
                <w:rFonts w:hint="eastAsia"/>
                <w:b/>
                <w:bCs/>
              </w:rPr>
              <w:t>排污口参数</w:t>
            </w:r>
          </w:p>
        </w:tc>
        <w:tc>
          <w:tcPr>
            <w:tcW w:w="1111" w:type="dxa"/>
            <w:vAlign w:val="center"/>
          </w:tcPr>
          <w:p w14:paraId="02BF78AC">
            <w:pPr>
              <w:pStyle w:val="196"/>
              <w:rPr>
                <w:b/>
                <w:bCs/>
              </w:rPr>
            </w:pPr>
            <w:r>
              <w:rPr>
                <w:rFonts w:hint="eastAsia"/>
                <w:b/>
                <w:bCs/>
              </w:rPr>
              <w:t>浓度mg/m</w:t>
            </w:r>
            <w:r>
              <w:rPr>
                <w:rFonts w:hint="eastAsia"/>
                <w:b/>
                <w:bCs/>
                <w:vertAlign w:val="superscript"/>
              </w:rPr>
              <w:t>3</w:t>
            </w:r>
          </w:p>
        </w:tc>
        <w:tc>
          <w:tcPr>
            <w:tcW w:w="975" w:type="dxa"/>
            <w:vAlign w:val="center"/>
          </w:tcPr>
          <w:p w14:paraId="06850D48">
            <w:pPr>
              <w:pStyle w:val="196"/>
              <w:rPr>
                <w:b/>
                <w:bCs/>
              </w:rPr>
            </w:pPr>
            <w:r>
              <w:rPr>
                <w:rFonts w:hint="eastAsia"/>
                <w:b/>
                <w:bCs/>
              </w:rPr>
              <w:t>速率kg/h</w:t>
            </w:r>
          </w:p>
        </w:tc>
        <w:tc>
          <w:tcPr>
            <w:tcW w:w="820" w:type="dxa"/>
            <w:vAlign w:val="center"/>
          </w:tcPr>
          <w:p w14:paraId="395B3420">
            <w:pPr>
              <w:pStyle w:val="196"/>
              <w:rPr>
                <w:b/>
                <w:bCs/>
              </w:rPr>
            </w:pPr>
            <w:r>
              <w:rPr>
                <w:rFonts w:hint="eastAsia"/>
                <w:b/>
                <w:bCs/>
              </w:rPr>
              <w:t>排放量t/a</w:t>
            </w:r>
          </w:p>
        </w:tc>
        <w:tc>
          <w:tcPr>
            <w:tcW w:w="926" w:type="dxa"/>
            <w:vAlign w:val="center"/>
          </w:tcPr>
          <w:p w14:paraId="7AEB81D9">
            <w:pPr>
              <w:pStyle w:val="196"/>
              <w:rPr>
                <w:b/>
                <w:bCs/>
              </w:rPr>
            </w:pPr>
            <w:r>
              <w:rPr>
                <w:rFonts w:hint="eastAsia"/>
                <w:b/>
                <w:bCs/>
              </w:rPr>
              <w:t>排放方式</w:t>
            </w:r>
          </w:p>
        </w:tc>
        <w:tc>
          <w:tcPr>
            <w:tcW w:w="2465" w:type="dxa"/>
            <w:gridSpan w:val="2"/>
            <w:vAlign w:val="center"/>
          </w:tcPr>
          <w:p w14:paraId="37E14D0E">
            <w:pPr>
              <w:pStyle w:val="196"/>
              <w:rPr>
                <w:b/>
                <w:bCs/>
              </w:rPr>
            </w:pPr>
            <w:r>
              <w:rPr>
                <w:rFonts w:hint="eastAsia"/>
                <w:b/>
                <w:bCs/>
              </w:rPr>
              <w:t>-</w:t>
            </w:r>
          </w:p>
        </w:tc>
      </w:tr>
      <w:tr w14:paraId="66839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7" w:type="dxa"/>
            <w:vMerge w:val="restart"/>
            <w:vAlign w:val="center"/>
          </w:tcPr>
          <w:p w14:paraId="4FE1396D">
            <w:pPr>
              <w:pStyle w:val="196"/>
            </w:pPr>
            <w:r>
              <w:rPr>
                <w:rFonts w:hint="eastAsia"/>
              </w:rPr>
              <w:t>无组织废气</w:t>
            </w:r>
          </w:p>
        </w:tc>
        <w:tc>
          <w:tcPr>
            <w:tcW w:w="1114" w:type="dxa"/>
            <w:vAlign w:val="center"/>
          </w:tcPr>
          <w:p w14:paraId="0E64DEE5">
            <w:pPr>
              <w:pStyle w:val="196"/>
            </w:pPr>
            <w:r>
              <w:rPr>
                <w:rFonts w:hint="eastAsia"/>
              </w:rPr>
              <w:t>卸料扬尘</w:t>
            </w:r>
          </w:p>
        </w:tc>
        <w:tc>
          <w:tcPr>
            <w:tcW w:w="1948" w:type="dxa"/>
            <w:vAlign w:val="center"/>
          </w:tcPr>
          <w:p w14:paraId="4EC7B7EE">
            <w:pPr>
              <w:pStyle w:val="196"/>
            </w:pPr>
            <w:r>
              <w:rPr>
                <w:rFonts w:hint="eastAsia"/>
              </w:rPr>
              <w:t>TSP</w:t>
            </w:r>
          </w:p>
        </w:tc>
        <w:tc>
          <w:tcPr>
            <w:tcW w:w="1389" w:type="dxa"/>
            <w:vAlign w:val="center"/>
          </w:tcPr>
          <w:p w14:paraId="5EE7FCE7">
            <w:pPr>
              <w:pStyle w:val="196"/>
            </w:pPr>
            <w:r>
              <w:rPr>
                <w:rFonts w:hint="eastAsia"/>
              </w:rPr>
              <w:t>/</w:t>
            </w:r>
          </w:p>
        </w:tc>
        <w:tc>
          <w:tcPr>
            <w:tcW w:w="1824" w:type="dxa"/>
            <w:gridSpan w:val="2"/>
            <w:vAlign w:val="center"/>
          </w:tcPr>
          <w:p w14:paraId="04DE02C9">
            <w:pPr>
              <w:pStyle w:val="196"/>
            </w:pPr>
            <w:r>
              <w:rPr>
                <w:rFonts w:hint="eastAsia"/>
              </w:rPr>
              <w:t>/</w:t>
            </w:r>
          </w:p>
        </w:tc>
        <w:tc>
          <w:tcPr>
            <w:tcW w:w="1111" w:type="dxa"/>
            <w:vAlign w:val="center"/>
          </w:tcPr>
          <w:p w14:paraId="541D9CD4">
            <w:pPr>
              <w:pStyle w:val="196"/>
            </w:pPr>
            <w:r>
              <w:rPr>
                <w:rFonts w:hint="eastAsia"/>
              </w:rPr>
              <w:t>/</w:t>
            </w:r>
          </w:p>
        </w:tc>
        <w:tc>
          <w:tcPr>
            <w:tcW w:w="975" w:type="dxa"/>
            <w:vAlign w:val="center"/>
          </w:tcPr>
          <w:p w14:paraId="0F16599E">
            <w:pPr>
              <w:pStyle w:val="196"/>
            </w:pPr>
            <w:r>
              <w:t>1.022</w:t>
            </w:r>
          </w:p>
        </w:tc>
        <w:tc>
          <w:tcPr>
            <w:tcW w:w="820" w:type="dxa"/>
            <w:vAlign w:val="center"/>
          </w:tcPr>
          <w:p w14:paraId="6778CBC0">
            <w:pPr>
              <w:pStyle w:val="196"/>
            </w:pPr>
            <w:r>
              <w:t>3.715</w:t>
            </w:r>
          </w:p>
        </w:tc>
        <w:tc>
          <w:tcPr>
            <w:tcW w:w="926" w:type="dxa"/>
            <w:vMerge w:val="restart"/>
            <w:vAlign w:val="center"/>
          </w:tcPr>
          <w:p w14:paraId="202D7E49">
            <w:pPr>
              <w:pStyle w:val="196"/>
            </w:pPr>
            <w:r>
              <w:rPr>
                <w:rFonts w:hint="eastAsia"/>
              </w:rPr>
              <w:t>间断</w:t>
            </w:r>
          </w:p>
        </w:tc>
        <w:tc>
          <w:tcPr>
            <w:tcW w:w="1179" w:type="dxa"/>
            <w:vAlign w:val="center"/>
          </w:tcPr>
          <w:p w14:paraId="0C5281D3">
            <w:pPr>
              <w:pStyle w:val="196"/>
            </w:pPr>
            <w:r>
              <w:rPr>
                <w:rFonts w:hint="eastAsia"/>
              </w:rPr>
              <w:t>0.4mg/m</w:t>
            </w:r>
            <w:r>
              <w:rPr>
                <w:rFonts w:hint="eastAsia"/>
                <w:vertAlign w:val="superscript"/>
              </w:rPr>
              <w:t>3</w:t>
            </w:r>
          </w:p>
        </w:tc>
        <w:tc>
          <w:tcPr>
            <w:tcW w:w="1286" w:type="dxa"/>
            <w:vMerge w:val="restart"/>
            <w:vAlign w:val="center"/>
          </w:tcPr>
          <w:p w14:paraId="544B442F">
            <w:pPr>
              <w:pStyle w:val="196"/>
            </w:pPr>
            <w:r>
              <w:rPr>
                <w:rFonts w:hint="eastAsia"/>
              </w:rPr>
              <w:t>《大气污染物综合排放标准》（DB32/4041-2021）表3标准</w:t>
            </w:r>
          </w:p>
        </w:tc>
      </w:tr>
      <w:tr w14:paraId="310F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7" w:type="dxa"/>
            <w:vMerge w:val="continue"/>
            <w:vAlign w:val="center"/>
          </w:tcPr>
          <w:p w14:paraId="6091260F">
            <w:pPr>
              <w:pStyle w:val="196"/>
            </w:pPr>
          </w:p>
        </w:tc>
        <w:tc>
          <w:tcPr>
            <w:tcW w:w="1114" w:type="dxa"/>
            <w:vMerge w:val="restart"/>
            <w:vAlign w:val="center"/>
          </w:tcPr>
          <w:p w14:paraId="3B6DF839">
            <w:pPr>
              <w:pStyle w:val="196"/>
            </w:pPr>
            <w:r>
              <w:rPr>
                <w:rFonts w:hint="eastAsia"/>
              </w:rPr>
              <w:t>车辆和运输机械尾气</w:t>
            </w:r>
          </w:p>
        </w:tc>
        <w:tc>
          <w:tcPr>
            <w:tcW w:w="1948" w:type="dxa"/>
            <w:vAlign w:val="center"/>
          </w:tcPr>
          <w:p w14:paraId="04D87655">
            <w:pPr>
              <w:pStyle w:val="196"/>
            </w:pPr>
            <w:r>
              <w:rPr>
                <w:rFonts w:hint="eastAsia"/>
              </w:rPr>
              <w:t>SO</w:t>
            </w:r>
            <w:r>
              <w:rPr>
                <w:rFonts w:hint="eastAsia"/>
                <w:vertAlign w:val="subscript"/>
              </w:rPr>
              <w:t>2</w:t>
            </w:r>
          </w:p>
        </w:tc>
        <w:tc>
          <w:tcPr>
            <w:tcW w:w="1389" w:type="dxa"/>
            <w:vAlign w:val="center"/>
          </w:tcPr>
          <w:p w14:paraId="7F404343">
            <w:pPr>
              <w:pStyle w:val="196"/>
            </w:pPr>
            <w:r>
              <w:rPr>
                <w:rFonts w:hint="eastAsia"/>
              </w:rPr>
              <w:t>/</w:t>
            </w:r>
          </w:p>
        </w:tc>
        <w:tc>
          <w:tcPr>
            <w:tcW w:w="1824" w:type="dxa"/>
            <w:gridSpan w:val="2"/>
            <w:vAlign w:val="center"/>
          </w:tcPr>
          <w:p w14:paraId="5F615DDE">
            <w:pPr>
              <w:pStyle w:val="196"/>
            </w:pPr>
            <w:r>
              <w:rPr>
                <w:rFonts w:hint="eastAsia"/>
              </w:rPr>
              <w:t>/</w:t>
            </w:r>
          </w:p>
        </w:tc>
        <w:tc>
          <w:tcPr>
            <w:tcW w:w="1111" w:type="dxa"/>
            <w:vAlign w:val="center"/>
          </w:tcPr>
          <w:p w14:paraId="355B09A8">
            <w:pPr>
              <w:pStyle w:val="196"/>
            </w:pPr>
            <w:r>
              <w:rPr>
                <w:rFonts w:hint="eastAsia"/>
              </w:rPr>
              <w:t>/</w:t>
            </w:r>
          </w:p>
        </w:tc>
        <w:tc>
          <w:tcPr>
            <w:tcW w:w="975" w:type="dxa"/>
            <w:vAlign w:val="center"/>
          </w:tcPr>
          <w:p w14:paraId="008E3D1D">
            <w:pPr>
              <w:pStyle w:val="196"/>
            </w:pPr>
            <w:r>
              <w:rPr>
                <w:rFonts w:hint="eastAsia"/>
              </w:rPr>
              <w:t>0.0010</w:t>
            </w:r>
          </w:p>
        </w:tc>
        <w:tc>
          <w:tcPr>
            <w:tcW w:w="820" w:type="dxa"/>
            <w:vAlign w:val="center"/>
          </w:tcPr>
          <w:p w14:paraId="6BCB3529">
            <w:pPr>
              <w:pStyle w:val="196"/>
            </w:pPr>
            <w:r>
              <w:t>0.00056</w:t>
            </w:r>
          </w:p>
        </w:tc>
        <w:tc>
          <w:tcPr>
            <w:tcW w:w="926" w:type="dxa"/>
            <w:vMerge w:val="continue"/>
            <w:vAlign w:val="center"/>
          </w:tcPr>
          <w:p w14:paraId="6DC34580">
            <w:pPr>
              <w:pStyle w:val="196"/>
            </w:pPr>
          </w:p>
        </w:tc>
        <w:tc>
          <w:tcPr>
            <w:tcW w:w="1179" w:type="dxa"/>
            <w:vAlign w:val="center"/>
          </w:tcPr>
          <w:p w14:paraId="774E428C">
            <w:pPr>
              <w:pStyle w:val="196"/>
            </w:pPr>
            <w:r>
              <w:rPr>
                <w:rFonts w:hint="eastAsia"/>
              </w:rPr>
              <w:t>0.4mg/m</w:t>
            </w:r>
            <w:r>
              <w:rPr>
                <w:rFonts w:hint="eastAsia"/>
                <w:vertAlign w:val="superscript"/>
              </w:rPr>
              <w:t>3</w:t>
            </w:r>
          </w:p>
        </w:tc>
        <w:tc>
          <w:tcPr>
            <w:tcW w:w="1286" w:type="dxa"/>
            <w:vMerge w:val="continue"/>
            <w:vAlign w:val="center"/>
          </w:tcPr>
          <w:p w14:paraId="105BE93A">
            <w:pPr>
              <w:pStyle w:val="196"/>
            </w:pPr>
          </w:p>
        </w:tc>
      </w:tr>
      <w:tr w14:paraId="6FD1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7" w:type="dxa"/>
            <w:vMerge w:val="continue"/>
            <w:vAlign w:val="center"/>
          </w:tcPr>
          <w:p w14:paraId="29724B95">
            <w:pPr>
              <w:pStyle w:val="196"/>
            </w:pPr>
          </w:p>
        </w:tc>
        <w:tc>
          <w:tcPr>
            <w:tcW w:w="1114" w:type="dxa"/>
            <w:vMerge w:val="continue"/>
            <w:vAlign w:val="center"/>
          </w:tcPr>
          <w:p w14:paraId="20CA6EC5">
            <w:pPr>
              <w:pStyle w:val="196"/>
            </w:pPr>
          </w:p>
        </w:tc>
        <w:tc>
          <w:tcPr>
            <w:tcW w:w="1948" w:type="dxa"/>
            <w:vAlign w:val="center"/>
          </w:tcPr>
          <w:p w14:paraId="110834AA">
            <w:pPr>
              <w:pStyle w:val="196"/>
            </w:pPr>
            <w:r>
              <w:rPr>
                <w:rFonts w:hint="eastAsia"/>
              </w:rPr>
              <w:t>CO</w:t>
            </w:r>
          </w:p>
        </w:tc>
        <w:tc>
          <w:tcPr>
            <w:tcW w:w="1389" w:type="dxa"/>
            <w:vAlign w:val="center"/>
          </w:tcPr>
          <w:p w14:paraId="02D920F9">
            <w:pPr>
              <w:pStyle w:val="196"/>
            </w:pPr>
            <w:r>
              <w:rPr>
                <w:rFonts w:hint="eastAsia"/>
              </w:rPr>
              <w:t>/</w:t>
            </w:r>
          </w:p>
        </w:tc>
        <w:tc>
          <w:tcPr>
            <w:tcW w:w="1824" w:type="dxa"/>
            <w:gridSpan w:val="2"/>
            <w:vAlign w:val="center"/>
          </w:tcPr>
          <w:p w14:paraId="5ED2A14F">
            <w:pPr>
              <w:pStyle w:val="196"/>
            </w:pPr>
            <w:r>
              <w:rPr>
                <w:rFonts w:hint="eastAsia"/>
              </w:rPr>
              <w:t>/</w:t>
            </w:r>
          </w:p>
        </w:tc>
        <w:tc>
          <w:tcPr>
            <w:tcW w:w="1111" w:type="dxa"/>
            <w:vAlign w:val="center"/>
          </w:tcPr>
          <w:p w14:paraId="51833E06">
            <w:pPr>
              <w:pStyle w:val="196"/>
            </w:pPr>
            <w:r>
              <w:rPr>
                <w:rFonts w:hint="eastAsia"/>
              </w:rPr>
              <w:t>/</w:t>
            </w:r>
          </w:p>
        </w:tc>
        <w:tc>
          <w:tcPr>
            <w:tcW w:w="975" w:type="dxa"/>
            <w:vAlign w:val="center"/>
          </w:tcPr>
          <w:p w14:paraId="32EF535B">
            <w:pPr>
              <w:pStyle w:val="196"/>
            </w:pPr>
            <w:r>
              <w:rPr>
                <w:rFonts w:hint="eastAsia"/>
              </w:rPr>
              <w:t>0.59</w:t>
            </w:r>
          </w:p>
        </w:tc>
        <w:tc>
          <w:tcPr>
            <w:tcW w:w="820" w:type="dxa"/>
            <w:vAlign w:val="center"/>
          </w:tcPr>
          <w:p w14:paraId="225DA878">
            <w:pPr>
              <w:pStyle w:val="196"/>
            </w:pPr>
            <w:r>
              <w:t>0.33</w:t>
            </w:r>
          </w:p>
        </w:tc>
        <w:tc>
          <w:tcPr>
            <w:tcW w:w="926" w:type="dxa"/>
            <w:vMerge w:val="continue"/>
            <w:vAlign w:val="center"/>
          </w:tcPr>
          <w:p w14:paraId="7E14D856">
            <w:pPr>
              <w:pStyle w:val="196"/>
            </w:pPr>
          </w:p>
        </w:tc>
        <w:tc>
          <w:tcPr>
            <w:tcW w:w="1179" w:type="dxa"/>
            <w:vAlign w:val="center"/>
          </w:tcPr>
          <w:p w14:paraId="00BC45CB">
            <w:pPr>
              <w:pStyle w:val="196"/>
            </w:pPr>
            <w:r>
              <w:rPr>
                <w:rFonts w:hint="eastAsia"/>
              </w:rPr>
              <w:t>10mg/m</w:t>
            </w:r>
            <w:r>
              <w:rPr>
                <w:rFonts w:hint="eastAsia"/>
                <w:vertAlign w:val="superscript"/>
              </w:rPr>
              <w:t>3</w:t>
            </w:r>
          </w:p>
        </w:tc>
        <w:tc>
          <w:tcPr>
            <w:tcW w:w="1286" w:type="dxa"/>
            <w:vMerge w:val="continue"/>
            <w:vAlign w:val="center"/>
          </w:tcPr>
          <w:p w14:paraId="51CE3B9C">
            <w:pPr>
              <w:pStyle w:val="196"/>
            </w:pPr>
          </w:p>
        </w:tc>
      </w:tr>
      <w:tr w14:paraId="1EA8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667" w:type="dxa"/>
            <w:vMerge w:val="continue"/>
            <w:vAlign w:val="center"/>
          </w:tcPr>
          <w:p w14:paraId="5BA86979">
            <w:pPr>
              <w:pStyle w:val="196"/>
            </w:pPr>
          </w:p>
        </w:tc>
        <w:tc>
          <w:tcPr>
            <w:tcW w:w="1114" w:type="dxa"/>
            <w:vMerge w:val="continue"/>
            <w:vAlign w:val="center"/>
          </w:tcPr>
          <w:p w14:paraId="66E31FE5">
            <w:pPr>
              <w:pStyle w:val="196"/>
            </w:pPr>
          </w:p>
        </w:tc>
        <w:tc>
          <w:tcPr>
            <w:tcW w:w="1948" w:type="dxa"/>
            <w:vAlign w:val="center"/>
          </w:tcPr>
          <w:p w14:paraId="324B8556">
            <w:pPr>
              <w:pStyle w:val="196"/>
            </w:pPr>
            <w:r>
              <w:rPr>
                <w:rFonts w:hint="eastAsia"/>
              </w:rPr>
              <w:t>NO</w:t>
            </w:r>
            <w:r>
              <w:rPr>
                <w:rFonts w:hint="eastAsia"/>
                <w:vertAlign w:val="subscript"/>
              </w:rPr>
              <w:t>x</w:t>
            </w:r>
          </w:p>
        </w:tc>
        <w:tc>
          <w:tcPr>
            <w:tcW w:w="1389" w:type="dxa"/>
            <w:vAlign w:val="center"/>
          </w:tcPr>
          <w:p w14:paraId="1646F25C">
            <w:pPr>
              <w:pStyle w:val="196"/>
            </w:pPr>
            <w:r>
              <w:rPr>
                <w:rFonts w:hint="eastAsia"/>
              </w:rPr>
              <w:t>/</w:t>
            </w:r>
          </w:p>
        </w:tc>
        <w:tc>
          <w:tcPr>
            <w:tcW w:w="1824" w:type="dxa"/>
            <w:gridSpan w:val="2"/>
            <w:vAlign w:val="center"/>
          </w:tcPr>
          <w:p w14:paraId="3ACC7D27">
            <w:pPr>
              <w:pStyle w:val="196"/>
            </w:pPr>
            <w:r>
              <w:rPr>
                <w:rFonts w:hint="eastAsia"/>
              </w:rPr>
              <w:t>/</w:t>
            </w:r>
          </w:p>
        </w:tc>
        <w:tc>
          <w:tcPr>
            <w:tcW w:w="1111" w:type="dxa"/>
            <w:vAlign w:val="center"/>
          </w:tcPr>
          <w:p w14:paraId="51EA10D1">
            <w:pPr>
              <w:pStyle w:val="196"/>
            </w:pPr>
            <w:r>
              <w:rPr>
                <w:rFonts w:hint="eastAsia"/>
              </w:rPr>
              <w:t>/</w:t>
            </w:r>
          </w:p>
        </w:tc>
        <w:tc>
          <w:tcPr>
            <w:tcW w:w="975" w:type="dxa"/>
            <w:vAlign w:val="center"/>
          </w:tcPr>
          <w:p w14:paraId="1B93FEFD">
            <w:pPr>
              <w:pStyle w:val="196"/>
            </w:pPr>
            <w:r>
              <w:rPr>
                <w:rFonts w:hint="eastAsia"/>
              </w:rPr>
              <w:t>0.082</w:t>
            </w:r>
          </w:p>
        </w:tc>
        <w:tc>
          <w:tcPr>
            <w:tcW w:w="820" w:type="dxa"/>
            <w:vAlign w:val="center"/>
          </w:tcPr>
          <w:p w14:paraId="17A9FA51">
            <w:pPr>
              <w:pStyle w:val="196"/>
            </w:pPr>
            <w:r>
              <w:t>0.046</w:t>
            </w:r>
          </w:p>
        </w:tc>
        <w:tc>
          <w:tcPr>
            <w:tcW w:w="926" w:type="dxa"/>
            <w:vMerge w:val="continue"/>
            <w:vAlign w:val="center"/>
          </w:tcPr>
          <w:p w14:paraId="6EF4B70F">
            <w:pPr>
              <w:pStyle w:val="196"/>
            </w:pPr>
          </w:p>
        </w:tc>
        <w:tc>
          <w:tcPr>
            <w:tcW w:w="1179" w:type="dxa"/>
            <w:vAlign w:val="center"/>
          </w:tcPr>
          <w:p w14:paraId="3D1FBF26">
            <w:pPr>
              <w:pStyle w:val="196"/>
            </w:pPr>
            <w:r>
              <w:rPr>
                <w:rFonts w:hint="eastAsia"/>
              </w:rPr>
              <w:t>0.12mg/m</w:t>
            </w:r>
            <w:r>
              <w:rPr>
                <w:rFonts w:hint="eastAsia"/>
                <w:vertAlign w:val="superscript"/>
              </w:rPr>
              <w:t>3</w:t>
            </w:r>
          </w:p>
        </w:tc>
        <w:tc>
          <w:tcPr>
            <w:tcW w:w="1286" w:type="dxa"/>
            <w:vMerge w:val="continue"/>
            <w:vAlign w:val="center"/>
          </w:tcPr>
          <w:p w14:paraId="05F4E2A9">
            <w:pPr>
              <w:pStyle w:val="196"/>
            </w:pPr>
          </w:p>
        </w:tc>
      </w:tr>
      <w:tr w14:paraId="752F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667" w:type="dxa"/>
            <w:vMerge w:val="restart"/>
            <w:vAlign w:val="center"/>
          </w:tcPr>
          <w:p w14:paraId="316C8EEB">
            <w:pPr>
              <w:pStyle w:val="196"/>
            </w:pPr>
            <w:r>
              <w:rPr>
                <w:rFonts w:hint="eastAsia"/>
              </w:rPr>
              <w:t>废水</w:t>
            </w:r>
          </w:p>
        </w:tc>
        <w:tc>
          <w:tcPr>
            <w:tcW w:w="1114" w:type="dxa"/>
            <w:vMerge w:val="restart"/>
            <w:vAlign w:val="center"/>
          </w:tcPr>
          <w:p w14:paraId="2CB3AC62">
            <w:pPr>
              <w:pStyle w:val="196"/>
            </w:pPr>
            <w:r>
              <w:rPr>
                <w:rFonts w:hint="eastAsia"/>
              </w:rPr>
              <w:t>综合废水（陆域生活污水、机械冲洗废水、初期雨水、码头地面冲洗水、船舶生活污水、船舶含油污水）</w:t>
            </w:r>
          </w:p>
        </w:tc>
        <w:tc>
          <w:tcPr>
            <w:tcW w:w="1948" w:type="dxa"/>
            <w:vAlign w:val="center"/>
          </w:tcPr>
          <w:p w14:paraId="03E8EB5F">
            <w:pPr>
              <w:pStyle w:val="196"/>
            </w:pPr>
            <w:r>
              <w:rPr>
                <w:rFonts w:hint="eastAsia"/>
              </w:rPr>
              <w:t>水量</w:t>
            </w:r>
          </w:p>
        </w:tc>
        <w:tc>
          <w:tcPr>
            <w:tcW w:w="3213" w:type="dxa"/>
            <w:gridSpan w:val="3"/>
            <w:vMerge w:val="restart"/>
            <w:vAlign w:val="center"/>
          </w:tcPr>
          <w:p w14:paraId="199A3EBB">
            <w:pPr>
              <w:pStyle w:val="196"/>
            </w:pPr>
            <w:r>
              <w:rPr>
                <w:rFonts w:hint="eastAsia"/>
              </w:rPr>
              <w:t>本项目船舶舱底油污水由码头前沿接收装置收集，用不锈钢水箱作为船舶含油污水收集容器，配备自吸排污泵，标准法兰盘以及铜丝软管收集船舶含油污水。水箱盛满后，委托有资质单位处置；船舶生活污水经岸上接收装置接收后接管至国能涟水一期热电联产项目污水处理厂处理；陆域生活污水接管至国能涟水一期热电联产项目污水处理厂处理；码头初期雨水经排水沟收集后汇入</w:t>
            </w:r>
            <w:r>
              <w:rPr>
                <w:rFonts w:hint="eastAsia"/>
                <w:lang w:eastAsia="zh-CN"/>
              </w:rPr>
              <w:t>码头</w:t>
            </w:r>
            <w:r>
              <w:rPr>
                <w:rFonts w:hint="eastAsia"/>
              </w:rPr>
              <w:t>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w:t>
            </w:r>
          </w:p>
        </w:tc>
        <w:tc>
          <w:tcPr>
            <w:tcW w:w="1111" w:type="dxa"/>
            <w:vAlign w:val="center"/>
          </w:tcPr>
          <w:p w14:paraId="4D654DA5">
            <w:pPr>
              <w:pStyle w:val="196"/>
            </w:pPr>
            <w:r>
              <w:rPr>
                <w:rFonts w:hint="eastAsia"/>
              </w:rPr>
              <w:t>/</w:t>
            </w:r>
          </w:p>
        </w:tc>
        <w:tc>
          <w:tcPr>
            <w:tcW w:w="975" w:type="dxa"/>
            <w:vAlign w:val="center"/>
          </w:tcPr>
          <w:p w14:paraId="4260983F">
            <w:pPr>
              <w:pStyle w:val="196"/>
            </w:pPr>
            <w:r>
              <w:t>2806.7</w:t>
            </w:r>
          </w:p>
        </w:tc>
        <w:tc>
          <w:tcPr>
            <w:tcW w:w="820" w:type="dxa"/>
            <w:vAlign w:val="center"/>
          </w:tcPr>
          <w:p w14:paraId="0EBD728B">
            <w:pPr>
              <w:pStyle w:val="196"/>
            </w:pPr>
            <w:r>
              <w:t>2806.7</w:t>
            </w:r>
          </w:p>
        </w:tc>
        <w:tc>
          <w:tcPr>
            <w:tcW w:w="926" w:type="dxa"/>
            <w:vMerge w:val="restart"/>
            <w:vAlign w:val="center"/>
          </w:tcPr>
          <w:p w14:paraId="14E0072E">
            <w:pPr>
              <w:pStyle w:val="196"/>
            </w:pPr>
            <w:r>
              <w:rPr>
                <w:rFonts w:hint="eastAsia"/>
              </w:rPr>
              <w:t>全部回用不外排</w:t>
            </w:r>
          </w:p>
        </w:tc>
        <w:tc>
          <w:tcPr>
            <w:tcW w:w="1179" w:type="dxa"/>
            <w:vAlign w:val="center"/>
          </w:tcPr>
          <w:p w14:paraId="71802A87">
            <w:pPr>
              <w:pStyle w:val="196"/>
            </w:pPr>
            <w:r>
              <w:rPr>
                <w:rFonts w:hint="eastAsia"/>
              </w:rPr>
              <w:t>/</w:t>
            </w:r>
          </w:p>
        </w:tc>
        <w:tc>
          <w:tcPr>
            <w:tcW w:w="1286" w:type="dxa"/>
            <w:vMerge w:val="restart"/>
            <w:vAlign w:val="center"/>
          </w:tcPr>
          <w:p w14:paraId="5CEC6D6F">
            <w:pPr>
              <w:pStyle w:val="196"/>
            </w:pPr>
            <w:r>
              <w:rPr>
                <w:rFonts w:hint="eastAsia"/>
              </w:rPr>
              <w:t>石油类指标参照执行《污水综合排放标准》（GB8978－1996）表4中三级标准。</w:t>
            </w:r>
          </w:p>
        </w:tc>
      </w:tr>
      <w:tr w14:paraId="53B5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2CF21F69">
            <w:pPr>
              <w:pStyle w:val="196"/>
            </w:pPr>
          </w:p>
        </w:tc>
        <w:tc>
          <w:tcPr>
            <w:tcW w:w="1114" w:type="dxa"/>
            <w:vMerge w:val="continue"/>
            <w:vAlign w:val="center"/>
          </w:tcPr>
          <w:p w14:paraId="5FABCB32">
            <w:pPr>
              <w:pStyle w:val="196"/>
            </w:pPr>
          </w:p>
        </w:tc>
        <w:tc>
          <w:tcPr>
            <w:tcW w:w="1948" w:type="dxa"/>
            <w:vAlign w:val="center"/>
          </w:tcPr>
          <w:p w14:paraId="5C9F2503">
            <w:pPr>
              <w:pStyle w:val="196"/>
            </w:pPr>
            <w:r>
              <w:rPr>
                <w:rFonts w:eastAsia="等线" w:cs="Times New Roman"/>
                <w:szCs w:val="21"/>
              </w:rPr>
              <w:t>COD</w:t>
            </w:r>
          </w:p>
        </w:tc>
        <w:tc>
          <w:tcPr>
            <w:tcW w:w="3213" w:type="dxa"/>
            <w:gridSpan w:val="3"/>
            <w:vMerge w:val="continue"/>
            <w:vAlign w:val="center"/>
          </w:tcPr>
          <w:p w14:paraId="605BDAD9">
            <w:pPr>
              <w:pStyle w:val="196"/>
            </w:pPr>
          </w:p>
        </w:tc>
        <w:tc>
          <w:tcPr>
            <w:tcW w:w="1111" w:type="dxa"/>
            <w:vAlign w:val="center"/>
          </w:tcPr>
          <w:p w14:paraId="3EE7B337">
            <w:pPr>
              <w:pStyle w:val="196"/>
            </w:pPr>
            <w:r>
              <w:rPr>
                <w:rFonts w:hint="eastAsia"/>
              </w:rPr>
              <w:t>142.1</w:t>
            </w:r>
          </w:p>
        </w:tc>
        <w:tc>
          <w:tcPr>
            <w:tcW w:w="975" w:type="dxa"/>
            <w:vAlign w:val="bottom"/>
          </w:tcPr>
          <w:p w14:paraId="59D30C89">
            <w:pPr>
              <w:pStyle w:val="196"/>
            </w:pPr>
            <w:r>
              <w:rPr>
                <w:rFonts w:hint="eastAsia"/>
              </w:rPr>
              <w:t>0.12</w:t>
            </w:r>
          </w:p>
        </w:tc>
        <w:tc>
          <w:tcPr>
            <w:tcW w:w="820" w:type="dxa"/>
            <w:vAlign w:val="center"/>
          </w:tcPr>
          <w:p w14:paraId="1094CF85">
            <w:pPr>
              <w:pStyle w:val="196"/>
            </w:pPr>
            <w:r>
              <w:rPr>
                <w:rFonts w:hint="eastAsia"/>
              </w:rPr>
              <w:t>0.89</w:t>
            </w:r>
          </w:p>
        </w:tc>
        <w:tc>
          <w:tcPr>
            <w:tcW w:w="926" w:type="dxa"/>
            <w:vMerge w:val="continue"/>
            <w:vAlign w:val="center"/>
          </w:tcPr>
          <w:p w14:paraId="37E9DC70">
            <w:pPr>
              <w:pStyle w:val="196"/>
            </w:pPr>
          </w:p>
        </w:tc>
        <w:tc>
          <w:tcPr>
            <w:tcW w:w="1179" w:type="dxa"/>
            <w:vAlign w:val="center"/>
          </w:tcPr>
          <w:p w14:paraId="21BA743B">
            <w:pPr>
              <w:pStyle w:val="196"/>
            </w:pPr>
            <w:r>
              <w:rPr>
                <w:rFonts w:hint="eastAsia"/>
              </w:rPr>
              <w:t>370</w:t>
            </w:r>
          </w:p>
        </w:tc>
        <w:tc>
          <w:tcPr>
            <w:tcW w:w="1286" w:type="dxa"/>
            <w:vMerge w:val="continue"/>
            <w:vAlign w:val="center"/>
          </w:tcPr>
          <w:p w14:paraId="0909B01D">
            <w:pPr>
              <w:pStyle w:val="196"/>
            </w:pPr>
          </w:p>
        </w:tc>
      </w:tr>
      <w:tr w14:paraId="2919A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05CE8512">
            <w:pPr>
              <w:pStyle w:val="196"/>
            </w:pPr>
          </w:p>
        </w:tc>
        <w:tc>
          <w:tcPr>
            <w:tcW w:w="1114" w:type="dxa"/>
            <w:vMerge w:val="continue"/>
            <w:vAlign w:val="center"/>
          </w:tcPr>
          <w:p w14:paraId="5ED3B165">
            <w:pPr>
              <w:pStyle w:val="196"/>
            </w:pPr>
          </w:p>
        </w:tc>
        <w:tc>
          <w:tcPr>
            <w:tcW w:w="1948" w:type="dxa"/>
            <w:vAlign w:val="center"/>
          </w:tcPr>
          <w:p w14:paraId="7A494FD2">
            <w:pPr>
              <w:pStyle w:val="196"/>
            </w:pPr>
            <w:r>
              <w:rPr>
                <w:rFonts w:eastAsia="等线" w:cs="Times New Roman"/>
                <w:szCs w:val="21"/>
              </w:rPr>
              <w:t>SS</w:t>
            </w:r>
          </w:p>
        </w:tc>
        <w:tc>
          <w:tcPr>
            <w:tcW w:w="3213" w:type="dxa"/>
            <w:gridSpan w:val="3"/>
            <w:vMerge w:val="continue"/>
            <w:vAlign w:val="center"/>
          </w:tcPr>
          <w:p w14:paraId="69882D36">
            <w:pPr>
              <w:pStyle w:val="196"/>
            </w:pPr>
          </w:p>
        </w:tc>
        <w:tc>
          <w:tcPr>
            <w:tcW w:w="1111" w:type="dxa"/>
            <w:vAlign w:val="center"/>
          </w:tcPr>
          <w:p w14:paraId="283B6F9F">
            <w:pPr>
              <w:pStyle w:val="196"/>
            </w:pPr>
            <w:r>
              <w:rPr>
                <w:rFonts w:hint="eastAsia"/>
              </w:rPr>
              <w:t>125.2</w:t>
            </w:r>
          </w:p>
        </w:tc>
        <w:tc>
          <w:tcPr>
            <w:tcW w:w="975" w:type="dxa"/>
            <w:vAlign w:val="bottom"/>
          </w:tcPr>
          <w:p w14:paraId="0B35FC09">
            <w:pPr>
              <w:pStyle w:val="196"/>
            </w:pPr>
            <w:r>
              <w:rPr>
                <w:rFonts w:hint="eastAsia"/>
              </w:rPr>
              <w:t>0.11</w:t>
            </w:r>
          </w:p>
        </w:tc>
        <w:tc>
          <w:tcPr>
            <w:tcW w:w="820" w:type="dxa"/>
            <w:vAlign w:val="center"/>
          </w:tcPr>
          <w:p w14:paraId="31128D82">
            <w:pPr>
              <w:pStyle w:val="196"/>
            </w:pPr>
            <w:r>
              <w:rPr>
                <w:rFonts w:hint="eastAsia"/>
              </w:rPr>
              <w:t>0.78</w:t>
            </w:r>
          </w:p>
        </w:tc>
        <w:tc>
          <w:tcPr>
            <w:tcW w:w="926" w:type="dxa"/>
            <w:vMerge w:val="continue"/>
            <w:vAlign w:val="center"/>
          </w:tcPr>
          <w:p w14:paraId="2FCB7C75">
            <w:pPr>
              <w:pStyle w:val="196"/>
            </w:pPr>
          </w:p>
        </w:tc>
        <w:tc>
          <w:tcPr>
            <w:tcW w:w="1179" w:type="dxa"/>
            <w:vAlign w:val="center"/>
          </w:tcPr>
          <w:p w14:paraId="2C72723E">
            <w:pPr>
              <w:pStyle w:val="196"/>
            </w:pPr>
            <w:r>
              <w:rPr>
                <w:rFonts w:hint="eastAsia"/>
              </w:rPr>
              <w:t>270</w:t>
            </w:r>
          </w:p>
        </w:tc>
        <w:tc>
          <w:tcPr>
            <w:tcW w:w="1286" w:type="dxa"/>
            <w:vMerge w:val="continue"/>
            <w:vAlign w:val="center"/>
          </w:tcPr>
          <w:p w14:paraId="3D9570EB">
            <w:pPr>
              <w:pStyle w:val="196"/>
            </w:pPr>
          </w:p>
        </w:tc>
      </w:tr>
      <w:tr w14:paraId="182B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58A66DDD">
            <w:pPr>
              <w:pStyle w:val="196"/>
            </w:pPr>
          </w:p>
        </w:tc>
        <w:tc>
          <w:tcPr>
            <w:tcW w:w="1114" w:type="dxa"/>
            <w:vMerge w:val="continue"/>
            <w:vAlign w:val="center"/>
          </w:tcPr>
          <w:p w14:paraId="03D18BBC">
            <w:pPr>
              <w:pStyle w:val="196"/>
            </w:pPr>
          </w:p>
        </w:tc>
        <w:tc>
          <w:tcPr>
            <w:tcW w:w="1948" w:type="dxa"/>
            <w:vAlign w:val="center"/>
          </w:tcPr>
          <w:p w14:paraId="18EA539C">
            <w:pPr>
              <w:pStyle w:val="196"/>
            </w:pPr>
            <w:r>
              <w:rPr>
                <w:rFonts w:eastAsia="等线" w:cs="Times New Roman"/>
                <w:szCs w:val="21"/>
              </w:rPr>
              <w:t>NH</w:t>
            </w:r>
            <w:r>
              <w:rPr>
                <w:rFonts w:eastAsia="等线" w:cs="Times New Roman"/>
                <w:szCs w:val="21"/>
                <w:vertAlign w:val="subscript"/>
              </w:rPr>
              <w:t>3</w:t>
            </w:r>
            <w:r>
              <w:rPr>
                <w:rFonts w:eastAsia="等线" w:cs="Times New Roman"/>
                <w:szCs w:val="21"/>
              </w:rPr>
              <w:t>-N</w:t>
            </w:r>
          </w:p>
        </w:tc>
        <w:tc>
          <w:tcPr>
            <w:tcW w:w="3213" w:type="dxa"/>
            <w:gridSpan w:val="3"/>
            <w:vMerge w:val="continue"/>
            <w:vAlign w:val="center"/>
          </w:tcPr>
          <w:p w14:paraId="709656DE">
            <w:pPr>
              <w:pStyle w:val="196"/>
            </w:pPr>
          </w:p>
        </w:tc>
        <w:tc>
          <w:tcPr>
            <w:tcW w:w="1111" w:type="dxa"/>
            <w:vAlign w:val="center"/>
          </w:tcPr>
          <w:p w14:paraId="528F82A0">
            <w:pPr>
              <w:pStyle w:val="196"/>
            </w:pPr>
            <w:r>
              <w:rPr>
                <w:rFonts w:hint="eastAsia"/>
              </w:rPr>
              <w:t>9.0</w:t>
            </w:r>
          </w:p>
        </w:tc>
        <w:tc>
          <w:tcPr>
            <w:tcW w:w="975" w:type="dxa"/>
            <w:vAlign w:val="bottom"/>
          </w:tcPr>
          <w:p w14:paraId="66931741">
            <w:pPr>
              <w:pStyle w:val="196"/>
            </w:pPr>
            <w:r>
              <w:rPr>
                <w:rFonts w:hint="eastAsia"/>
              </w:rPr>
              <w:t>0.008</w:t>
            </w:r>
          </w:p>
        </w:tc>
        <w:tc>
          <w:tcPr>
            <w:tcW w:w="820" w:type="dxa"/>
            <w:vAlign w:val="center"/>
          </w:tcPr>
          <w:p w14:paraId="33EFFE5E">
            <w:pPr>
              <w:pStyle w:val="196"/>
            </w:pPr>
            <w:r>
              <w:rPr>
                <w:rFonts w:hint="eastAsia"/>
              </w:rPr>
              <w:t>0.056</w:t>
            </w:r>
          </w:p>
        </w:tc>
        <w:tc>
          <w:tcPr>
            <w:tcW w:w="926" w:type="dxa"/>
            <w:vMerge w:val="continue"/>
            <w:vAlign w:val="center"/>
          </w:tcPr>
          <w:p w14:paraId="18FE2941">
            <w:pPr>
              <w:pStyle w:val="196"/>
            </w:pPr>
          </w:p>
        </w:tc>
        <w:tc>
          <w:tcPr>
            <w:tcW w:w="1179" w:type="dxa"/>
            <w:vAlign w:val="center"/>
          </w:tcPr>
          <w:p w14:paraId="69815291">
            <w:pPr>
              <w:pStyle w:val="196"/>
            </w:pPr>
            <w:r>
              <w:rPr>
                <w:rFonts w:hint="eastAsia"/>
              </w:rPr>
              <w:t>30</w:t>
            </w:r>
          </w:p>
        </w:tc>
        <w:tc>
          <w:tcPr>
            <w:tcW w:w="1286" w:type="dxa"/>
            <w:vMerge w:val="continue"/>
            <w:vAlign w:val="center"/>
          </w:tcPr>
          <w:p w14:paraId="2149681C">
            <w:pPr>
              <w:pStyle w:val="196"/>
            </w:pPr>
          </w:p>
        </w:tc>
      </w:tr>
      <w:tr w14:paraId="46B1A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5EE82885">
            <w:pPr>
              <w:pStyle w:val="196"/>
            </w:pPr>
          </w:p>
        </w:tc>
        <w:tc>
          <w:tcPr>
            <w:tcW w:w="1114" w:type="dxa"/>
            <w:vMerge w:val="continue"/>
            <w:vAlign w:val="center"/>
          </w:tcPr>
          <w:p w14:paraId="0B674E23">
            <w:pPr>
              <w:pStyle w:val="196"/>
            </w:pPr>
          </w:p>
        </w:tc>
        <w:tc>
          <w:tcPr>
            <w:tcW w:w="1948" w:type="dxa"/>
            <w:vAlign w:val="center"/>
          </w:tcPr>
          <w:p w14:paraId="152D43B3">
            <w:pPr>
              <w:pStyle w:val="196"/>
            </w:pPr>
            <w:r>
              <w:rPr>
                <w:rFonts w:eastAsia="等线" w:cs="Times New Roman"/>
                <w:szCs w:val="21"/>
              </w:rPr>
              <w:t>TN</w:t>
            </w:r>
          </w:p>
        </w:tc>
        <w:tc>
          <w:tcPr>
            <w:tcW w:w="3213" w:type="dxa"/>
            <w:gridSpan w:val="3"/>
            <w:vMerge w:val="continue"/>
            <w:vAlign w:val="center"/>
          </w:tcPr>
          <w:p w14:paraId="048AD93C">
            <w:pPr>
              <w:pStyle w:val="196"/>
            </w:pPr>
          </w:p>
        </w:tc>
        <w:tc>
          <w:tcPr>
            <w:tcW w:w="1111" w:type="dxa"/>
            <w:vAlign w:val="center"/>
          </w:tcPr>
          <w:p w14:paraId="5DBC96E8">
            <w:pPr>
              <w:pStyle w:val="196"/>
            </w:pPr>
            <w:r>
              <w:rPr>
                <w:rFonts w:hint="eastAsia"/>
              </w:rPr>
              <w:t>11.2</w:t>
            </w:r>
          </w:p>
        </w:tc>
        <w:tc>
          <w:tcPr>
            <w:tcW w:w="975" w:type="dxa"/>
            <w:vAlign w:val="bottom"/>
          </w:tcPr>
          <w:p w14:paraId="26F62065">
            <w:pPr>
              <w:pStyle w:val="196"/>
            </w:pPr>
            <w:r>
              <w:rPr>
                <w:rFonts w:hint="eastAsia"/>
              </w:rPr>
              <w:t>0.010</w:t>
            </w:r>
          </w:p>
        </w:tc>
        <w:tc>
          <w:tcPr>
            <w:tcW w:w="820" w:type="dxa"/>
            <w:vAlign w:val="center"/>
          </w:tcPr>
          <w:p w14:paraId="4B457B90">
            <w:pPr>
              <w:pStyle w:val="196"/>
            </w:pPr>
            <w:r>
              <w:rPr>
                <w:rFonts w:hint="eastAsia"/>
              </w:rPr>
              <w:t>0.070</w:t>
            </w:r>
          </w:p>
        </w:tc>
        <w:tc>
          <w:tcPr>
            <w:tcW w:w="926" w:type="dxa"/>
            <w:vMerge w:val="continue"/>
            <w:vAlign w:val="center"/>
          </w:tcPr>
          <w:p w14:paraId="43A217FB">
            <w:pPr>
              <w:pStyle w:val="196"/>
            </w:pPr>
          </w:p>
        </w:tc>
        <w:tc>
          <w:tcPr>
            <w:tcW w:w="1179" w:type="dxa"/>
            <w:vAlign w:val="center"/>
          </w:tcPr>
          <w:p w14:paraId="3C7EDBC4">
            <w:pPr>
              <w:pStyle w:val="196"/>
            </w:pPr>
            <w:r>
              <w:rPr>
                <w:rFonts w:hint="eastAsia"/>
              </w:rPr>
              <w:t>40</w:t>
            </w:r>
          </w:p>
        </w:tc>
        <w:tc>
          <w:tcPr>
            <w:tcW w:w="1286" w:type="dxa"/>
            <w:vMerge w:val="continue"/>
            <w:vAlign w:val="center"/>
          </w:tcPr>
          <w:p w14:paraId="69C1B109">
            <w:pPr>
              <w:pStyle w:val="196"/>
            </w:pPr>
          </w:p>
        </w:tc>
      </w:tr>
      <w:tr w14:paraId="1CA5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286EC014">
            <w:pPr>
              <w:pStyle w:val="196"/>
            </w:pPr>
          </w:p>
        </w:tc>
        <w:tc>
          <w:tcPr>
            <w:tcW w:w="1114" w:type="dxa"/>
            <w:vMerge w:val="continue"/>
            <w:vAlign w:val="center"/>
          </w:tcPr>
          <w:p w14:paraId="3BCB8D91">
            <w:pPr>
              <w:pStyle w:val="196"/>
            </w:pPr>
          </w:p>
        </w:tc>
        <w:tc>
          <w:tcPr>
            <w:tcW w:w="1948" w:type="dxa"/>
            <w:vAlign w:val="center"/>
          </w:tcPr>
          <w:p w14:paraId="0B02C666">
            <w:pPr>
              <w:pStyle w:val="196"/>
            </w:pPr>
            <w:r>
              <w:rPr>
                <w:rFonts w:eastAsia="等线" w:cs="Times New Roman"/>
                <w:szCs w:val="21"/>
              </w:rPr>
              <w:t>TP</w:t>
            </w:r>
          </w:p>
        </w:tc>
        <w:tc>
          <w:tcPr>
            <w:tcW w:w="3213" w:type="dxa"/>
            <w:gridSpan w:val="3"/>
            <w:vMerge w:val="continue"/>
            <w:vAlign w:val="center"/>
          </w:tcPr>
          <w:p w14:paraId="0481FEEA">
            <w:pPr>
              <w:pStyle w:val="196"/>
            </w:pPr>
          </w:p>
        </w:tc>
        <w:tc>
          <w:tcPr>
            <w:tcW w:w="1111" w:type="dxa"/>
            <w:vAlign w:val="center"/>
          </w:tcPr>
          <w:p w14:paraId="0A1D11E8">
            <w:pPr>
              <w:pStyle w:val="196"/>
            </w:pPr>
            <w:r>
              <w:rPr>
                <w:rFonts w:hint="eastAsia"/>
              </w:rPr>
              <w:t>2.2</w:t>
            </w:r>
          </w:p>
        </w:tc>
        <w:tc>
          <w:tcPr>
            <w:tcW w:w="975" w:type="dxa"/>
            <w:vAlign w:val="bottom"/>
          </w:tcPr>
          <w:p w14:paraId="18449BEB">
            <w:pPr>
              <w:pStyle w:val="196"/>
            </w:pPr>
            <w:r>
              <w:rPr>
                <w:rFonts w:hint="eastAsia"/>
              </w:rPr>
              <w:t>0.002</w:t>
            </w:r>
          </w:p>
        </w:tc>
        <w:tc>
          <w:tcPr>
            <w:tcW w:w="820" w:type="dxa"/>
            <w:vAlign w:val="center"/>
          </w:tcPr>
          <w:p w14:paraId="1B1E4769">
            <w:pPr>
              <w:pStyle w:val="196"/>
            </w:pPr>
            <w:r>
              <w:rPr>
                <w:rFonts w:hint="eastAsia"/>
              </w:rPr>
              <w:t>0.014</w:t>
            </w:r>
          </w:p>
        </w:tc>
        <w:tc>
          <w:tcPr>
            <w:tcW w:w="926" w:type="dxa"/>
            <w:vMerge w:val="continue"/>
            <w:vAlign w:val="center"/>
          </w:tcPr>
          <w:p w14:paraId="73A65418">
            <w:pPr>
              <w:pStyle w:val="196"/>
            </w:pPr>
          </w:p>
        </w:tc>
        <w:tc>
          <w:tcPr>
            <w:tcW w:w="1179" w:type="dxa"/>
            <w:vAlign w:val="center"/>
          </w:tcPr>
          <w:p w14:paraId="4EF50B76">
            <w:pPr>
              <w:pStyle w:val="196"/>
            </w:pPr>
            <w:r>
              <w:rPr>
                <w:rFonts w:hint="eastAsia"/>
              </w:rPr>
              <w:t>8</w:t>
            </w:r>
          </w:p>
        </w:tc>
        <w:tc>
          <w:tcPr>
            <w:tcW w:w="1286" w:type="dxa"/>
            <w:vMerge w:val="continue"/>
            <w:vAlign w:val="center"/>
          </w:tcPr>
          <w:p w14:paraId="29C599B1">
            <w:pPr>
              <w:pStyle w:val="196"/>
            </w:pPr>
          </w:p>
        </w:tc>
      </w:tr>
      <w:tr w14:paraId="654E0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222B00C0">
            <w:pPr>
              <w:pStyle w:val="196"/>
            </w:pPr>
          </w:p>
        </w:tc>
        <w:tc>
          <w:tcPr>
            <w:tcW w:w="1114" w:type="dxa"/>
            <w:vMerge w:val="continue"/>
            <w:vAlign w:val="center"/>
          </w:tcPr>
          <w:p w14:paraId="66C87ACC">
            <w:pPr>
              <w:pStyle w:val="196"/>
            </w:pPr>
          </w:p>
        </w:tc>
        <w:tc>
          <w:tcPr>
            <w:tcW w:w="1948" w:type="dxa"/>
            <w:vAlign w:val="center"/>
          </w:tcPr>
          <w:p w14:paraId="341BD507">
            <w:pPr>
              <w:pStyle w:val="196"/>
            </w:pPr>
            <w:r>
              <w:rPr>
                <w:rFonts w:hint="eastAsia"/>
                <w:szCs w:val="21"/>
              </w:rPr>
              <w:t>石油类</w:t>
            </w:r>
          </w:p>
        </w:tc>
        <w:tc>
          <w:tcPr>
            <w:tcW w:w="3213" w:type="dxa"/>
            <w:gridSpan w:val="3"/>
            <w:vMerge w:val="continue"/>
            <w:vAlign w:val="center"/>
          </w:tcPr>
          <w:p w14:paraId="2AC83D1E">
            <w:pPr>
              <w:pStyle w:val="196"/>
            </w:pPr>
          </w:p>
        </w:tc>
        <w:tc>
          <w:tcPr>
            <w:tcW w:w="1111" w:type="dxa"/>
            <w:vAlign w:val="center"/>
          </w:tcPr>
          <w:p w14:paraId="5EDD7DFD">
            <w:pPr>
              <w:pStyle w:val="196"/>
            </w:pPr>
            <w:r>
              <w:rPr>
                <w:rFonts w:hint="eastAsia"/>
              </w:rPr>
              <w:t>8.</w:t>
            </w:r>
            <w:r>
              <w:t>1</w:t>
            </w:r>
          </w:p>
        </w:tc>
        <w:tc>
          <w:tcPr>
            <w:tcW w:w="975" w:type="dxa"/>
            <w:vAlign w:val="center"/>
          </w:tcPr>
          <w:p w14:paraId="723747CC">
            <w:pPr>
              <w:pStyle w:val="196"/>
            </w:pPr>
            <w:r>
              <w:t>0.007</w:t>
            </w:r>
          </w:p>
        </w:tc>
        <w:tc>
          <w:tcPr>
            <w:tcW w:w="820" w:type="dxa"/>
            <w:vAlign w:val="center"/>
          </w:tcPr>
          <w:p w14:paraId="4DCA44BC">
            <w:pPr>
              <w:pStyle w:val="196"/>
            </w:pPr>
            <w:r>
              <w:t>0.05</w:t>
            </w:r>
          </w:p>
        </w:tc>
        <w:tc>
          <w:tcPr>
            <w:tcW w:w="926" w:type="dxa"/>
            <w:vMerge w:val="continue"/>
            <w:vAlign w:val="center"/>
          </w:tcPr>
          <w:p w14:paraId="63BBC23A">
            <w:pPr>
              <w:pStyle w:val="196"/>
            </w:pPr>
          </w:p>
        </w:tc>
        <w:tc>
          <w:tcPr>
            <w:tcW w:w="1179" w:type="dxa"/>
            <w:vAlign w:val="center"/>
          </w:tcPr>
          <w:p w14:paraId="3517146C">
            <w:pPr>
              <w:pStyle w:val="196"/>
            </w:pPr>
            <w:r>
              <w:rPr>
                <w:rFonts w:hint="eastAsia"/>
              </w:rPr>
              <w:t>30</w:t>
            </w:r>
          </w:p>
        </w:tc>
        <w:tc>
          <w:tcPr>
            <w:tcW w:w="1286" w:type="dxa"/>
            <w:vMerge w:val="continue"/>
            <w:vAlign w:val="center"/>
          </w:tcPr>
          <w:p w14:paraId="5177358C">
            <w:pPr>
              <w:pStyle w:val="196"/>
            </w:pPr>
          </w:p>
        </w:tc>
      </w:tr>
      <w:tr w14:paraId="1FC5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restart"/>
            <w:vAlign w:val="center"/>
          </w:tcPr>
          <w:p w14:paraId="7E36361F">
            <w:pPr>
              <w:pStyle w:val="196"/>
            </w:pPr>
            <w:r>
              <w:rPr>
                <w:rFonts w:hint="eastAsia"/>
              </w:rPr>
              <w:t>噪声</w:t>
            </w:r>
          </w:p>
        </w:tc>
        <w:tc>
          <w:tcPr>
            <w:tcW w:w="1114" w:type="dxa"/>
            <w:vMerge w:val="restart"/>
            <w:vAlign w:val="center"/>
          </w:tcPr>
          <w:p w14:paraId="00C7354F">
            <w:pPr>
              <w:pStyle w:val="196"/>
            </w:pPr>
            <w:r>
              <w:rPr>
                <w:rFonts w:hint="eastAsia"/>
              </w:rPr>
              <w:t>生产</w:t>
            </w:r>
          </w:p>
        </w:tc>
        <w:tc>
          <w:tcPr>
            <w:tcW w:w="1948" w:type="dxa"/>
            <w:vMerge w:val="restart"/>
            <w:vAlign w:val="center"/>
          </w:tcPr>
          <w:p w14:paraId="7554B67E">
            <w:pPr>
              <w:pStyle w:val="196"/>
            </w:pPr>
            <w:r>
              <w:rPr>
                <w:rFonts w:hint="eastAsia"/>
              </w:rPr>
              <w:t>噪声</w:t>
            </w:r>
          </w:p>
        </w:tc>
        <w:tc>
          <w:tcPr>
            <w:tcW w:w="1389" w:type="dxa"/>
            <w:vMerge w:val="restart"/>
            <w:vAlign w:val="center"/>
          </w:tcPr>
          <w:p w14:paraId="4DE9F2B7">
            <w:pPr>
              <w:pStyle w:val="196"/>
            </w:pPr>
            <w:r>
              <w:rPr>
                <w:rFonts w:hint="eastAsia"/>
              </w:rPr>
              <w:t>合理布局、隔声、减震、距离衰减</w:t>
            </w:r>
          </w:p>
        </w:tc>
        <w:tc>
          <w:tcPr>
            <w:tcW w:w="561" w:type="dxa"/>
            <w:vAlign w:val="center"/>
          </w:tcPr>
          <w:p w14:paraId="23112DED">
            <w:pPr>
              <w:pStyle w:val="196"/>
            </w:pPr>
            <w:r>
              <w:rPr>
                <w:rFonts w:hint="eastAsia"/>
              </w:rPr>
              <w:t>1</w:t>
            </w:r>
          </w:p>
        </w:tc>
        <w:tc>
          <w:tcPr>
            <w:tcW w:w="1263" w:type="dxa"/>
            <w:vAlign w:val="center"/>
          </w:tcPr>
          <w:p w14:paraId="651B8F99">
            <w:pPr>
              <w:pStyle w:val="196"/>
            </w:pPr>
            <w:r>
              <w:rPr>
                <w:rFonts w:hint="eastAsia"/>
              </w:rPr>
              <w:t>东厂界N1</w:t>
            </w:r>
          </w:p>
        </w:tc>
        <w:tc>
          <w:tcPr>
            <w:tcW w:w="2906" w:type="dxa"/>
            <w:gridSpan w:val="3"/>
            <w:vMerge w:val="restart"/>
            <w:vAlign w:val="center"/>
          </w:tcPr>
          <w:p w14:paraId="6D60CAC1">
            <w:pPr>
              <w:pStyle w:val="196"/>
            </w:pPr>
            <w:r>
              <w:rPr>
                <w:rFonts w:hint="eastAsia"/>
              </w:rPr>
              <w:t>/</w:t>
            </w:r>
          </w:p>
        </w:tc>
        <w:tc>
          <w:tcPr>
            <w:tcW w:w="926" w:type="dxa"/>
            <w:vMerge w:val="restart"/>
            <w:vAlign w:val="center"/>
          </w:tcPr>
          <w:p w14:paraId="354F36B7">
            <w:pPr>
              <w:pStyle w:val="196"/>
            </w:pPr>
            <w:r>
              <w:rPr>
                <w:rFonts w:hint="eastAsia"/>
              </w:rPr>
              <w:t>连续</w:t>
            </w:r>
          </w:p>
        </w:tc>
        <w:tc>
          <w:tcPr>
            <w:tcW w:w="1179" w:type="dxa"/>
            <w:vMerge w:val="restart"/>
            <w:vAlign w:val="center"/>
          </w:tcPr>
          <w:p w14:paraId="3AF2D3D6">
            <w:pPr>
              <w:pStyle w:val="196"/>
            </w:pPr>
            <w:r>
              <w:rPr>
                <w:rFonts w:hint="eastAsia"/>
              </w:rPr>
              <w:t>南厂界噪声，昼间≤70dB(A)，夜间≤55dB(A)；南厂界噪声，昼间≤65dB(A)，夜间≤55dB(A)</w:t>
            </w:r>
          </w:p>
        </w:tc>
        <w:tc>
          <w:tcPr>
            <w:tcW w:w="1286" w:type="dxa"/>
            <w:vMerge w:val="restart"/>
            <w:vAlign w:val="center"/>
          </w:tcPr>
          <w:p w14:paraId="10B58BEA">
            <w:pPr>
              <w:pStyle w:val="196"/>
            </w:pPr>
            <w:r>
              <w:rPr>
                <w:rFonts w:hint="eastAsia"/>
              </w:rPr>
              <w:t>《工厂企业厂界环境噪声排放标准》（GB12348-2008）3、4类标准</w:t>
            </w:r>
          </w:p>
        </w:tc>
      </w:tr>
      <w:tr w14:paraId="76FD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714CD497">
            <w:pPr>
              <w:pStyle w:val="196"/>
            </w:pPr>
          </w:p>
        </w:tc>
        <w:tc>
          <w:tcPr>
            <w:tcW w:w="1114" w:type="dxa"/>
            <w:vMerge w:val="continue"/>
            <w:vAlign w:val="center"/>
          </w:tcPr>
          <w:p w14:paraId="2B849E77">
            <w:pPr>
              <w:pStyle w:val="196"/>
            </w:pPr>
          </w:p>
        </w:tc>
        <w:tc>
          <w:tcPr>
            <w:tcW w:w="1948" w:type="dxa"/>
            <w:vMerge w:val="continue"/>
            <w:vAlign w:val="center"/>
          </w:tcPr>
          <w:p w14:paraId="19C00D94">
            <w:pPr>
              <w:pStyle w:val="196"/>
            </w:pPr>
          </w:p>
        </w:tc>
        <w:tc>
          <w:tcPr>
            <w:tcW w:w="1389" w:type="dxa"/>
            <w:vMerge w:val="continue"/>
            <w:vAlign w:val="center"/>
          </w:tcPr>
          <w:p w14:paraId="77D5B224">
            <w:pPr>
              <w:pStyle w:val="196"/>
            </w:pPr>
          </w:p>
        </w:tc>
        <w:tc>
          <w:tcPr>
            <w:tcW w:w="561" w:type="dxa"/>
            <w:vAlign w:val="center"/>
          </w:tcPr>
          <w:p w14:paraId="5C2004F0">
            <w:pPr>
              <w:pStyle w:val="196"/>
            </w:pPr>
            <w:r>
              <w:rPr>
                <w:rFonts w:hint="eastAsia"/>
              </w:rPr>
              <w:t>2</w:t>
            </w:r>
          </w:p>
        </w:tc>
        <w:tc>
          <w:tcPr>
            <w:tcW w:w="1263" w:type="dxa"/>
            <w:vAlign w:val="center"/>
          </w:tcPr>
          <w:p w14:paraId="536A60C0">
            <w:pPr>
              <w:pStyle w:val="196"/>
            </w:pPr>
            <w:r>
              <w:rPr>
                <w:rFonts w:hint="eastAsia"/>
              </w:rPr>
              <w:t>西厂界N2</w:t>
            </w:r>
          </w:p>
        </w:tc>
        <w:tc>
          <w:tcPr>
            <w:tcW w:w="2906" w:type="dxa"/>
            <w:gridSpan w:val="3"/>
            <w:vMerge w:val="continue"/>
            <w:vAlign w:val="center"/>
          </w:tcPr>
          <w:p w14:paraId="330E7F5E">
            <w:pPr>
              <w:pStyle w:val="196"/>
            </w:pPr>
          </w:p>
        </w:tc>
        <w:tc>
          <w:tcPr>
            <w:tcW w:w="926" w:type="dxa"/>
            <w:vMerge w:val="continue"/>
            <w:vAlign w:val="center"/>
          </w:tcPr>
          <w:p w14:paraId="4E38F5EA">
            <w:pPr>
              <w:pStyle w:val="196"/>
            </w:pPr>
          </w:p>
        </w:tc>
        <w:tc>
          <w:tcPr>
            <w:tcW w:w="1179" w:type="dxa"/>
            <w:vMerge w:val="continue"/>
            <w:vAlign w:val="center"/>
          </w:tcPr>
          <w:p w14:paraId="7A3EF7C2">
            <w:pPr>
              <w:pStyle w:val="196"/>
            </w:pPr>
          </w:p>
        </w:tc>
        <w:tc>
          <w:tcPr>
            <w:tcW w:w="1286" w:type="dxa"/>
            <w:vMerge w:val="continue"/>
            <w:vAlign w:val="center"/>
          </w:tcPr>
          <w:p w14:paraId="5CB3C0F1">
            <w:pPr>
              <w:pStyle w:val="196"/>
            </w:pPr>
          </w:p>
        </w:tc>
      </w:tr>
      <w:tr w14:paraId="6F61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7DED0EF2">
            <w:pPr>
              <w:pStyle w:val="196"/>
            </w:pPr>
          </w:p>
        </w:tc>
        <w:tc>
          <w:tcPr>
            <w:tcW w:w="1114" w:type="dxa"/>
            <w:vMerge w:val="continue"/>
            <w:vAlign w:val="center"/>
          </w:tcPr>
          <w:p w14:paraId="0A63576C">
            <w:pPr>
              <w:pStyle w:val="196"/>
            </w:pPr>
          </w:p>
        </w:tc>
        <w:tc>
          <w:tcPr>
            <w:tcW w:w="1948" w:type="dxa"/>
            <w:vMerge w:val="continue"/>
            <w:vAlign w:val="center"/>
          </w:tcPr>
          <w:p w14:paraId="201D874E">
            <w:pPr>
              <w:pStyle w:val="196"/>
            </w:pPr>
          </w:p>
        </w:tc>
        <w:tc>
          <w:tcPr>
            <w:tcW w:w="1389" w:type="dxa"/>
            <w:vMerge w:val="continue"/>
            <w:vAlign w:val="center"/>
          </w:tcPr>
          <w:p w14:paraId="27DC703D">
            <w:pPr>
              <w:pStyle w:val="196"/>
            </w:pPr>
          </w:p>
        </w:tc>
        <w:tc>
          <w:tcPr>
            <w:tcW w:w="561" w:type="dxa"/>
            <w:vAlign w:val="center"/>
          </w:tcPr>
          <w:p w14:paraId="4ECA90C7">
            <w:pPr>
              <w:pStyle w:val="196"/>
            </w:pPr>
            <w:r>
              <w:rPr>
                <w:rFonts w:hint="eastAsia"/>
              </w:rPr>
              <w:t>3</w:t>
            </w:r>
          </w:p>
        </w:tc>
        <w:tc>
          <w:tcPr>
            <w:tcW w:w="1263" w:type="dxa"/>
            <w:vAlign w:val="center"/>
          </w:tcPr>
          <w:p w14:paraId="4C20FA1C">
            <w:pPr>
              <w:pStyle w:val="196"/>
            </w:pPr>
            <w:r>
              <w:rPr>
                <w:rFonts w:hint="eastAsia"/>
              </w:rPr>
              <w:t>南厂界N3</w:t>
            </w:r>
          </w:p>
        </w:tc>
        <w:tc>
          <w:tcPr>
            <w:tcW w:w="2906" w:type="dxa"/>
            <w:gridSpan w:val="3"/>
            <w:vMerge w:val="continue"/>
            <w:vAlign w:val="center"/>
          </w:tcPr>
          <w:p w14:paraId="2827D984">
            <w:pPr>
              <w:pStyle w:val="196"/>
            </w:pPr>
          </w:p>
        </w:tc>
        <w:tc>
          <w:tcPr>
            <w:tcW w:w="926" w:type="dxa"/>
            <w:vMerge w:val="continue"/>
            <w:vAlign w:val="center"/>
          </w:tcPr>
          <w:p w14:paraId="1BD07286">
            <w:pPr>
              <w:pStyle w:val="196"/>
            </w:pPr>
          </w:p>
        </w:tc>
        <w:tc>
          <w:tcPr>
            <w:tcW w:w="1179" w:type="dxa"/>
            <w:vMerge w:val="continue"/>
            <w:vAlign w:val="center"/>
          </w:tcPr>
          <w:p w14:paraId="26C642CB">
            <w:pPr>
              <w:pStyle w:val="196"/>
            </w:pPr>
          </w:p>
        </w:tc>
        <w:tc>
          <w:tcPr>
            <w:tcW w:w="1286" w:type="dxa"/>
            <w:vMerge w:val="continue"/>
            <w:vAlign w:val="center"/>
          </w:tcPr>
          <w:p w14:paraId="1EFD1D7F">
            <w:pPr>
              <w:pStyle w:val="196"/>
            </w:pPr>
          </w:p>
        </w:tc>
      </w:tr>
      <w:tr w14:paraId="6956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trPr>
        <w:tc>
          <w:tcPr>
            <w:tcW w:w="667" w:type="dxa"/>
            <w:vMerge w:val="continue"/>
            <w:vAlign w:val="center"/>
          </w:tcPr>
          <w:p w14:paraId="02610366">
            <w:pPr>
              <w:pStyle w:val="196"/>
            </w:pPr>
          </w:p>
        </w:tc>
        <w:tc>
          <w:tcPr>
            <w:tcW w:w="1114" w:type="dxa"/>
            <w:vMerge w:val="continue"/>
            <w:vAlign w:val="center"/>
          </w:tcPr>
          <w:p w14:paraId="5ECC1D6B">
            <w:pPr>
              <w:pStyle w:val="196"/>
            </w:pPr>
          </w:p>
        </w:tc>
        <w:tc>
          <w:tcPr>
            <w:tcW w:w="1948" w:type="dxa"/>
            <w:vMerge w:val="continue"/>
            <w:vAlign w:val="center"/>
          </w:tcPr>
          <w:p w14:paraId="57918902">
            <w:pPr>
              <w:pStyle w:val="196"/>
            </w:pPr>
          </w:p>
        </w:tc>
        <w:tc>
          <w:tcPr>
            <w:tcW w:w="1389" w:type="dxa"/>
            <w:vMerge w:val="continue"/>
            <w:vAlign w:val="center"/>
          </w:tcPr>
          <w:p w14:paraId="0541FB3B">
            <w:pPr>
              <w:pStyle w:val="196"/>
            </w:pPr>
          </w:p>
        </w:tc>
        <w:tc>
          <w:tcPr>
            <w:tcW w:w="561" w:type="dxa"/>
            <w:vAlign w:val="center"/>
          </w:tcPr>
          <w:p w14:paraId="4F4FB051">
            <w:pPr>
              <w:pStyle w:val="196"/>
            </w:pPr>
            <w:r>
              <w:rPr>
                <w:rFonts w:hint="eastAsia"/>
              </w:rPr>
              <w:t>4</w:t>
            </w:r>
          </w:p>
        </w:tc>
        <w:tc>
          <w:tcPr>
            <w:tcW w:w="1263" w:type="dxa"/>
            <w:vAlign w:val="center"/>
          </w:tcPr>
          <w:p w14:paraId="3F2C01DF">
            <w:pPr>
              <w:pStyle w:val="196"/>
            </w:pPr>
            <w:r>
              <w:rPr>
                <w:rFonts w:hint="eastAsia"/>
              </w:rPr>
              <w:t>北厂界N4</w:t>
            </w:r>
          </w:p>
        </w:tc>
        <w:tc>
          <w:tcPr>
            <w:tcW w:w="2906" w:type="dxa"/>
            <w:gridSpan w:val="3"/>
            <w:vMerge w:val="continue"/>
            <w:vAlign w:val="center"/>
          </w:tcPr>
          <w:p w14:paraId="165097D0">
            <w:pPr>
              <w:pStyle w:val="196"/>
            </w:pPr>
          </w:p>
        </w:tc>
        <w:tc>
          <w:tcPr>
            <w:tcW w:w="926" w:type="dxa"/>
            <w:vMerge w:val="continue"/>
            <w:vAlign w:val="center"/>
          </w:tcPr>
          <w:p w14:paraId="2CDCCB33">
            <w:pPr>
              <w:pStyle w:val="196"/>
            </w:pPr>
          </w:p>
        </w:tc>
        <w:tc>
          <w:tcPr>
            <w:tcW w:w="1179" w:type="dxa"/>
            <w:vMerge w:val="continue"/>
            <w:vAlign w:val="center"/>
          </w:tcPr>
          <w:p w14:paraId="2D6C25B1">
            <w:pPr>
              <w:pStyle w:val="196"/>
            </w:pPr>
          </w:p>
        </w:tc>
        <w:tc>
          <w:tcPr>
            <w:tcW w:w="1286" w:type="dxa"/>
            <w:vMerge w:val="continue"/>
            <w:vAlign w:val="center"/>
          </w:tcPr>
          <w:p w14:paraId="28EEB9B0">
            <w:pPr>
              <w:pStyle w:val="196"/>
            </w:pPr>
          </w:p>
        </w:tc>
      </w:tr>
      <w:tr w14:paraId="4D75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restart"/>
            <w:vAlign w:val="center"/>
          </w:tcPr>
          <w:p w14:paraId="3382DE5D">
            <w:pPr>
              <w:pStyle w:val="196"/>
            </w:pPr>
            <w:r>
              <w:rPr>
                <w:rFonts w:hint="eastAsia"/>
              </w:rPr>
              <w:t>固废</w:t>
            </w:r>
          </w:p>
        </w:tc>
        <w:tc>
          <w:tcPr>
            <w:tcW w:w="1114" w:type="dxa"/>
            <w:vAlign w:val="center"/>
          </w:tcPr>
          <w:p w14:paraId="3E9961D6">
            <w:pPr>
              <w:pStyle w:val="196"/>
            </w:pPr>
            <w:r>
              <w:rPr>
                <w:rFonts w:hint="eastAsia"/>
              </w:rPr>
              <w:t>危险固废</w:t>
            </w:r>
          </w:p>
        </w:tc>
        <w:tc>
          <w:tcPr>
            <w:tcW w:w="1948" w:type="dxa"/>
            <w:vAlign w:val="center"/>
          </w:tcPr>
          <w:p w14:paraId="1D4B3698">
            <w:pPr>
              <w:pStyle w:val="196"/>
            </w:pPr>
            <w:r>
              <w:rPr>
                <w:rFonts w:hint="eastAsia"/>
              </w:rPr>
              <w:t>含油污泥废油、机修废油</w:t>
            </w:r>
          </w:p>
        </w:tc>
        <w:tc>
          <w:tcPr>
            <w:tcW w:w="1389" w:type="dxa"/>
            <w:vAlign w:val="center"/>
          </w:tcPr>
          <w:p w14:paraId="697A359D">
            <w:pPr>
              <w:pStyle w:val="196"/>
            </w:pPr>
            <w:r>
              <w:rPr>
                <w:rFonts w:hint="eastAsia"/>
              </w:rPr>
              <w:t>委托有资质单位处置</w:t>
            </w:r>
          </w:p>
        </w:tc>
        <w:tc>
          <w:tcPr>
            <w:tcW w:w="561" w:type="dxa"/>
            <w:vAlign w:val="center"/>
          </w:tcPr>
          <w:p w14:paraId="1067C46B">
            <w:pPr>
              <w:pStyle w:val="196"/>
            </w:pPr>
            <w:r>
              <w:rPr>
                <w:rFonts w:hint="eastAsia"/>
              </w:rPr>
              <w:t>/</w:t>
            </w:r>
          </w:p>
        </w:tc>
        <w:tc>
          <w:tcPr>
            <w:tcW w:w="1263" w:type="dxa"/>
            <w:vAlign w:val="center"/>
          </w:tcPr>
          <w:p w14:paraId="77E7046D">
            <w:pPr>
              <w:pStyle w:val="196"/>
            </w:pPr>
            <w:r>
              <w:rPr>
                <w:rFonts w:hint="eastAsia"/>
              </w:rPr>
              <w:t>/</w:t>
            </w:r>
          </w:p>
        </w:tc>
        <w:tc>
          <w:tcPr>
            <w:tcW w:w="1111" w:type="dxa"/>
            <w:vAlign w:val="center"/>
          </w:tcPr>
          <w:p w14:paraId="74A1B557">
            <w:pPr>
              <w:pStyle w:val="196"/>
            </w:pPr>
            <w:r>
              <w:rPr>
                <w:rFonts w:hint="eastAsia"/>
              </w:rPr>
              <w:t>/</w:t>
            </w:r>
          </w:p>
        </w:tc>
        <w:tc>
          <w:tcPr>
            <w:tcW w:w="975" w:type="dxa"/>
            <w:vAlign w:val="center"/>
          </w:tcPr>
          <w:p w14:paraId="7AB6D299">
            <w:pPr>
              <w:pStyle w:val="196"/>
            </w:pPr>
            <w:r>
              <w:rPr>
                <w:rFonts w:hint="eastAsia"/>
              </w:rPr>
              <w:t>/</w:t>
            </w:r>
          </w:p>
        </w:tc>
        <w:tc>
          <w:tcPr>
            <w:tcW w:w="820" w:type="dxa"/>
            <w:vAlign w:val="center"/>
          </w:tcPr>
          <w:p w14:paraId="52BA2B7F">
            <w:pPr>
              <w:pStyle w:val="196"/>
            </w:pPr>
            <w:r>
              <w:rPr>
                <w:rFonts w:hint="eastAsia"/>
              </w:rPr>
              <w:t>/</w:t>
            </w:r>
          </w:p>
        </w:tc>
        <w:tc>
          <w:tcPr>
            <w:tcW w:w="926" w:type="dxa"/>
            <w:vMerge w:val="restart"/>
            <w:vAlign w:val="center"/>
          </w:tcPr>
          <w:p w14:paraId="4B2380FA">
            <w:pPr>
              <w:pStyle w:val="196"/>
            </w:pPr>
            <w:r>
              <w:rPr>
                <w:rFonts w:hint="eastAsia"/>
              </w:rPr>
              <w:t>/</w:t>
            </w:r>
          </w:p>
        </w:tc>
        <w:tc>
          <w:tcPr>
            <w:tcW w:w="1179" w:type="dxa"/>
            <w:vAlign w:val="center"/>
          </w:tcPr>
          <w:p w14:paraId="2C17C87E">
            <w:pPr>
              <w:pStyle w:val="196"/>
            </w:pPr>
            <w:r>
              <w:rPr>
                <w:rFonts w:hint="eastAsia"/>
              </w:rPr>
              <w:t>/</w:t>
            </w:r>
          </w:p>
        </w:tc>
        <w:tc>
          <w:tcPr>
            <w:tcW w:w="1286" w:type="dxa"/>
            <w:vMerge w:val="restart"/>
            <w:vAlign w:val="center"/>
          </w:tcPr>
          <w:p w14:paraId="2773632A">
            <w:pPr>
              <w:pStyle w:val="196"/>
            </w:pPr>
            <w:r>
              <w:rPr>
                <w:rFonts w:hint="eastAsia"/>
              </w:rPr>
              <w:t>全部处理，</w:t>
            </w:r>
          </w:p>
          <w:p w14:paraId="10B0107C">
            <w:pPr>
              <w:pStyle w:val="196"/>
            </w:pPr>
            <w:r>
              <w:rPr>
                <w:rFonts w:hint="eastAsia"/>
              </w:rPr>
              <w:t>零排放</w:t>
            </w:r>
          </w:p>
        </w:tc>
      </w:tr>
      <w:tr w14:paraId="2409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67" w:type="dxa"/>
            <w:vMerge w:val="continue"/>
            <w:vAlign w:val="center"/>
          </w:tcPr>
          <w:p w14:paraId="23DDF474">
            <w:pPr>
              <w:pStyle w:val="196"/>
            </w:pPr>
          </w:p>
        </w:tc>
        <w:tc>
          <w:tcPr>
            <w:tcW w:w="1114" w:type="dxa"/>
            <w:vAlign w:val="center"/>
          </w:tcPr>
          <w:p w14:paraId="14F7C0AA">
            <w:pPr>
              <w:pStyle w:val="196"/>
            </w:pPr>
            <w:r>
              <w:rPr>
                <w:rFonts w:hint="eastAsia"/>
              </w:rPr>
              <w:t>一般固废</w:t>
            </w:r>
          </w:p>
        </w:tc>
        <w:tc>
          <w:tcPr>
            <w:tcW w:w="1948" w:type="dxa"/>
            <w:vAlign w:val="center"/>
          </w:tcPr>
          <w:p w14:paraId="7FA6E7E9">
            <w:pPr>
              <w:pStyle w:val="196"/>
            </w:pPr>
            <w:r>
              <w:rPr>
                <w:rFonts w:hint="eastAsia"/>
              </w:rPr>
              <w:t>陆域生活垃圾、船舶生活垃圾、沉淀池污泥、装卸作业生产的固体废物、含油抹布及手套</w:t>
            </w:r>
          </w:p>
        </w:tc>
        <w:tc>
          <w:tcPr>
            <w:tcW w:w="1389" w:type="dxa"/>
            <w:vAlign w:val="center"/>
          </w:tcPr>
          <w:p w14:paraId="411BD1A7">
            <w:pPr>
              <w:pStyle w:val="196"/>
            </w:pPr>
            <w:r>
              <w:rPr>
                <w:rFonts w:hint="eastAsia"/>
              </w:rPr>
              <w:t>环卫部门</w:t>
            </w:r>
          </w:p>
        </w:tc>
        <w:tc>
          <w:tcPr>
            <w:tcW w:w="561" w:type="dxa"/>
            <w:vAlign w:val="center"/>
          </w:tcPr>
          <w:p w14:paraId="6346BED2">
            <w:pPr>
              <w:pStyle w:val="196"/>
            </w:pPr>
            <w:r>
              <w:rPr>
                <w:rFonts w:hint="eastAsia"/>
              </w:rPr>
              <w:t>/</w:t>
            </w:r>
          </w:p>
        </w:tc>
        <w:tc>
          <w:tcPr>
            <w:tcW w:w="1263" w:type="dxa"/>
            <w:vAlign w:val="center"/>
          </w:tcPr>
          <w:p w14:paraId="2C135F3F">
            <w:pPr>
              <w:pStyle w:val="196"/>
            </w:pPr>
            <w:r>
              <w:rPr>
                <w:rFonts w:hint="eastAsia"/>
              </w:rPr>
              <w:t>/</w:t>
            </w:r>
          </w:p>
        </w:tc>
        <w:tc>
          <w:tcPr>
            <w:tcW w:w="1111" w:type="dxa"/>
            <w:vAlign w:val="center"/>
          </w:tcPr>
          <w:p w14:paraId="7E39CF5F">
            <w:pPr>
              <w:pStyle w:val="196"/>
            </w:pPr>
            <w:r>
              <w:rPr>
                <w:rFonts w:hint="eastAsia"/>
              </w:rPr>
              <w:t>/</w:t>
            </w:r>
          </w:p>
        </w:tc>
        <w:tc>
          <w:tcPr>
            <w:tcW w:w="975" w:type="dxa"/>
            <w:vAlign w:val="center"/>
          </w:tcPr>
          <w:p w14:paraId="0AD56767">
            <w:pPr>
              <w:pStyle w:val="196"/>
            </w:pPr>
            <w:r>
              <w:rPr>
                <w:rFonts w:hint="eastAsia"/>
              </w:rPr>
              <w:t>/</w:t>
            </w:r>
          </w:p>
        </w:tc>
        <w:tc>
          <w:tcPr>
            <w:tcW w:w="820" w:type="dxa"/>
            <w:vAlign w:val="center"/>
          </w:tcPr>
          <w:p w14:paraId="37EC7F82">
            <w:pPr>
              <w:pStyle w:val="196"/>
            </w:pPr>
            <w:r>
              <w:rPr>
                <w:rFonts w:hint="eastAsia"/>
              </w:rPr>
              <w:t>/</w:t>
            </w:r>
          </w:p>
        </w:tc>
        <w:tc>
          <w:tcPr>
            <w:tcW w:w="926" w:type="dxa"/>
            <w:vMerge w:val="continue"/>
            <w:vAlign w:val="center"/>
          </w:tcPr>
          <w:p w14:paraId="06E474B3">
            <w:pPr>
              <w:pStyle w:val="196"/>
            </w:pPr>
          </w:p>
        </w:tc>
        <w:tc>
          <w:tcPr>
            <w:tcW w:w="1179" w:type="dxa"/>
            <w:vAlign w:val="center"/>
          </w:tcPr>
          <w:p w14:paraId="055D9BAC">
            <w:pPr>
              <w:pStyle w:val="196"/>
              <w:jc w:val="left"/>
            </w:pPr>
          </w:p>
        </w:tc>
        <w:tc>
          <w:tcPr>
            <w:tcW w:w="1286" w:type="dxa"/>
            <w:vMerge w:val="continue"/>
            <w:vAlign w:val="center"/>
          </w:tcPr>
          <w:p w14:paraId="7329C224">
            <w:pPr>
              <w:pStyle w:val="196"/>
            </w:pPr>
          </w:p>
        </w:tc>
      </w:tr>
    </w:tbl>
    <w:p w14:paraId="2583500C">
      <w:pPr>
        <w:ind w:firstLine="482"/>
        <w:rPr>
          <w:b/>
        </w:rPr>
      </w:pPr>
      <w:r>
        <w:rPr>
          <w:rFonts w:hint="eastAsia"/>
          <w:b/>
        </w:rPr>
        <w:t xml:space="preserve"> </w:t>
      </w:r>
    </w:p>
    <w:p w14:paraId="089C9944">
      <w:pPr>
        <w:ind w:firstLine="482"/>
        <w:rPr>
          <w:b/>
          <w:bCs/>
        </w:rPr>
        <w:sectPr>
          <w:pgSz w:w="16838" w:h="11905" w:orient="landscape"/>
          <w:pgMar w:top="1440" w:right="1800" w:bottom="1440" w:left="1800" w:header="851" w:footer="992" w:gutter="0"/>
          <w:cols w:space="720" w:num="1"/>
          <w:docGrid w:type="lines" w:linePitch="332" w:charSpace="0"/>
        </w:sectPr>
      </w:pPr>
    </w:p>
    <w:p w14:paraId="322634D9">
      <w:pPr>
        <w:pStyle w:val="82"/>
      </w:pPr>
      <w:r>
        <w:rPr>
          <w:rFonts w:hint="eastAsia"/>
        </w:rPr>
        <w:t>总量排放要求</w:t>
      </w:r>
    </w:p>
    <w:p w14:paraId="7EC63076">
      <w:pPr>
        <w:numPr>
          <w:ilvl w:val="0"/>
          <w:numId w:val="10"/>
        </w:numPr>
        <w:ind w:firstLine="480"/>
      </w:pPr>
      <w:r>
        <w:rPr>
          <w:rFonts w:hint="eastAsia"/>
        </w:rPr>
        <w:t>废气污染物总量</w:t>
      </w:r>
    </w:p>
    <w:p w14:paraId="143E1196">
      <w:pPr>
        <w:ind w:firstLine="480"/>
      </w:pPr>
      <w:r>
        <w:rPr>
          <w:rFonts w:hint="eastAsia"/>
        </w:rPr>
        <w:t>建设项目废气排放</w:t>
      </w:r>
      <w:r>
        <w:rPr>
          <w:rFonts w:hint="eastAsia"/>
          <w:lang w:eastAsia="zh-CN"/>
        </w:rPr>
        <w:t>均</w:t>
      </w:r>
      <w:r>
        <w:rPr>
          <w:rFonts w:hint="eastAsia"/>
        </w:rPr>
        <w:t>无组织排放。</w:t>
      </w:r>
    </w:p>
    <w:p w14:paraId="2C355E91">
      <w:pPr>
        <w:ind w:firstLine="480"/>
      </w:pPr>
      <w:r>
        <w:rPr>
          <w:rFonts w:hint="eastAsia"/>
        </w:rPr>
        <w:t>无组织：颗粒物（TSP）</w:t>
      </w:r>
      <w:r>
        <w:t>3.715</w:t>
      </w:r>
      <w:r>
        <w:rPr>
          <w:rFonts w:hint="eastAsia"/>
        </w:rPr>
        <w:t>t/a，SO</w:t>
      </w:r>
      <w:r>
        <w:rPr>
          <w:rFonts w:hint="eastAsia"/>
          <w:vertAlign w:val="subscript"/>
        </w:rPr>
        <w:t>2</w:t>
      </w:r>
      <w:r>
        <w:rPr>
          <w:rFonts w:hint="eastAsia"/>
        </w:rPr>
        <w:t>0.</w:t>
      </w:r>
      <w:r>
        <w:t>00056</w:t>
      </w:r>
      <w:r>
        <w:rPr>
          <w:rFonts w:hint="eastAsia"/>
        </w:rPr>
        <w:t>t/a，NOx</w:t>
      </w:r>
      <w:r>
        <w:t>0.046</w:t>
      </w:r>
      <w:r>
        <w:rPr>
          <w:rFonts w:hint="eastAsia"/>
        </w:rPr>
        <w:t>t/a。</w:t>
      </w:r>
    </w:p>
    <w:p w14:paraId="1679A790">
      <w:pPr>
        <w:numPr>
          <w:ilvl w:val="0"/>
          <w:numId w:val="10"/>
        </w:numPr>
        <w:ind w:firstLine="480"/>
      </w:pPr>
      <w:r>
        <w:rPr>
          <w:rFonts w:hint="eastAsia"/>
        </w:rPr>
        <w:t>废水污染物总量</w:t>
      </w:r>
    </w:p>
    <w:p w14:paraId="541DEC58">
      <w:pPr>
        <w:pStyle w:val="93"/>
        <w:rPr>
          <w:lang w:val="en-US"/>
        </w:rPr>
      </w:pPr>
      <w:r>
        <w:rPr>
          <w:rFonts w:hint="eastAsia"/>
        </w:rPr>
        <w:t>建设项目建成后生活污水</w:t>
      </w:r>
      <w:r>
        <w:rPr>
          <w:rFonts w:hint="eastAsia"/>
          <w:lang w:val="en-US"/>
        </w:rPr>
        <w:t>（</w:t>
      </w:r>
      <w:r>
        <w:rPr>
          <w:rFonts w:hint="eastAsia"/>
        </w:rPr>
        <w:t>陆域、船舶</w:t>
      </w:r>
      <w:r>
        <w:rPr>
          <w:rFonts w:hint="eastAsia"/>
          <w:lang w:val="en-US"/>
        </w:rPr>
        <w:t>）</w:t>
      </w:r>
      <w:r>
        <w:rPr>
          <w:rFonts w:hint="eastAsia"/>
        </w:rPr>
        <w:t>全部经处理后回用不外排。</w:t>
      </w:r>
    </w:p>
    <w:p w14:paraId="1B00CC2E">
      <w:pPr>
        <w:pStyle w:val="80"/>
      </w:pPr>
      <w:bookmarkStart w:id="381" w:name="_Toc28205"/>
      <w:bookmarkEnd w:id="381"/>
      <w:bookmarkStart w:id="382" w:name="_Toc13950"/>
      <w:bookmarkStart w:id="383" w:name="_Toc182171834"/>
      <w:r>
        <w:rPr>
          <w:rFonts w:hint="eastAsia"/>
        </w:rPr>
        <w:t>环境监测计划</w:t>
      </w:r>
      <w:bookmarkEnd w:id="382"/>
      <w:bookmarkEnd w:id="383"/>
    </w:p>
    <w:p w14:paraId="08A5BCE2">
      <w:pPr>
        <w:pStyle w:val="82"/>
      </w:pPr>
      <w:r>
        <w:rPr>
          <w:rFonts w:hint="eastAsia"/>
        </w:rPr>
        <w:t>监测目的</w:t>
      </w:r>
    </w:p>
    <w:p w14:paraId="594BD81B">
      <w:pPr>
        <w:pStyle w:val="93"/>
      </w:pPr>
      <w:r>
        <w:rPr>
          <w:rFonts w:hint="eastAsia"/>
        </w:rPr>
        <w:t>环境监测是环境保护中最重要的环节和技术支持，开展环境监测的目的在于：</w:t>
      </w:r>
    </w:p>
    <w:p w14:paraId="4DAE71E1">
      <w:pPr>
        <w:pStyle w:val="93"/>
      </w:pPr>
      <w:r>
        <w:rPr>
          <w:rFonts w:hint="eastAsia"/>
        </w:rPr>
        <w:t>（1）检查项目施工期存在的对裸露施工面的保护以及施工扬尘、施工废水等环境问题，以便及时处理；</w:t>
      </w:r>
    </w:p>
    <w:p w14:paraId="3853980F">
      <w:pPr>
        <w:pStyle w:val="93"/>
      </w:pPr>
      <w:r>
        <w:rPr>
          <w:rFonts w:hint="eastAsia"/>
        </w:rPr>
        <w:t>（2）检查、跟踪项目投产后运行过程中各项环保措施的实施情况和效果，掌握环境质量的变化动态；</w:t>
      </w:r>
    </w:p>
    <w:p w14:paraId="79FD50B0">
      <w:pPr>
        <w:ind w:firstLine="480"/>
      </w:pPr>
      <w:r>
        <w:rPr>
          <w:rFonts w:hint="eastAsia"/>
        </w:rPr>
        <w:t>（3）了解项目环境工程设施的运行状况，确保设施的正常运行；</w:t>
      </w:r>
    </w:p>
    <w:p w14:paraId="060D5698">
      <w:pPr>
        <w:pStyle w:val="93"/>
      </w:pPr>
      <w:r>
        <w:rPr>
          <w:rFonts w:hint="eastAsia"/>
        </w:rPr>
        <w:t>（4）了解项目有关的环境质量监控实施情况；</w:t>
      </w:r>
    </w:p>
    <w:p w14:paraId="48BFB300">
      <w:pPr>
        <w:ind w:firstLine="480"/>
      </w:pPr>
      <w:r>
        <w:rPr>
          <w:rFonts w:hint="eastAsia"/>
        </w:rPr>
        <w:t>（5）为改善项目周围区域环境质量提供技术支持。</w:t>
      </w:r>
    </w:p>
    <w:p w14:paraId="7D42E029">
      <w:pPr>
        <w:pStyle w:val="82"/>
      </w:pPr>
      <w:bookmarkStart w:id="384" w:name="OLE_LINK9"/>
      <w:r>
        <w:rPr>
          <w:rFonts w:hint="eastAsia"/>
        </w:rPr>
        <w:t>施工期监测计划</w:t>
      </w:r>
    </w:p>
    <w:bookmarkEnd w:id="384"/>
    <w:p w14:paraId="099E8AF2">
      <w:pPr>
        <w:pStyle w:val="93"/>
      </w:pPr>
      <w:r>
        <w:rPr>
          <w:rFonts w:hint="eastAsia"/>
        </w:rPr>
        <w:t>（1）大气监测计划</w:t>
      </w:r>
    </w:p>
    <w:p w14:paraId="224517BE">
      <w:pPr>
        <w:pStyle w:val="93"/>
      </w:pPr>
      <w:r>
        <w:rPr>
          <w:rFonts w:hint="eastAsia"/>
        </w:rPr>
        <w:t>施工期间的废气主要为施工作业扬尘和运输车辆产生的尾气、水下土方干化场恶臭废气、扬尘等。</w:t>
      </w:r>
    </w:p>
    <w:p w14:paraId="4FACA5D8">
      <w:pPr>
        <w:ind w:firstLine="480"/>
      </w:pPr>
      <w:r>
        <w:rPr>
          <w:rFonts w:hint="eastAsia"/>
          <w:lang w:eastAsia="zh-CN"/>
        </w:rPr>
        <w:t>检测项目</w:t>
      </w:r>
      <w:r>
        <w:rPr>
          <w:rFonts w:hint="eastAsia"/>
        </w:rPr>
        <w:t>：TSP、NO</w:t>
      </w:r>
      <w:r>
        <w:rPr>
          <w:rFonts w:hint="eastAsia"/>
          <w:vertAlign w:val="subscript"/>
        </w:rPr>
        <w:t>2</w:t>
      </w:r>
      <w:r>
        <w:rPr>
          <w:rFonts w:hint="eastAsia"/>
        </w:rPr>
        <w:t>、CO、SO</w:t>
      </w:r>
      <w:r>
        <w:rPr>
          <w:rFonts w:hint="eastAsia"/>
          <w:vertAlign w:val="subscript"/>
        </w:rPr>
        <w:t>2</w:t>
      </w:r>
      <w:r>
        <w:rPr>
          <w:rFonts w:hint="eastAsia"/>
        </w:rPr>
        <w:t>、H</w:t>
      </w:r>
      <w:r>
        <w:rPr>
          <w:rFonts w:hint="eastAsia"/>
          <w:vertAlign w:val="subscript"/>
        </w:rPr>
        <w:t>2</w:t>
      </w:r>
      <w:r>
        <w:rPr>
          <w:rFonts w:hint="eastAsia"/>
        </w:rPr>
        <w:t>S、NH</w:t>
      </w:r>
      <w:r>
        <w:rPr>
          <w:rFonts w:hint="eastAsia"/>
          <w:vertAlign w:val="subscript"/>
        </w:rPr>
        <w:t>3</w:t>
      </w:r>
      <w:r>
        <w:rPr>
          <w:rFonts w:hint="eastAsia"/>
        </w:rPr>
        <w:t>、臭气浓度</w:t>
      </w:r>
    </w:p>
    <w:p w14:paraId="2D6336CC">
      <w:pPr>
        <w:pStyle w:val="93"/>
      </w:pPr>
      <w:r>
        <w:rPr>
          <w:rFonts w:hint="eastAsia"/>
        </w:rPr>
        <w:t>监测位置：施工场区四周、水下土方干化场四周。</w:t>
      </w:r>
    </w:p>
    <w:p w14:paraId="5239F617">
      <w:pPr>
        <w:ind w:firstLine="480"/>
      </w:pPr>
      <w:r>
        <w:rPr>
          <w:rFonts w:hint="eastAsia"/>
        </w:rPr>
        <w:t>监测频率：施工期间每两个月监测一次，每次连续监测两天，每天四次。重污染天气加密监测。</w:t>
      </w:r>
    </w:p>
    <w:p w14:paraId="14A2C339">
      <w:pPr>
        <w:ind w:firstLine="480"/>
      </w:pPr>
      <w:r>
        <w:rPr>
          <w:rFonts w:hint="eastAsia"/>
        </w:rPr>
        <w:t>监测方法：按照相关环境监测技术规范进行。</w:t>
      </w:r>
    </w:p>
    <w:p w14:paraId="432826A4">
      <w:pPr>
        <w:ind w:firstLine="480"/>
      </w:pPr>
      <w:r>
        <w:rPr>
          <w:rFonts w:hint="eastAsia"/>
        </w:rPr>
        <w:t>（2）水质监测计划</w:t>
      </w:r>
    </w:p>
    <w:p w14:paraId="765F3F9C">
      <w:pPr>
        <w:ind w:firstLine="480"/>
      </w:pPr>
      <w:r>
        <w:rPr>
          <w:rFonts w:hint="eastAsia"/>
        </w:rPr>
        <w:t>监测项目：COD、SS、石油类。</w:t>
      </w:r>
    </w:p>
    <w:p w14:paraId="3F18424D">
      <w:pPr>
        <w:pStyle w:val="93"/>
      </w:pPr>
      <w:r>
        <w:rPr>
          <w:rFonts w:hint="eastAsia"/>
        </w:rPr>
        <w:t>监测位置：施</w:t>
      </w:r>
      <w:r>
        <w:rPr>
          <w:rFonts w:hint="eastAsia"/>
          <w:lang w:eastAsia="zh-CN"/>
        </w:rPr>
        <w:t>工现</w:t>
      </w:r>
      <w:r>
        <w:rPr>
          <w:rFonts w:hint="eastAsia"/>
        </w:rPr>
        <w:t>场上游500m及下游500m。</w:t>
      </w:r>
    </w:p>
    <w:p w14:paraId="20B45CEA">
      <w:pPr>
        <w:ind w:firstLine="480"/>
      </w:pPr>
      <w:r>
        <w:rPr>
          <w:rFonts w:hint="eastAsia"/>
        </w:rPr>
        <w:t>监测频率：施工期间每两个月监测一次，每次连续监测两天。</w:t>
      </w:r>
    </w:p>
    <w:p w14:paraId="425D47C9">
      <w:pPr>
        <w:ind w:firstLine="480"/>
      </w:pPr>
      <w:r>
        <w:rPr>
          <w:rFonts w:hint="eastAsia"/>
        </w:rPr>
        <w:t>监测方法：按照相关环境监测技术规范进行。</w:t>
      </w:r>
    </w:p>
    <w:p w14:paraId="0F97CE80">
      <w:pPr>
        <w:pStyle w:val="93"/>
      </w:pPr>
      <w:r>
        <w:rPr>
          <w:rFonts w:hint="eastAsia"/>
        </w:rPr>
        <w:t>（3）声环境监测计划</w:t>
      </w:r>
    </w:p>
    <w:p w14:paraId="4DD9CE3B">
      <w:pPr>
        <w:ind w:firstLine="480"/>
      </w:pPr>
      <w:r>
        <w:rPr>
          <w:rFonts w:hint="eastAsia"/>
        </w:rPr>
        <w:t>施工期间，作业机械设备和施工车辆向周围环境排放噪声。</w:t>
      </w:r>
    </w:p>
    <w:p w14:paraId="37C97D15">
      <w:pPr>
        <w:ind w:firstLine="480"/>
      </w:pPr>
      <w:r>
        <w:rPr>
          <w:rFonts w:hint="eastAsia"/>
          <w:lang w:eastAsia="zh-CN"/>
        </w:rPr>
        <w:t>检测项目</w:t>
      </w:r>
      <w:r>
        <w:rPr>
          <w:rFonts w:hint="eastAsia"/>
        </w:rPr>
        <w:t>：等效连续A声级，Leq(A)。</w:t>
      </w:r>
    </w:p>
    <w:p w14:paraId="47D06BB1">
      <w:pPr>
        <w:ind w:firstLine="480"/>
      </w:pPr>
      <w:r>
        <w:rPr>
          <w:rFonts w:hint="eastAsia"/>
        </w:rPr>
        <w:t>监测位置：在施工场区四周、施工车辆经过的路段设置噪声</w:t>
      </w:r>
      <w:r>
        <w:rPr>
          <w:rFonts w:hint="eastAsia"/>
          <w:lang w:eastAsia="zh-CN"/>
        </w:rPr>
        <w:t>监测点</w:t>
      </w:r>
      <w:r>
        <w:rPr>
          <w:rFonts w:hint="eastAsia"/>
        </w:rPr>
        <w:t>。</w:t>
      </w:r>
    </w:p>
    <w:p w14:paraId="21C02FB5">
      <w:pPr>
        <w:ind w:firstLine="480"/>
      </w:pPr>
      <w:r>
        <w:rPr>
          <w:rFonts w:hint="eastAsia"/>
        </w:rPr>
        <w:t>监测频率：施工期每两个月监测一期，每期一天（昼夜各一次）。</w:t>
      </w:r>
    </w:p>
    <w:p w14:paraId="64F2F464">
      <w:pPr>
        <w:ind w:firstLine="480"/>
      </w:pPr>
      <w:r>
        <w:rPr>
          <w:rFonts w:hint="eastAsia"/>
        </w:rPr>
        <w:t>监测方法：按照相关环境监测技术规范进行。</w:t>
      </w:r>
    </w:p>
    <w:p w14:paraId="57967EA9">
      <w:pPr>
        <w:ind w:firstLine="480"/>
      </w:pPr>
      <w:r>
        <w:rPr>
          <w:rFonts w:hint="eastAsia"/>
        </w:rPr>
        <w:t>（4）固体废物监督计划</w:t>
      </w:r>
    </w:p>
    <w:p w14:paraId="43860D89">
      <w:pPr>
        <w:ind w:firstLine="480"/>
      </w:pPr>
      <w:r>
        <w:rPr>
          <w:rFonts w:hint="eastAsia"/>
        </w:rPr>
        <w:t>严格监督和落实施工期各固体废物和危险废物的处置情况，记录各危险废物的产生量及处理方式、去向等信息。</w:t>
      </w:r>
    </w:p>
    <w:p w14:paraId="08C20914">
      <w:pPr>
        <w:ind w:firstLine="480"/>
      </w:pPr>
      <w:r>
        <w:rPr>
          <w:rFonts w:hint="eastAsia"/>
        </w:rPr>
        <w:t>（5）生态环境监测</w:t>
      </w:r>
    </w:p>
    <w:p w14:paraId="16E3029C">
      <w:pPr>
        <w:ind w:firstLine="480"/>
      </w:pPr>
      <w:r>
        <w:rPr>
          <w:rFonts w:hint="eastAsia"/>
        </w:rPr>
        <w:t>监测项目：植物群落变化、生境质量变化</w:t>
      </w:r>
    </w:p>
    <w:p w14:paraId="1DE7D2F2">
      <w:pPr>
        <w:ind w:firstLine="480"/>
      </w:pPr>
      <w:bookmarkStart w:id="385" w:name="OLE_LINK10"/>
      <w:r>
        <w:rPr>
          <w:rFonts w:hint="eastAsia"/>
        </w:rPr>
        <w:t>监测位置：在施工场区四周、盐河。</w:t>
      </w:r>
    </w:p>
    <w:p w14:paraId="61945133">
      <w:pPr>
        <w:ind w:firstLine="480"/>
      </w:pPr>
      <w:r>
        <w:rPr>
          <w:rFonts w:hint="eastAsia"/>
        </w:rPr>
        <w:t>监测频率：施工期。</w:t>
      </w:r>
    </w:p>
    <w:p w14:paraId="11FBEFB7">
      <w:pPr>
        <w:ind w:firstLine="480"/>
      </w:pPr>
      <w:r>
        <w:rPr>
          <w:rFonts w:hint="eastAsia"/>
        </w:rPr>
        <w:t>监测方法：按照相关环境监测技术规范进行。</w:t>
      </w:r>
    </w:p>
    <w:bookmarkEnd w:id="385"/>
    <w:p w14:paraId="0927FF53">
      <w:pPr>
        <w:pStyle w:val="139"/>
        <w:ind w:firstLine="480"/>
        <w:rPr>
          <w:color w:val="auto"/>
        </w:rPr>
      </w:pPr>
      <w:r>
        <w:rPr>
          <w:rFonts w:hint="eastAsia"/>
          <w:color w:val="auto"/>
        </w:rPr>
        <w:t>（6）底泥监测</w:t>
      </w:r>
    </w:p>
    <w:p w14:paraId="5E7ABD56">
      <w:pPr>
        <w:pStyle w:val="139"/>
        <w:ind w:firstLine="480"/>
        <w:rPr>
          <w:color w:val="auto"/>
        </w:rPr>
      </w:pPr>
      <w:r>
        <w:rPr>
          <w:rFonts w:hint="eastAsia"/>
          <w:color w:val="auto"/>
        </w:rPr>
        <w:t>监测项目：</w:t>
      </w:r>
      <w:r>
        <w:rPr>
          <w:color w:val="auto"/>
        </w:rPr>
        <w:t>pH、《建设用地土 壤污染风险管控 标准（试行）》中表1所列45项基本项目、石油烃；《土壤环境质量 农用地土壤污染风险管控标准（试行）》的锌、铬</w:t>
      </w:r>
      <w:r>
        <w:rPr>
          <w:rFonts w:hint="eastAsia"/>
          <w:color w:val="auto"/>
        </w:rPr>
        <w:t>。</w:t>
      </w:r>
    </w:p>
    <w:p w14:paraId="25BE7033">
      <w:pPr>
        <w:pStyle w:val="139"/>
        <w:ind w:firstLine="480"/>
        <w:rPr>
          <w:color w:val="auto"/>
        </w:rPr>
      </w:pPr>
      <w:r>
        <w:rPr>
          <w:rFonts w:hint="eastAsia"/>
          <w:color w:val="auto"/>
        </w:rPr>
        <w:t>监测位置：疏浚区域。</w:t>
      </w:r>
    </w:p>
    <w:p w14:paraId="15E313D8">
      <w:pPr>
        <w:pStyle w:val="139"/>
        <w:ind w:firstLine="480"/>
        <w:rPr>
          <w:color w:val="auto"/>
        </w:rPr>
      </w:pPr>
      <w:r>
        <w:rPr>
          <w:rFonts w:hint="eastAsia"/>
          <w:color w:val="auto"/>
        </w:rPr>
        <w:t>监测频率：施工期。</w:t>
      </w:r>
    </w:p>
    <w:p w14:paraId="437D0B9A">
      <w:pPr>
        <w:pStyle w:val="139"/>
        <w:ind w:firstLine="480"/>
        <w:rPr>
          <w:color w:val="auto"/>
        </w:rPr>
      </w:pPr>
      <w:r>
        <w:rPr>
          <w:rFonts w:hint="eastAsia"/>
          <w:color w:val="auto"/>
        </w:rPr>
        <w:t>监测方法：按照相关环境监测技术规范进行。</w:t>
      </w:r>
    </w:p>
    <w:p w14:paraId="2F32ED63">
      <w:pPr>
        <w:pStyle w:val="82"/>
      </w:pPr>
      <w:r>
        <w:rPr>
          <w:rFonts w:hint="eastAsia"/>
        </w:rPr>
        <w:t>营运期监测计划</w:t>
      </w:r>
    </w:p>
    <w:p w14:paraId="4FC9ABA8">
      <w:pPr>
        <w:pStyle w:val="93"/>
      </w:pPr>
      <w:r>
        <w:rPr>
          <w:rFonts w:hint="eastAsia"/>
        </w:rPr>
        <w:t>根据《排污单位自行监测技术指南  总则》（HJ819-2017）、《排污许可证申请与核发技术规范 码头》（HJ1107-2020）及《江苏省港口粉尘综合治理专项行动实施方案》（苏交港〔2017〕11号）制定项目监测计划，监测计划主要包括污染源监测以及环境质量监测，其中环境质量监测应纳入淮安市环境监测计划。见下表：</w:t>
      </w:r>
    </w:p>
    <w:p w14:paraId="06CB2AD2">
      <w:pPr>
        <w:pStyle w:val="86"/>
      </w:pPr>
      <w:r>
        <w:rPr>
          <w:rFonts w:hint="eastAsia"/>
        </w:rPr>
        <w:t>营运期监测计划</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133"/>
        <w:gridCol w:w="1985"/>
        <w:gridCol w:w="1328"/>
        <w:gridCol w:w="3257"/>
      </w:tblGrid>
      <w:tr w14:paraId="00A3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80" w:type="pct"/>
            <w:vAlign w:val="center"/>
          </w:tcPr>
          <w:p w14:paraId="3B366526">
            <w:pPr>
              <w:pStyle w:val="196"/>
              <w:rPr>
                <w:b/>
                <w:bCs/>
              </w:rPr>
            </w:pPr>
            <w:r>
              <w:rPr>
                <w:rFonts w:hint="eastAsia"/>
                <w:b/>
                <w:bCs/>
              </w:rPr>
              <w:t>项目</w:t>
            </w:r>
          </w:p>
        </w:tc>
        <w:tc>
          <w:tcPr>
            <w:tcW w:w="665" w:type="pct"/>
            <w:vAlign w:val="center"/>
          </w:tcPr>
          <w:p w14:paraId="30D338C0">
            <w:pPr>
              <w:pStyle w:val="196"/>
              <w:rPr>
                <w:b/>
                <w:bCs/>
              </w:rPr>
            </w:pPr>
            <w:r>
              <w:rPr>
                <w:rFonts w:hint="eastAsia"/>
                <w:b/>
                <w:bCs/>
              </w:rPr>
              <w:t>监测点位</w:t>
            </w:r>
          </w:p>
        </w:tc>
        <w:tc>
          <w:tcPr>
            <w:tcW w:w="1165" w:type="pct"/>
            <w:vAlign w:val="center"/>
          </w:tcPr>
          <w:p w14:paraId="3234DE57">
            <w:pPr>
              <w:pStyle w:val="196"/>
              <w:rPr>
                <w:b/>
                <w:bCs/>
              </w:rPr>
            </w:pPr>
            <w:r>
              <w:rPr>
                <w:rFonts w:hint="eastAsia"/>
                <w:b/>
                <w:bCs/>
              </w:rPr>
              <w:t>监测指标</w:t>
            </w:r>
          </w:p>
        </w:tc>
        <w:tc>
          <w:tcPr>
            <w:tcW w:w="779" w:type="pct"/>
            <w:vAlign w:val="center"/>
          </w:tcPr>
          <w:p w14:paraId="3142791D">
            <w:pPr>
              <w:pStyle w:val="196"/>
              <w:rPr>
                <w:b/>
                <w:bCs/>
              </w:rPr>
            </w:pPr>
            <w:r>
              <w:rPr>
                <w:rFonts w:hint="eastAsia"/>
                <w:b/>
                <w:bCs/>
              </w:rPr>
              <w:t>监测频次</w:t>
            </w:r>
          </w:p>
        </w:tc>
        <w:tc>
          <w:tcPr>
            <w:tcW w:w="1911" w:type="pct"/>
            <w:vAlign w:val="center"/>
          </w:tcPr>
          <w:p w14:paraId="5E2D0847">
            <w:pPr>
              <w:pStyle w:val="196"/>
              <w:rPr>
                <w:b/>
                <w:bCs/>
              </w:rPr>
            </w:pPr>
            <w:r>
              <w:rPr>
                <w:rFonts w:hint="eastAsia"/>
                <w:b/>
                <w:bCs/>
              </w:rPr>
              <w:t>执行标准</w:t>
            </w:r>
          </w:p>
        </w:tc>
      </w:tr>
      <w:tr w14:paraId="1EA3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vMerge w:val="restart"/>
            <w:vAlign w:val="center"/>
          </w:tcPr>
          <w:p w14:paraId="19D4AEA0">
            <w:pPr>
              <w:pStyle w:val="196"/>
            </w:pPr>
            <w:r>
              <w:rPr>
                <w:rFonts w:hint="eastAsia"/>
              </w:rPr>
              <w:t>废气</w:t>
            </w:r>
          </w:p>
        </w:tc>
        <w:tc>
          <w:tcPr>
            <w:tcW w:w="665" w:type="pct"/>
            <w:vMerge w:val="restart"/>
            <w:vAlign w:val="center"/>
          </w:tcPr>
          <w:p w14:paraId="0F3BFC55">
            <w:pPr>
              <w:pStyle w:val="196"/>
            </w:pPr>
            <w:r>
              <w:rPr>
                <w:rFonts w:hint="eastAsia"/>
              </w:rPr>
              <w:t>码头四周边界（无组织）</w:t>
            </w:r>
          </w:p>
        </w:tc>
        <w:tc>
          <w:tcPr>
            <w:tcW w:w="1165" w:type="pct"/>
            <w:vAlign w:val="center"/>
          </w:tcPr>
          <w:p w14:paraId="0B4BFD72">
            <w:pPr>
              <w:pStyle w:val="196"/>
            </w:pPr>
            <w:r>
              <w:rPr>
                <w:rFonts w:hint="eastAsia"/>
              </w:rPr>
              <w:t>SO</w:t>
            </w:r>
            <w:r>
              <w:rPr>
                <w:rFonts w:hint="eastAsia"/>
                <w:vertAlign w:val="subscript"/>
              </w:rPr>
              <w:t>2</w:t>
            </w:r>
            <w:r>
              <w:rPr>
                <w:rFonts w:hint="eastAsia"/>
              </w:rPr>
              <w:t>、NO</w:t>
            </w:r>
            <w:r>
              <w:rPr>
                <w:rFonts w:hint="eastAsia"/>
                <w:vertAlign w:val="subscript"/>
              </w:rPr>
              <w:t>X</w:t>
            </w:r>
            <w:r>
              <w:rPr>
                <w:rFonts w:hint="eastAsia"/>
              </w:rPr>
              <w:t>、CO、非甲烷总烃</w:t>
            </w:r>
          </w:p>
        </w:tc>
        <w:tc>
          <w:tcPr>
            <w:tcW w:w="779" w:type="pct"/>
            <w:vAlign w:val="center"/>
          </w:tcPr>
          <w:p w14:paraId="7D46AEDA">
            <w:pPr>
              <w:pStyle w:val="196"/>
            </w:pPr>
            <w:r>
              <w:rPr>
                <w:rFonts w:hint="eastAsia"/>
              </w:rPr>
              <w:t>每半年一次</w:t>
            </w:r>
          </w:p>
        </w:tc>
        <w:tc>
          <w:tcPr>
            <w:tcW w:w="1911" w:type="pct"/>
            <w:vAlign w:val="center"/>
          </w:tcPr>
          <w:p w14:paraId="1BAEDEBD">
            <w:pPr>
              <w:pStyle w:val="196"/>
            </w:pPr>
            <w:r>
              <w:rPr>
                <w:rFonts w:hint="eastAsia"/>
              </w:rPr>
              <w:t>《大气污染物综合排放标准》（DB32/4041-2021）表3中标准</w:t>
            </w:r>
          </w:p>
        </w:tc>
      </w:tr>
      <w:tr w14:paraId="34B50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0" w:type="auto"/>
            <w:vMerge w:val="continue"/>
            <w:vAlign w:val="center"/>
          </w:tcPr>
          <w:p w14:paraId="0CE394C8">
            <w:pPr>
              <w:pStyle w:val="196"/>
            </w:pPr>
          </w:p>
        </w:tc>
        <w:tc>
          <w:tcPr>
            <w:tcW w:w="0" w:type="auto"/>
            <w:vMerge w:val="continue"/>
            <w:vAlign w:val="center"/>
          </w:tcPr>
          <w:p w14:paraId="11CF6858">
            <w:pPr>
              <w:pStyle w:val="196"/>
            </w:pPr>
          </w:p>
        </w:tc>
        <w:tc>
          <w:tcPr>
            <w:tcW w:w="1165" w:type="pct"/>
            <w:vAlign w:val="center"/>
          </w:tcPr>
          <w:p w14:paraId="5CE2A779">
            <w:pPr>
              <w:pStyle w:val="196"/>
            </w:pPr>
            <w:r>
              <w:rPr>
                <w:rFonts w:hint="eastAsia"/>
              </w:rPr>
              <w:t>颗粒物</w:t>
            </w:r>
          </w:p>
        </w:tc>
        <w:tc>
          <w:tcPr>
            <w:tcW w:w="779" w:type="pct"/>
            <w:vAlign w:val="center"/>
          </w:tcPr>
          <w:p w14:paraId="7E3FACF0">
            <w:pPr>
              <w:pStyle w:val="196"/>
            </w:pPr>
            <w:r>
              <w:rPr>
                <w:rFonts w:hint="eastAsia"/>
              </w:rPr>
              <w:t>在线监测</w:t>
            </w:r>
          </w:p>
        </w:tc>
        <w:tc>
          <w:tcPr>
            <w:tcW w:w="1911" w:type="pct"/>
            <w:vAlign w:val="center"/>
          </w:tcPr>
          <w:p w14:paraId="6BDA672D">
            <w:pPr>
              <w:pStyle w:val="196"/>
            </w:pPr>
            <w:r>
              <w:rPr>
                <w:rFonts w:hint="eastAsia"/>
              </w:rPr>
              <w:t>《大气污染物综合排放标准》（DB32/4041-2021）表3中标准</w:t>
            </w:r>
          </w:p>
        </w:tc>
      </w:tr>
      <w:tr w14:paraId="457C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80" w:type="pct"/>
            <w:vAlign w:val="center"/>
          </w:tcPr>
          <w:p w14:paraId="20508E4A">
            <w:pPr>
              <w:pStyle w:val="196"/>
            </w:pPr>
            <w:r>
              <w:rPr>
                <w:rFonts w:hint="eastAsia"/>
              </w:rPr>
              <w:t>噪声</w:t>
            </w:r>
          </w:p>
        </w:tc>
        <w:tc>
          <w:tcPr>
            <w:tcW w:w="665" w:type="pct"/>
            <w:vAlign w:val="center"/>
          </w:tcPr>
          <w:p w14:paraId="4D6F6B5F">
            <w:pPr>
              <w:pStyle w:val="196"/>
            </w:pPr>
            <w:r>
              <w:rPr>
                <w:rFonts w:hint="eastAsia"/>
              </w:rPr>
              <w:t>码头四周</w:t>
            </w:r>
          </w:p>
          <w:p w14:paraId="46770815">
            <w:pPr>
              <w:pStyle w:val="196"/>
            </w:pPr>
            <w:r>
              <w:rPr>
                <w:rFonts w:hint="eastAsia"/>
              </w:rPr>
              <w:t>边界</w:t>
            </w:r>
          </w:p>
        </w:tc>
        <w:tc>
          <w:tcPr>
            <w:tcW w:w="1165" w:type="pct"/>
            <w:vAlign w:val="center"/>
          </w:tcPr>
          <w:p w14:paraId="5F7DEF09">
            <w:pPr>
              <w:pStyle w:val="196"/>
            </w:pPr>
            <w:r>
              <w:rPr>
                <w:rFonts w:hint="eastAsia"/>
              </w:rPr>
              <w:t>L</w:t>
            </w:r>
            <w:r>
              <w:rPr>
                <w:rFonts w:hint="eastAsia"/>
                <w:vertAlign w:val="subscript"/>
              </w:rPr>
              <w:t>WECPN</w:t>
            </w:r>
            <w:r>
              <w:rPr>
                <w:rFonts w:hint="eastAsia"/>
              </w:rPr>
              <w:t>、L</w:t>
            </w:r>
            <w:r>
              <w:rPr>
                <w:rFonts w:hint="eastAsia"/>
                <w:vertAlign w:val="subscript"/>
              </w:rPr>
              <w:t>Amax</w:t>
            </w:r>
          </w:p>
        </w:tc>
        <w:tc>
          <w:tcPr>
            <w:tcW w:w="779" w:type="pct"/>
            <w:vAlign w:val="center"/>
          </w:tcPr>
          <w:p w14:paraId="7D480B33">
            <w:pPr>
              <w:pStyle w:val="196"/>
            </w:pPr>
            <w:r>
              <w:rPr>
                <w:rFonts w:hint="eastAsia"/>
              </w:rPr>
              <w:t>每季度一次</w:t>
            </w:r>
          </w:p>
        </w:tc>
        <w:tc>
          <w:tcPr>
            <w:tcW w:w="1911" w:type="pct"/>
            <w:vAlign w:val="center"/>
          </w:tcPr>
          <w:p w14:paraId="4FE2A90D">
            <w:pPr>
              <w:pStyle w:val="196"/>
            </w:pPr>
            <w:r>
              <w:rPr>
                <w:rFonts w:hint="eastAsia"/>
              </w:rPr>
              <w:t>《工业企业厂界环境噪声排放标准》（GB12348-2008）中3/4类标准</w:t>
            </w:r>
          </w:p>
        </w:tc>
      </w:tr>
      <w:tr w14:paraId="7010C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vAlign w:val="center"/>
          </w:tcPr>
          <w:p w14:paraId="46BA47AD">
            <w:pPr>
              <w:pStyle w:val="196"/>
            </w:pPr>
            <w:r>
              <w:rPr>
                <w:rFonts w:hint="eastAsia"/>
              </w:rPr>
              <w:t>废水</w:t>
            </w:r>
          </w:p>
        </w:tc>
        <w:tc>
          <w:tcPr>
            <w:tcW w:w="665" w:type="pct"/>
            <w:vAlign w:val="center"/>
          </w:tcPr>
          <w:p w14:paraId="735C986D">
            <w:pPr>
              <w:pStyle w:val="196"/>
            </w:pPr>
            <w:r>
              <w:rPr>
                <w:rFonts w:hint="eastAsia"/>
              </w:rPr>
              <w:t>在项目码头上下游两端0.5km各布设一个点。</w:t>
            </w:r>
          </w:p>
        </w:tc>
        <w:tc>
          <w:tcPr>
            <w:tcW w:w="1165" w:type="pct"/>
            <w:vAlign w:val="center"/>
          </w:tcPr>
          <w:p w14:paraId="425092F8">
            <w:pPr>
              <w:pStyle w:val="196"/>
            </w:pPr>
            <w:r>
              <w:rPr>
                <w:rFonts w:hint="eastAsia"/>
              </w:rPr>
              <w:t>COD、石油类、氨氮、总磷、总氮，</w:t>
            </w:r>
          </w:p>
        </w:tc>
        <w:tc>
          <w:tcPr>
            <w:tcW w:w="779" w:type="pct"/>
            <w:vAlign w:val="center"/>
          </w:tcPr>
          <w:p w14:paraId="28231A39">
            <w:pPr>
              <w:pStyle w:val="196"/>
            </w:pPr>
            <w:r>
              <w:rPr>
                <w:rFonts w:hint="eastAsia"/>
              </w:rPr>
              <w:t>枯水期、平水期和丰水期各监测一期，一期两次</w:t>
            </w:r>
          </w:p>
        </w:tc>
        <w:tc>
          <w:tcPr>
            <w:tcW w:w="1911" w:type="pct"/>
            <w:vAlign w:val="center"/>
          </w:tcPr>
          <w:p w14:paraId="65B1C649">
            <w:pPr>
              <w:pStyle w:val="196"/>
            </w:pPr>
            <w:r>
              <w:rPr>
                <w:rFonts w:hint="eastAsia"/>
              </w:rPr>
              <w:t>《地表水环境质量标准》（GB3838－2002）</w:t>
            </w:r>
          </w:p>
        </w:tc>
      </w:tr>
      <w:tr w14:paraId="24726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0" w:type="pct"/>
            <w:vAlign w:val="center"/>
          </w:tcPr>
          <w:p w14:paraId="4E9F9A85">
            <w:pPr>
              <w:pStyle w:val="196"/>
            </w:pPr>
            <w:r>
              <w:rPr>
                <w:rFonts w:hint="eastAsia"/>
              </w:rPr>
              <w:t>水生生态</w:t>
            </w:r>
          </w:p>
        </w:tc>
        <w:tc>
          <w:tcPr>
            <w:tcW w:w="665" w:type="pct"/>
            <w:vAlign w:val="center"/>
          </w:tcPr>
          <w:p w14:paraId="5BF7D055">
            <w:pPr>
              <w:pStyle w:val="196"/>
            </w:pPr>
            <w:r>
              <w:rPr>
                <w:rFonts w:hint="eastAsia"/>
              </w:rPr>
              <w:t>盐河水域</w:t>
            </w:r>
          </w:p>
        </w:tc>
        <w:tc>
          <w:tcPr>
            <w:tcW w:w="1165" w:type="pct"/>
            <w:vAlign w:val="center"/>
          </w:tcPr>
          <w:p w14:paraId="4D003BEC">
            <w:pPr>
              <w:pStyle w:val="196"/>
            </w:pPr>
            <w:r>
              <w:rPr>
                <w:rFonts w:hint="eastAsia"/>
              </w:rPr>
              <w:t>水生动物、高等水生植物、浮游生物与底栖生物的种类、数量、分布</w:t>
            </w:r>
          </w:p>
        </w:tc>
        <w:tc>
          <w:tcPr>
            <w:tcW w:w="779" w:type="pct"/>
            <w:vAlign w:val="center"/>
          </w:tcPr>
          <w:p w14:paraId="1D07ADEB">
            <w:pPr>
              <w:pStyle w:val="196"/>
            </w:pPr>
            <w:r>
              <w:rPr>
                <w:rFonts w:hint="eastAsia"/>
              </w:rPr>
              <w:t>每5年开展一次</w:t>
            </w:r>
          </w:p>
        </w:tc>
        <w:tc>
          <w:tcPr>
            <w:tcW w:w="1911" w:type="pct"/>
            <w:vAlign w:val="center"/>
          </w:tcPr>
          <w:p w14:paraId="4AA7DA66">
            <w:pPr>
              <w:pStyle w:val="196"/>
            </w:pPr>
            <w:r>
              <w:rPr>
                <w:rFonts w:hint="eastAsia"/>
              </w:rPr>
              <w:t>-</w:t>
            </w:r>
          </w:p>
        </w:tc>
      </w:tr>
    </w:tbl>
    <w:p w14:paraId="53D60857">
      <w:pPr>
        <w:pStyle w:val="80"/>
      </w:pPr>
      <w:bookmarkStart w:id="386" w:name="_Toc4682"/>
      <w:bookmarkEnd w:id="386"/>
      <w:bookmarkStart w:id="387" w:name="_Toc182171835"/>
      <w:bookmarkStart w:id="388" w:name="_Toc27560"/>
      <w:r>
        <w:rPr>
          <w:rFonts w:hint="eastAsia"/>
        </w:rPr>
        <w:t>排污口规范化设置</w:t>
      </w:r>
      <w:bookmarkEnd w:id="387"/>
      <w:bookmarkEnd w:id="388"/>
    </w:p>
    <w:p w14:paraId="550AE3DF">
      <w:pPr>
        <w:pStyle w:val="93"/>
      </w:pPr>
      <w:r>
        <w:rPr>
          <w:rFonts w:hint="eastAsia"/>
        </w:rPr>
        <w:t>废水排放口、固定噪声源、固体废物贮存和排气筒必须按照国家和云南省的有关规定进行建设，应符合“一明显、二合理、三便于”的要求，即环保标志明显，排污口设置合理，便于采集样品、便于监测计量、便于公众参与和监督管理。同时要求按照</w:t>
      </w:r>
      <w:r>
        <w:rPr>
          <w:rFonts w:hint="eastAsia"/>
          <w:lang w:eastAsia="zh-CN"/>
        </w:rPr>
        <w:t>生态环境部</w:t>
      </w:r>
      <w:r>
        <w:rPr>
          <w:rFonts w:hint="eastAsia"/>
        </w:rPr>
        <w:t>制定的《环境保护图形标志实施细则（试行）》的规定，设置与排污口相应的图形标志牌。</w:t>
      </w:r>
    </w:p>
    <w:p w14:paraId="1DD4BBEE">
      <w:pPr>
        <w:pStyle w:val="93"/>
      </w:pPr>
      <w:r>
        <w:rPr>
          <w:rFonts w:hint="eastAsia"/>
        </w:rPr>
        <w:t>（1）排污口管理。</w:t>
      </w:r>
    </w:p>
    <w:p w14:paraId="053A4BBE">
      <w:pPr>
        <w:pStyle w:val="93"/>
      </w:pPr>
      <w:r>
        <w:rPr>
          <w:rFonts w:hint="eastAsia"/>
        </w:rPr>
        <w:t>建设单位应在各个排污口处竖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287866EE">
      <w:pPr>
        <w:pStyle w:val="93"/>
      </w:pPr>
      <w:r>
        <w:rPr>
          <w:rFonts w:hint="eastAsia"/>
        </w:rPr>
        <w:t>（2）环境保护图形标志</w:t>
      </w:r>
    </w:p>
    <w:p w14:paraId="2E118710">
      <w:pPr>
        <w:pStyle w:val="93"/>
      </w:pPr>
      <w:r>
        <w:rPr>
          <w:rFonts w:hint="eastAsia"/>
        </w:rPr>
        <w:t>在场区的废气排放源、固体废物贮存处置场应设置环境保护图形标志，图形符号分为提示图形和警告图形符号两种，分别按《环境保护图形标志-排放口（源）》（GB15562.1-1995）、《环境保护图形标志固体废物贮存（处置）场》（GB 15562.2-1995）修改单执行。环境保护图形标志的形状及颜色见表8.3-1，环境保护图形符号见表8.3-2。</w:t>
      </w:r>
    </w:p>
    <w:p w14:paraId="7177390A">
      <w:pPr>
        <w:pStyle w:val="86"/>
      </w:pPr>
      <w:r>
        <w:rPr>
          <w:rFonts w:hint="eastAsia"/>
        </w:rPr>
        <w:t>环境保护图形标志的形状及颜色表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1525"/>
        <w:gridCol w:w="2331"/>
        <w:gridCol w:w="2332"/>
      </w:tblGrid>
      <w:tr w14:paraId="358D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67" w:type="pct"/>
            <w:vAlign w:val="center"/>
          </w:tcPr>
          <w:p w14:paraId="05D438BC">
            <w:pPr>
              <w:pStyle w:val="196"/>
            </w:pPr>
            <w:r>
              <w:rPr>
                <w:rFonts w:hint="eastAsia"/>
              </w:rPr>
              <w:t>标志名称</w:t>
            </w:r>
          </w:p>
        </w:tc>
        <w:tc>
          <w:tcPr>
            <w:tcW w:w="895" w:type="pct"/>
            <w:vAlign w:val="center"/>
          </w:tcPr>
          <w:p w14:paraId="399140C4">
            <w:pPr>
              <w:pStyle w:val="196"/>
            </w:pPr>
            <w:r>
              <w:rPr>
                <w:rFonts w:hint="eastAsia"/>
              </w:rPr>
              <w:t>形状</w:t>
            </w:r>
          </w:p>
        </w:tc>
        <w:tc>
          <w:tcPr>
            <w:tcW w:w="1368" w:type="pct"/>
            <w:vAlign w:val="center"/>
          </w:tcPr>
          <w:p w14:paraId="146E6916">
            <w:pPr>
              <w:pStyle w:val="196"/>
            </w:pPr>
            <w:r>
              <w:rPr>
                <w:rFonts w:hint="eastAsia"/>
              </w:rPr>
              <w:t>背景颜色</w:t>
            </w:r>
          </w:p>
        </w:tc>
        <w:tc>
          <w:tcPr>
            <w:tcW w:w="1368" w:type="pct"/>
            <w:vAlign w:val="center"/>
          </w:tcPr>
          <w:p w14:paraId="6AC22836">
            <w:pPr>
              <w:pStyle w:val="196"/>
            </w:pPr>
            <w:r>
              <w:rPr>
                <w:rFonts w:hint="eastAsia"/>
              </w:rPr>
              <w:t>图形颜色</w:t>
            </w:r>
          </w:p>
        </w:tc>
      </w:tr>
      <w:tr w14:paraId="72D2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pct"/>
            <w:vAlign w:val="center"/>
          </w:tcPr>
          <w:p w14:paraId="147875A1">
            <w:pPr>
              <w:pStyle w:val="196"/>
            </w:pPr>
            <w:r>
              <w:rPr>
                <w:rFonts w:hint="eastAsia"/>
              </w:rPr>
              <w:t>警告标志</w:t>
            </w:r>
          </w:p>
        </w:tc>
        <w:tc>
          <w:tcPr>
            <w:tcW w:w="895" w:type="pct"/>
            <w:vAlign w:val="center"/>
          </w:tcPr>
          <w:p w14:paraId="6C455C14">
            <w:pPr>
              <w:pStyle w:val="196"/>
            </w:pPr>
            <w:r>
              <w:rPr>
                <w:rFonts w:hint="eastAsia"/>
              </w:rPr>
              <w:t>三角形边框</w:t>
            </w:r>
          </w:p>
        </w:tc>
        <w:tc>
          <w:tcPr>
            <w:tcW w:w="1368" w:type="pct"/>
            <w:vAlign w:val="center"/>
          </w:tcPr>
          <w:p w14:paraId="3BEA6D1E">
            <w:pPr>
              <w:pStyle w:val="196"/>
            </w:pPr>
            <w:r>
              <w:rPr>
                <w:rFonts w:hint="eastAsia"/>
              </w:rPr>
              <w:t>黄色</w:t>
            </w:r>
          </w:p>
        </w:tc>
        <w:tc>
          <w:tcPr>
            <w:tcW w:w="1368" w:type="pct"/>
            <w:vAlign w:val="center"/>
          </w:tcPr>
          <w:p w14:paraId="2B68E97F">
            <w:pPr>
              <w:pStyle w:val="196"/>
            </w:pPr>
            <w:r>
              <w:rPr>
                <w:rFonts w:hint="eastAsia"/>
              </w:rPr>
              <w:t>黑色</w:t>
            </w:r>
          </w:p>
        </w:tc>
      </w:tr>
      <w:tr w14:paraId="010E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pct"/>
            <w:vAlign w:val="center"/>
          </w:tcPr>
          <w:p w14:paraId="1074634C">
            <w:pPr>
              <w:pStyle w:val="196"/>
            </w:pPr>
            <w:r>
              <w:rPr>
                <w:rFonts w:hint="eastAsia"/>
              </w:rPr>
              <w:t>提示标志</w:t>
            </w:r>
          </w:p>
        </w:tc>
        <w:tc>
          <w:tcPr>
            <w:tcW w:w="895" w:type="pct"/>
            <w:vAlign w:val="center"/>
          </w:tcPr>
          <w:p w14:paraId="5C122610">
            <w:pPr>
              <w:pStyle w:val="196"/>
            </w:pPr>
            <w:r>
              <w:rPr>
                <w:rFonts w:hint="eastAsia"/>
              </w:rPr>
              <w:t>正方形边框</w:t>
            </w:r>
          </w:p>
        </w:tc>
        <w:tc>
          <w:tcPr>
            <w:tcW w:w="1368" w:type="pct"/>
            <w:vAlign w:val="center"/>
          </w:tcPr>
          <w:p w14:paraId="3F4B0A48">
            <w:pPr>
              <w:pStyle w:val="196"/>
            </w:pPr>
            <w:r>
              <w:rPr>
                <w:rFonts w:hint="eastAsia"/>
              </w:rPr>
              <w:t>绿色</w:t>
            </w:r>
          </w:p>
        </w:tc>
        <w:tc>
          <w:tcPr>
            <w:tcW w:w="1368" w:type="pct"/>
            <w:vAlign w:val="center"/>
          </w:tcPr>
          <w:p w14:paraId="3CD63729">
            <w:pPr>
              <w:pStyle w:val="196"/>
            </w:pPr>
            <w:r>
              <w:rPr>
                <w:rFonts w:hint="eastAsia"/>
              </w:rPr>
              <w:t>白色</w:t>
            </w:r>
          </w:p>
        </w:tc>
      </w:tr>
    </w:tbl>
    <w:p w14:paraId="3589DEBD">
      <w:pPr>
        <w:pStyle w:val="86"/>
      </w:pPr>
      <w:r>
        <w:rPr>
          <w:rFonts w:hint="eastAsia"/>
        </w:rPr>
        <w:t>环境保护图形符号一览表</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553"/>
        <w:gridCol w:w="1896"/>
        <w:gridCol w:w="1477"/>
        <w:gridCol w:w="2976"/>
      </w:tblGrid>
      <w:tr w14:paraId="50C9E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0532C970">
            <w:pPr>
              <w:pStyle w:val="196"/>
            </w:pPr>
            <w:r>
              <w:rPr>
                <w:rFonts w:hint="eastAsia"/>
              </w:rPr>
              <w:t>序号</w:t>
            </w:r>
          </w:p>
        </w:tc>
        <w:tc>
          <w:tcPr>
            <w:tcW w:w="932" w:type="pct"/>
            <w:vAlign w:val="center"/>
          </w:tcPr>
          <w:p w14:paraId="0866854A">
            <w:pPr>
              <w:pStyle w:val="196"/>
            </w:pPr>
            <w:r>
              <w:rPr>
                <w:rFonts w:hint="eastAsia"/>
              </w:rPr>
              <w:t>提示图形符号</w:t>
            </w:r>
          </w:p>
        </w:tc>
        <w:tc>
          <w:tcPr>
            <w:tcW w:w="1030" w:type="pct"/>
            <w:vAlign w:val="center"/>
          </w:tcPr>
          <w:p w14:paraId="601412D1">
            <w:pPr>
              <w:pStyle w:val="196"/>
            </w:pPr>
            <w:r>
              <w:rPr>
                <w:rFonts w:hint="eastAsia"/>
              </w:rPr>
              <w:t>警告图形符号</w:t>
            </w:r>
          </w:p>
        </w:tc>
        <w:tc>
          <w:tcPr>
            <w:tcW w:w="887" w:type="pct"/>
            <w:vAlign w:val="center"/>
          </w:tcPr>
          <w:p w14:paraId="7D22B8D5">
            <w:pPr>
              <w:pStyle w:val="196"/>
            </w:pPr>
            <w:r>
              <w:rPr>
                <w:rFonts w:hint="eastAsia"/>
              </w:rPr>
              <w:t>名称</w:t>
            </w:r>
          </w:p>
        </w:tc>
        <w:tc>
          <w:tcPr>
            <w:tcW w:w="1767" w:type="pct"/>
            <w:vAlign w:val="center"/>
          </w:tcPr>
          <w:p w14:paraId="3819CC93">
            <w:pPr>
              <w:pStyle w:val="196"/>
            </w:pPr>
            <w:r>
              <w:rPr>
                <w:rFonts w:hint="eastAsia"/>
              </w:rPr>
              <w:t>功能</w:t>
            </w:r>
          </w:p>
        </w:tc>
      </w:tr>
      <w:tr w14:paraId="3A50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6DA3A09C">
            <w:pPr>
              <w:pStyle w:val="196"/>
            </w:pPr>
            <w:r>
              <w:rPr>
                <w:rFonts w:hint="eastAsia"/>
              </w:rPr>
              <w:t>1</w:t>
            </w:r>
          </w:p>
        </w:tc>
        <w:tc>
          <w:tcPr>
            <w:tcW w:w="932" w:type="pct"/>
            <w:vAlign w:val="center"/>
          </w:tcPr>
          <w:p w14:paraId="395577BC">
            <w:pPr>
              <w:pStyle w:val="196"/>
            </w:pPr>
            <w:r>
              <w:rPr>
                <w:rFonts w:hint="eastAsia"/>
              </w:rPr>
              <w:drawing>
                <wp:inline distT="0" distB="0" distL="0" distR="0">
                  <wp:extent cx="846455" cy="855345"/>
                  <wp:effectExtent l="0" t="0" r="0" b="1905"/>
                  <wp:docPr id="333584626" name="图片 9" descr="图片包含 游戏机, 画, 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84626" name="图片 9" descr="图片包含 游戏机, 画, 标志&#10;&#10;描述已自动生成"/>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a:xfrm>
                            <a:off x="0" y="0"/>
                            <a:ext cx="846455" cy="855345"/>
                          </a:xfrm>
                          <a:prstGeom prst="rect">
                            <a:avLst/>
                          </a:prstGeom>
                          <a:noFill/>
                          <a:ln>
                            <a:noFill/>
                          </a:ln>
                        </pic:spPr>
                      </pic:pic>
                    </a:graphicData>
                  </a:graphic>
                </wp:inline>
              </w:drawing>
            </w:r>
          </w:p>
        </w:tc>
        <w:tc>
          <w:tcPr>
            <w:tcW w:w="1030" w:type="pct"/>
            <w:vAlign w:val="center"/>
          </w:tcPr>
          <w:p w14:paraId="1EDF32E7">
            <w:pPr>
              <w:pStyle w:val="196"/>
            </w:pPr>
            <w:r>
              <w:rPr>
                <w:rFonts w:hint="eastAsia"/>
              </w:rPr>
              <w:drawing>
                <wp:inline distT="0" distB="0" distL="0" distR="0">
                  <wp:extent cx="914400" cy="855345"/>
                  <wp:effectExtent l="0" t="0" r="0" b="1905"/>
                  <wp:docPr id="203317928" name="图片 8" descr="黑白色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928" name="图片 8" descr="黑白色的标志&#10;&#10;描述已自动生成"/>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914400" cy="855345"/>
                          </a:xfrm>
                          <a:prstGeom prst="rect">
                            <a:avLst/>
                          </a:prstGeom>
                          <a:noFill/>
                          <a:ln>
                            <a:noFill/>
                          </a:ln>
                        </pic:spPr>
                      </pic:pic>
                    </a:graphicData>
                  </a:graphic>
                </wp:inline>
              </w:drawing>
            </w:r>
          </w:p>
        </w:tc>
        <w:tc>
          <w:tcPr>
            <w:tcW w:w="887" w:type="pct"/>
            <w:vAlign w:val="center"/>
          </w:tcPr>
          <w:p w14:paraId="73B085F5">
            <w:pPr>
              <w:pStyle w:val="196"/>
            </w:pPr>
            <w:r>
              <w:rPr>
                <w:rFonts w:hint="eastAsia"/>
              </w:rPr>
              <w:t>一般固体废物</w:t>
            </w:r>
          </w:p>
        </w:tc>
        <w:tc>
          <w:tcPr>
            <w:tcW w:w="1767" w:type="pct"/>
            <w:vAlign w:val="center"/>
          </w:tcPr>
          <w:p w14:paraId="560FF121">
            <w:pPr>
              <w:pStyle w:val="196"/>
            </w:pPr>
            <w:r>
              <w:rPr>
                <w:rFonts w:hint="eastAsia"/>
              </w:rPr>
              <w:t>表示一般固体废物贮存、</w:t>
            </w:r>
          </w:p>
          <w:p w14:paraId="3CA252D5">
            <w:pPr>
              <w:pStyle w:val="196"/>
            </w:pPr>
            <w:r>
              <w:rPr>
                <w:rFonts w:hint="eastAsia"/>
              </w:rPr>
              <w:t>处置场</w:t>
            </w:r>
          </w:p>
        </w:tc>
      </w:tr>
      <w:tr w14:paraId="440B4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410BB813">
            <w:pPr>
              <w:pStyle w:val="196"/>
            </w:pPr>
            <w:r>
              <w:rPr>
                <w:rFonts w:hint="eastAsia"/>
              </w:rPr>
              <w:t>2</w:t>
            </w:r>
          </w:p>
        </w:tc>
        <w:tc>
          <w:tcPr>
            <w:tcW w:w="932" w:type="pct"/>
            <w:vAlign w:val="center"/>
          </w:tcPr>
          <w:p w14:paraId="79A18784">
            <w:pPr>
              <w:pStyle w:val="196"/>
            </w:pPr>
            <w:r>
              <w:rPr>
                <w:rFonts w:hint="eastAsia"/>
              </w:rPr>
              <w:drawing>
                <wp:inline distT="0" distB="0" distL="0" distR="0">
                  <wp:extent cx="846455" cy="846455"/>
                  <wp:effectExtent l="0" t="0" r="0" b="0"/>
                  <wp:docPr id="1468924548" name="图片 7"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924548" name="图片 7" descr="图标&#10;&#10;描述已自动生成"/>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846455" cy="846455"/>
                          </a:xfrm>
                          <a:prstGeom prst="rect">
                            <a:avLst/>
                          </a:prstGeom>
                          <a:noFill/>
                          <a:ln>
                            <a:noFill/>
                          </a:ln>
                        </pic:spPr>
                      </pic:pic>
                    </a:graphicData>
                  </a:graphic>
                </wp:inline>
              </w:drawing>
            </w:r>
          </w:p>
        </w:tc>
        <w:tc>
          <w:tcPr>
            <w:tcW w:w="1030" w:type="pct"/>
            <w:vAlign w:val="center"/>
          </w:tcPr>
          <w:p w14:paraId="44D8D242">
            <w:pPr>
              <w:pStyle w:val="196"/>
            </w:pPr>
            <w:r>
              <w:rPr>
                <w:rFonts w:hint="eastAsia"/>
              </w:rPr>
              <w:drawing>
                <wp:inline distT="0" distB="0" distL="0" distR="0">
                  <wp:extent cx="948055" cy="846455"/>
                  <wp:effectExtent l="0" t="0" r="4445" b="0"/>
                  <wp:docPr id="1458027456" name="图片 6" descr="黑白色的标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27456" name="图片 6" descr="黑白色的标志&#10;&#10;中度可信度描述已自动生成"/>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a:xfrm>
                            <a:off x="0" y="0"/>
                            <a:ext cx="948055" cy="846455"/>
                          </a:xfrm>
                          <a:prstGeom prst="rect">
                            <a:avLst/>
                          </a:prstGeom>
                          <a:noFill/>
                          <a:ln>
                            <a:noFill/>
                          </a:ln>
                        </pic:spPr>
                      </pic:pic>
                    </a:graphicData>
                  </a:graphic>
                </wp:inline>
              </w:drawing>
            </w:r>
          </w:p>
        </w:tc>
        <w:tc>
          <w:tcPr>
            <w:tcW w:w="887" w:type="pct"/>
            <w:vAlign w:val="center"/>
          </w:tcPr>
          <w:p w14:paraId="4D06F8D4">
            <w:pPr>
              <w:pStyle w:val="196"/>
            </w:pPr>
            <w:r>
              <w:rPr>
                <w:rFonts w:hint="eastAsia"/>
              </w:rPr>
              <w:t>噪声排放源</w:t>
            </w:r>
          </w:p>
        </w:tc>
        <w:tc>
          <w:tcPr>
            <w:tcW w:w="1767" w:type="pct"/>
            <w:vAlign w:val="center"/>
          </w:tcPr>
          <w:p w14:paraId="1F84C877">
            <w:pPr>
              <w:pStyle w:val="196"/>
            </w:pPr>
            <w:r>
              <w:rPr>
                <w:rFonts w:hint="eastAsia"/>
              </w:rPr>
              <w:t>表示噪声向外环境排放</w:t>
            </w:r>
          </w:p>
        </w:tc>
      </w:tr>
      <w:tr w14:paraId="4F70C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Align w:val="center"/>
          </w:tcPr>
          <w:p w14:paraId="7F100220">
            <w:pPr>
              <w:pStyle w:val="196"/>
            </w:pPr>
            <w:r>
              <w:rPr>
                <w:rFonts w:hint="eastAsia"/>
              </w:rPr>
              <w:t>3</w:t>
            </w:r>
          </w:p>
        </w:tc>
        <w:tc>
          <w:tcPr>
            <w:tcW w:w="932" w:type="pct"/>
            <w:vAlign w:val="center"/>
          </w:tcPr>
          <w:p w14:paraId="242E8588">
            <w:pPr>
              <w:pStyle w:val="196"/>
            </w:pPr>
            <w:r>
              <w:rPr>
                <w:rFonts w:hint="eastAsia"/>
              </w:rPr>
              <w:t>/</w:t>
            </w:r>
          </w:p>
        </w:tc>
        <w:tc>
          <w:tcPr>
            <w:tcW w:w="1030" w:type="pct"/>
            <w:vAlign w:val="center"/>
          </w:tcPr>
          <w:p w14:paraId="27C56848">
            <w:pPr>
              <w:pStyle w:val="196"/>
            </w:pPr>
            <w:r>
              <w:rPr>
                <w:rFonts w:hint="eastAsia"/>
              </w:rPr>
              <w:drawing>
                <wp:inline distT="0" distB="0" distL="0" distR="0">
                  <wp:extent cx="1066800" cy="939800"/>
                  <wp:effectExtent l="0" t="0" r="0" b="0"/>
                  <wp:docPr id="394278212" name="图片 5" descr="黑白色的标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8212" name="图片 5" descr="黑白色的标志&#10;&#10;中度可信度描述已自动生成"/>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a:xfrm>
                            <a:off x="0" y="0"/>
                            <a:ext cx="1066800" cy="939800"/>
                          </a:xfrm>
                          <a:prstGeom prst="rect">
                            <a:avLst/>
                          </a:prstGeom>
                          <a:noFill/>
                          <a:ln>
                            <a:noFill/>
                          </a:ln>
                        </pic:spPr>
                      </pic:pic>
                    </a:graphicData>
                  </a:graphic>
                </wp:inline>
              </w:drawing>
            </w:r>
          </w:p>
        </w:tc>
        <w:tc>
          <w:tcPr>
            <w:tcW w:w="887" w:type="pct"/>
            <w:vAlign w:val="center"/>
          </w:tcPr>
          <w:p w14:paraId="5B3E5CA2">
            <w:pPr>
              <w:pStyle w:val="196"/>
            </w:pPr>
            <w:r>
              <w:rPr>
                <w:rFonts w:hint="eastAsia"/>
              </w:rPr>
              <w:t>危险废物</w:t>
            </w:r>
          </w:p>
        </w:tc>
        <w:tc>
          <w:tcPr>
            <w:tcW w:w="1767" w:type="pct"/>
            <w:vAlign w:val="center"/>
          </w:tcPr>
          <w:p w14:paraId="0274A1D3">
            <w:pPr>
              <w:pStyle w:val="196"/>
            </w:pPr>
            <w:r>
              <w:rPr>
                <w:rFonts w:hint="eastAsia"/>
              </w:rPr>
              <w:t>表示危险废物贮存、处置场</w:t>
            </w:r>
          </w:p>
        </w:tc>
      </w:tr>
    </w:tbl>
    <w:p w14:paraId="35D55604">
      <w:pPr>
        <w:pStyle w:val="80"/>
      </w:pPr>
      <w:bookmarkStart w:id="389" w:name="_Toc25271"/>
      <w:bookmarkEnd w:id="389"/>
      <w:bookmarkStart w:id="390" w:name="_Toc1591"/>
      <w:bookmarkStart w:id="391" w:name="_Toc182171836"/>
      <w:r>
        <w:rPr>
          <w:rFonts w:hint="eastAsia"/>
        </w:rPr>
        <w:t>建设项目“三同时”验收一览表</w:t>
      </w:r>
      <w:bookmarkEnd w:id="390"/>
      <w:bookmarkEnd w:id="391"/>
    </w:p>
    <w:p w14:paraId="5451B33D">
      <w:pPr>
        <w:pStyle w:val="93"/>
      </w:pPr>
      <w:r>
        <w:rPr>
          <w:rFonts w:hint="eastAsia"/>
        </w:rPr>
        <w:t>建设项目竣工环境保护验收清单见表7.1-1。</w:t>
      </w:r>
    </w:p>
    <w:p w14:paraId="5D56188E">
      <w:pPr>
        <w:ind w:firstLine="482"/>
        <w:rPr>
          <w:b/>
          <w:bCs/>
        </w:rPr>
      </w:pPr>
      <w:r>
        <w:rPr>
          <w:rFonts w:hint="eastAsia"/>
          <w:b/>
          <w:bCs/>
        </w:rPr>
        <w:t xml:space="preserve"> </w:t>
      </w:r>
    </w:p>
    <w:p w14:paraId="48797671">
      <w:pPr>
        <w:ind w:firstLine="482"/>
        <w:rPr>
          <w:b/>
          <w:bCs/>
        </w:rPr>
        <w:sectPr>
          <w:pgSz w:w="11905" w:h="16838"/>
          <w:pgMar w:top="1440" w:right="1800" w:bottom="1440" w:left="1800" w:header="851" w:footer="992" w:gutter="0"/>
          <w:cols w:space="720" w:num="1"/>
          <w:docGrid w:type="lines" w:linePitch="332" w:charSpace="0"/>
        </w:sectPr>
      </w:pPr>
    </w:p>
    <w:p w14:paraId="48D96F56">
      <w:pPr>
        <w:pStyle w:val="76"/>
      </w:pPr>
      <w:bookmarkStart w:id="392" w:name="_Toc27102"/>
      <w:bookmarkEnd w:id="392"/>
      <w:bookmarkStart w:id="393" w:name="_Toc1526"/>
      <w:bookmarkEnd w:id="393"/>
      <w:bookmarkStart w:id="394" w:name="_Toc5074"/>
      <w:bookmarkEnd w:id="394"/>
      <w:bookmarkStart w:id="395" w:name="_Toc182171837"/>
      <w:bookmarkStart w:id="396" w:name="_Toc24027"/>
      <w:r>
        <w:rPr>
          <w:rFonts w:hint="eastAsia"/>
        </w:rPr>
        <w:t>环境影响评价结论</w:t>
      </w:r>
      <w:bookmarkEnd w:id="395"/>
      <w:bookmarkEnd w:id="396"/>
    </w:p>
    <w:p w14:paraId="58911985">
      <w:pPr>
        <w:pStyle w:val="80"/>
      </w:pPr>
      <w:bookmarkStart w:id="397" w:name="_Toc3653"/>
      <w:bookmarkEnd w:id="397"/>
      <w:bookmarkStart w:id="398" w:name="_Toc28635"/>
      <w:bookmarkStart w:id="399" w:name="_Toc182171838"/>
      <w:r>
        <w:rPr>
          <w:rFonts w:hint="eastAsia"/>
        </w:rPr>
        <w:t>项目概况</w:t>
      </w:r>
      <w:bookmarkEnd w:id="398"/>
      <w:bookmarkEnd w:id="399"/>
    </w:p>
    <w:p w14:paraId="518CF701">
      <w:pPr>
        <w:ind w:firstLine="480"/>
      </w:pPr>
      <w:r>
        <w:rPr>
          <w:rFonts w:hint="eastAsia"/>
        </w:rPr>
        <w:t>国家能源集团江苏电力有限公司拟投资5942.36万元，于淮安市涟水县朱码街道高台村国能涟水一期热电联产项目厂区内建设“淮安港涟水港区薛行作业区国能涟水一期热电联产项目配套码头工程”。</w:t>
      </w:r>
    </w:p>
    <w:p w14:paraId="27ECCC96">
      <w:pPr>
        <w:ind w:firstLine="480"/>
      </w:pPr>
      <w:r>
        <w:rPr>
          <w:rFonts w:hint="eastAsia"/>
        </w:rPr>
        <w:t>本项目采用顺岸凹入式港池型式，拟布置3个1000吨级散货泊位，平行于航道方向布置2个1000吨级煤炭卸船泊位；西南侧布置1个1000吨级待泊泊位。本项目码头泊位长度为220m，距离航道中心线120m。本项目设计通过能力为118t，设计吞吐量为112t，主要货种是煤炭。在码头上游端部设转运站一座（9m×9m），码头密闭式带式输送机直接接入该转运站内；水平运输采用直径为65mm的管状带式输送，将煤直接运输至后方电厂封闭煤场。项目配套建设相应的码头前沿铺面结构、生产辅助建筑物、供电照明、通讯、环保、给排水、消防等设施。</w:t>
      </w:r>
    </w:p>
    <w:p w14:paraId="42716D8F">
      <w:pPr>
        <w:ind w:firstLine="480"/>
      </w:pPr>
      <w:r>
        <w:rPr>
          <w:rFonts w:hint="eastAsia"/>
        </w:rPr>
        <w:t>职工定员及构成：职工定员45人，作业按三班制，码头年作业天数为330天。</w:t>
      </w:r>
    </w:p>
    <w:p w14:paraId="1484E357">
      <w:pPr>
        <w:pStyle w:val="80"/>
      </w:pPr>
      <w:bookmarkStart w:id="400" w:name="_Toc11689"/>
      <w:bookmarkEnd w:id="400"/>
      <w:bookmarkStart w:id="401" w:name="_Toc23842"/>
      <w:bookmarkEnd w:id="401"/>
      <w:bookmarkStart w:id="402" w:name="_Toc14827"/>
      <w:bookmarkEnd w:id="402"/>
      <w:bookmarkStart w:id="403" w:name="_Toc27977"/>
      <w:bookmarkEnd w:id="403"/>
      <w:bookmarkStart w:id="404" w:name="_Toc14110"/>
      <w:bookmarkEnd w:id="404"/>
      <w:bookmarkStart w:id="405" w:name="_Toc102979873"/>
      <w:bookmarkEnd w:id="405"/>
      <w:bookmarkStart w:id="406" w:name="_Toc182171839"/>
      <w:bookmarkStart w:id="407" w:name="_Toc104733534"/>
      <w:r>
        <w:rPr>
          <w:rFonts w:hint="eastAsia"/>
        </w:rPr>
        <w:t>产业政策与相关规划符合性</w:t>
      </w:r>
      <w:bookmarkEnd w:id="406"/>
      <w:bookmarkEnd w:id="407"/>
    </w:p>
    <w:p w14:paraId="491232A8">
      <w:pPr>
        <w:pStyle w:val="82"/>
      </w:pPr>
      <w:r>
        <w:rPr>
          <w:rFonts w:hint="eastAsia"/>
        </w:rPr>
        <w:t>与相关政策的符合性分析</w:t>
      </w:r>
    </w:p>
    <w:p w14:paraId="5A2E3DC2">
      <w:pPr>
        <w:ind w:firstLine="480"/>
      </w:pPr>
      <w:r>
        <w:rPr>
          <w:rFonts w:hint="eastAsia"/>
        </w:rPr>
        <w:t>对照《产业结构调整指导目录（2024年本）》，本项目属于第一类（鼓励类）第二十五项（水运）第1款“2．港口枢纽建设：码头泊位建设”的范畴，因此本项目符合国家产业政策要求。</w:t>
      </w:r>
    </w:p>
    <w:p w14:paraId="3B041671">
      <w:pPr>
        <w:pStyle w:val="82"/>
      </w:pPr>
      <w:r>
        <w:rPr>
          <w:rFonts w:hint="eastAsia"/>
        </w:rPr>
        <w:t>与规划符合性分析</w:t>
      </w:r>
    </w:p>
    <w:p w14:paraId="26DDB429">
      <w:pPr>
        <w:pStyle w:val="93"/>
      </w:pPr>
      <w:r>
        <w:rPr>
          <w:rFonts w:hint="eastAsia"/>
        </w:rPr>
        <w:t>本项目符合《江苏省内河港口布局规划（2017-2035）》《江苏省干线航道网规划（2017-2035 年）》《淮安港总体规划（2020-2035）》《淮安市城市总体规划（2009-2030）》《清江浦区国土空间规划近期实施方案》《淮安市大运河文化遗产保护条例》《大运河（淮安段）遗产保护规划》《大运河淮安段清口枢纽保护总体规划（2012-2030）》《省政府关于印发大运河江苏段核心监控区国土空间暂行办法的通知》《大运河淮安段核心监控区国土空间管控细则》。</w:t>
      </w:r>
    </w:p>
    <w:p w14:paraId="22554AD5">
      <w:pPr>
        <w:pStyle w:val="82"/>
      </w:pPr>
      <w:r>
        <w:rPr>
          <w:rFonts w:hint="eastAsia"/>
        </w:rPr>
        <w:t>与“三线一单”符合性分析</w:t>
      </w:r>
    </w:p>
    <w:p w14:paraId="3D24A139">
      <w:pPr>
        <w:pStyle w:val="93"/>
      </w:pPr>
      <w:r>
        <w:rPr>
          <w:rFonts w:hint="eastAsia"/>
        </w:rPr>
        <w:t>建设项目所在区域不涉及生态红线，本项目建设不突破区域环境质量底线、资源利用上线，不属于环境准入负面清单中所列的行业，符合“三线一单”要求。</w:t>
      </w:r>
    </w:p>
    <w:p w14:paraId="4149EB5D">
      <w:pPr>
        <w:pStyle w:val="80"/>
      </w:pPr>
      <w:bookmarkStart w:id="408" w:name="_Toc32222"/>
      <w:bookmarkEnd w:id="408"/>
      <w:bookmarkStart w:id="409" w:name="_Toc182171840"/>
      <w:bookmarkStart w:id="410" w:name="_Toc4847"/>
      <w:r>
        <w:rPr>
          <w:rFonts w:hint="eastAsia"/>
        </w:rPr>
        <w:t>环境质量现状</w:t>
      </w:r>
      <w:bookmarkEnd w:id="409"/>
      <w:bookmarkEnd w:id="410"/>
    </w:p>
    <w:p w14:paraId="4BD71897">
      <w:pPr>
        <w:pStyle w:val="82"/>
      </w:pPr>
      <w:r>
        <w:rPr>
          <w:rFonts w:hint="eastAsia"/>
        </w:rPr>
        <w:t>大气环境质量现状</w:t>
      </w:r>
    </w:p>
    <w:p w14:paraId="2D864E4E">
      <w:pPr>
        <w:pStyle w:val="139"/>
        <w:ind w:firstLine="480"/>
        <w:rPr>
          <w:color w:val="auto"/>
        </w:rPr>
      </w:pPr>
      <w:r>
        <w:rPr>
          <w:rFonts w:hint="eastAsia" w:ascii="宋体" w:hAnsi="宋体"/>
          <w:color w:val="auto"/>
        </w:rPr>
        <w:t>根据《</w:t>
      </w:r>
      <w:r>
        <w:rPr>
          <w:rFonts w:hint="eastAsia"/>
          <w:color w:val="auto"/>
        </w:rPr>
        <w:t>2023</w:t>
      </w:r>
      <w:r>
        <w:rPr>
          <w:rFonts w:hint="eastAsia" w:ascii="宋体" w:hAnsi="宋体"/>
          <w:color w:val="auto"/>
        </w:rPr>
        <w:t>年淮安市生态环境状况公报》：</w:t>
      </w:r>
      <w:r>
        <w:rPr>
          <w:rFonts w:hint="eastAsia"/>
          <w:color w:val="auto"/>
        </w:rPr>
        <w:t>“2023</w:t>
      </w:r>
      <w:r>
        <w:rPr>
          <w:rFonts w:hint="eastAsia" w:ascii="宋体" w:hAnsi="宋体"/>
          <w:color w:val="auto"/>
        </w:rPr>
        <w:t>年，淮安市细颗粒物（</w:t>
      </w:r>
      <w:r>
        <w:rPr>
          <w:rFonts w:hint="eastAsia"/>
          <w:color w:val="auto"/>
        </w:rPr>
        <w:t>PM</w:t>
      </w:r>
      <w:r>
        <w:rPr>
          <w:rFonts w:hint="eastAsia"/>
          <w:color w:val="auto"/>
          <w:vertAlign w:val="subscript"/>
        </w:rPr>
        <w:t>2.</w:t>
      </w:r>
      <w:r>
        <w:rPr>
          <w:rFonts w:hint="eastAsia"/>
          <w:color w:val="auto"/>
          <w:vertAlign w:val="subscript"/>
          <w:lang w:eastAsia="zh-CN"/>
        </w:rPr>
        <w:t>5）</w:t>
      </w:r>
      <w:r>
        <w:rPr>
          <w:rFonts w:hint="eastAsia" w:ascii="宋体" w:hAnsi="宋体"/>
          <w:color w:val="auto"/>
        </w:rPr>
        <w:t>可吸入颗粒物（</w:t>
      </w:r>
      <w:r>
        <w:rPr>
          <w:rFonts w:hint="eastAsia"/>
          <w:color w:val="auto"/>
        </w:rPr>
        <w:t>PM</w:t>
      </w:r>
      <w:r>
        <w:rPr>
          <w:rFonts w:hint="eastAsia"/>
          <w:color w:val="auto"/>
          <w:vertAlign w:val="subscript"/>
        </w:rPr>
        <w:t>10</w:t>
      </w:r>
      <w:r>
        <w:rPr>
          <w:rFonts w:hint="eastAsia" w:ascii="宋体" w:hAnsi="宋体"/>
          <w:color w:val="auto"/>
        </w:rPr>
        <w:t>）、二氧化硫（</w:t>
      </w:r>
      <w:r>
        <w:rPr>
          <w:rFonts w:hint="eastAsia"/>
          <w:color w:val="auto"/>
        </w:rPr>
        <w:t>SO</w:t>
      </w:r>
      <w:r>
        <w:rPr>
          <w:rFonts w:hint="eastAsia"/>
          <w:color w:val="auto"/>
          <w:vertAlign w:val="subscript"/>
        </w:rPr>
        <w:t>2</w:t>
      </w:r>
      <w:r>
        <w:rPr>
          <w:rFonts w:hint="eastAsia" w:ascii="宋体" w:hAnsi="宋体"/>
          <w:color w:val="auto"/>
        </w:rPr>
        <w:t>）、二氧化氮（</w:t>
      </w:r>
      <w:r>
        <w:rPr>
          <w:rFonts w:hint="eastAsia"/>
          <w:color w:val="auto"/>
        </w:rPr>
        <w:t>NO</w:t>
      </w:r>
      <w:r>
        <w:rPr>
          <w:rFonts w:hint="eastAsia"/>
          <w:color w:val="auto"/>
          <w:vertAlign w:val="subscript"/>
        </w:rPr>
        <w:t>2</w:t>
      </w:r>
      <w:r>
        <w:rPr>
          <w:rFonts w:hint="eastAsia" w:ascii="宋体" w:hAnsi="宋体"/>
          <w:color w:val="auto"/>
        </w:rPr>
        <w:t>）年均浓度分别为</w:t>
      </w:r>
      <w:r>
        <w:rPr>
          <w:rFonts w:hint="eastAsia"/>
          <w:color w:val="auto"/>
        </w:rPr>
        <w:t>36</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25</w:t>
      </w:r>
      <w:r>
        <w:rPr>
          <w:rFonts w:hint="eastAsia" w:ascii="宋体" w:hAnsi="宋体"/>
          <w:color w:val="auto"/>
        </w:rPr>
        <w:t>微克</w:t>
      </w:r>
      <w:r>
        <w:rPr>
          <w:rFonts w:hint="eastAsia"/>
          <w:color w:val="auto"/>
        </w:rPr>
        <w:t>/</w:t>
      </w:r>
      <w:r>
        <w:rPr>
          <w:rFonts w:hint="eastAsia" w:ascii="宋体" w:hAnsi="宋体"/>
          <w:color w:val="auto"/>
        </w:rPr>
        <w:t>立方米；一氧化碳（</w:t>
      </w:r>
      <w:r>
        <w:rPr>
          <w:rFonts w:hint="eastAsia"/>
          <w:color w:val="auto"/>
        </w:rPr>
        <w:t>CO</w:t>
      </w:r>
      <w:r>
        <w:rPr>
          <w:rFonts w:hint="eastAsia" w:ascii="宋体" w:hAnsi="宋体"/>
          <w:color w:val="auto"/>
        </w:rPr>
        <w:t>）和臭氧（</w:t>
      </w:r>
      <w:r>
        <w:rPr>
          <w:rFonts w:hint="eastAsia"/>
          <w:color w:val="auto"/>
        </w:rPr>
        <w:t>O</w:t>
      </w:r>
      <w:r>
        <w:rPr>
          <w:rFonts w:hint="eastAsia"/>
          <w:color w:val="auto"/>
          <w:vertAlign w:val="subscript"/>
        </w:rPr>
        <w:t>3</w:t>
      </w:r>
      <w:r>
        <w:rPr>
          <w:rFonts w:hint="eastAsia" w:ascii="宋体" w:hAnsi="宋体"/>
          <w:color w:val="auto"/>
        </w:rPr>
        <w:t>）浓度分别为</w:t>
      </w:r>
      <w:r>
        <w:rPr>
          <w:rFonts w:hint="eastAsia"/>
          <w:color w:val="auto"/>
        </w:rPr>
        <w:t>1</w:t>
      </w:r>
      <w:r>
        <w:rPr>
          <w:rFonts w:hint="eastAsia" w:ascii="宋体" w:hAnsi="宋体"/>
          <w:color w:val="auto"/>
        </w:rPr>
        <w:t>毫克</w:t>
      </w:r>
      <w:r>
        <w:rPr>
          <w:rFonts w:hint="eastAsia"/>
          <w:color w:val="auto"/>
        </w:rPr>
        <w:t>/</w:t>
      </w:r>
      <w:r>
        <w:rPr>
          <w:rFonts w:hint="eastAsia" w:ascii="宋体" w:hAnsi="宋体"/>
          <w:color w:val="auto"/>
        </w:rPr>
        <w:t>立方米、</w:t>
      </w:r>
      <w:r>
        <w:rPr>
          <w:rFonts w:hint="eastAsia"/>
          <w:color w:val="auto"/>
        </w:rPr>
        <w:t>158</w:t>
      </w:r>
      <w:r>
        <w:rPr>
          <w:rFonts w:hint="eastAsia" w:ascii="宋体" w:hAnsi="宋体"/>
          <w:color w:val="auto"/>
        </w:rPr>
        <w:t>微克</w:t>
      </w:r>
      <w:r>
        <w:rPr>
          <w:rFonts w:hint="eastAsia"/>
          <w:color w:val="auto"/>
        </w:rPr>
        <w:t>/</w:t>
      </w:r>
      <w:r>
        <w:rPr>
          <w:rFonts w:hint="eastAsia" w:ascii="宋体" w:hAnsi="宋体"/>
          <w:color w:val="auto"/>
        </w:rPr>
        <w:t>立方米。</w:t>
      </w:r>
      <w:r>
        <w:rPr>
          <w:rFonts w:hint="eastAsia"/>
          <w:color w:val="auto"/>
        </w:rPr>
        <w:t>”“各县区中，PM</w:t>
      </w:r>
      <w:r>
        <w:rPr>
          <w:rFonts w:hint="eastAsia"/>
          <w:color w:val="auto"/>
          <w:vertAlign w:val="subscript"/>
        </w:rPr>
        <w:t>2.5</w:t>
      </w:r>
      <w:r>
        <w:rPr>
          <w:rFonts w:hint="eastAsia"/>
          <w:color w:val="auto"/>
        </w:rPr>
        <w:t>、PM</w:t>
      </w:r>
      <w:r>
        <w:rPr>
          <w:rFonts w:hint="eastAsia"/>
          <w:color w:val="auto"/>
          <w:vertAlign w:val="subscript"/>
        </w:rPr>
        <w:t>10</w:t>
      </w:r>
      <w:r>
        <w:rPr>
          <w:rFonts w:hint="eastAsia"/>
          <w:color w:val="auto"/>
        </w:rPr>
        <w:t>、NO</w:t>
      </w:r>
      <w:r>
        <w:rPr>
          <w:rFonts w:hint="eastAsia"/>
          <w:color w:val="auto"/>
          <w:vertAlign w:val="subscript"/>
        </w:rPr>
        <w:t>2</w:t>
      </w:r>
      <w:r>
        <w:rPr>
          <w:rFonts w:hint="eastAsia"/>
          <w:color w:val="auto"/>
        </w:rPr>
        <w:t>、CO、SO</w:t>
      </w:r>
      <w:r>
        <w:rPr>
          <w:rFonts w:hint="eastAsia"/>
          <w:color w:val="auto"/>
          <w:vertAlign w:val="subscript"/>
        </w:rPr>
        <w:t>2</w:t>
      </w:r>
      <w:r>
        <w:rPr>
          <w:rFonts w:hint="eastAsia"/>
          <w:color w:val="auto"/>
        </w:rPr>
        <w:t>均达标，各县区PM</w:t>
      </w:r>
      <w:r>
        <w:rPr>
          <w:rFonts w:hint="eastAsia"/>
          <w:color w:val="auto"/>
          <w:vertAlign w:val="subscript"/>
        </w:rPr>
        <w:t>2.5</w:t>
      </w:r>
      <w:r>
        <w:rPr>
          <w:rFonts w:hint="eastAsia"/>
          <w:color w:val="auto"/>
        </w:rPr>
        <w:t>年均浓度在31-36微克/立方米之间，其中金湖县最低，清江浦区最高，PM</w:t>
      </w:r>
      <w:r>
        <w:rPr>
          <w:rFonts w:hint="eastAsia"/>
          <w:color w:val="auto"/>
          <w:vertAlign w:val="subscript"/>
        </w:rPr>
        <w:t>10</w:t>
      </w:r>
      <w:r>
        <w:rPr>
          <w:rFonts w:hint="eastAsia"/>
          <w:color w:val="auto"/>
        </w:rPr>
        <w:t>年均浓度介于52~62微克/立方米之间，金湖县浓度最低，淮阴区浓度最高。”</w:t>
      </w:r>
    </w:p>
    <w:p w14:paraId="4B8310D4">
      <w:pPr>
        <w:pStyle w:val="139"/>
        <w:ind w:firstLine="480"/>
        <w:rPr>
          <w:color w:val="auto"/>
        </w:rPr>
      </w:pPr>
      <w:r>
        <w:rPr>
          <w:rFonts w:hint="eastAsia"/>
          <w:color w:val="auto"/>
        </w:rPr>
        <w:t>本次收集了距离本项目7.2km处涟水县环境监测监控站点2023年的全年例行监测数据，统计了各因子的百分位日均值数据，具体如下表，除PM</w:t>
      </w:r>
      <w:r>
        <w:rPr>
          <w:rFonts w:hint="eastAsia"/>
          <w:color w:val="auto"/>
          <w:vertAlign w:val="subscript"/>
        </w:rPr>
        <w:t>2.5</w:t>
      </w:r>
      <w:r>
        <w:rPr>
          <w:rFonts w:hint="eastAsia"/>
          <w:color w:val="auto"/>
        </w:rPr>
        <w:t>保证率日均值</w:t>
      </w:r>
      <w:r>
        <w:rPr>
          <w:color w:val="auto"/>
        </w:rPr>
        <w:t>外，其余</w:t>
      </w:r>
      <w:r>
        <w:rPr>
          <w:rFonts w:hint="eastAsia"/>
          <w:color w:val="auto"/>
        </w:rPr>
        <w:t>各因子年均值和保证率均满足环境空气质量标准要求，PM</w:t>
      </w:r>
      <w:r>
        <w:rPr>
          <w:rFonts w:hint="eastAsia"/>
          <w:color w:val="auto"/>
          <w:vertAlign w:val="subscript"/>
        </w:rPr>
        <w:t>2.5</w:t>
      </w:r>
      <w:r>
        <w:rPr>
          <w:rFonts w:hint="eastAsia"/>
          <w:color w:val="auto"/>
        </w:rPr>
        <w:t>保证率日均值占标率为110.7</w:t>
      </w:r>
      <w:r>
        <w:rPr>
          <w:color w:val="auto"/>
        </w:rPr>
        <w:t>%</w:t>
      </w:r>
      <w:r>
        <w:rPr>
          <w:rFonts w:hint="eastAsia"/>
          <w:color w:val="auto"/>
        </w:rPr>
        <w:t>。根据《环境影响评价技术导则 大气环境》（HJ2.2-2018）达标区判定要求，项目所在区域为不达标区。</w:t>
      </w:r>
    </w:p>
    <w:p w14:paraId="7E296EDA">
      <w:pPr>
        <w:pStyle w:val="139"/>
        <w:ind w:firstLine="480"/>
        <w:rPr>
          <w:color w:val="auto"/>
          <w:lang w:val="en-US"/>
        </w:rPr>
      </w:pPr>
      <w:r>
        <w:rPr>
          <w:rFonts w:hint="eastAsia"/>
          <w:color w:val="auto"/>
        </w:rPr>
        <w:t>涟水县发布了《涟水县2024年生态环境基础设施建设重点项目计划》，淮安市发布了《淮安市空气质量持续改善行动两年实施方案》，随着计划和方案的实施，本项目区域空气质量将得到持续改善。</w:t>
      </w:r>
    </w:p>
    <w:p w14:paraId="7B450DE5">
      <w:pPr>
        <w:ind w:firstLine="480"/>
      </w:pPr>
      <w:r>
        <w:rPr>
          <w:rFonts w:hint="eastAsia"/>
        </w:rPr>
        <w:t>补充监测的TSP、非甲烷总烃、氨、硫化氢能够满足标准限值要求。</w:t>
      </w:r>
    </w:p>
    <w:p w14:paraId="2332FB56">
      <w:pPr>
        <w:pStyle w:val="82"/>
      </w:pPr>
      <w:r>
        <w:rPr>
          <w:rFonts w:hint="eastAsia"/>
        </w:rPr>
        <w:t>地表水环境质量现状</w:t>
      </w:r>
    </w:p>
    <w:p w14:paraId="1913A220">
      <w:pPr>
        <w:pStyle w:val="139"/>
        <w:ind w:firstLine="480"/>
        <w:rPr>
          <w:color w:val="auto"/>
        </w:rPr>
      </w:pPr>
      <w:r>
        <w:rPr>
          <w:rFonts w:hint="eastAsia"/>
          <w:color w:val="auto"/>
        </w:rPr>
        <w:t>根据《2023年度淮安市环境状况公报》，纳入“十四五”国家地表水环境质量考核的11个国考断面达标率为100%，水质优良（达到或优于Ⅲ类标准）的断面有9个（Ⅱ类断面5个），占比81.8%。</w:t>
      </w:r>
    </w:p>
    <w:p w14:paraId="75E0D081">
      <w:pPr>
        <w:pStyle w:val="139"/>
        <w:ind w:firstLine="480"/>
        <w:rPr>
          <w:color w:val="auto"/>
        </w:rPr>
      </w:pPr>
      <w:r>
        <w:rPr>
          <w:rFonts w:hint="eastAsia"/>
          <w:color w:val="auto"/>
        </w:rPr>
        <w:t>2023年，淮河、京杭大运河、苏北灌溉总渠、盐河、淮河入江水道、分淮入沂水道水质状况为优；入海水道南偏泓浔河、黄河故道、金宝航道、维桥河、利农河、南淮泗河张福河、团结河、高桥河、南六塘河、跃进河、汪木排河草泽河、唐响河、头溪河、运西河</w:t>
      </w:r>
      <w:r>
        <w:rPr>
          <w:rFonts w:hint="eastAsia"/>
          <w:color w:val="auto"/>
          <w:lang w:eastAsia="zh-CN"/>
        </w:rPr>
        <w:t>－</w:t>
      </w:r>
      <w:r>
        <w:rPr>
          <w:rFonts w:hint="eastAsia"/>
          <w:color w:val="auto"/>
        </w:rPr>
        <w:t>新河、周桥灌区总干渠</w:t>
      </w:r>
      <w:r>
        <w:rPr>
          <w:rFonts w:hint="eastAsia"/>
          <w:color w:val="auto"/>
          <w:lang w:eastAsia="zh-CN"/>
        </w:rPr>
        <w:t>一帆</w:t>
      </w:r>
      <w:r>
        <w:rPr>
          <w:rFonts w:hint="eastAsia"/>
          <w:color w:val="auto"/>
        </w:rPr>
        <w:t>河、铜龙河、池河水质状况为良好；入海水道北偏泓赵公河、公兴河水质状况为轻度污染。根据监测结果，地表水环境渠西河、盐河均满足《地表水环境质量标准》（GB3838-2002）中的相应水质标准，说明地表水环境质量好。</w:t>
      </w:r>
    </w:p>
    <w:p w14:paraId="4CABE2E4">
      <w:pPr>
        <w:pStyle w:val="82"/>
      </w:pPr>
      <w:r>
        <w:rPr>
          <w:rFonts w:hint="eastAsia"/>
        </w:rPr>
        <w:t>噪声环境质量现状</w:t>
      </w:r>
    </w:p>
    <w:p w14:paraId="792C32BF">
      <w:pPr>
        <w:pStyle w:val="93"/>
      </w:pPr>
      <w:r>
        <w:rPr>
          <w:rFonts w:hint="eastAsia"/>
        </w:rPr>
        <w:t>现状监测结果表明，拟建项目所在地的声环境质量较好，拟建址区域内昼、夜间噪声均满足《声环境质量标准》（GB 3096–2008）中3类和4a类区要求。</w:t>
      </w:r>
    </w:p>
    <w:p w14:paraId="2FA3B523">
      <w:pPr>
        <w:pStyle w:val="82"/>
      </w:pPr>
      <w:r>
        <w:rPr>
          <w:rFonts w:hint="eastAsia"/>
        </w:rPr>
        <w:t>生态环境质量现状</w:t>
      </w:r>
    </w:p>
    <w:p w14:paraId="3668BAFC">
      <w:pPr>
        <w:pStyle w:val="93"/>
      </w:pPr>
      <w:r>
        <w:rPr>
          <w:rFonts w:hint="eastAsia"/>
        </w:rPr>
        <w:t>根据现场踏勘并结合遥感影像数据解析，本项目生态环境评价范围内土地利用类型主要为水工建筑用地、果园、旱地、水田、水浇地、农村宅基地、林地、水系、公园与绿地。</w:t>
      </w:r>
    </w:p>
    <w:p w14:paraId="6ADA2305">
      <w:pPr>
        <w:pStyle w:val="93"/>
      </w:pPr>
      <w:r>
        <w:rPr>
          <w:rFonts w:hint="eastAsia"/>
        </w:rPr>
        <w:t>本项目沿线植被基本以人工植被为主，主要为农田作物和河岸防护林，自然植被有田间、河边分布的灌木杂草和水域中的芦苇等。评价范围内无保护植物，本项目沿线区域受人类活动影响，地表植被已由人工植被替代，大型野生动物已相继绝迹，区域内现有野生动物以两栖爬行动物、鸟类和小型哺乳动物为主。根据对渔政人员及水利人员的调研结果，评价范围内未发现鱼类</w:t>
      </w:r>
      <w:r>
        <w:rPr>
          <w:rFonts w:hint="eastAsia"/>
          <w:lang w:eastAsia="zh-CN"/>
        </w:rPr>
        <w:t>散场</w:t>
      </w:r>
      <w:r>
        <w:rPr>
          <w:rFonts w:hint="eastAsia"/>
        </w:rPr>
        <w:t>和洄游通道。</w:t>
      </w:r>
    </w:p>
    <w:p w14:paraId="4D7E6FFA">
      <w:pPr>
        <w:pStyle w:val="80"/>
      </w:pPr>
      <w:bookmarkStart w:id="411" w:name="_Toc26016"/>
      <w:bookmarkEnd w:id="411"/>
      <w:bookmarkStart w:id="412" w:name="_Toc182171841"/>
      <w:bookmarkStart w:id="413" w:name="_Toc24480"/>
      <w:r>
        <w:rPr>
          <w:rFonts w:hint="eastAsia"/>
        </w:rPr>
        <w:t>主要环境影响</w:t>
      </w:r>
      <w:bookmarkEnd w:id="412"/>
      <w:bookmarkEnd w:id="413"/>
    </w:p>
    <w:p w14:paraId="069A98B9">
      <w:pPr>
        <w:pStyle w:val="82"/>
      </w:pPr>
      <w:r>
        <w:rPr>
          <w:rFonts w:hint="eastAsia"/>
        </w:rPr>
        <w:t>大气环境影响分析</w:t>
      </w:r>
    </w:p>
    <w:p w14:paraId="73E1AEF2">
      <w:pPr>
        <w:pStyle w:val="93"/>
      </w:pPr>
      <w:bookmarkStart w:id="414" w:name="_Hlk12001440"/>
      <w:bookmarkEnd w:id="414"/>
      <w:r>
        <w:rPr>
          <w:rFonts w:hint="eastAsia"/>
        </w:rPr>
        <w:t>本项目施工期废气主要为施工扬尘、施工船舶、车辆和机械废气、水下土方干化场恶臭废气、运输砂石料粉尘等。项目无组织排放NOx的占标率最大为</w:t>
      </w:r>
      <w:r>
        <w:t>8.799</w:t>
      </w:r>
      <w:r>
        <w:rPr>
          <w:rFonts w:hint="eastAsia"/>
        </w:rPr>
        <w:t>%，根据《环境影响评价技术导则－大气环境》（HJ2.2-2018），大气评价等级为二级，不需进行进一步预测与评价，只对污染物排放量进行核算。</w:t>
      </w:r>
    </w:p>
    <w:p w14:paraId="34016D88">
      <w:pPr>
        <w:pStyle w:val="82"/>
      </w:pPr>
      <w:r>
        <w:rPr>
          <w:rFonts w:hint="eastAsia"/>
        </w:rPr>
        <w:t>地表水环境影响分析</w:t>
      </w:r>
    </w:p>
    <w:p w14:paraId="35D3B85F">
      <w:pPr>
        <w:pStyle w:val="93"/>
      </w:pPr>
      <w:r>
        <w:rPr>
          <w:rFonts w:hint="eastAsia"/>
        </w:rPr>
        <w:t>本项目施工期废水主要为疏浚污泥余水、施工船舶舱底油污水、施工船舶生活污水、陆域施工生活污水、施工车辆及机械冲洗废水。</w:t>
      </w:r>
    </w:p>
    <w:p w14:paraId="1654F6AC">
      <w:pPr>
        <w:pStyle w:val="93"/>
      </w:pPr>
      <w:r>
        <w:rPr>
          <w:rFonts w:hint="eastAsia"/>
        </w:rPr>
        <w:t>其中施工船舶舱底油污水和施工船舶生活污水由船舶带走；疏浚污泥余水经围堰、泄水口及后续沉淀池等预处理后</w:t>
      </w:r>
      <w:r>
        <w:rPr>
          <w:rFonts w:hint="eastAsia"/>
          <w:bCs/>
        </w:rPr>
        <w:t>满足《污水综合排放标准》（GB8978-1996）表4一级标准就近排入盐河</w:t>
      </w:r>
      <w:r>
        <w:rPr>
          <w:rFonts w:hint="eastAsia"/>
        </w:rPr>
        <w:t>；陆域施工生活污水经临时沉淀池预处理后接管至四季青污水处理厂处理；施工车辆及机械冲洗废水经临时沉淀池预处理后接管至四季青污水处理厂处理。</w:t>
      </w:r>
    </w:p>
    <w:p w14:paraId="5487D603">
      <w:pPr>
        <w:pStyle w:val="93"/>
      </w:pPr>
      <w:r>
        <w:rPr>
          <w:rFonts w:hint="eastAsia"/>
        </w:rPr>
        <w:t>拟建码头营运期废水包括：船舶舱底油污水、船舶生活污水、陆域生活污水、初期雨水、码头冲洗废水等。</w:t>
      </w:r>
    </w:p>
    <w:p w14:paraId="7A2A0D66">
      <w:pPr>
        <w:pStyle w:val="93"/>
      </w:pPr>
      <w:r>
        <w:rPr>
          <w:rFonts w:hint="eastAsia"/>
        </w:rPr>
        <w:t>其中，船舶舱底油污水由码头前沿接收装置收集，用不锈钢水箱作为船舶含油污水收集容器，配备自吸排污泵，标准法兰盘以及铜丝软管收集船舶含油污水。水箱盛满后，委托有资质单位处置；船舶生活污水经岸上接收装置接收后</w:t>
      </w:r>
      <w:r>
        <w:rPr>
          <w:rFonts w:hint="eastAsia"/>
          <w:bCs/>
        </w:rPr>
        <w:t>接管至四季青污水处理厂处理；</w:t>
      </w:r>
      <w:r>
        <w:rPr>
          <w:rFonts w:hint="eastAsia"/>
        </w:rPr>
        <w:t>陆域生活污水经管道进入港区化粪池预处理后</w:t>
      </w:r>
      <w:r>
        <w:rPr>
          <w:rFonts w:hint="eastAsia"/>
          <w:bCs/>
        </w:rPr>
        <w:t>接管至四季青污水处理厂处理；</w:t>
      </w:r>
      <w:r>
        <w:rPr>
          <w:rFonts w:hint="eastAsia"/>
        </w:rPr>
        <w:t>码头初期雨水经排水沟收集后汇入</w:t>
      </w:r>
      <w:r>
        <w:rPr>
          <w:rFonts w:hint="eastAsia"/>
          <w:lang w:eastAsia="zh-CN"/>
        </w:rPr>
        <w:t>码头</w:t>
      </w:r>
      <w:r>
        <w:rPr>
          <w:rFonts w:hint="eastAsia"/>
        </w:rPr>
        <w:t>污水池，经潜污泵提升至国能涟水一期热电联产项目厂区初期雨水池，容积约1500m</w:t>
      </w:r>
      <w:r>
        <w:rPr>
          <w:rFonts w:hint="eastAsia"/>
          <w:vertAlign w:val="superscript"/>
        </w:rPr>
        <w:t>3</w:t>
      </w:r>
      <w:r>
        <w:rPr>
          <w:rFonts w:hint="eastAsia"/>
        </w:rPr>
        <w:t>，初期雨水池设置过滤装置。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w:t>
      </w:r>
    </w:p>
    <w:p w14:paraId="3A50F9DE">
      <w:pPr>
        <w:pStyle w:val="82"/>
      </w:pPr>
      <w:r>
        <w:rPr>
          <w:rFonts w:hint="eastAsia"/>
        </w:rPr>
        <w:t>声环境影响分析</w:t>
      </w:r>
    </w:p>
    <w:p w14:paraId="4F8E7E35">
      <w:pPr>
        <w:pStyle w:val="93"/>
      </w:pPr>
      <w:r>
        <w:rPr>
          <w:rFonts w:hint="eastAsia"/>
        </w:rPr>
        <w:t>本项目施工期噪声主要为施工机械固定噪声源和运输车辆流动噪声，因此，本工程施工过程中应尽量避免夜间施工，如因特殊情况必须夜间施工，施工单位应按规定及时办理相关手续，并做好相应的防护措施。在施工期夜间打桩机、搅拌机、振捣机等高噪声应禁止。其他机械的施工应合理安排，限制夜间施工的时间。尽管施工噪声将对环境产生一定的不利影响，但是通过加强管理，严禁部分机械夜间施工等措施可将其影响降低到</w:t>
      </w:r>
      <w:r>
        <w:rPr>
          <w:rFonts w:hint="eastAsia"/>
          <w:lang w:eastAsia="zh-CN"/>
        </w:rPr>
        <w:t>最低程度</w:t>
      </w:r>
      <w:r>
        <w:rPr>
          <w:rFonts w:hint="eastAsia"/>
        </w:rPr>
        <w:t>。而且施工期噪声是短暂的，一旦施工活动结束，施工噪声及其环境影响也随之结束。</w:t>
      </w:r>
    </w:p>
    <w:p w14:paraId="288C98D0">
      <w:pPr>
        <w:pStyle w:val="93"/>
      </w:pPr>
      <w:r>
        <w:rPr>
          <w:rFonts w:hint="eastAsia"/>
        </w:rPr>
        <w:t>营运期的噪声污染主要来源于码头装卸机械噪声、码头车辆和船舶鸣笛产生的交通噪声等。在采取装卸设备加装减振垫、车辆限速及禁止鸣笛等措施的情况下，营运期昼、夜厂界噪声满足《工业企业厂界环境噪声排放标准》（GB12348-2008）3、4类标准。</w:t>
      </w:r>
    </w:p>
    <w:p w14:paraId="34CF2A12">
      <w:pPr>
        <w:pStyle w:val="82"/>
      </w:pPr>
      <w:r>
        <w:rPr>
          <w:rFonts w:hint="eastAsia"/>
        </w:rPr>
        <w:t>固体废物环境影响分析</w:t>
      </w:r>
    </w:p>
    <w:p w14:paraId="0A8DCB76">
      <w:pPr>
        <w:pStyle w:val="93"/>
      </w:pPr>
      <w:r>
        <w:rPr>
          <w:rFonts w:hint="eastAsia"/>
        </w:rPr>
        <w:t>本项目施工期产生的固废废物主要有建筑垃圾、生活垃圾、机修废油、沉淀池含油污泥等。生活垃圾收集后由当地环卫部门统一处置；建筑垃圾经收集后用作筑路材料或其他用途综合利用；施工场地附近低洼地区设置干化场地，港池和水工结构开挖的土方除部分无法利用的素填土作为弃方外，其余的土方经翻晒后回填水工结构和陆域；</w:t>
      </w:r>
      <w:r>
        <w:rPr>
          <w:rStyle w:val="140"/>
          <w:rFonts w:hint="eastAsia"/>
          <w:color w:val="auto"/>
        </w:rPr>
        <w:t>工程产生的水下方干化后弃方全部用于临时用地恢复</w:t>
      </w:r>
      <w:r>
        <w:rPr>
          <w:rFonts w:hint="eastAsia"/>
        </w:rPr>
        <w:t>。不会对区域环境造成影响。机修废油和沉淀池污泥委托有资质单位处置。</w:t>
      </w:r>
    </w:p>
    <w:p w14:paraId="7CC315F3">
      <w:pPr>
        <w:pStyle w:val="93"/>
      </w:pPr>
      <w:r>
        <w:rPr>
          <w:rFonts w:hint="eastAsia"/>
        </w:rPr>
        <w:t>本项目营运期产生的固废废物主要有陆域生活垃圾、船舶生活垃圾、装卸作业生产的固体废物、沉淀池污泥、废含油抹布及手套、含油污泥和机修废油。其中陆域生活垃圾、船舶生活垃圾、装卸作业生产的固体废物、沉淀池污泥、废含油抹布及手套委托环卫部门定期清运；含油污泥和机修废油暂存于危废仓库，委托有资质单位处置。</w:t>
      </w:r>
    </w:p>
    <w:p w14:paraId="632E124C">
      <w:pPr>
        <w:pStyle w:val="93"/>
      </w:pPr>
      <w:r>
        <w:rPr>
          <w:rFonts w:hint="eastAsia"/>
        </w:rPr>
        <w:t>各种固体废弃物均得到有效处理或处置，不会造成二次污染。</w:t>
      </w:r>
    </w:p>
    <w:p w14:paraId="7980D3BC">
      <w:pPr>
        <w:pStyle w:val="82"/>
      </w:pPr>
      <w:r>
        <w:rPr>
          <w:rFonts w:hint="eastAsia"/>
        </w:rPr>
        <w:t>环境风险分析</w:t>
      </w:r>
    </w:p>
    <w:p w14:paraId="5E47C33D">
      <w:pPr>
        <w:pStyle w:val="93"/>
      </w:pPr>
      <w:r>
        <w:rPr>
          <w:rFonts w:hint="eastAsia"/>
        </w:rPr>
        <w:t>本项目通过风险分析可知在采取风险防范措施后，可以将风险影响控制在场区范围内，影响可接受。</w:t>
      </w:r>
    </w:p>
    <w:p w14:paraId="0219E364">
      <w:pPr>
        <w:pStyle w:val="80"/>
      </w:pPr>
      <w:bookmarkStart w:id="415" w:name="_Toc14922"/>
      <w:bookmarkEnd w:id="415"/>
      <w:bookmarkStart w:id="416" w:name="_Toc15019"/>
      <w:bookmarkStart w:id="417" w:name="_Toc182171842"/>
      <w:r>
        <w:rPr>
          <w:rFonts w:hint="eastAsia"/>
        </w:rPr>
        <w:t>公众意见采纳情况</w:t>
      </w:r>
      <w:bookmarkEnd w:id="416"/>
      <w:bookmarkEnd w:id="417"/>
    </w:p>
    <w:p w14:paraId="363519D8">
      <w:pPr>
        <w:pStyle w:val="93"/>
      </w:pPr>
      <w:r>
        <w:rPr>
          <w:rFonts w:hint="eastAsia"/>
        </w:rPr>
        <w:t>根据</w:t>
      </w:r>
      <w:r>
        <w:rPr>
          <w:rFonts w:hint="eastAsia"/>
          <w:lang w:eastAsia="zh-CN"/>
        </w:rPr>
        <w:t>生态环境部</w:t>
      </w:r>
      <w:r>
        <w:rPr>
          <w:rFonts w:hint="eastAsia"/>
        </w:rPr>
        <w:t>令第4号《环境影响评价公众参与办法》相关要求，本项目环评采用网站公示、报纸公示等方式征求公众意见。</w:t>
      </w:r>
    </w:p>
    <w:p w14:paraId="2E2D34E3">
      <w:pPr>
        <w:pStyle w:val="93"/>
      </w:pPr>
      <w:r>
        <w:rPr>
          <w:rFonts w:hint="eastAsia"/>
        </w:rPr>
        <w:t>接受环评委托后7个工作日内于2023年7月14日在涟水新闻网网站（https://www.lsxw.net.cn/site/index.html</w:t>
      </w:r>
      <w:r>
        <w:rPr>
          <w:rFonts w:hint="eastAsia"/>
          <w:u w:val="single"/>
        </w:rPr>
        <w:t>）</w:t>
      </w:r>
      <w:r>
        <w:rPr>
          <w:rFonts w:hint="eastAsia"/>
        </w:rPr>
        <w:t>进行了首次公示。</w:t>
      </w:r>
    </w:p>
    <w:p w14:paraId="1752A289">
      <w:pPr>
        <w:ind w:firstLine="480"/>
      </w:pPr>
      <w:r>
        <w:rPr>
          <w:rFonts w:hint="eastAsia"/>
        </w:rPr>
        <w:t>本项目公示期间，建设单位、环评单位均未收到任何反馈意见。</w:t>
      </w:r>
    </w:p>
    <w:p w14:paraId="583232D7">
      <w:pPr>
        <w:ind w:firstLine="480"/>
      </w:pPr>
      <w:r>
        <w:rPr>
          <w:rFonts w:hint="eastAsia"/>
        </w:rPr>
        <w:br w:type="page"/>
      </w:r>
    </w:p>
    <w:p w14:paraId="18D5507A">
      <w:pPr>
        <w:pStyle w:val="80"/>
      </w:pPr>
      <w:bookmarkStart w:id="418" w:name="_Toc1160"/>
      <w:bookmarkEnd w:id="418"/>
      <w:bookmarkStart w:id="419" w:name="_Toc6150"/>
      <w:bookmarkStart w:id="420" w:name="_Toc182171843"/>
      <w:r>
        <w:rPr>
          <w:rFonts w:hint="eastAsia"/>
        </w:rPr>
        <w:t>环境保护措施</w:t>
      </w:r>
      <w:bookmarkEnd w:id="419"/>
      <w:bookmarkEnd w:id="420"/>
    </w:p>
    <w:p w14:paraId="4A7D2126">
      <w:pPr>
        <w:pStyle w:val="82"/>
      </w:pPr>
      <w:bookmarkStart w:id="421" w:name="_Hlk182168556"/>
      <w:r>
        <w:rPr>
          <w:rFonts w:hint="eastAsia"/>
        </w:rPr>
        <w:t>大气污染防治措施</w:t>
      </w:r>
    </w:p>
    <w:bookmarkEnd w:id="421"/>
    <w:p w14:paraId="3D6D9DEC">
      <w:pPr>
        <w:pStyle w:val="93"/>
      </w:pPr>
      <w:bookmarkStart w:id="422" w:name="_Hlk12001087"/>
      <w:bookmarkEnd w:id="422"/>
      <w:r>
        <w:rPr>
          <w:rFonts w:hint="eastAsia"/>
        </w:rPr>
        <w:t>施工现场及临时堆场四周设置2.5</w:t>
      </w:r>
      <w:r>
        <w:rPr>
          <w:rFonts w:hint="eastAsia"/>
          <w:lang w:eastAsia="zh-CN"/>
        </w:rPr>
        <w:t>—</w:t>
      </w:r>
      <w:r>
        <w:rPr>
          <w:rFonts w:hint="eastAsia"/>
        </w:rPr>
        <w:t>3m的围幛；道路硬化；堆料加盖篷布、施工运行车辆行驶道路定时洒水；建筑材料及施工垃圾配套覆盖措施；禁止在大风天气开挖土方。水下土方干化场与最近的村庄居民点的距离应不小于100m，并通过遮盖等方式减缓异味气体逸散。</w:t>
      </w:r>
    </w:p>
    <w:p w14:paraId="06337E67">
      <w:pPr>
        <w:pStyle w:val="139"/>
        <w:ind w:firstLine="480"/>
        <w:rPr>
          <w:color w:val="auto"/>
        </w:rPr>
      </w:pPr>
      <w:r>
        <w:rPr>
          <w:rFonts w:hint="eastAsia"/>
          <w:color w:val="auto"/>
        </w:rPr>
        <w:t>营运期间废气主要为桥式抓斗卸船机卸煤粉尘、带式输送机输送粉尘、道路扬尘和机械及汽车燃油废气。桥式抓斗卸船机的防尘、抑尘系统：</w:t>
      </w:r>
      <w:r>
        <w:rPr>
          <w:rFonts w:hint="eastAsia"/>
          <w:color w:val="auto"/>
        </w:rPr>
        <w:tab/>
      </w:r>
      <w:r>
        <w:rPr>
          <w:rFonts w:hint="eastAsia"/>
          <w:color w:val="auto"/>
        </w:rPr>
        <w:t>每台桥式抓斗卸船机装备1套干雾加高压水雾的抑尘系统，并对桥式抓斗卸船机在运转过程中的起尘部位采取密闭防尘措施。桥式抓斗卸船机漏斗上口设挡风板，漏斗至码头皮带转运处设密闭溜槽和密闭导料槽，卸船接料斗下口应设闸板、出料溜筒，进、出口设橡胶帘。带式输送机的防尘、抑尘措施：</w:t>
      </w:r>
      <w:r>
        <w:rPr>
          <w:rFonts w:hint="eastAsia"/>
          <w:color w:val="auto"/>
        </w:rPr>
        <w:tab/>
      </w:r>
      <w:r>
        <w:rPr>
          <w:rFonts w:hint="eastAsia"/>
          <w:color w:val="auto"/>
        </w:rPr>
        <w:t>带式输送机设置皮带机罩，混凝土栈桥两侧设置防风板，在带式输送机卸料处回程皮带头部设置自动洗带装置。</w:t>
      </w:r>
    </w:p>
    <w:p w14:paraId="31504EE3">
      <w:pPr>
        <w:pStyle w:val="93"/>
      </w:pPr>
      <w:r>
        <w:rPr>
          <w:rFonts w:hint="eastAsia"/>
        </w:rPr>
        <w:t>道路扬尘和机械及汽车燃油废气均为无组织排放废气，对环境质量影响较小。道路扬尘采取道路硬化，并且配备除尘</w:t>
      </w:r>
      <w:r>
        <w:rPr>
          <w:rFonts w:hint="eastAsia"/>
          <w:lang w:eastAsia="zh-CN"/>
        </w:rPr>
        <w:t>喷雾</w:t>
      </w:r>
      <w:r>
        <w:rPr>
          <w:rFonts w:hint="eastAsia"/>
        </w:rPr>
        <w:t>车，对道路面、码头面进行洒水抑尘等措施；车辆及运输机械尾气采取尽量选用低能耗、低污染排放的施工机械和车辆，选用有环保合格和车辆检验合格标志、排气达标的车辆，不得使用不符合排放标准的车辆，加强机械和车辆的管</w:t>
      </w:r>
      <w:r>
        <w:rPr>
          <w:rFonts w:hint="eastAsia"/>
          <w:lang w:eastAsia="zh-CN"/>
        </w:rPr>
        <w:t>理</w:t>
      </w:r>
      <w:r>
        <w:rPr>
          <w:rFonts w:hint="eastAsia"/>
        </w:rPr>
        <w:t>和维护等措施，减少因机械和车辆状况不佳造成的空气污染。</w:t>
      </w:r>
    </w:p>
    <w:p w14:paraId="70EF205F">
      <w:pPr>
        <w:pStyle w:val="93"/>
      </w:pPr>
      <w:r>
        <w:rPr>
          <w:rFonts w:hint="eastAsia"/>
        </w:rPr>
        <w:t>本项目以项目边界向外设置50m卫生防护距离。考虑国能热电项目未设置卫生防护距离，本项目建成后全厂的卫生防护范围为码头岸线向盐河侧50m范围。本项目无组织排放源卫生防护距离内均无居民点分布。</w:t>
      </w:r>
    </w:p>
    <w:p w14:paraId="20B9C869">
      <w:pPr>
        <w:pStyle w:val="82"/>
      </w:pPr>
      <w:r>
        <w:rPr>
          <w:rFonts w:hint="eastAsia"/>
        </w:rPr>
        <w:t>废水污染防治措施</w:t>
      </w:r>
    </w:p>
    <w:p w14:paraId="124A2D34">
      <w:pPr>
        <w:pStyle w:val="93"/>
      </w:pPr>
      <w:r>
        <w:rPr>
          <w:rFonts w:hint="eastAsia"/>
        </w:rPr>
        <w:t>本项目码头前沿配置船舶生活污水接收设施和船舶油污水接收设施，接收后接管至国能涟水一期热电联产项目厂区污水处理设施处理；陆域生活污水依托国能涟水一期热电联产项目厂区污水处理设施处理，不外排。码头初期雨水经排水沟排入国能涟水一期热电联产项目厂区初期雨水池，容积约1500m</w:t>
      </w:r>
      <w:r>
        <w:rPr>
          <w:rFonts w:hint="eastAsia"/>
          <w:vertAlign w:val="superscript"/>
        </w:rPr>
        <w:t>3</w:t>
      </w:r>
      <w:r>
        <w:rPr>
          <w:rFonts w:hint="eastAsia"/>
        </w:rPr>
        <w:t>，初期雨水池设置过滤装置，过滤能力为50t/h。初期雨水经过滤处理达回用水标准后排至全厂回用水池，回用于后方电厂的灰渣系统用水、锅炉房冲洗、汽机房冲洗、暖通用水、输煤栈桥及煤场喷洒用水补水等，和码头的设备冲洗用水、道路洒水、卸船喷淋用水等，不外排。码头冲洗废水经排水沟收集排入国能涟水一期热电联产项目含煤废水处理系统处理后用作厂区煤场喷淋和输煤栈桥冲洗，不外排。船舶舱底油污水由码头前沿接收装置收集，用不锈钢水箱作为船舶含油污水收集容器，配备自吸排污泵，标准法兰盘以及铜丝软管收集船舶含油污水。水箱盛满后，委托有资质单位处置，不外排。</w:t>
      </w:r>
    </w:p>
    <w:p w14:paraId="42B4DB30">
      <w:pPr>
        <w:pStyle w:val="82"/>
      </w:pPr>
      <w:r>
        <w:rPr>
          <w:rFonts w:hint="eastAsia"/>
        </w:rPr>
        <w:t>噪声污染防治措施</w:t>
      </w:r>
    </w:p>
    <w:p w14:paraId="2F499C3A">
      <w:pPr>
        <w:pStyle w:val="93"/>
      </w:pPr>
      <w:r>
        <w:rPr>
          <w:rFonts w:hint="eastAsia"/>
        </w:rPr>
        <w:t>施工过程中应尽量避免夜间施工，如因特殊情况必须夜间施工，施工单位应按规定及时办理相关手续，并做好相应的防护措施。在施工期夜间打桩机、搅拌机、振捣机等高噪声应禁止，并设置隔声屏障。其他机械的施工应合理安排，限制夜间施工的时间。</w:t>
      </w:r>
    </w:p>
    <w:p w14:paraId="35FB241A">
      <w:pPr>
        <w:pStyle w:val="93"/>
      </w:pPr>
      <w:r>
        <w:rPr>
          <w:rFonts w:hint="eastAsia"/>
        </w:rPr>
        <w:t>营运期采取装卸设备加装减振垫、车辆限速及禁止鸣笛等措施降低噪声。</w:t>
      </w:r>
    </w:p>
    <w:p w14:paraId="7EA4DAC6">
      <w:pPr>
        <w:pStyle w:val="82"/>
      </w:pPr>
      <w:r>
        <w:rPr>
          <w:rFonts w:hint="eastAsia"/>
        </w:rPr>
        <w:t>固体废物污染防治措施</w:t>
      </w:r>
    </w:p>
    <w:p w14:paraId="1569DC43">
      <w:pPr>
        <w:pStyle w:val="93"/>
      </w:pPr>
      <w:r>
        <w:rPr>
          <w:rFonts w:hint="eastAsia"/>
        </w:rPr>
        <w:t>施工期生活垃圾收集后由当地环卫部门统一处置；建筑垃圾经收集后用作筑路材料或其他用途综合利用；施工场地设置干化场地，港池和水工结构开挖的土方除部分无法利用的素填土作为弃方外，其余的土方经简单翻晒后回填水工结构和陆域；</w:t>
      </w:r>
      <w:r>
        <w:rPr>
          <w:rStyle w:val="140"/>
          <w:rFonts w:hint="eastAsia"/>
          <w:color w:val="auto"/>
        </w:rPr>
        <w:t>工程产生的水下方干化后弃方全部用于临时用地恢复</w:t>
      </w:r>
      <w:r>
        <w:rPr>
          <w:rFonts w:hint="eastAsia"/>
        </w:rPr>
        <w:t>。不会对区域环境造成影响。机修废油和沉淀池污泥委托有资质单位处置。</w:t>
      </w:r>
    </w:p>
    <w:p w14:paraId="1933B369">
      <w:pPr>
        <w:pStyle w:val="93"/>
      </w:pPr>
      <w:r>
        <w:rPr>
          <w:rFonts w:hint="eastAsia"/>
        </w:rPr>
        <w:t>营运期陆域生活垃圾、船舶生活垃圾、装卸作业生产的固体废物、沉淀池污泥、废含油抹布及手套委托环卫部门定期清运；含油污泥和机修废油暂存于危废仓库，委托有资质单位处置。</w:t>
      </w:r>
    </w:p>
    <w:p w14:paraId="6F76780B">
      <w:pPr>
        <w:pStyle w:val="82"/>
      </w:pPr>
      <w:r>
        <w:rPr>
          <w:rFonts w:hint="eastAsia"/>
        </w:rPr>
        <w:t>生态保护措施</w:t>
      </w:r>
    </w:p>
    <w:p w14:paraId="2EE820FA">
      <w:pPr>
        <w:pStyle w:val="93"/>
      </w:pPr>
      <w:r>
        <w:rPr>
          <w:rFonts w:hint="eastAsia"/>
        </w:rPr>
        <w:t>施工期主要通过缩减岸线使用、保护自然岸线；不在管控区设施工场地，减少生态影响；同步施工，减小对生态多次损害；优化施工管理和施工工艺；严格管理施工船舶，施工船舶垃圾、废水严禁随意排放；施工期各种固体废物不得向水域排放或堆放在水域附近；加强生态环境及生物多样性保护的宣教和管理力度等生态保护措施减小施工期间对生态环境的影响。</w:t>
      </w:r>
    </w:p>
    <w:p w14:paraId="1A45EEB7">
      <w:pPr>
        <w:pStyle w:val="93"/>
      </w:pPr>
      <w:r>
        <w:rPr>
          <w:rFonts w:hint="eastAsia"/>
        </w:rPr>
        <w:t>营运期间主要通过禁止直接向水体排放废水和固体废物，物料堆存远离水域；在工程设计阶段合理规划设计，采取水土保持等生态减缓措施；绿化、增殖放流等生态补偿措施以及加强生态环境及生物多样性保护的宣教和管理力度等生态保护措施减小营运期间对生态环境的影响。</w:t>
      </w:r>
    </w:p>
    <w:p w14:paraId="07E3986F">
      <w:pPr>
        <w:pStyle w:val="82"/>
      </w:pPr>
      <w:r>
        <w:rPr>
          <w:rFonts w:hint="eastAsia"/>
        </w:rPr>
        <w:t>风险防范措施</w:t>
      </w:r>
    </w:p>
    <w:p w14:paraId="415B8569">
      <w:pPr>
        <w:pStyle w:val="93"/>
      </w:pPr>
      <w:r>
        <w:rPr>
          <w:rFonts w:hint="eastAsia"/>
        </w:rPr>
        <w:t>施工期采取施工前与相关管理部门研究划定施工界限并发布施工通告，设置标识；施工期间严格规范施工作业船舶及操作人员，</w:t>
      </w:r>
      <w:r>
        <w:rPr>
          <w:rFonts w:hint="eastAsia"/>
          <w:lang w:eastAsia="zh-CN"/>
        </w:rPr>
        <w:t>增强</w:t>
      </w:r>
      <w:r>
        <w:rPr>
          <w:rFonts w:hint="eastAsia"/>
        </w:rPr>
        <w:t>施工人员的安全意识和环境保护意识，严格操作规程；配备相当数量的应急设备和器材，制定施工期事故应急预案等风险防范措施避免或减小施工期可能造成的事故污染影响。</w:t>
      </w:r>
    </w:p>
    <w:p w14:paraId="6F19D1A0">
      <w:pPr>
        <w:pStyle w:val="93"/>
      </w:pPr>
      <w:r>
        <w:rPr>
          <w:rFonts w:hint="eastAsia"/>
        </w:rPr>
        <w:t>营运期通过采取配备必要的导助航等安全保障设施、推进船舶交通管理系统（VTS）建设、加强航道内船舶交通秩序的管理等措施防范船舶交通事故的影响；采取配备围油栏、拖油网等应急设备以及制定各项溢油应急反应对策防范溢油事故污染；采取防渗及防漏措施、加强码头巡检、源头控制等措施对危废暂存库及地下水进行风险防范；采取设置事故应急池及其配套设施（如事故导排系统），防止消防废水或污染雨水和轻微事故造成的环境污染以及合理选址，规范总</w:t>
      </w:r>
      <w:r>
        <w:rPr>
          <w:rFonts w:hint="eastAsia"/>
          <w:lang w:eastAsia="zh-CN"/>
        </w:rPr>
        <w:t>体</w:t>
      </w:r>
      <w:r>
        <w:rPr>
          <w:rFonts w:hint="eastAsia"/>
        </w:rPr>
        <w:t>布置及建筑设计，完善安全消防措施；编制环境事件应急预案等措施对本项目营运期进行风险防范。</w:t>
      </w:r>
    </w:p>
    <w:p w14:paraId="4C8BE813">
      <w:pPr>
        <w:pStyle w:val="80"/>
      </w:pPr>
      <w:bookmarkStart w:id="423" w:name="_Toc9779"/>
      <w:bookmarkEnd w:id="423"/>
      <w:bookmarkStart w:id="424" w:name="_Toc461"/>
      <w:bookmarkStart w:id="425" w:name="_Toc182171844"/>
      <w:r>
        <w:rPr>
          <w:rFonts w:hint="eastAsia"/>
        </w:rPr>
        <w:t>环境经济损益分析</w:t>
      </w:r>
      <w:bookmarkEnd w:id="424"/>
      <w:bookmarkEnd w:id="425"/>
    </w:p>
    <w:p w14:paraId="2E5311F8">
      <w:pPr>
        <w:pStyle w:val="93"/>
      </w:pPr>
      <w:r>
        <w:rPr>
          <w:rFonts w:hint="eastAsia"/>
        </w:rPr>
        <w:t>通过以上对本项目建设的经济、社会和环境效益分析可知，在落实本评价所提出各项污染防治措施的前提下，本项目的建设能够达到经济效益、社会效益和环境效益相统一的要求，既为地方经济发展做出贡献，又通过环保投资减少了污染物排放量，使污染物排放量在环境容量容许的范围内。本项目的建设满足可持续发展的要求，项目建设是可行的。</w:t>
      </w:r>
    </w:p>
    <w:p w14:paraId="43E5349B">
      <w:pPr>
        <w:pStyle w:val="80"/>
      </w:pPr>
      <w:bookmarkStart w:id="426" w:name="_Toc5600"/>
      <w:bookmarkEnd w:id="426"/>
      <w:bookmarkStart w:id="427" w:name="_Toc30193"/>
      <w:bookmarkStart w:id="428" w:name="_Toc182171845"/>
      <w:r>
        <w:rPr>
          <w:rFonts w:hint="eastAsia"/>
        </w:rPr>
        <w:t>环境管理与监测计划</w:t>
      </w:r>
      <w:bookmarkEnd w:id="427"/>
      <w:bookmarkEnd w:id="428"/>
    </w:p>
    <w:p w14:paraId="4B1FEC29">
      <w:pPr>
        <w:pStyle w:val="93"/>
      </w:pPr>
      <w:r>
        <w:rPr>
          <w:rFonts w:hint="eastAsia"/>
        </w:rPr>
        <w:t>本工程制定了污染物排放管理要求和环境管理制度要求，根据《排污单位自行监测技术指南  总则》（HJ819-2017）、《排污许可证申请与核发技术规范 码头》（HJ1107-2020）等环评相关导则中要求制定了自行监测方案，给出了排污口规范化设置要求，项目符合环境管理及监测计划要求。</w:t>
      </w:r>
    </w:p>
    <w:p w14:paraId="22B3B02C">
      <w:pPr>
        <w:pStyle w:val="80"/>
      </w:pPr>
      <w:bookmarkStart w:id="429" w:name="_Toc5599"/>
      <w:bookmarkEnd w:id="429"/>
      <w:bookmarkStart w:id="430" w:name="_Toc4458"/>
      <w:bookmarkStart w:id="431" w:name="_Toc182171846"/>
      <w:r>
        <w:rPr>
          <w:rFonts w:hint="eastAsia"/>
        </w:rPr>
        <w:t>总结论</w:t>
      </w:r>
      <w:bookmarkEnd w:id="430"/>
      <w:bookmarkEnd w:id="431"/>
    </w:p>
    <w:p w14:paraId="627A4234">
      <w:pPr>
        <w:pStyle w:val="93"/>
      </w:pPr>
      <w:r>
        <w:rPr>
          <w:rFonts w:hint="eastAsia"/>
        </w:rPr>
        <w:t>项目符合国家和地方有关环境保护法律法规、标准、政策、规范及相关规划要求；生产过程中遵循清洁生产理念，所采用的各项污染防治措施技术可行、经济合理，能保证各类污染物长期稳定达标排放；预测结果表明项目所排放的污染物对周围环境和环境保护目标影响较小；通过采取有针对性的风险防范措施并落实应急预案，项目的环境风险可控。在环评公众参与调查期间，未收到公众对本项目的反馈意见。</w:t>
      </w:r>
    </w:p>
    <w:p w14:paraId="074AA3E7">
      <w:pPr>
        <w:pStyle w:val="93"/>
      </w:pPr>
      <w:r>
        <w:rPr>
          <w:rFonts w:hint="eastAsia"/>
        </w:rPr>
        <w:t>因此，项目在建设和运行过程中，切实落实报告书提出的各项污染防治措施及“三同时”制度的前提下，从环境影响角度，本项目建设可行。</w:t>
      </w:r>
    </w:p>
    <w:p w14:paraId="557E94AE">
      <w:pPr>
        <w:ind w:firstLine="480"/>
      </w:pPr>
    </w:p>
    <w:p w14:paraId="741AC727">
      <w:pPr>
        <w:ind w:firstLine="480"/>
        <w:rPr>
          <w:lang w:val="zh-CN"/>
        </w:rPr>
      </w:pPr>
    </w:p>
    <w:p w14:paraId="42570B3E">
      <w:pPr>
        <w:ind w:firstLine="480"/>
        <w:rPr>
          <w:lang w:val="zh-CN"/>
        </w:rPr>
      </w:pPr>
    </w:p>
    <w:p w14:paraId="20572EE7">
      <w:pPr>
        <w:ind w:firstLine="480"/>
        <w:rPr>
          <w:lang w:val="zh-CN"/>
        </w:rPr>
      </w:pPr>
    </w:p>
    <w:p w14:paraId="4BAF248A">
      <w:pPr>
        <w:ind w:firstLine="480"/>
        <w:rPr>
          <w:lang w:val="zh-CN"/>
        </w:rPr>
      </w:pPr>
    </w:p>
    <w:bookmarkEnd w:id="0"/>
    <w:bookmarkEnd w:id="1"/>
    <w:bookmarkEnd w:id="2"/>
    <w:bookmarkEnd w:id="3"/>
    <w:bookmarkEnd w:id="90"/>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14:paraId="1919AD0F">
      <w:pPr>
        <w:ind w:firstLine="480"/>
        <w:rPr>
          <w:lang w:val="zh-CN"/>
        </w:rPr>
      </w:pPr>
    </w:p>
    <w:sectPr>
      <w:pgSz w:w="11905" w:h="16838"/>
      <w:pgMar w:top="1440" w:right="1800" w:bottom="1440" w:left="1800" w:header="851" w:footer="992" w:gutter="0"/>
      <w:cols w:space="72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Bookman Old Style">
    <w:altName w:val="Segoe Print"/>
    <w:panose1 w:val="02050604050505020204"/>
    <w:charset w:val="00"/>
    <w:family w:val="roman"/>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Batang">
    <w:altName w:val="Malgun Gothic"/>
    <w:panose1 w:val="02030600000101010101"/>
    <w:charset w:val="81"/>
    <w:family w:val="roman"/>
    <w:pitch w:val="default"/>
    <w:sig w:usb0="00000000" w:usb1="00000000" w:usb2="00000030" w:usb3="00000000" w:csb0="0008009F" w:csb1="00000000"/>
  </w:font>
  <w:font w:name="바탕">
    <w:altName w:val="Segoe Print"/>
    <w:panose1 w:val="00000000000000000000"/>
    <w:charset w:val="00"/>
    <w:family w:val="auto"/>
    <w:pitch w:val="default"/>
    <w:sig w:usb0="00000000" w:usb1="00000000" w:usb2="00000000" w:usb3="00000000" w:csb0="00000000" w:csb1="00000000"/>
  </w:font>
  <w:font w:name="Symusic">
    <w:altName w:val="Segoe Print"/>
    <w:panose1 w:val="00000400000000000000"/>
    <w:charset w:val="00"/>
    <w:family w:val="auto"/>
    <w:pitch w:val="default"/>
    <w:sig w:usb0="00000000" w:usb1="00000000" w:usb2="00000000" w:usb3="00000000" w:csb0="0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374E0">
    <w:pPr>
      <w:pStyle w:val="26"/>
      <w:ind w:firstLine="360"/>
      <w:jc w:val="center"/>
    </w:pPr>
  </w:p>
  <w:p w14:paraId="2F377883">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DDFA4">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63289">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0769692"/>
    </w:sdtPr>
    <w:sdtContent>
      <w:p w14:paraId="2EC9C716">
        <w:pPr>
          <w:pStyle w:val="26"/>
          <w:ind w:firstLine="0" w:firstLineChars="0"/>
          <w:jc w:val="center"/>
        </w:pPr>
        <w:r>
          <w:fldChar w:fldCharType="begin"/>
        </w:r>
        <w:r>
          <w:instrText xml:space="preserve">PAGE   \* MERGEFORMAT</w:instrText>
        </w:r>
        <w:r>
          <w:fldChar w:fldCharType="separate"/>
        </w:r>
        <w:r>
          <w:t>vi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1A948">
    <w:pPr>
      <w:pStyle w:val="2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DAF92">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14530">
    <w:pPr>
      <w:pStyle w:val="2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8E63A">
    <w:pPr>
      <w:pStyle w:val="28"/>
      <w:spacing w:line="240" w:lineRule="auto"/>
      <w:ind w:firstLine="0" w:firstLineChars="0"/>
    </w:pPr>
    <w:r>
      <w:rPr>
        <w:rFonts w:hint="eastAsia"/>
      </w:rPr>
      <w:t>淮安港涟水港区薛行作业区国能涟水一期热电联产项目配套码头工程环境影响报告书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DB1237"/>
    <w:multiLevelType w:val="multilevel"/>
    <w:tmpl w:val="19DB1237"/>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1A527F3D"/>
    <w:multiLevelType w:val="multilevel"/>
    <w:tmpl w:val="1A527F3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9E35E97"/>
    <w:multiLevelType w:val="multilevel"/>
    <w:tmpl w:val="49E35E97"/>
    <w:lvl w:ilvl="0" w:tentative="0">
      <w:start w:val="1"/>
      <w:numFmt w:val="decimal"/>
      <w:lvlText w:val="%1"/>
      <w:lvlJc w:val="left"/>
      <w:pPr>
        <w:tabs>
          <w:tab w:val="left" w:pos="397"/>
        </w:tabs>
        <w:ind w:left="397" w:hanging="397"/>
      </w:pPr>
      <w:rPr>
        <w:rFonts w:hint="eastAsia" w:ascii="黑体" w:eastAsia="黑体"/>
        <w:b w:val="0"/>
        <w:i w:val="0"/>
        <w:sz w:val="32"/>
      </w:rPr>
    </w:lvl>
    <w:lvl w:ilvl="1" w:tentative="0">
      <w:start w:val="1"/>
      <w:numFmt w:val="decimal"/>
      <w:lvlText w:val="%1.%2"/>
      <w:lvlJc w:val="left"/>
      <w:pPr>
        <w:tabs>
          <w:tab w:val="left" w:pos="576"/>
        </w:tabs>
        <w:ind w:left="576" w:hanging="576"/>
      </w:pPr>
      <w:rPr>
        <w:rFonts w:hint="eastAsia" w:ascii="黑体" w:eastAsia="黑体"/>
        <w:b w:val="0"/>
        <w:i w:val="0"/>
        <w:sz w:val="32"/>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507A1067"/>
    <w:multiLevelType w:val="multilevel"/>
    <w:tmpl w:val="507A1067"/>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4">
    <w:nsid w:val="63ED4C11"/>
    <w:multiLevelType w:val="multilevel"/>
    <w:tmpl w:val="63ED4C11"/>
    <w:lvl w:ilvl="0" w:tentative="0">
      <w:start w:val="1"/>
      <w:numFmt w:val="upperLetter"/>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84B485D"/>
    <w:multiLevelType w:val="multilevel"/>
    <w:tmpl w:val="684B485D"/>
    <w:lvl w:ilvl="0" w:tentative="0">
      <w:start w:val="1"/>
      <w:numFmt w:val="decimal"/>
      <w:pStyle w:val="76"/>
      <w:suff w:val="nothing"/>
      <w:lvlText w:val="%1"/>
      <w:lvlJc w:val="left"/>
      <w:pPr>
        <w:ind w:left="1701" w:firstLine="0"/>
      </w:pPr>
      <w:rPr>
        <w:rFonts w:hint="default" w:ascii="Times New Roman" w:hAnsi="Times New Roman" w:eastAsia="宋体"/>
        <w:b/>
        <w:i w:val="0"/>
        <w:sz w:val="44"/>
      </w:rPr>
    </w:lvl>
    <w:lvl w:ilvl="1" w:tentative="0">
      <w:start w:val="1"/>
      <w:numFmt w:val="decimal"/>
      <w:pStyle w:val="80"/>
      <w:suff w:val="nothing"/>
      <w:lvlText w:val="%1.%2"/>
      <w:lvlJc w:val="left"/>
      <w:pPr>
        <w:ind w:left="0" w:firstLine="0"/>
      </w:pPr>
      <w:rPr>
        <w:rFonts w:hint="default" w:ascii="Times New Roman" w:hAnsi="Times New Roman" w:eastAsia="宋体"/>
        <w:b/>
        <w:i w:val="0"/>
        <w:sz w:val="32"/>
      </w:rPr>
    </w:lvl>
    <w:lvl w:ilvl="2" w:tentative="0">
      <w:start w:val="1"/>
      <w:numFmt w:val="decimal"/>
      <w:pStyle w:val="82"/>
      <w:suff w:val="nothing"/>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3" w:tentative="0">
      <w:start w:val="1"/>
      <w:numFmt w:val="decimal"/>
      <w:pStyle w:val="84"/>
      <w:suff w:val="nothing"/>
      <w:lvlText w:val="%1.%2.%3.%4"/>
      <w:lvlJc w:val="left"/>
      <w:pPr>
        <w:ind w:left="0" w:firstLine="0"/>
      </w:pPr>
    </w:lvl>
    <w:lvl w:ilvl="4" w:tentative="0">
      <w:start w:val="1"/>
      <w:numFmt w:val="decimal"/>
      <w:lvlRestart w:val="0"/>
      <w:lvlText w:val="%1.%2.%3.%4.%5"/>
      <w:lvlJc w:val="left"/>
      <w:pPr>
        <w:ind w:left="2551" w:hanging="850"/>
      </w:pPr>
      <w:rPr>
        <w:rFonts w:hint="eastAsia"/>
      </w:rPr>
    </w:lvl>
    <w:lvl w:ilvl="5" w:tentative="0">
      <w:start w:val="1"/>
      <w:numFmt w:val="decimal"/>
      <w:lvlRestart w:val="2"/>
      <w:suff w:val="space"/>
      <w:lvlText w:val="表%1.%2-%6"/>
      <w:lvlJc w:val="center"/>
      <w:pPr>
        <w:ind w:left="4395" w:firstLine="0"/>
      </w:pPr>
      <w:rPr>
        <w:rFonts w:hint="default" w:ascii="Times New Roman" w:hAnsi="Times New Roman" w:eastAsia="宋体"/>
        <w:b/>
        <w:i w:val="0"/>
        <w:sz w:val="24"/>
        <w:vertAlign w:val="baseline"/>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68CD5715"/>
    <w:multiLevelType w:val="singleLevel"/>
    <w:tmpl w:val="68CD5715"/>
    <w:lvl w:ilvl="0" w:tentative="0">
      <w:start w:val="1"/>
      <w:numFmt w:val="bullet"/>
      <w:pStyle w:val="177"/>
      <w:lvlText w:val=""/>
      <w:lvlJc w:val="left"/>
      <w:pPr>
        <w:tabs>
          <w:tab w:val="left" w:pos="620"/>
        </w:tabs>
        <w:ind w:left="620" w:hanging="420"/>
      </w:pPr>
      <w:rPr>
        <w:rFonts w:hint="default" w:ascii="Wingdings" w:hAnsi="Wingdings"/>
        <w:sz w:val="21"/>
      </w:rPr>
    </w:lvl>
  </w:abstractNum>
  <w:abstractNum w:abstractNumId="7">
    <w:nsid w:val="7CC262BA"/>
    <w:multiLevelType w:val="multilevel"/>
    <w:tmpl w:val="7CC262BA"/>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2"/>
  </w:num>
  <w:num w:numId="2">
    <w:abstractNumId w:val="5"/>
  </w:num>
  <w:num w:numId="3">
    <w:abstractNumId w:val="5"/>
    <w:lvlOverride w:ilvl="0">
      <w:lvl w:ilvl="0" w:tentative="1">
        <w:start w:val="1"/>
        <w:numFmt w:val="decimal"/>
        <w:suff w:val="nothing"/>
        <w:lvlText w:val="%1"/>
        <w:lvlJc w:val="left"/>
        <w:pPr>
          <w:ind w:left="1701" w:firstLine="0"/>
        </w:pPr>
        <w:rPr>
          <w:rFonts w:hint="default" w:ascii="Times New Roman" w:hAnsi="Times New Roman" w:eastAsia="宋体"/>
          <w:b/>
          <w:i w:val="0"/>
          <w:sz w:val="44"/>
        </w:rPr>
      </w:lvl>
    </w:lvlOverride>
    <w:lvlOverride w:ilvl="1">
      <w:lvl w:ilvl="1" w:tentative="1">
        <w:start w:val="1"/>
        <w:numFmt w:val="decimal"/>
        <w:suff w:val="nothing"/>
        <w:lvlText w:val="%1.%2"/>
        <w:lvlJc w:val="left"/>
        <w:pPr>
          <w:ind w:left="0" w:firstLine="0"/>
        </w:pPr>
        <w:rPr>
          <w:rFonts w:hint="default" w:ascii="Times New Roman" w:hAnsi="Times New Roman" w:eastAsia="宋体"/>
          <w:b/>
          <w:i w:val="0"/>
          <w:sz w:val="32"/>
        </w:rPr>
      </w:lvl>
    </w:lvlOverride>
    <w:lvlOverride w:ilvl="2">
      <w:lvl w:ilvl="2" w:tentative="1">
        <w:start w:val="1"/>
        <w:numFmt w:val="decimal"/>
        <w:suff w:val="nothing"/>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Override>
    <w:lvlOverride w:ilvl="3">
      <w:lvl w:ilvl="3" w:tentative="1">
        <w:start w:val="1"/>
        <w:numFmt w:val="decimal"/>
        <w:suff w:val="nothing"/>
        <w:lvlText w:val="%1.%2.%3.%4"/>
        <w:lvlJc w:val="left"/>
        <w:pPr>
          <w:ind w:left="0" w:firstLine="0"/>
        </w:pPr>
      </w:lvl>
    </w:lvlOverride>
    <w:lvlOverride w:ilvl="4">
      <w:lvl w:ilvl="4" w:tentative="1">
        <w:start w:val="1"/>
        <w:numFmt w:val="decimal"/>
        <w:lvlRestart w:val="0"/>
        <w:lvlText w:val="%1.%2.%3.%4.%5"/>
        <w:lvlJc w:val="left"/>
        <w:pPr>
          <w:ind w:left="2551" w:hanging="850"/>
        </w:pPr>
        <w:rPr>
          <w:rFonts w:hint="eastAsia"/>
        </w:rPr>
      </w:lvl>
    </w:lvlOverride>
    <w:lvlOverride w:ilvl="5">
      <w:lvl w:ilvl="5" w:tentative="1">
        <w:start w:val="1"/>
        <w:numFmt w:val="decimal"/>
        <w:lvlRestart w:val="2"/>
        <w:pStyle w:val="86"/>
        <w:suff w:val="space"/>
        <w:lvlText w:val="表%1.%2-%6"/>
        <w:lvlJc w:val="center"/>
        <w:pPr>
          <w:ind w:left="4395" w:firstLine="0"/>
        </w:pPr>
        <w:rPr>
          <w:rFonts w:hint="default" w:ascii="Times New Roman" w:hAnsi="Times New Roman" w:eastAsia="宋体"/>
          <w:b/>
          <w:i w:val="0"/>
          <w:sz w:val="24"/>
          <w:vertAlign w:val="baseline"/>
          <w:lang w:val="en-US"/>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lvlOverride w:ilvl="0">
      <w:lvl w:ilvl="0" w:tentative="1">
        <w:start w:val="1"/>
        <w:numFmt w:val="decimal"/>
        <w:suff w:val="nothing"/>
        <w:lvlText w:val="%1"/>
        <w:lvlJc w:val="left"/>
        <w:pPr>
          <w:ind w:left="1701" w:firstLine="0"/>
        </w:pPr>
        <w:rPr>
          <w:rFonts w:hint="default" w:ascii="Times New Roman" w:hAnsi="Times New Roman" w:eastAsia="宋体"/>
          <w:b/>
          <w:i w:val="0"/>
          <w:sz w:val="44"/>
        </w:rPr>
      </w:lvl>
    </w:lvlOverride>
    <w:lvlOverride w:ilvl="1">
      <w:lvl w:ilvl="1" w:tentative="1">
        <w:start w:val="1"/>
        <w:numFmt w:val="decimal"/>
        <w:suff w:val="nothing"/>
        <w:lvlText w:val="%1.%2"/>
        <w:lvlJc w:val="left"/>
        <w:pPr>
          <w:ind w:left="0" w:firstLine="0"/>
        </w:pPr>
        <w:rPr>
          <w:rFonts w:hint="default" w:ascii="Times New Roman" w:hAnsi="Times New Roman" w:eastAsia="宋体"/>
          <w:b/>
          <w:i w:val="0"/>
          <w:sz w:val="32"/>
        </w:rPr>
      </w:lvl>
    </w:lvlOverride>
    <w:lvlOverride w:ilvl="2">
      <w:lvl w:ilvl="2" w:tentative="1">
        <w:start w:val="1"/>
        <w:numFmt w:val="decimal"/>
        <w:suff w:val="nothing"/>
        <w:lvlText w:val="%1.%2.%3"/>
        <w:lvlJc w:val="left"/>
        <w:pPr>
          <w:ind w:left="0" w:firstLine="0"/>
        </w:pPr>
        <w:rPr>
          <w:rFonts w:hint="eastAsia"/>
          <w:b/>
          <w:bCs w:val="0"/>
          <w:i w:val="0"/>
          <w:iCs w:val="0"/>
          <w:caps w:val="0"/>
          <w:smallCaps w:val="0"/>
          <w:strike w:val="0"/>
          <w:dstrike w:val="0"/>
          <w:vanish w:val="0"/>
          <w:color w:val="000000"/>
          <w:spacing w:val="0"/>
          <w:position w:val="0"/>
          <w:u w:val="none"/>
          <w:vertAlign w:val="baseline"/>
          <w14:ligatures w14:val="none"/>
          <w14:numForm w14:val="default"/>
          <w14:numSpacing w14:val="default"/>
        </w:rPr>
      </w:lvl>
    </w:lvlOverride>
    <w:lvlOverride w:ilvl="3">
      <w:lvl w:ilvl="3" w:tentative="1">
        <w:start w:val="1"/>
        <w:numFmt w:val="decimal"/>
        <w:suff w:val="nothing"/>
        <w:lvlText w:val="%1.%2.%3.%4"/>
        <w:lvlJc w:val="left"/>
        <w:pPr>
          <w:ind w:left="0" w:firstLine="0"/>
        </w:pPr>
        <w:rPr>
          <w:rFonts w:hint="default" w:ascii="Times New Roman" w:hAnsi="Times New Roman" w:eastAsia="宋体"/>
          <w:b/>
          <w:i w:val="0"/>
          <w:sz w:val="28"/>
        </w:rPr>
      </w:lvl>
    </w:lvlOverride>
    <w:lvlOverride w:ilvl="4">
      <w:lvl w:ilvl="4" w:tentative="1">
        <w:start w:val="1"/>
        <w:numFmt w:val="decimal"/>
        <w:lvlRestart w:val="0"/>
        <w:lvlText w:val="%1.%2.%3.%4.%5"/>
        <w:lvlJc w:val="left"/>
        <w:pPr>
          <w:ind w:left="2551" w:hanging="850"/>
        </w:pPr>
        <w:rPr>
          <w:rFonts w:hint="eastAsia"/>
        </w:rPr>
      </w:lvl>
    </w:lvlOverride>
    <w:lvlOverride w:ilvl="5">
      <w:lvl w:ilvl="5" w:tentative="1">
        <w:start w:val="1"/>
        <w:numFmt w:val="decimal"/>
        <w:lvlRestart w:val="2"/>
        <w:suff w:val="space"/>
        <w:lvlText w:val="表%1.%2-%6"/>
        <w:lvlJc w:val="center"/>
        <w:pPr>
          <w:ind w:left="0" w:firstLine="0"/>
        </w:pPr>
        <w:rPr>
          <w:rFonts w:hint="default" w:ascii="Times New Roman" w:hAnsi="Times New Roman" w:eastAsia="宋体"/>
          <w:b/>
          <w:i w:val="0"/>
          <w:sz w:val="24"/>
          <w:vertAlign w:val="baseline"/>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hideGrammaticalErrors/>
  <w:documentProtection w:enforcement="0"/>
  <w:defaultTabStop w:val="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M1YjY4YTM5NmEzYzY1MTNmNDU4MWZhZGExZTI1ZTcifQ=="/>
    <w:docVar w:name="KSO_WPS_MARK_KEY" w:val="9b55b062-1124-458b-baed-ac4edc7e5c26"/>
  </w:docVars>
  <w:rsids>
    <w:rsidRoot w:val="005741C7"/>
    <w:rsid w:val="00000135"/>
    <w:rsid w:val="0000034A"/>
    <w:rsid w:val="000007AF"/>
    <w:rsid w:val="000015CA"/>
    <w:rsid w:val="000016B4"/>
    <w:rsid w:val="000022BE"/>
    <w:rsid w:val="00002D04"/>
    <w:rsid w:val="0000316B"/>
    <w:rsid w:val="000031EB"/>
    <w:rsid w:val="00003286"/>
    <w:rsid w:val="00003AE3"/>
    <w:rsid w:val="00003D0A"/>
    <w:rsid w:val="00003D9D"/>
    <w:rsid w:val="00003E55"/>
    <w:rsid w:val="00004120"/>
    <w:rsid w:val="0000452A"/>
    <w:rsid w:val="000047AF"/>
    <w:rsid w:val="00004940"/>
    <w:rsid w:val="00004C68"/>
    <w:rsid w:val="00004EA2"/>
    <w:rsid w:val="0000556B"/>
    <w:rsid w:val="00005795"/>
    <w:rsid w:val="00005AC9"/>
    <w:rsid w:val="000061F5"/>
    <w:rsid w:val="00006693"/>
    <w:rsid w:val="0000689D"/>
    <w:rsid w:val="000069E9"/>
    <w:rsid w:val="00006D33"/>
    <w:rsid w:val="00006F80"/>
    <w:rsid w:val="0000759F"/>
    <w:rsid w:val="00007645"/>
    <w:rsid w:val="00007681"/>
    <w:rsid w:val="00007925"/>
    <w:rsid w:val="00007A94"/>
    <w:rsid w:val="000104A3"/>
    <w:rsid w:val="0001077B"/>
    <w:rsid w:val="00011120"/>
    <w:rsid w:val="000116C2"/>
    <w:rsid w:val="0001197A"/>
    <w:rsid w:val="00011BDB"/>
    <w:rsid w:val="00012584"/>
    <w:rsid w:val="00012587"/>
    <w:rsid w:val="0001307E"/>
    <w:rsid w:val="00013234"/>
    <w:rsid w:val="00013F5E"/>
    <w:rsid w:val="0001402F"/>
    <w:rsid w:val="00014130"/>
    <w:rsid w:val="00014759"/>
    <w:rsid w:val="00014C31"/>
    <w:rsid w:val="00014F17"/>
    <w:rsid w:val="00015E65"/>
    <w:rsid w:val="00015E72"/>
    <w:rsid w:val="00015F0F"/>
    <w:rsid w:val="000160F9"/>
    <w:rsid w:val="00016560"/>
    <w:rsid w:val="0001666C"/>
    <w:rsid w:val="00016B23"/>
    <w:rsid w:val="00016CBA"/>
    <w:rsid w:val="00017297"/>
    <w:rsid w:val="00017637"/>
    <w:rsid w:val="00017C70"/>
    <w:rsid w:val="0002021C"/>
    <w:rsid w:val="00020368"/>
    <w:rsid w:val="000206B1"/>
    <w:rsid w:val="00020AE2"/>
    <w:rsid w:val="00020C7F"/>
    <w:rsid w:val="00020F57"/>
    <w:rsid w:val="00020F9B"/>
    <w:rsid w:val="000218A0"/>
    <w:rsid w:val="0002197F"/>
    <w:rsid w:val="00021D01"/>
    <w:rsid w:val="00021E90"/>
    <w:rsid w:val="00021EE3"/>
    <w:rsid w:val="0002249B"/>
    <w:rsid w:val="00022709"/>
    <w:rsid w:val="00022BD6"/>
    <w:rsid w:val="00023994"/>
    <w:rsid w:val="00023996"/>
    <w:rsid w:val="00023E6B"/>
    <w:rsid w:val="0002437D"/>
    <w:rsid w:val="00024D75"/>
    <w:rsid w:val="000252F5"/>
    <w:rsid w:val="00025822"/>
    <w:rsid w:val="0002627A"/>
    <w:rsid w:val="00026921"/>
    <w:rsid w:val="00026A28"/>
    <w:rsid w:val="00026A55"/>
    <w:rsid w:val="00026EBB"/>
    <w:rsid w:val="00026F66"/>
    <w:rsid w:val="00027A9C"/>
    <w:rsid w:val="00027B09"/>
    <w:rsid w:val="00030148"/>
    <w:rsid w:val="000318A2"/>
    <w:rsid w:val="00031A2A"/>
    <w:rsid w:val="00031C66"/>
    <w:rsid w:val="00032500"/>
    <w:rsid w:val="000325A9"/>
    <w:rsid w:val="0003288B"/>
    <w:rsid w:val="00032B92"/>
    <w:rsid w:val="00033289"/>
    <w:rsid w:val="000332DD"/>
    <w:rsid w:val="0003350B"/>
    <w:rsid w:val="00033638"/>
    <w:rsid w:val="000337DF"/>
    <w:rsid w:val="00033B26"/>
    <w:rsid w:val="00033B85"/>
    <w:rsid w:val="00033C2F"/>
    <w:rsid w:val="00033ED6"/>
    <w:rsid w:val="00034FDD"/>
    <w:rsid w:val="00035A8A"/>
    <w:rsid w:val="00035EAA"/>
    <w:rsid w:val="000362BD"/>
    <w:rsid w:val="000363C8"/>
    <w:rsid w:val="000365DA"/>
    <w:rsid w:val="00036705"/>
    <w:rsid w:val="00036E7B"/>
    <w:rsid w:val="00036F00"/>
    <w:rsid w:val="00036F81"/>
    <w:rsid w:val="00037217"/>
    <w:rsid w:val="00037394"/>
    <w:rsid w:val="000378AB"/>
    <w:rsid w:val="000402A6"/>
    <w:rsid w:val="00040315"/>
    <w:rsid w:val="000404D5"/>
    <w:rsid w:val="00040701"/>
    <w:rsid w:val="00040B5B"/>
    <w:rsid w:val="00040BD0"/>
    <w:rsid w:val="00041002"/>
    <w:rsid w:val="000410DE"/>
    <w:rsid w:val="000417BD"/>
    <w:rsid w:val="000420B8"/>
    <w:rsid w:val="000420FD"/>
    <w:rsid w:val="00042365"/>
    <w:rsid w:val="0004262B"/>
    <w:rsid w:val="00042689"/>
    <w:rsid w:val="00043903"/>
    <w:rsid w:val="00043C4A"/>
    <w:rsid w:val="00044075"/>
    <w:rsid w:val="000440E0"/>
    <w:rsid w:val="00044117"/>
    <w:rsid w:val="000443DF"/>
    <w:rsid w:val="000445F1"/>
    <w:rsid w:val="00044755"/>
    <w:rsid w:val="00044957"/>
    <w:rsid w:val="00044AF9"/>
    <w:rsid w:val="000454F0"/>
    <w:rsid w:val="000455FF"/>
    <w:rsid w:val="0004591B"/>
    <w:rsid w:val="00045DFF"/>
    <w:rsid w:val="00046218"/>
    <w:rsid w:val="00046979"/>
    <w:rsid w:val="00046DA8"/>
    <w:rsid w:val="00046F6C"/>
    <w:rsid w:val="0004744B"/>
    <w:rsid w:val="000476AE"/>
    <w:rsid w:val="00047AF6"/>
    <w:rsid w:val="00047E09"/>
    <w:rsid w:val="00047FBC"/>
    <w:rsid w:val="00050032"/>
    <w:rsid w:val="00050050"/>
    <w:rsid w:val="00050291"/>
    <w:rsid w:val="000506BA"/>
    <w:rsid w:val="00050733"/>
    <w:rsid w:val="00050BF3"/>
    <w:rsid w:val="00050E5C"/>
    <w:rsid w:val="00051028"/>
    <w:rsid w:val="000525C0"/>
    <w:rsid w:val="000527DA"/>
    <w:rsid w:val="00052E77"/>
    <w:rsid w:val="00052FB2"/>
    <w:rsid w:val="00052FFD"/>
    <w:rsid w:val="00053233"/>
    <w:rsid w:val="00053920"/>
    <w:rsid w:val="00053944"/>
    <w:rsid w:val="00053A85"/>
    <w:rsid w:val="00053E79"/>
    <w:rsid w:val="00054473"/>
    <w:rsid w:val="00054B61"/>
    <w:rsid w:val="00054D26"/>
    <w:rsid w:val="00054E41"/>
    <w:rsid w:val="00054E73"/>
    <w:rsid w:val="00055414"/>
    <w:rsid w:val="0005546F"/>
    <w:rsid w:val="000554D7"/>
    <w:rsid w:val="00055DCF"/>
    <w:rsid w:val="00055E94"/>
    <w:rsid w:val="00055ECA"/>
    <w:rsid w:val="000563A8"/>
    <w:rsid w:val="00056857"/>
    <w:rsid w:val="00056D0B"/>
    <w:rsid w:val="00056E58"/>
    <w:rsid w:val="00056EC1"/>
    <w:rsid w:val="00057A79"/>
    <w:rsid w:val="00057C40"/>
    <w:rsid w:val="00057D99"/>
    <w:rsid w:val="00060276"/>
    <w:rsid w:val="00060499"/>
    <w:rsid w:val="00060538"/>
    <w:rsid w:val="000607C3"/>
    <w:rsid w:val="00060970"/>
    <w:rsid w:val="00060D89"/>
    <w:rsid w:val="00060DF8"/>
    <w:rsid w:val="000615DD"/>
    <w:rsid w:val="0006223C"/>
    <w:rsid w:val="00062415"/>
    <w:rsid w:val="000629FA"/>
    <w:rsid w:val="00062D1B"/>
    <w:rsid w:val="00062E9B"/>
    <w:rsid w:val="00063869"/>
    <w:rsid w:val="0006458D"/>
    <w:rsid w:val="00064B52"/>
    <w:rsid w:val="00064F3F"/>
    <w:rsid w:val="0006552F"/>
    <w:rsid w:val="000658CD"/>
    <w:rsid w:val="00065A8C"/>
    <w:rsid w:val="00065A94"/>
    <w:rsid w:val="00065C25"/>
    <w:rsid w:val="00065F51"/>
    <w:rsid w:val="00066EEC"/>
    <w:rsid w:val="00067007"/>
    <w:rsid w:val="0006715A"/>
    <w:rsid w:val="000672E3"/>
    <w:rsid w:val="00067C5D"/>
    <w:rsid w:val="00067EB4"/>
    <w:rsid w:val="00067F51"/>
    <w:rsid w:val="00067FED"/>
    <w:rsid w:val="000700D0"/>
    <w:rsid w:val="000701E5"/>
    <w:rsid w:val="0007091E"/>
    <w:rsid w:val="00070984"/>
    <w:rsid w:val="00070DE4"/>
    <w:rsid w:val="00070F3B"/>
    <w:rsid w:val="00070F49"/>
    <w:rsid w:val="000719C9"/>
    <w:rsid w:val="00071B02"/>
    <w:rsid w:val="0007212F"/>
    <w:rsid w:val="00072231"/>
    <w:rsid w:val="00072C7E"/>
    <w:rsid w:val="00072ED9"/>
    <w:rsid w:val="0007307A"/>
    <w:rsid w:val="0007369E"/>
    <w:rsid w:val="00073773"/>
    <w:rsid w:val="0007377F"/>
    <w:rsid w:val="0007378C"/>
    <w:rsid w:val="00073889"/>
    <w:rsid w:val="00073D25"/>
    <w:rsid w:val="000740B6"/>
    <w:rsid w:val="000743F2"/>
    <w:rsid w:val="00074611"/>
    <w:rsid w:val="000759AD"/>
    <w:rsid w:val="00075F2E"/>
    <w:rsid w:val="00076377"/>
    <w:rsid w:val="000764AE"/>
    <w:rsid w:val="000769ED"/>
    <w:rsid w:val="00077228"/>
    <w:rsid w:val="0007794A"/>
    <w:rsid w:val="00077B01"/>
    <w:rsid w:val="00077C3E"/>
    <w:rsid w:val="00077DCF"/>
    <w:rsid w:val="000800AA"/>
    <w:rsid w:val="00080738"/>
    <w:rsid w:val="00080D4C"/>
    <w:rsid w:val="00080EB1"/>
    <w:rsid w:val="00081755"/>
    <w:rsid w:val="000817E5"/>
    <w:rsid w:val="000817F0"/>
    <w:rsid w:val="00081BBA"/>
    <w:rsid w:val="00081C73"/>
    <w:rsid w:val="00081FFB"/>
    <w:rsid w:val="00082178"/>
    <w:rsid w:val="00082816"/>
    <w:rsid w:val="00082A3E"/>
    <w:rsid w:val="00082C0E"/>
    <w:rsid w:val="0008319E"/>
    <w:rsid w:val="000831CD"/>
    <w:rsid w:val="00083862"/>
    <w:rsid w:val="00083962"/>
    <w:rsid w:val="00083C2F"/>
    <w:rsid w:val="00084EE8"/>
    <w:rsid w:val="0008581F"/>
    <w:rsid w:val="00085A27"/>
    <w:rsid w:val="000860D5"/>
    <w:rsid w:val="0008632B"/>
    <w:rsid w:val="00086608"/>
    <w:rsid w:val="000879A2"/>
    <w:rsid w:val="000908D4"/>
    <w:rsid w:val="0009097A"/>
    <w:rsid w:val="000910F5"/>
    <w:rsid w:val="00091FCC"/>
    <w:rsid w:val="000920A6"/>
    <w:rsid w:val="0009252F"/>
    <w:rsid w:val="0009253F"/>
    <w:rsid w:val="00092771"/>
    <w:rsid w:val="00092FED"/>
    <w:rsid w:val="000930E7"/>
    <w:rsid w:val="000941C7"/>
    <w:rsid w:val="0009439F"/>
    <w:rsid w:val="00094794"/>
    <w:rsid w:val="00094EC9"/>
    <w:rsid w:val="00095036"/>
    <w:rsid w:val="00095584"/>
    <w:rsid w:val="00095639"/>
    <w:rsid w:val="00095870"/>
    <w:rsid w:val="000959FF"/>
    <w:rsid w:val="00095B1F"/>
    <w:rsid w:val="00095F69"/>
    <w:rsid w:val="000961D9"/>
    <w:rsid w:val="00096584"/>
    <w:rsid w:val="000965AA"/>
    <w:rsid w:val="000965E4"/>
    <w:rsid w:val="000965E6"/>
    <w:rsid w:val="0009701B"/>
    <w:rsid w:val="0009710A"/>
    <w:rsid w:val="00097778"/>
    <w:rsid w:val="00097B03"/>
    <w:rsid w:val="000A0117"/>
    <w:rsid w:val="000A0764"/>
    <w:rsid w:val="000A08B8"/>
    <w:rsid w:val="000A09C9"/>
    <w:rsid w:val="000A09E3"/>
    <w:rsid w:val="000A0C68"/>
    <w:rsid w:val="000A0FE5"/>
    <w:rsid w:val="000A1028"/>
    <w:rsid w:val="000A158D"/>
    <w:rsid w:val="000A1FF3"/>
    <w:rsid w:val="000A207C"/>
    <w:rsid w:val="000A2183"/>
    <w:rsid w:val="000A25D3"/>
    <w:rsid w:val="000A375A"/>
    <w:rsid w:val="000A4357"/>
    <w:rsid w:val="000A4D76"/>
    <w:rsid w:val="000A4E07"/>
    <w:rsid w:val="000A4FC0"/>
    <w:rsid w:val="000A5104"/>
    <w:rsid w:val="000A5C92"/>
    <w:rsid w:val="000A60B3"/>
    <w:rsid w:val="000A60BA"/>
    <w:rsid w:val="000A6AC0"/>
    <w:rsid w:val="000A6DE1"/>
    <w:rsid w:val="000A787A"/>
    <w:rsid w:val="000A7FAA"/>
    <w:rsid w:val="000A7FD5"/>
    <w:rsid w:val="000B041F"/>
    <w:rsid w:val="000B0691"/>
    <w:rsid w:val="000B08A5"/>
    <w:rsid w:val="000B0C82"/>
    <w:rsid w:val="000B0E3A"/>
    <w:rsid w:val="000B0E85"/>
    <w:rsid w:val="000B0EF4"/>
    <w:rsid w:val="000B11F3"/>
    <w:rsid w:val="000B124D"/>
    <w:rsid w:val="000B1334"/>
    <w:rsid w:val="000B15F4"/>
    <w:rsid w:val="000B15F7"/>
    <w:rsid w:val="000B1771"/>
    <w:rsid w:val="000B1D7E"/>
    <w:rsid w:val="000B256A"/>
    <w:rsid w:val="000B2D01"/>
    <w:rsid w:val="000B2E8F"/>
    <w:rsid w:val="000B352F"/>
    <w:rsid w:val="000B49D4"/>
    <w:rsid w:val="000B4DF8"/>
    <w:rsid w:val="000B54CD"/>
    <w:rsid w:val="000B55C5"/>
    <w:rsid w:val="000B5A12"/>
    <w:rsid w:val="000B67F5"/>
    <w:rsid w:val="000B6C58"/>
    <w:rsid w:val="000B6D61"/>
    <w:rsid w:val="000B6FA6"/>
    <w:rsid w:val="000B769E"/>
    <w:rsid w:val="000B7776"/>
    <w:rsid w:val="000B781C"/>
    <w:rsid w:val="000C029D"/>
    <w:rsid w:val="000C083F"/>
    <w:rsid w:val="000C0943"/>
    <w:rsid w:val="000C0A37"/>
    <w:rsid w:val="000C0B88"/>
    <w:rsid w:val="000C0E7F"/>
    <w:rsid w:val="000C1204"/>
    <w:rsid w:val="000C19DF"/>
    <w:rsid w:val="000C1A5C"/>
    <w:rsid w:val="000C1BBA"/>
    <w:rsid w:val="000C1E25"/>
    <w:rsid w:val="000C20AE"/>
    <w:rsid w:val="000C2110"/>
    <w:rsid w:val="000C2858"/>
    <w:rsid w:val="000C2B1C"/>
    <w:rsid w:val="000C2B4F"/>
    <w:rsid w:val="000C2BD7"/>
    <w:rsid w:val="000C2DD0"/>
    <w:rsid w:val="000C2DDA"/>
    <w:rsid w:val="000C2F6D"/>
    <w:rsid w:val="000C2FD2"/>
    <w:rsid w:val="000C304F"/>
    <w:rsid w:val="000C310E"/>
    <w:rsid w:val="000C3552"/>
    <w:rsid w:val="000C3816"/>
    <w:rsid w:val="000C4B3A"/>
    <w:rsid w:val="000C4C10"/>
    <w:rsid w:val="000C4F62"/>
    <w:rsid w:val="000C4FDB"/>
    <w:rsid w:val="000C50E2"/>
    <w:rsid w:val="000C5147"/>
    <w:rsid w:val="000C5E5C"/>
    <w:rsid w:val="000C5ECC"/>
    <w:rsid w:val="000C6229"/>
    <w:rsid w:val="000C6BC0"/>
    <w:rsid w:val="000C6BD4"/>
    <w:rsid w:val="000C6D5D"/>
    <w:rsid w:val="000C6F47"/>
    <w:rsid w:val="000C71FB"/>
    <w:rsid w:val="000C7546"/>
    <w:rsid w:val="000C7602"/>
    <w:rsid w:val="000C77AB"/>
    <w:rsid w:val="000C7E29"/>
    <w:rsid w:val="000D0242"/>
    <w:rsid w:val="000D037C"/>
    <w:rsid w:val="000D03A5"/>
    <w:rsid w:val="000D041F"/>
    <w:rsid w:val="000D04DF"/>
    <w:rsid w:val="000D087C"/>
    <w:rsid w:val="000D0EDD"/>
    <w:rsid w:val="000D0FFC"/>
    <w:rsid w:val="000D1803"/>
    <w:rsid w:val="000D1F16"/>
    <w:rsid w:val="000D294C"/>
    <w:rsid w:val="000D3740"/>
    <w:rsid w:val="000D3810"/>
    <w:rsid w:val="000D41D6"/>
    <w:rsid w:val="000D434A"/>
    <w:rsid w:val="000D47E3"/>
    <w:rsid w:val="000D4AEA"/>
    <w:rsid w:val="000D4CD3"/>
    <w:rsid w:val="000D4EA2"/>
    <w:rsid w:val="000D5B71"/>
    <w:rsid w:val="000D5D8F"/>
    <w:rsid w:val="000D5F6F"/>
    <w:rsid w:val="000D6298"/>
    <w:rsid w:val="000D663E"/>
    <w:rsid w:val="000D66C4"/>
    <w:rsid w:val="000D672F"/>
    <w:rsid w:val="000D69C4"/>
    <w:rsid w:val="000D7135"/>
    <w:rsid w:val="000D73A6"/>
    <w:rsid w:val="000D7739"/>
    <w:rsid w:val="000D777C"/>
    <w:rsid w:val="000D7896"/>
    <w:rsid w:val="000D7AE9"/>
    <w:rsid w:val="000D7F3D"/>
    <w:rsid w:val="000E0324"/>
    <w:rsid w:val="000E0370"/>
    <w:rsid w:val="000E0B15"/>
    <w:rsid w:val="000E10E2"/>
    <w:rsid w:val="000E130E"/>
    <w:rsid w:val="000E13EB"/>
    <w:rsid w:val="000E144B"/>
    <w:rsid w:val="000E1861"/>
    <w:rsid w:val="000E1887"/>
    <w:rsid w:val="000E1A17"/>
    <w:rsid w:val="000E1D35"/>
    <w:rsid w:val="000E20AB"/>
    <w:rsid w:val="000E21F0"/>
    <w:rsid w:val="000E255C"/>
    <w:rsid w:val="000E2A06"/>
    <w:rsid w:val="000E2B4F"/>
    <w:rsid w:val="000E2FAC"/>
    <w:rsid w:val="000E3041"/>
    <w:rsid w:val="000E30B2"/>
    <w:rsid w:val="000E3300"/>
    <w:rsid w:val="000E3303"/>
    <w:rsid w:val="000E420E"/>
    <w:rsid w:val="000E4A57"/>
    <w:rsid w:val="000E4C40"/>
    <w:rsid w:val="000E4CF4"/>
    <w:rsid w:val="000E4E57"/>
    <w:rsid w:val="000E51CA"/>
    <w:rsid w:val="000E5DBE"/>
    <w:rsid w:val="000E6318"/>
    <w:rsid w:val="000E6D21"/>
    <w:rsid w:val="000E7006"/>
    <w:rsid w:val="000E7032"/>
    <w:rsid w:val="000E72FF"/>
    <w:rsid w:val="000E760A"/>
    <w:rsid w:val="000E78A7"/>
    <w:rsid w:val="000F00E7"/>
    <w:rsid w:val="000F071D"/>
    <w:rsid w:val="000F0768"/>
    <w:rsid w:val="000F0FD2"/>
    <w:rsid w:val="000F1314"/>
    <w:rsid w:val="000F1831"/>
    <w:rsid w:val="000F1ACE"/>
    <w:rsid w:val="000F1AD8"/>
    <w:rsid w:val="000F21A5"/>
    <w:rsid w:val="000F2305"/>
    <w:rsid w:val="000F23CC"/>
    <w:rsid w:val="000F2EFD"/>
    <w:rsid w:val="000F34DC"/>
    <w:rsid w:val="000F35C8"/>
    <w:rsid w:val="000F3C64"/>
    <w:rsid w:val="000F3CE2"/>
    <w:rsid w:val="000F4110"/>
    <w:rsid w:val="000F503C"/>
    <w:rsid w:val="000F550D"/>
    <w:rsid w:val="000F5D78"/>
    <w:rsid w:val="000F6489"/>
    <w:rsid w:val="000F67EC"/>
    <w:rsid w:val="000F6E7F"/>
    <w:rsid w:val="000F6FC1"/>
    <w:rsid w:val="000F7177"/>
    <w:rsid w:val="000F7AA2"/>
    <w:rsid w:val="00100425"/>
    <w:rsid w:val="00100749"/>
    <w:rsid w:val="00100AB5"/>
    <w:rsid w:val="00100BB0"/>
    <w:rsid w:val="00100CAD"/>
    <w:rsid w:val="001010B0"/>
    <w:rsid w:val="0010185B"/>
    <w:rsid w:val="00101860"/>
    <w:rsid w:val="001026F1"/>
    <w:rsid w:val="00102C66"/>
    <w:rsid w:val="0010358A"/>
    <w:rsid w:val="00103C3C"/>
    <w:rsid w:val="00103D7D"/>
    <w:rsid w:val="0010433D"/>
    <w:rsid w:val="001047AE"/>
    <w:rsid w:val="001049C3"/>
    <w:rsid w:val="00104B09"/>
    <w:rsid w:val="00105110"/>
    <w:rsid w:val="001052F3"/>
    <w:rsid w:val="00105677"/>
    <w:rsid w:val="0010574A"/>
    <w:rsid w:val="00105FEB"/>
    <w:rsid w:val="001061FB"/>
    <w:rsid w:val="0010623C"/>
    <w:rsid w:val="00106868"/>
    <w:rsid w:val="00106DAD"/>
    <w:rsid w:val="001078EC"/>
    <w:rsid w:val="00107FF6"/>
    <w:rsid w:val="00107FFA"/>
    <w:rsid w:val="0011003F"/>
    <w:rsid w:val="00110236"/>
    <w:rsid w:val="001102DB"/>
    <w:rsid w:val="00110AB8"/>
    <w:rsid w:val="00111063"/>
    <w:rsid w:val="00111294"/>
    <w:rsid w:val="0011138A"/>
    <w:rsid w:val="00111454"/>
    <w:rsid w:val="001114D1"/>
    <w:rsid w:val="001116D9"/>
    <w:rsid w:val="00111701"/>
    <w:rsid w:val="00111904"/>
    <w:rsid w:val="0011199F"/>
    <w:rsid w:val="0011224F"/>
    <w:rsid w:val="001129DD"/>
    <w:rsid w:val="00112C62"/>
    <w:rsid w:val="00113255"/>
    <w:rsid w:val="00113776"/>
    <w:rsid w:val="00113F16"/>
    <w:rsid w:val="001145C5"/>
    <w:rsid w:val="00114A7C"/>
    <w:rsid w:val="001150E0"/>
    <w:rsid w:val="001152A8"/>
    <w:rsid w:val="00115481"/>
    <w:rsid w:val="00115A39"/>
    <w:rsid w:val="00115F4A"/>
    <w:rsid w:val="0011600A"/>
    <w:rsid w:val="001163B5"/>
    <w:rsid w:val="00116533"/>
    <w:rsid w:val="001169E0"/>
    <w:rsid w:val="00116E27"/>
    <w:rsid w:val="00116FC1"/>
    <w:rsid w:val="001172F5"/>
    <w:rsid w:val="00117303"/>
    <w:rsid w:val="0011765C"/>
    <w:rsid w:val="00117848"/>
    <w:rsid w:val="001202B5"/>
    <w:rsid w:val="001203F2"/>
    <w:rsid w:val="00120E11"/>
    <w:rsid w:val="0012129A"/>
    <w:rsid w:val="0012161C"/>
    <w:rsid w:val="00121637"/>
    <w:rsid w:val="00121B1C"/>
    <w:rsid w:val="00121BD0"/>
    <w:rsid w:val="001220C3"/>
    <w:rsid w:val="001222E3"/>
    <w:rsid w:val="001225DD"/>
    <w:rsid w:val="001229AD"/>
    <w:rsid w:val="00122E47"/>
    <w:rsid w:val="00122F79"/>
    <w:rsid w:val="0012368E"/>
    <w:rsid w:val="00123A74"/>
    <w:rsid w:val="00123AAC"/>
    <w:rsid w:val="00123CE1"/>
    <w:rsid w:val="00123E5D"/>
    <w:rsid w:val="001243FD"/>
    <w:rsid w:val="00124478"/>
    <w:rsid w:val="00124765"/>
    <w:rsid w:val="00124906"/>
    <w:rsid w:val="00124DF8"/>
    <w:rsid w:val="00125416"/>
    <w:rsid w:val="00125576"/>
    <w:rsid w:val="001256F1"/>
    <w:rsid w:val="001257A4"/>
    <w:rsid w:val="00125C28"/>
    <w:rsid w:val="00126483"/>
    <w:rsid w:val="001267A6"/>
    <w:rsid w:val="001268FC"/>
    <w:rsid w:val="00126CFB"/>
    <w:rsid w:val="001275E6"/>
    <w:rsid w:val="00127AB7"/>
    <w:rsid w:val="00127AD4"/>
    <w:rsid w:val="00127CBF"/>
    <w:rsid w:val="00127D81"/>
    <w:rsid w:val="00127E9B"/>
    <w:rsid w:val="0013002E"/>
    <w:rsid w:val="001304FD"/>
    <w:rsid w:val="00130F0E"/>
    <w:rsid w:val="0013118E"/>
    <w:rsid w:val="001317C7"/>
    <w:rsid w:val="0013197F"/>
    <w:rsid w:val="00131AF5"/>
    <w:rsid w:val="001325E3"/>
    <w:rsid w:val="00132680"/>
    <w:rsid w:val="0013357D"/>
    <w:rsid w:val="00133963"/>
    <w:rsid w:val="00134675"/>
    <w:rsid w:val="00134A4C"/>
    <w:rsid w:val="00134F64"/>
    <w:rsid w:val="00135465"/>
    <w:rsid w:val="001359F0"/>
    <w:rsid w:val="0013636E"/>
    <w:rsid w:val="001365CE"/>
    <w:rsid w:val="001366F4"/>
    <w:rsid w:val="00136A1B"/>
    <w:rsid w:val="00136A3F"/>
    <w:rsid w:val="00136F58"/>
    <w:rsid w:val="00137331"/>
    <w:rsid w:val="00137984"/>
    <w:rsid w:val="0014021F"/>
    <w:rsid w:val="0014032F"/>
    <w:rsid w:val="001406F2"/>
    <w:rsid w:val="00140BC7"/>
    <w:rsid w:val="001414B5"/>
    <w:rsid w:val="001414CA"/>
    <w:rsid w:val="0014170F"/>
    <w:rsid w:val="00141A71"/>
    <w:rsid w:val="00141DEC"/>
    <w:rsid w:val="001423E5"/>
    <w:rsid w:val="0014258F"/>
    <w:rsid w:val="00142927"/>
    <w:rsid w:val="001430B0"/>
    <w:rsid w:val="00143246"/>
    <w:rsid w:val="00143609"/>
    <w:rsid w:val="001438B6"/>
    <w:rsid w:val="00143A57"/>
    <w:rsid w:val="00143A9E"/>
    <w:rsid w:val="00143D2D"/>
    <w:rsid w:val="00143D51"/>
    <w:rsid w:val="001442E4"/>
    <w:rsid w:val="001444B6"/>
    <w:rsid w:val="00144C32"/>
    <w:rsid w:val="00144C9A"/>
    <w:rsid w:val="001450AD"/>
    <w:rsid w:val="001453FA"/>
    <w:rsid w:val="001455EC"/>
    <w:rsid w:val="00145722"/>
    <w:rsid w:val="00145997"/>
    <w:rsid w:val="00145D05"/>
    <w:rsid w:val="001460D2"/>
    <w:rsid w:val="00146184"/>
    <w:rsid w:val="00146198"/>
    <w:rsid w:val="001469F7"/>
    <w:rsid w:val="00146D09"/>
    <w:rsid w:val="00146E0B"/>
    <w:rsid w:val="00147168"/>
    <w:rsid w:val="00147599"/>
    <w:rsid w:val="00147852"/>
    <w:rsid w:val="00147F8C"/>
    <w:rsid w:val="00150012"/>
    <w:rsid w:val="00150D76"/>
    <w:rsid w:val="00150D9F"/>
    <w:rsid w:val="00151679"/>
    <w:rsid w:val="001516E3"/>
    <w:rsid w:val="001520DC"/>
    <w:rsid w:val="0015217F"/>
    <w:rsid w:val="00152983"/>
    <w:rsid w:val="00152D02"/>
    <w:rsid w:val="00152E4A"/>
    <w:rsid w:val="00152F56"/>
    <w:rsid w:val="00153B58"/>
    <w:rsid w:val="00153F42"/>
    <w:rsid w:val="0015435B"/>
    <w:rsid w:val="001546A8"/>
    <w:rsid w:val="00154A0E"/>
    <w:rsid w:val="001551CC"/>
    <w:rsid w:val="00155297"/>
    <w:rsid w:val="00155358"/>
    <w:rsid w:val="001556D2"/>
    <w:rsid w:val="00155C14"/>
    <w:rsid w:val="00155EEF"/>
    <w:rsid w:val="0015619A"/>
    <w:rsid w:val="00156248"/>
    <w:rsid w:val="00156635"/>
    <w:rsid w:val="0015713C"/>
    <w:rsid w:val="00157310"/>
    <w:rsid w:val="001573B2"/>
    <w:rsid w:val="001573C4"/>
    <w:rsid w:val="001579EC"/>
    <w:rsid w:val="0016025F"/>
    <w:rsid w:val="001609DB"/>
    <w:rsid w:val="001610AF"/>
    <w:rsid w:val="00161373"/>
    <w:rsid w:val="0016144F"/>
    <w:rsid w:val="00161563"/>
    <w:rsid w:val="00161DE3"/>
    <w:rsid w:val="00161DEC"/>
    <w:rsid w:val="00161FB6"/>
    <w:rsid w:val="00162914"/>
    <w:rsid w:val="00162A0D"/>
    <w:rsid w:val="00162BA3"/>
    <w:rsid w:val="00163097"/>
    <w:rsid w:val="00163126"/>
    <w:rsid w:val="001638E6"/>
    <w:rsid w:val="00163C24"/>
    <w:rsid w:val="00163D47"/>
    <w:rsid w:val="001641BF"/>
    <w:rsid w:val="0016478C"/>
    <w:rsid w:val="00164BC0"/>
    <w:rsid w:val="00164FA1"/>
    <w:rsid w:val="001652BB"/>
    <w:rsid w:val="00165926"/>
    <w:rsid w:val="00165FA9"/>
    <w:rsid w:val="001661BF"/>
    <w:rsid w:val="001663BC"/>
    <w:rsid w:val="001666F1"/>
    <w:rsid w:val="00166CD5"/>
    <w:rsid w:val="001671A4"/>
    <w:rsid w:val="0016796D"/>
    <w:rsid w:val="00167F65"/>
    <w:rsid w:val="0017020C"/>
    <w:rsid w:val="0017043D"/>
    <w:rsid w:val="001709CE"/>
    <w:rsid w:val="001709CF"/>
    <w:rsid w:val="00170DAC"/>
    <w:rsid w:val="00170F1E"/>
    <w:rsid w:val="0017100C"/>
    <w:rsid w:val="00171D1F"/>
    <w:rsid w:val="00172353"/>
    <w:rsid w:val="001724D2"/>
    <w:rsid w:val="00172543"/>
    <w:rsid w:val="00172620"/>
    <w:rsid w:val="00172666"/>
    <w:rsid w:val="001727FA"/>
    <w:rsid w:val="00172A36"/>
    <w:rsid w:val="0017320A"/>
    <w:rsid w:val="001732E4"/>
    <w:rsid w:val="00173CC2"/>
    <w:rsid w:val="0017419A"/>
    <w:rsid w:val="00174E02"/>
    <w:rsid w:val="00174E7A"/>
    <w:rsid w:val="001753DF"/>
    <w:rsid w:val="0017556A"/>
    <w:rsid w:val="0017571D"/>
    <w:rsid w:val="00175F71"/>
    <w:rsid w:val="0017662F"/>
    <w:rsid w:val="00176A95"/>
    <w:rsid w:val="00176D0E"/>
    <w:rsid w:val="0017780F"/>
    <w:rsid w:val="00177883"/>
    <w:rsid w:val="0017795E"/>
    <w:rsid w:val="00177C3A"/>
    <w:rsid w:val="00177CD4"/>
    <w:rsid w:val="00180093"/>
    <w:rsid w:val="001800E7"/>
    <w:rsid w:val="00180378"/>
    <w:rsid w:val="00180411"/>
    <w:rsid w:val="00180F25"/>
    <w:rsid w:val="0018127A"/>
    <w:rsid w:val="00181A3A"/>
    <w:rsid w:val="00181BCC"/>
    <w:rsid w:val="001820BD"/>
    <w:rsid w:val="001824BE"/>
    <w:rsid w:val="001826C2"/>
    <w:rsid w:val="00182919"/>
    <w:rsid w:val="00182A41"/>
    <w:rsid w:val="00182BC2"/>
    <w:rsid w:val="00182C53"/>
    <w:rsid w:val="00183948"/>
    <w:rsid w:val="00183CD4"/>
    <w:rsid w:val="00183F6F"/>
    <w:rsid w:val="00183FCE"/>
    <w:rsid w:val="0018401E"/>
    <w:rsid w:val="001841ED"/>
    <w:rsid w:val="00184230"/>
    <w:rsid w:val="00184898"/>
    <w:rsid w:val="00184D1F"/>
    <w:rsid w:val="00185312"/>
    <w:rsid w:val="001854A4"/>
    <w:rsid w:val="00185B76"/>
    <w:rsid w:val="00185FAA"/>
    <w:rsid w:val="001860F3"/>
    <w:rsid w:val="00186634"/>
    <w:rsid w:val="001867C6"/>
    <w:rsid w:val="00186F09"/>
    <w:rsid w:val="00187430"/>
    <w:rsid w:val="00187B9D"/>
    <w:rsid w:val="00187CD4"/>
    <w:rsid w:val="00187E4C"/>
    <w:rsid w:val="001900A5"/>
    <w:rsid w:val="0019097A"/>
    <w:rsid w:val="00190994"/>
    <w:rsid w:val="00191210"/>
    <w:rsid w:val="001915F7"/>
    <w:rsid w:val="00191896"/>
    <w:rsid w:val="0019195C"/>
    <w:rsid w:val="0019196E"/>
    <w:rsid w:val="00192029"/>
    <w:rsid w:val="001922C8"/>
    <w:rsid w:val="00192334"/>
    <w:rsid w:val="001924CC"/>
    <w:rsid w:val="0019293B"/>
    <w:rsid w:val="00192975"/>
    <w:rsid w:val="00192BE8"/>
    <w:rsid w:val="00192EC0"/>
    <w:rsid w:val="001932FA"/>
    <w:rsid w:val="001935A1"/>
    <w:rsid w:val="00193923"/>
    <w:rsid w:val="00193CE9"/>
    <w:rsid w:val="00193CFC"/>
    <w:rsid w:val="001943D5"/>
    <w:rsid w:val="00194D45"/>
    <w:rsid w:val="00195A6D"/>
    <w:rsid w:val="00195CB9"/>
    <w:rsid w:val="0019686F"/>
    <w:rsid w:val="0019731A"/>
    <w:rsid w:val="0019767A"/>
    <w:rsid w:val="00197CA7"/>
    <w:rsid w:val="00197D5B"/>
    <w:rsid w:val="00197F53"/>
    <w:rsid w:val="001A06BF"/>
    <w:rsid w:val="001A0AA5"/>
    <w:rsid w:val="001A0BF4"/>
    <w:rsid w:val="001A1431"/>
    <w:rsid w:val="001A143E"/>
    <w:rsid w:val="001A1B8C"/>
    <w:rsid w:val="001A1F01"/>
    <w:rsid w:val="001A1F68"/>
    <w:rsid w:val="001A2069"/>
    <w:rsid w:val="001A2933"/>
    <w:rsid w:val="001A2AAE"/>
    <w:rsid w:val="001A337A"/>
    <w:rsid w:val="001A3E7E"/>
    <w:rsid w:val="001A429F"/>
    <w:rsid w:val="001A4BCC"/>
    <w:rsid w:val="001A4C1A"/>
    <w:rsid w:val="001A4E33"/>
    <w:rsid w:val="001A510C"/>
    <w:rsid w:val="001A52BA"/>
    <w:rsid w:val="001A54CE"/>
    <w:rsid w:val="001A6260"/>
    <w:rsid w:val="001A654B"/>
    <w:rsid w:val="001A683F"/>
    <w:rsid w:val="001A6BFD"/>
    <w:rsid w:val="001A6DF6"/>
    <w:rsid w:val="001A7073"/>
    <w:rsid w:val="001A72B0"/>
    <w:rsid w:val="001B072C"/>
    <w:rsid w:val="001B0A3E"/>
    <w:rsid w:val="001B10EB"/>
    <w:rsid w:val="001B1A00"/>
    <w:rsid w:val="001B1A5C"/>
    <w:rsid w:val="001B2155"/>
    <w:rsid w:val="001B2248"/>
    <w:rsid w:val="001B276F"/>
    <w:rsid w:val="001B2883"/>
    <w:rsid w:val="001B2BB5"/>
    <w:rsid w:val="001B2BEE"/>
    <w:rsid w:val="001B30BB"/>
    <w:rsid w:val="001B311E"/>
    <w:rsid w:val="001B31ED"/>
    <w:rsid w:val="001B379E"/>
    <w:rsid w:val="001B37D5"/>
    <w:rsid w:val="001B3DDA"/>
    <w:rsid w:val="001B3EB8"/>
    <w:rsid w:val="001B445C"/>
    <w:rsid w:val="001B4956"/>
    <w:rsid w:val="001B4A52"/>
    <w:rsid w:val="001B4B19"/>
    <w:rsid w:val="001B4BEC"/>
    <w:rsid w:val="001B50BA"/>
    <w:rsid w:val="001B552B"/>
    <w:rsid w:val="001B55D6"/>
    <w:rsid w:val="001B5736"/>
    <w:rsid w:val="001B5ED0"/>
    <w:rsid w:val="001B64A4"/>
    <w:rsid w:val="001B69BF"/>
    <w:rsid w:val="001B6BC2"/>
    <w:rsid w:val="001B714B"/>
    <w:rsid w:val="001B7215"/>
    <w:rsid w:val="001B787D"/>
    <w:rsid w:val="001C0AF2"/>
    <w:rsid w:val="001C0BF7"/>
    <w:rsid w:val="001C0F24"/>
    <w:rsid w:val="001C1323"/>
    <w:rsid w:val="001C1383"/>
    <w:rsid w:val="001C1636"/>
    <w:rsid w:val="001C1D49"/>
    <w:rsid w:val="001C24A1"/>
    <w:rsid w:val="001C25EC"/>
    <w:rsid w:val="001C2751"/>
    <w:rsid w:val="001C2AA9"/>
    <w:rsid w:val="001C2FD7"/>
    <w:rsid w:val="001C3794"/>
    <w:rsid w:val="001C3854"/>
    <w:rsid w:val="001C3F82"/>
    <w:rsid w:val="001C42B3"/>
    <w:rsid w:val="001C510A"/>
    <w:rsid w:val="001C56BD"/>
    <w:rsid w:val="001C5CBC"/>
    <w:rsid w:val="001C5F1D"/>
    <w:rsid w:val="001C6870"/>
    <w:rsid w:val="001C6938"/>
    <w:rsid w:val="001C6DF0"/>
    <w:rsid w:val="001C71BA"/>
    <w:rsid w:val="001C71C8"/>
    <w:rsid w:val="001C7253"/>
    <w:rsid w:val="001C73B1"/>
    <w:rsid w:val="001C777E"/>
    <w:rsid w:val="001C7C19"/>
    <w:rsid w:val="001C7DA1"/>
    <w:rsid w:val="001D0046"/>
    <w:rsid w:val="001D028C"/>
    <w:rsid w:val="001D02E9"/>
    <w:rsid w:val="001D0846"/>
    <w:rsid w:val="001D0848"/>
    <w:rsid w:val="001D0943"/>
    <w:rsid w:val="001D0A90"/>
    <w:rsid w:val="001D0B31"/>
    <w:rsid w:val="001D0BE9"/>
    <w:rsid w:val="001D0CE5"/>
    <w:rsid w:val="001D0E27"/>
    <w:rsid w:val="001D0FA4"/>
    <w:rsid w:val="001D10BD"/>
    <w:rsid w:val="001D1130"/>
    <w:rsid w:val="001D1699"/>
    <w:rsid w:val="001D2450"/>
    <w:rsid w:val="001D24BA"/>
    <w:rsid w:val="001D259E"/>
    <w:rsid w:val="001D263D"/>
    <w:rsid w:val="001D2A73"/>
    <w:rsid w:val="001D2B42"/>
    <w:rsid w:val="001D358F"/>
    <w:rsid w:val="001D385A"/>
    <w:rsid w:val="001D3CDE"/>
    <w:rsid w:val="001D3DA3"/>
    <w:rsid w:val="001D3F8D"/>
    <w:rsid w:val="001D4701"/>
    <w:rsid w:val="001D4A55"/>
    <w:rsid w:val="001D4B99"/>
    <w:rsid w:val="001D5655"/>
    <w:rsid w:val="001D5765"/>
    <w:rsid w:val="001D5991"/>
    <w:rsid w:val="001D5E07"/>
    <w:rsid w:val="001D6110"/>
    <w:rsid w:val="001D642B"/>
    <w:rsid w:val="001D6621"/>
    <w:rsid w:val="001D6783"/>
    <w:rsid w:val="001D6F16"/>
    <w:rsid w:val="001D718C"/>
    <w:rsid w:val="001D74BA"/>
    <w:rsid w:val="001D7850"/>
    <w:rsid w:val="001E054A"/>
    <w:rsid w:val="001E0A4C"/>
    <w:rsid w:val="001E162D"/>
    <w:rsid w:val="001E1C2F"/>
    <w:rsid w:val="001E22E5"/>
    <w:rsid w:val="001E2AE2"/>
    <w:rsid w:val="001E2F26"/>
    <w:rsid w:val="001E36B6"/>
    <w:rsid w:val="001E3762"/>
    <w:rsid w:val="001E389C"/>
    <w:rsid w:val="001E3A04"/>
    <w:rsid w:val="001E3A8A"/>
    <w:rsid w:val="001E408F"/>
    <w:rsid w:val="001E41E0"/>
    <w:rsid w:val="001E4806"/>
    <w:rsid w:val="001E49B9"/>
    <w:rsid w:val="001E504B"/>
    <w:rsid w:val="001E56FC"/>
    <w:rsid w:val="001E5772"/>
    <w:rsid w:val="001E57C2"/>
    <w:rsid w:val="001E62CD"/>
    <w:rsid w:val="001E6396"/>
    <w:rsid w:val="001E6A8B"/>
    <w:rsid w:val="001E6E9A"/>
    <w:rsid w:val="001E6EF3"/>
    <w:rsid w:val="001E7283"/>
    <w:rsid w:val="001E79BA"/>
    <w:rsid w:val="001E7DE1"/>
    <w:rsid w:val="001F003E"/>
    <w:rsid w:val="001F07B5"/>
    <w:rsid w:val="001F103E"/>
    <w:rsid w:val="001F10E9"/>
    <w:rsid w:val="001F1B18"/>
    <w:rsid w:val="001F1CC3"/>
    <w:rsid w:val="001F1CF0"/>
    <w:rsid w:val="001F2247"/>
    <w:rsid w:val="001F232B"/>
    <w:rsid w:val="001F25B3"/>
    <w:rsid w:val="001F28AD"/>
    <w:rsid w:val="001F2EEB"/>
    <w:rsid w:val="001F32AC"/>
    <w:rsid w:val="001F33F1"/>
    <w:rsid w:val="001F3520"/>
    <w:rsid w:val="001F384B"/>
    <w:rsid w:val="001F3C88"/>
    <w:rsid w:val="001F429D"/>
    <w:rsid w:val="001F4F94"/>
    <w:rsid w:val="001F4FAF"/>
    <w:rsid w:val="001F53AE"/>
    <w:rsid w:val="001F53E2"/>
    <w:rsid w:val="001F5CE5"/>
    <w:rsid w:val="001F5CF9"/>
    <w:rsid w:val="001F5F5F"/>
    <w:rsid w:val="001F63C9"/>
    <w:rsid w:val="001F6470"/>
    <w:rsid w:val="001F67ED"/>
    <w:rsid w:val="001F6817"/>
    <w:rsid w:val="001F6926"/>
    <w:rsid w:val="001F6D04"/>
    <w:rsid w:val="001F7169"/>
    <w:rsid w:val="001F7280"/>
    <w:rsid w:val="0020003D"/>
    <w:rsid w:val="00200447"/>
    <w:rsid w:val="00200522"/>
    <w:rsid w:val="00200993"/>
    <w:rsid w:val="00200D8B"/>
    <w:rsid w:val="00200DBD"/>
    <w:rsid w:val="00200EE3"/>
    <w:rsid w:val="00201390"/>
    <w:rsid w:val="00201719"/>
    <w:rsid w:val="00202262"/>
    <w:rsid w:val="00203322"/>
    <w:rsid w:val="00203E63"/>
    <w:rsid w:val="00203EA4"/>
    <w:rsid w:val="002044E4"/>
    <w:rsid w:val="002044F1"/>
    <w:rsid w:val="002046CC"/>
    <w:rsid w:val="0020484F"/>
    <w:rsid w:val="0020491E"/>
    <w:rsid w:val="00204A70"/>
    <w:rsid w:val="00205329"/>
    <w:rsid w:val="00205A04"/>
    <w:rsid w:val="00205F19"/>
    <w:rsid w:val="00206158"/>
    <w:rsid w:val="00206C78"/>
    <w:rsid w:val="00206F0C"/>
    <w:rsid w:val="002072E7"/>
    <w:rsid w:val="00207738"/>
    <w:rsid w:val="00207966"/>
    <w:rsid w:val="0021013A"/>
    <w:rsid w:val="00210403"/>
    <w:rsid w:val="0021067D"/>
    <w:rsid w:val="00210921"/>
    <w:rsid w:val="00210B9A"/>
    <w:rsid w:val="00211B4D"/>
    <w:rsid w:val="00211E6A"/>
    <w:rsid w:val="002123A9"/>
    <w:rsid w:val="00212A41"/>
    <w:rsid w:val="00212B10"/>
    <w:rsid w:val="00212BCE"/>
    <w:rsid w:val="00212C64"/>
    <w:rsid w:val="00213175"/>
    <w:rsid w:val="002132B1"/>
    <w:rsid w:val="00213B82"/>
    <w:rsid w:val="00213C8A"/>
    <w:rsid w:val="002141BF"/>
    <w:rsid w:val="00214BF5"/>
    <w:rsid w:val="00214EC7"/>
    <w:rsid w:val="00214F78"/>
    <w:rsid w:val="002151F5"/>
    <w:rsid w:val="00215384"/>
    <w:rsid w:val="002153C9"/>
    <w:rsid w:val="00215543"/>
    <w:rsid w:val="002159CB"/>
    <w:rsid w:val="00215CD8"/>
    <w:rsid w:val="00215D14"/>
    <w:rsid w:val="00216608"/>
    <w:rsid w:val="002166EA"/>
    <w:rsid w:val="00216D62"/>
    <w:rsid w:val="00216E40"/>
    <w:rsid w:val="0021732D"/>
    <w:rsid w:val="00217790"/>
    <w:rsid w:val="00217B78"/>
    <w:rsid w:val="00220268"/>
    <w:rsid w:val="002202FC"/>
    <w:rsid w:val="00220454"/>
    <w:rsid w:val="002204D1"/>
    <w:rsid w:val="00220526"/>
    <w:rsid w:val="00220C27"/>
    <w:rsid w:val="002212CC"/>
    <w:rsid w:val="00221601"/>
    <w:rsid w:val="00221635"/>
    <w:rsid w:val="00221CAE"/>
    <w:rsid w:val="00221EC2"/>
    <w:rsid w:val="00221EC4"/>
    <w:rsid w:val="002225D6"/>
    <w:rsid w:val="00222884"/>
    <w:rsid w:val="00222C07"/>
    <w:rsid w:val="002232F4"/>
    <w:rsid w:val="002236DB"/>
    <w:rsid w:val="00223768"/>
    <w:rsid w:val="00223794"/>
    <w:rsid w:val="002238C4"/>
    <w:rsid w:val="00223B42"/>
    <w:rsid w:val="002242AA"/>
    <w:rsid w:val="00224553"/>
    <w:rsid w:val="002247EB"/>
    <w:rsid w:val="00224C71"/>
    <w:rsid w:val="00224EA2"/>
    <w:rsid w:val="0022528B"/>
    <w:rsid w:val="00225C2C"/>
    <w:rsid w:val="00225D70"/>
    <w:rsid w:val="00226811"/>
    <w:rsid w:val="00226FD9"/>
    <w:rsid w:val="002270B1"/>
    <w:rsid w:val="002272FB"/>
    <w:rsid w:val="00227572"/>
    <w:rsid w:val="002277E5"/>
    <w:rsid w:val="00227915"/>
    <w:rsid w:val="00227B06"/>
    <w:rsid w:val="0023051D"/>
    <w:rsid w:val="00231275"/>
    <w:rsid w:val="00231780"/>
    <w:rsid w:val="0023191B"/>
    <w:rsid w:val="00231ECE"/>
    <w:rsid w:val="002321A5"/>
    <w:rsid w:val="002321C6"/>
    <w:rsid w:val="002328BF"/>
    <w:rsid w:val="0023292F"/>
    <w:rsid w:val="002332C3"/>
    <w:rsid w:val="0023333B"/>
    <w:rsid w:val="002333DE"/>
    <w:rsid w:val="00233F2D"/>
    <w:rsid w:val="002340F6"/>
    <w:rsid w:val="00234586"/>
    <w:rsid w:val="0023470C"/>
    <w:rsid w:val="002349A5"/>
    <w:rsid w:val="00235206"/>
    <w:rsid w:val="00235466"/>
    <w:rsid w:val="002355B0"/>
    <w:rsid w:val="00235A70"/>
    <w:rsid w:val="00236740"/>
    <w:rsid w:val="00236BA7"/>
    <w:rsid w:val="0023725E"/>
    <w:rsid w:val="002376DC"/>
    <w:rsid w:val="002377BD"/>
    <w:rsid w:val="00237EAB"/>
    <w:rsid w:val="002409BB"/>
    <w:rsid w:val="00240DCF"/>
    <w:rsid w:val="00240E95"/>
    <w:rsid w:val="00241760"/>
    <w:rsid w:val="00241815"/>
    <w:rsid w:val="00241F4E"/>
    <w:rsid w:val="002424D6"/>
    <w:rsid w:val="0024251A"/>
    <w:rsid w:val="002425C4"/>
    <w:rsid w:val="00242E53"/>
    <w:rsid w:val="00243323"/>
    <w:rsid w:val="00243C6D"/>
    <w:rsid w:val="00243E3B"/>
    <w:rsid w:val="00244056"/>
    <w:rsid w:val="002440C1"/>
    <w:rsid w:val="00244319"/>
    <w:rsid w:val="002443B5"/>
    <w:rsid w:val="00244AC5"/>
    <w:rsid w:val="00244ACF"/>
    <w:rsid w:val="00244E91"/>
    <w:rsid w:val="00245155"/>
    <w:rsid w:val="002454EF"/>
    <w:rsid w:val="00245626"/>
    <w:rsid w:val="002459A5"/>
    <w:rsid w:val="002460F2"/>
    <w:rsid w:val="00246BEB"/>
    <w:rsid w:val="00246DAB"/>
    <w:rsid w:val="00246DB7"/>
    <w:rsid w:val="0024749B"/>
    <w:rsid w:val="00247D63"/>
    <w:rsid w:val="00247F14"/>
    <w:rsid w:val="00250005"/>
    <w:rsid w:val="00250409"/>
    <w:rsid w:val="00250641"/>
    <w:rsid w:val="00250D6F"/>
    <w:rsid w:val="00250F52"/>
    <w:rsid w:val="002512E0"/>
    <w:rsid w:val="002515F7"/>
    <w:rsid w:val="0025176A"/>
    <w:rsid w:val="00251843"/>
    <w:rsid w:val="00251946"/>
    <w:rsid w:val="00252400"/>
    <w:rsid w:val="00252845"/>
    <w:rsid w:val="0025349B"/>
    <w:rsid w:val="00253870"/>
    <w:rsid w:val="00253B1D"/>
    <w:rsid w:val="00253F69"/>
    <w:rsid w:val="00254146"/>
    <w:rsid w:val="00254312"/>
    <w:rsid w:val="002543BB"/>
    <w:rsid w:val="002543D9"/>
    <w:rsid w:val="002543EB"/>
    <w:rsid w:val="00254576"/>
    <w:rsid w:val="00254887"/>
    <w:rsid w:val="002548AB"/>
    <w:rsid w:val="00254AC7"/>
    <w:rsid w:val="00254D7D"/>
    <w:rsid w:val="002555C4"/>
    <w:rsid w:val="002559AE"/>
    <w:rsid w:val="00255A68"/>
    <w:rsid w:val="00255EDC"/>
    <w:rsid w:val="002565C6"/>
    <w:rsid w:val="00256A41"/>
    <w:rsid w:val="00256B59"/>
    <w:rsid w:val="00256D5F"/>
    <w:rsid w:val="00256DCB"/>
    <w:rsid w:val="002579B8"/>
    <w:rsid w:val="00257A24"/>
    <w:rsid w:val="00257C07"/>
    <w:rsid w:val="002601B7"/>
    <w:rsid w:val="002603DB"/>
    <w:rsid w:val="0026096F"/>
    <w:rsid w:val="00260A8B"/>
    <w:rsid w:val="0026166C"/>
    <w:rsid w:val="002616F8"/>
    <w:rsid w:val="002621FB"/>
    <w:rsid w:val="002622EB"/>
    <w:rsid w:val="00263110"/>
    <w:rsid w:val="00263502"/>
    <w:rsid w:val="00263592"/>
    <w:rsid w:val="002635D1"/>
    <w:rsid w:val="00263DE2"/>
    <w:rsid w:val="002641A6"/>
    <w:rsid w:val="00264252"/>
    <w:rsid w:val="002643DC"/>
    <w:rsid w:val="0026465C"/>
    <w:rsid w:val="00264AE8"/>
    <w:rsid w:val="00264D76"/>
    <w:rsid w:val="00264DF6"/>
    <w:rsid w:val="0026501B"/>
    <w:rsid w:val="00265DFE"/>
    <w:rsid w:val="00266C33"/>
    <w:rsid w:val="00267AA7"/>
    <w:rsid w:val="00267E51"/>
    <w:rsid w:val="00267FEE"/>
    <w:rsid w:val="00270088"/>
    <w:rsid w:val="00270E19"/>
    <w:rsid w:val="00271567"/>
    <w:rsid w:val="002715BF"/>
    <w:rsid w:val="002716F5"/>
    <w:rsid w:val="00271B2D"/>
    <w:rsid w:val="00271BDD"/>
    <w:rsid w:val="00272192"/>
    <w:rsid w:val="002722D1"/>
    <w:rsid w:val="002727CA"/>
    <w:rsid w:val="002729DB"/>
    <w:rsid w:val="00272D51"/>
    <w:rsid w:val="002730E6"/>
    <w:rsid w:val="002731AD"/>
    <w:rsid w:val="002731E8"/>
    <w:rsid w:val="00273397"/>
    <w:rsid w:val="00273558"/>
    <w:rsid w:val="002739C9"/>
    <w:rsid w:val="0027404B"/>
    <w:rsid w:val="0027494F"/>
    <w:rsid w:val="00274D9F"/>
    <w:rsid w:val="0027514D"/>
    <w:rsid w:val="00275614"/>
    <w:rsid w:val="002759E7"/>
    <w:rsid w:val="002759F3"/>
    <w:rsid w:val="00275B50"/>
    <w:rsid w:val="00275EC2"/>
    <w:rsid w:val="00275F9B"/>
    <w:rsid w:val="002761A5"/>
    <w:rsid w:val="00276C7E"/>
    <w:rsid w:val="00277142"/>
    <w:rsid w:val="00277CC8"/>
    <w:rsid w:val="00277DEF"/>
    <w:rsid w:val="00277E72"/>
    <w:rsid w:val="00277E9D"/>
    <w:rsid w:val="0028058D"/>
    <w:rsid w:val="00280FB2"/>
    <w:rsid w:val="002826A4"/>
    <w:rsid w:val="00282C1A"/>
    <w:rsid w:val="00282DAD"/>
    <w:rsid w:val="0028305B"/>
    <w:rsid w:val="0028348E"/>
    <w:rsid w:val="00283CCD"/>
    <w:rsid w:val="00283D76"/>
    <w:rsid w:val="00284068"/>
    <w:rsid w:val="002840D4"/>
    <w:rsid w:val="00284262"/>
    <w:rsid w:val="00284325"/>
    <w:rsid w:val="0028468D"/>
    <w:rsid w:val="00285231"/>
    <w:rsid w:val="00285285"/>
    <w:rsid w:val="0028549A"/>
    <w:rsid w:val="00286727"/>
    <w:rsid w:val="00286CCE"/>
    <w:rsid w:val="00286E46"/>
    <w:rsid w:val="00287DE3"/>
    <w:rsid w:val="002907ED"/>
    <w:rsid w:val="0029121F"/>
    <w:rsid w:val="00291BE0"/>
    <w:rsid w:val="00291BE5"/>
    <w:rsid w:val="002923B4"/>
    <w:rsid w:val="002924FD"/>
    <w:rsid w:val="0029282A"/>
    <w:rsid w:val="002928DA"/>
    <w:rsid w:val="00292905"/>
    <w:rsid w:val="00292C00"/>
    <w:rsid w:val="00292C9B"/>
    <w:rsid w:val="0029407C"/>
    <w:rsid w:val="002940DC"/>
    <w:rsid w:val="0029473E"/>
    <w:rsid w:val="00294BC6"/>
    <w:rsid w:val="00294FD4"/>
    <w:rsid w:val="00295218"/>
    <w:rsid w:val="0029539C"/>
    <w:rsid w:val="002961CA"/>
    <w:rsid w:val="00296444"/>
    <w:rsid w:val="00296E57"/>
    <w:rsid w:val="00296EA9"/>
    <w:rsid w:val="002970A0"/>
    <w:rsid w:val="002970CB"/>
    <w:rsid w:val="00297113"/>
    <w:rsid w:val="00297195"/>
    <w:rsid w:val="00297234"/>
    <w:rsid w:val="00297955"/>
    <w:rsid w:val="00297CBC"/>
    <w:rsid w:val="00297E43"/>
    <w:rsid w:val="002A0338"/>
    <w:rsid w:val="002A04E1"/>
    <w:rsid w:val="002A0521"/>
    <w:rsid w:val="002A097D"/>
    <w:rsid w:val="002A0A9C"/>
    <w:rsid w:val="002A0C34"/>
    <w:rsid w:val="002A0DFC"/>
    <w:rsid w:val="002A0EAC"/>
    <w:rsid w:val="002A0F3D"/>
    <w:rsid w:val="002A0FD8"/>
    <w:rsid w:val="002A1215"/>
    <w:rsid w:val="002A1921"/>
    <w:rsid w:val="002A2063"/>
    <w:rsid w:val="002A20CF"/>
    <w:rsid w:val="002A25DC"/>
    <w:rsid w:val="002A2708"/>
    <w:rsid w:val="002A27F4"/>
    <w:rsid w:val="002A2E3E"/>
    <w:rsid w:val="002A2E5E"/>
    <w:rsid w:val="002A35E9"/>
    <w:rsid w:val="002A3B11"/>
    <w:rsid w:val="002A407F"/>
    <w:rsid w:val="002A41BB"/>
    <w:rsid w:val="002A4484"/>
    <w:rsid w:val="002A4E74"/>
    <w:rsid w:val="002A6013"/>
    <w:rsid w:val="002A707B"/>
    <w:rsid w:val="002A775E"/>
    <w:rsid w:val="002A79CF"/>
    <w:rsid w:val="002A79F2"/>
    <w:rsid w:val="002A7A81"/>
    <w:rsid w:val="002B07AB"/>
    <w:rsid w:val="002B0A06"/>
    <w:rsid w:val="002B0E8D"/>
    <w:rsid w:val="002B1397"/>
    <w:rsid w:val="002B1759"/>
    <w:rsid w:val="002B18AC"/>
    <w:rsid w:val="002B1935"/>
    <w:rsid w:val="002B22A3"/>
    <w:rsid w:val="002B252C"/>
    <w:rsid w:val="002B28F2"/>
    <w:rsid w:val="002B3422"/>
    <w:rsid w:val="002B38E7"/>
    <w:rsid w:val="002B392E"/>
    <w:rsid w:val="002B3C2D"/>
    <w:rsid w:val="002B4B06"/>
    <w:rsid w:val="002B5084"/>
    <w:rsid w:val="002B50A1"/>
    <w:rsid w:val="002B5947"/>
    <w:rsid w:val="002B5F9D"/>
    <w:rsid w:val="002B6008"/>
    <w:rsid w:val="002B60FB"/>
    <w:rsid w:val="002B61C2"/>
    <w:rsid w:val="002B6D63"/>
    <w:rsid w:val="002B6E1C"/>
    <w:rsid w:val="002B7DFF"/>
    <w:rsid w:val="002C0668"/>
    <w:rsid w:val="002C0D8E"/>
    <w:rsid w:val="002C16FE"/>
    <w:rsid w:val="002C1C0D"/>
    <w:rsid w:val="002C1DCE"/>
    <w:rsid w:val="002C290E"/>
    <w:rsid w:val="002C35C9"/>
    <w:rsid w:val="002C416D"/>
    <w:rsid w:val="002C4B9C"/>
    <w:rsid w:val="002C4C12"/>
    <w:rsid w:val="002C4FFE"/>
    <w:rsid w:val="002C530B"/>
    <w:rsid w:val="002C5554"/>
    <w:rsid w:val="002C576B"/>
    <w:rsid w:val="002C5AD8"/>
    <w:rsid w:val="002C5C2B"/>
    <w:rsid w:val="002C5D37"/>
    <w:rsid w:val="002C62C6"/>
    <w:rsid w:val="002C695D"/>
    <w:rsid w:val="002C74C5"/>
    <w:rsid w:val="002C75ED"/>
    <w:rsid w:val="002D0045"/>
    <w:rsid w:val="002D00C9"/>
    <w:rsid w:val="002D0282"/>
    <w:rsid w:val="002D0901"/>
    <w:rsid w:val="002D0B38"/>
    <w:rsid w:val="002D0D09"/>
    <w:rsid w:val="002D0E8C"/>
    <w:rsid w:val="002D1235"/>
    <w:rsid w:val="002D1324"/>
    <w:rsid w:val="002D1398"/>
    <w:rsid w:val="002D148A"/>
    <w:rsid w:val="002D173D"/>
    <w:rsid w:val="002D1BF2"/>
    <w:rsid w:val="002D1C36"/>
    <w:rsid w:val="002D1FC0"/>
    <w:rsid w:val="002D224C"/>
    <w:rsid w:val="002D24DF"/>
    <w:rsid w:val="002D2B16"/>
    <w:rsid w:val="002D3179"/>
    <w:rsid w:val="002D32EB"/>
    <w:rsid w:val="002D42F1"/>
    <w:rsid w:val="002D4FCF"/>
    <w:rsid w:val="002D5150"/>
    <w:rsid w:val="002D56A9"/>
    <w:rsid w:val="002D59C8"/>
    <w:rsid w:val="002D5FEE"/>
    <w:rsid w:val="002D6B52"/>
    <w:rsid w:val="002D6F4B"/>
    <w:rsid w:val="002D712A"/>
    <w:rsid w:val="002D71FC"/>
    <w:rsid w:val="002D78B7"/>
    <w:rsid w:val="002D7CA6"/>
    <w:rsid w:val="002E003A"/>
    <w:rsid w:val="002E051E"/>
    <w:rsid w:val="002E062E"/>
    <w:rsid w:val="002E08F7"/>
    <w:rsid w:val="002E0E30"/>
    <w:rsid w:val="002E100A"/>
    <w:rsid w:val="002E12FC"/>
    <w:rsid w:val="002E1401"/>
    <w:rsid w:val="002E154D"/>
    <w:rsid w:val="002E17E4"/>
    <w:rsid w:val="002E20E0"/>
    <w:rsid w:val="002E229D"/>
    <w:rsid w:val="002E2413"/>
    <w:rsid w:val="002E2617"/>
    <w:rsid w:val="002E289A"/>
    <w:rsid w:val="002E2CCB"/>
    <w:rsid w:val="002E3642"/>
    <w:rsid w:val="002E3C42"/>
    <w:rsid w:val="002E44FC"/>
    <w:rsid w:val="002E4994"/>
    <w:rsid w:val="002E4A35"/>
    <w:rsid w:val="002E4A51"/>
    <w:rsid w:val="002E4BB6"/>
    <w:rsid w:val="002E5DC7"/>
    <w:rsid w:val="002E5EEA"/>
    <w:rsid w:val="002E64A5"/>
    <w:rsid w:val="002E674F"/>
    <w:rsid w:val="002E6F55"/>
    <w:rsid w:val="002E72AA"/>
    <w:rsid w:val="002E73C5"/>
    <w:rsid w:val="002E75E8"/>
    <w:rsid w:val="002E7989"/>
    <w:rsid w:val="002F0999"/>
    <w:rsid w:val="002F0B05"/>
    <w:rsid w:val="002F0F8F"/>
    <w:rsid w:val="002F1062"/>
    <w:rsid w:val="002F14AB"/>
    <w:rsid w:val="002F1AD9"/>
    <w:rsid w:val="002F2203"/>
    <w:rsid w:val="002F2338"/>
    <w:rsid w:val="002F24FE"/>
    <w:rsid w:val="002F2B60"/>
    <w:rsid w:val="002F2B83"/>
    <w:rsid w:val="002F2EB6"/>
    <w:rsid w:val="002F3160"/>
    <w:rsid w:val="002F3185"/>
    <w:rsid w:val="002F32F0"/>
    <w:rsid w:val="002F33B1"/>
    <w:rsid w:val="002F3A90"/>
    <w:rsid w:val="002F3C5F"/>
    <w:rsid w:val="002F4014"/>
    <w:rsid w:val="002F4261"/>
    <w:rsid w:val="002F70C3"/>
    <w:rsid w:val="002F7136"/>
    <w:rsid w:val="002F71DB"/>
    <w:rsid w:val="002F792B"/>
    <w:rsid w:val="002F7D92"/>
    <w:rsid w:val="003002A9"/>
    <w:rsid w:val="003002B6"/>
    <w:rsid w:val="00300313"/>
    <w:rsid w:val="00301489"/>
    <w:rsid w:val="00301525"/>
    <w:rsid w:val="00301AE0"/>
    <w:rsid w:val="00302896"/>
    <w:rsid w:val="00302BDF"/>
    <w:rsid w:val="003031A3"/>
    <w:rsid w:val="003032F3"/>
    <w:rsid w:val="00303D52"/>
    <w:rsid w:val="00304170"/>
    <w:rsid w:val="003047DD"/>
    <w:rsid w:val="0030523B"/>
    <w:rsid w:val="003057A6"/>
    <w:rsid w:val="00305A43"/>
    <w:rsid w:val="00305C6C"/>
    <w:rsid w:val="00305D18"/>
    <w:rsid w:val="00305DD2"/>
    <w:rsid w:val="00305DDF"/>
    <w:rsid w:val="00305E83"/>
    <w:rsid w:val="003064F8"/>
    <w:rsid w:val="0030707F"/>
    <w:rsid w:val="00307495"/>
    <w:rsid w:val="003077A4"/>
    <w:rsid w:val="003079BC"/>
    <w:rsid w:val="00307A74"/>
    <w:rsid w:val="00307AF3"/>
    <w:rsid w:val="00310077"/>
    <w:rsid w:val="003103A0"/>
    <w:rsid w:val="003108D3"/>
    <w:rsid w:val="0031093E"/>
    <w:rsid w:val="003109B6"/>
    <w:rsid w:val="00310DA2"/>
    <w:rsid w:val="00310FC4"/>
    <w:rsid w:val="0031169D"/>
    <w:rsid w:val="00311D0C"/>
    <w:rsid w:val="00312015"/>
    <w:rsid w:val="00312232"/>
    <w:rsid w:val="00312459"/>
    <w:rsid w:val="00312922"/>
    <w:rsid w:val="00312A74"/>
    <w:rsid w:val="00312B0B"/>
    <w:rsid w:val="00312C45"/>
    <w:rsid w:val="00312D81"/>
    <w:rsid w:val="00312DC7"/>
    <w:rsid w:val="00312EBC"/>
    <w:rsid w:val="00312EFA"/>
    <w:rsid w:val="0031305F"/>
    <w:rsid w:val="00313A3F"/>
    <w:rsid w:val="00313A84"/>
    <w:rsid w:val="0031475E"/>
    <w:rsid w:val="00314B48"/>
    <w:rsid w:val="0031506E"/>
    <w:rsid w:val="0031508C"/>
    <w:rsid w:val="00315380"/>
    <w:rsid w:val="0031577D"/>
    <w:rsid w:val="003157EE"/>
    <w:rsid w:val="003160FA"/>
    <w:rsid w:val="0031638C"/>
    <w:rsid w:val="00316B64"/>
    <w:rsid w:val="00316C73"/>
    <w:rsid w:val="00316D2C"/>
    <w:rsid w:val="00316DA7"/>
    <w:rsid w:val="00317034"/>
    <w:rsid w:val="003170DA"/>
    <w:rsid w:val="0031712D"/>
    <w:rsid w:val="0031720D"/>
    <w:rsid w:val="00317CD9"/>
    <w:rsid w:val="00317DC0"/>
    <w:rsid w:val="00320145"/>
    <w:rsid w:val="003207AE"/>
    <w:rsid w:val="00320A1B"/>
    <w:rsid w:val="00320CE0"/>
    <w:rsid w:val="0032171A"/>
    <w:rsid w:val="00321DFC"/>
    <w:rsid w:val="00322904"/>
    <w:rsid w:val="0032328A"/>
    <w:rsid w:val="00323753"/>
    <w:rsid w:val="0032390E"/>
    <w:rsid w:val="00323DDA"/>
    <w:rsid w:val="00323FEC"/>
    <w:rsid w:val="003243F2"/>
    <w:rsid w:val="00324523"/>
    <w:rsid w:val="003248D4"/>
    <w:rsid w:val="003249ED"/>
    <w:rsid w:val="00324A49"/>
    <w:rsid w:val="00324ED2"/>
    <w:rsid w:val="0032544D"/>
    <w:rsid w:val="003257D1"/>
    <w:rsid w:val="00325B82"/>
    <w:rsid w:val="0032624F"/>
    <w:rsid w:val="003262E0"/>
    <w:rsid w:val="00326CFE"/>
    <w:rsid w:val="00330213"/>
    <w:rsid w:val="00330301"/>
    <w:rsid w:val="003309F7"/>
    <w:rsid w:val="00330B7C"/>
    <w:rsid w:val="00330C12"/>
    <w:rsid w:val="00330C33"/>
    <w:rsid w:val="00330C7A"/>
    <w:rsid w:val="00330D80"/>
    <w:rsid w:val="00331001"/>
    <w:rsid w:val="003316D5"/>
    <w:rsid w:val="00332034"/>
    <w:rsid w:val="0033287F"/>
    <w:rsid w:val="003329B0"/>
    <w:rsid w:val="00332AD1"/>
    <w:rsid w:val="00332BAF"/>
    <w:rsid w:val="0033335C"/>
    <w:rsid w:val="0033385D"/>
    <w:rsid w:val="00333D2C"/>
    <w:rsid w:val="00333D3B"/>
    <w:rsid w:val="00333E6D"/>
    <w:rsid w:val="003343F7"/>
    <w:rsid w:val="00334CDB"/>
    <w:rsid w:val="0033528F"/>
    <w:rsid w:val="003352D2"/>
    <w:rsid w:val="00335AAC"/>
    <w:rsid w:val="00335BDB"/>
    <w:rsid w:val="00336113"/>
    <w:rsid w:val="00336320"/>
    <w:rsid w:val="003369C0"/>
    <w:rsid w:val="00336A57"/>
    <w:rsid w:val="00337109"/>
    <w:rsid w:val="0033723C"/>
    <w:rsid w:val="0033768A"/>
    <w:rsid w:val="00337B0B"/>
    <w:rsid w:val="00337E26"/>
    <w:rsid w:val="0034090D"/>
    <w:rsid w:val="003412BE"/>
    <w:rsid w:val="00341B7C"/>
    <w:rsid w:val="00341F11"/>
    <w:rsid w:val="003420D2"/>
    <w:rsid w:val="003421F8"/>
    <w:rsid w:val="00343295"/>
    <w:rsid w:val="00343534"/>
    <w:rsid w:val="00343732"/>
    <w:rsid w:val="003437B6"/>
    <w:rsid w:val="00343961"/>
    <w:rsid w:val="0034428C"/>
    <w:rsid w:val="00344564"/>
    <w:rsid w:val="0034470C"/>
    <w:rsid w:val="00344941"/>
    <w:rsid w:val="003449A8"/>
    <w:rsid w:val="00344A4E"/>
    <w:rsid w:val="00344E36"/>
    <w:rsid w:val="003456EA"/>
    <w:rsid w:val="003457D0"/>
    <w:rsid w:val="00345821"/>
    <w:rsid w:val="00345F88"/>
    <w:rsid w:val="0034609F"/>
    <w:rsid w:val="00346338"/>
    <w:rsid w:val="003465C3"/>
    <w:rsid w:val="003465DE"/>
    <w:rsid w:val="003466A3"/>
    <w:rsid w:val="00346715"/>
    <w:rsid w:val="00346A4D"/>
    <w:rsid w:val="003478E4"/>
    <w:rsid w:val="0034792E"/>
    <w:rsid w:val="00347C08"/>
    <w:rsid w:val="00347C58"/>
    <w:rsid w:val="00347DC2"/>
    <w:rsid w:val="0035011E"/>
    <w:rsid w:val="00350177"/>
    <w:rsid w:val="00350195"/>
    <w:rsid w:val="00350512"/>
    <w:rsid w:val="0035059D"/>
    <w:rsid w:val="0035067B"/>
    <w:rsid w:val="0035098D"/>
    <w:rsid w:val="00350D20"/>
    <w:rsid w:val="00351961"/>
    <w:rsid w:val="00351998"/>
    <w:rsid w:val="00351B59"/>
    <w:rsid w:val="00352618"/>
    <w:rsid w:val="00353290"/>
    <w:rsid w:val="00353308"/>
    <w:rsid w:val="003533CA"/>
    <w:rsid w:val="003534EF"/>
    <w:rsid w:val="0035356A"/>
    <w:rsid w:val="0035369A"/>
    <w:rsid w:val="00353A79"/>
    <w:rsid w:val="00353D35"/>
    <w:rsid w:val="00353DFB"/>
    <w:rsid w:val="00354515"/>
    <w:rsid w:val="00355035"/>
    <w:rsid w:val="003550FE"/>
    <w:rsid w:val="0035532C"/>
    <w:rsid w:val="003555EE"/>
    <w:rsid w:val="003559FA"/>
    <w:rsid w:val="003561EB"/>
    <w:rsid w:val="0035620F"/>
    <w:rsid w:val="00356E54"/>
    <w:rsid w:val="00356E8F"/>
    <w:rsid w:val="0035764D"/>
    <w:rsid w:val="00357B53"/>
    <w:rsid w:val="00357DA1"/>
    <w:rsid w:val="00360361"/>
    <w:rsid w:val="00360B97"/>
    <w:rsid w:val="00360C24"/>
    <w:rsid w:val="00360DAE"/>
    <w:rsid w:val="00360FC0"/>
    <w:rsid w:val="0036144E"/>
    <w:rsid w:val="00361993"/>
    <w:rsid w:val="00361DB3"/>
    <w:rsid w:val="00361F51"/>
    <w:rsid w:val="003628DB"/>
    <w:rsid w:val="00362A29"/>
    <w:rsid w:val="00362B36"/>
    <w:rsid w:val="00362BC4"/>
    <w:rsid w:val="0036300B"/>
    <w:rsid w:val="0036304B"/>
    <w:rsid w:val="00363529"/>
    <w:rsid w:val="0036354A"/>
    <w:rsid w:val="003635CC"/>
    <w:rsid w:val="00363671"/>
    <w:rsid w:val="00363A12"/>
    <w:rsid w:val="00363D4D"/>
    <w:rsid w:val="00363F50"/>
    <w:rsid w:val="0036416A"/>
    <w:rsid w:val="00364352"/>
    <w:rsid w:val="00364488"/>
    <w:rsid w:val="0036473E"/>
    <w:rsid w:val="003647B6"/>
    <w:rsid w:val="00364F53"/>
    <w:rsid w:val="00365418"/>
    <w:rsid w:val="00365B45"/>
    <w:rsid w:val="00365BF3"/>
    <w:rsid w:val="003660F2"/>
    <w:rsid w:val="003660F7"/>
    <w:rsid w:val="0036618E"/>
    <w:rsid w:val="003665A2"/>
    <w:rsid w:val="003665D2"/>
    <w:rsid w:val="003666B2"/>
    <w:rsid w:val="0036710A"/>
    <w:rsid w:val="0036721E"/>
    <w:rsid w:val="003673D9"/>
    <w:rsid w:val="003675BD"/>
    <w:rsid w:val="003676F2"/>
    <w:rsid w:val="00367B19"/>
    <w:rsid w:val="00367FFB"/>
    <w:rsid w:val="00370060"/>
    <w:rsid w:val="003700CC"/>
    <w:rsid w:val="0037023F"/>
    <w:rsid w:val="0037097E"/>
    <w:rsid w:val="00370A47"/>
    <w:rsid w:val="003711B0"/>
    <w:rsid w:val="003711F8"/>
    <w:rsid w:val="003718CB"/>
    <w:rsid w:val="00371CC8"/>
    <w:rsid w:val="00371F44"/>
    <w:rsid w:val="0037278D"/>
    <w:rsid w:val="003727B6"/>
    <w:rsid w:val="003728E3"/>
    <w:rsid w:val="003728E7"/>
    <w:rsid w:val="00372BF5"/>
    <w:rsid w:val="00372FB7"/>
    <w:rsid w:val="003730C3"/>
    <w:rsid w:val="00373154"/>
    <w:rsid w:val="00373599"/>
    <w:rsid w:val="0037363A"/>
    <w:rsid w:val="003737E5"/>
    <w:rsid w:val="00373A84"/>
    <w:rsid w:val="00374964"/>
    <w:rsid w:val="00374975"/>
    <w:rsid w:val="003751CE"/>
    <w:rsid w:val="0037536B"/>
    <w:rsid w:val="003754F5"/>
    <w:rsid w:val="003757E0"/>
    <w:rsid w:val="00375898"/>
    <w:rsid w:val="00375911"/>
    <w:rsid w:val="00375E4F"/>
    <w:rsid w:val="00376752"/>
    <w:rsid w:val="00376A31"/>
    <w:rsid w:val="00376B70"/>
    <w:rsid w:val="003772DD"/>
    <w:rsid w:val="0037737B"/>
    <w:rsid w:val="003774B7"/>
    <w:rsid w:val="003776F1"/>
    <w:rsid w:val="003779C7"/>
    <w:rsid w:val="00377ECE"/>
    <w:rsid w:val="00377F29"/>
    <w:rsid w:val="003802DA"/>
    <w:rsid w:val="003804D4"/>
    <w:rsid w:val="00380634"/>
    <w:rsid w:val="00380AF4"/>
    <w:rsid w:val="00381A7D"/>
    <w:rsid w:val="00382101"/>
    <w:rsid w:val="00382B49"/>
    <w:rsid w:val="00383091"/>
    <w:rsid w:val="00383655"/>
    <w:rsid w:val="00383688"/>
    <w:rsid w:val="003836CF"/>
    <w:rsid w:val="00383887"/>
    <w:rsid w:val="00383A45"/>
    <w:rsid w:val="00383F59"/>
    <w:rsid w:val="00383FBD"/>
    <w:rsid w:val="003842C9"/>
    <w:rsid w:val="003843ED"/>
    <w:rsid w:val="00384655"/>
    <w:rsid w:val="0038478A"/>
    <w:rsid w:val="003848F4"/>
    <w:rsid w:val="00384986"/>
    <w:rsid w:val="00384BCD"/>
    <w:rsid w:val="00384DC2"/>
    <w:rsid w:val="0038523E"/>
    <w:rsid w:val="0038535E"/>
    <w:rsid w:val="0038565F"/>
    <w:rsid w:val="0038574B"/>
    <w:rsid w:val="00385B9A"/>
    <w:rsid w:val="00385E98"/>
    <w:rsid w:val="003867BC"/>
    <w:rsid w:val="00386903"/>
    <w:rsid w:val="00386CF8"/>
    <w:rsid w:val="00386EF4"/>
    <w:rsid w:val="00386FFD"/>
    <w:rsid w:val="003870F3"/>
    <w:rsid w:val="003874DF"/>
    <w:rsid w:val="00387948"/>
    <w:rsid w:val="00387A20"/>
    <w:rsid w:val="00387A92"/>
    <w:rsid w:val="00387D6A"/>
    <w:rsid w:val="003907F5"/>
    <w:rsid w:val="00390D5A"/>
    <w:rsid w:val="0039143B"/>
    <w:rsid w:val="00391655"/>
    <w:rsid w:val="003916C6"/>
    <w:rsid w:val="00391A31"/>
    <w:rsid w:val="00391F9F"/>
    <w:rsid w:val="00391FFA"/>
    <w:rsid w:val="003922F2"/>
    <w:rsid w:val="00392825"/>
    <w:rsid w:val="00392A61"/>
    <w:rsid w:val="00392C1D"/>
    <w:rsid w:val="003931AB"/>
    <w:rsid w:val="00393E8E"/>
    <w:rsid w:val="003942BA"/>
    <w:rsid w:val="00394696"/>
    <w:rsid w:val="00394A9F"/>
    <w:rsid w:val="00394C7B"/>
    <w:rsid w:val="00395632"/>
    <w:rsid w:val="003964A2"/>
    <w:rsid w:val="00396BFD"/>
    <w:rsid w:val="00396FE7"/>
    <w:rsid w:val="00397160"/>
    <w:rsid w:val="00397908"/>
    <w:rsid w:val="0039799C"/>
    <w:rsid w:val="00397AA5"/>
    <w:rsid w:val="00397B96"/>
    <w:rsid w:val="003A01BE"/>
    <w:rsid w:val="003A04E4"/>
    <w:rsid w:val="003A0ADB"/>
    <w:rsid w:val="003A0F40"/>
    <w:rsid w:val="003A0F5A"/>
    <w:rsid w:val="003A1050"/>
    <w:rsid w:val="003A13DE"/>
    <w:rsid w:val="003A1443"/>
    <w:rsid w:val="003A14BC"/>
    <w:rsid w:val="003A1981"/>
    <w:rsid w:val="003A1B2B"/>
    <w:rsid w:val="003A1C04"/>
    <w:rsid w:val="003A1D74"/>
    <w:rsid w:val="003A1DCA"/>
    <w:rsid w:val="003A1E86"/>
    <w:rsid w:val="003A1F46"/>
    <w:rsid w:val="003A29D3"/>
    <w:rsid w:val="003A2AE3"/>
    <w:rsid w:val="003A30D5"/>
    <w:rsid w:val="003A3379"/>
    <w:rsid w:val="003A3597"/>
    <w:rsid w:val="003A3749"/>
    <w:rsid w:val="003A38FF"/>
    <w:rsid w:val="003A3B01"/>
    <w:rsid w:val="003A3D53"/>
    <w:rsid w:val="003A4D53"/>
    <w:rsid w:val="003A5287"/>
    <w:rsid w:val="003A5595"/>
    <w:rsid w:val="003A596F"/>
    <w:rsid w:val="003A5C8E"/>
    <w:rsid w:val="003A5E61"/>
    <w:rsid w:val="003A6061"/>
    <w:rsid w:val="003A6282"/>
    <w:rsid w:val="003A7083"/>
    <w:rsid w:val="003A7A92"/>
    <w:rsid w:val="003A7C31"/>
    <w:rsid w:val="003B0618"/>
    <w:rsid w:val="003B0AFC"/>
    <w:rsid w:val="003B17C4"/>
    <w:rsid w:val="003B17D6"/>
    <w:rsid w:val="003B1978"/>
    <w:rsid w:val="003B1A83"/>
    <w:rsid w:val="003B1B92"/>
    <w:rsid w:val="003B1D43"/>
    <w:rsid w:val="003B1F0E"/>
    <w:rsid w:val="003B2127"/>
    <w:rsid w:val="003B22E3"/>
    <w:rsid w:val="003B28C5"/>
    <w:rsid w:val="003B37D6"/>
    <w:rsid w:val="003B3EC9"/>
    <w:rsid w:val="003B4013"/>
    <w:rsid w:val="003B430B"/>
    <w:rsid w:val="003B4376"/>
    <w:rsid w:val="003B48EE"/>
    <w:rsid w:val="003B4AF1"/>
    <w:rsid w:val="003B4BAD"/>
    <w:rsid w:val="003B501E"/>
    <w:rsid w:val="003B50D9"/>
    <w:rsid w:val="003B52D4"/>
    <w:rsid w:val="003B55C3"/>
    <w:rsid w:val="003B57F5"/>
    <w:rsid w:val="003B5B25"/>
    <w:rsid w:val="003B5BA4"/>
    <w:rsid w:val="003B5D56"/>
    <w:rsid w:val="003B69A9"/>
    <w:rsid w:val="003B6BC6"/>
    <w:rsid w:val="003B6F9D"/>
    <w:rsid w:val="003B7474"/>
    <w:rsid w:val="003B75BA"/>
    <w:rsid w:val="003B76A2"/>
    <w:rsid w:val="003B7BCA"/>
    <w:rsid w:val="003B7F04"/>
    <w:rsid w:val="003C00D6"/>
    <w:rsid w:val="003C01BC"/>
    <w:rsid w:val="003C056F"/>
    <w:rsid w:val="003C0847"/>
    <w:rsid w:val="003C0B58"/>
    <w:rsid w:val="003C1256"/>
    <w:rsid w:val="003C13B6"/>
    <w:rsid w:val="003C18EC"/>
    <w:rsid w:val="003C1BB8"/>
    <w:rsid w:val="003C1F95"/>
    <w:rsid w:val="003C23E5"/>
    <w:rsid w:val="003C242A"/>
    <w:rsid w:val="003C2BA9"/>
    <w:rsid w:val="003C32BA"/>
    <w:rsid w:val="003C393A"/>
    <w:rsid w:val="003C3DAF"/>
    <w:rsid w:val="003C4195"/>
    <w:rsid w:val="003C4477"/>
    <w:rsid w:val="003C470D"/>
    <w:rsid w:val="003C47AB"/>
    <w:rsid w:val="003C4CAC"/>
    <w:rsid w:val="003C4D0F"/>
    <w:rsid w:val="003C501F"/>
    <w:rsid w:val="003C50EC"/>
    <w:rsid w:val="003C5123"/>
    <w:rsid w:val="003C5A39"/>
    <w:rsid w:val="003C632A"/>
    <w:rsid w:val="003C6712"/>
    <w:rsid w:val="003C68A9"/>
    <w:rsid w:val="003C71A1"/>
    <w:rsid w:val="003C7669"/>
    <w:rsid w:val="003C7AD1"/>
    <w:rsid w:val="003C7D39"/>
    <w:rsid w:val="003C7DBD"/>
    <w:rsid w:val="003D01E9"/>
    <w:rsid w:val="003D0AD2"/>
    <w:rsid w:val="003D1125"/>
    <w:rsid w:val="003D1412"/>
    <w:rsid w:val="003D1D77"/>
    <w:rsid w:val="003D1E91"/>
    <w:rsid w:val="003D1F38"/>
    <w:rsid w:val="003D1F5B"/>
    <w:rsid w:val="003D215F"/>
    <w:rsid w:val="003D277E"/>
    <w:rsid w:val="003D27A7"/>
    <w:rsid w:val="003D2B3B"/>
    <w:rsid w:val="003D2BC1"/>
    <w:rsid w:val="003D3806"/>
    <w:rsid w:val="003D3FEF"/>
    <w:rsid w:val="003D44A4"/>
    <w:rsid w:val="003D4967"/>
    <w:rsid w:val="003D4A8B"/>
    <w:rsid w:val="003D56FE"/>
    <w:rsid w:val="003D574A"/>
    <w:rsid w:val="003D5AAE"/>
    <w:rsid w:val="003D5AFB"/>
    <w:rsid w:val="003D5CA4"/>
    <w:rsid w:val="003D5EDB"/>
    <w:rsid w:val="003D6033"/>
    <w:rsid w:val="003D62C4"/>
    <w:rsid w:val="003D67FE"/>
    <w:rsid w:val="003D73C1"/>
    <w:rsid w:val="003D7C26"/>
    <w:rsid w:val="003E0325"/>
    <w:rsid w:val="003E04A6"/>
    <w:rsid w:val="003E09D8"/>
    <w:rsid w:val="003E0CCE"/>
    <w:rsid w:val="003E0D0D"/>
    <w:rsid w:val="003E12FB"/>
    <w:rsid w:val="003E165D"/>
    <w:rsid w:val="003E18C5"/>
    <w:rsid w:val="003E250B"/>
    <w:rsid w:val="003E27A6"/>
    <w:rsid w:val="003E39A6"/>
    <w:rsid w:val="003E3C12"/>
    <w:rsid w:val="003E48E1"/>
    <w:rsid w:val="003E49C8"/>
    <w:rsid w:val="003E5751"/>
    <w:rsid w:val="003E57CC"/>
    <w:rsid w:val="003E5D65"/>
    <w:rsid w:val="003E60B5"/>
    <w:rsid w:val="003E6300"/>
    <w:rsid w:val="003E6343"/>
    <w:rsid w:val="003E6361"/>
    <w:rsid w:val="003E6865"/>
    <w:rsid w:val="003E6947"/>
    <w:rsid w:val="003E6C4A"/>
    <w:rsid w:val="003E7019"/>
    <w:rsid w:val="003E70FF"/>
    <w:rsid w:val="003E7681"/>
    <w:rsid w:val="003E7B65"/>
    <w:rsid w:val="003E7E10"/>
    <w:rsid w:val="003F0CD3"/>
    <w:rsid w:val="003F0CF3"/>
    <w:rsid w:val="003F1A92"/>
    <w:rsid w:val="003F2196"/>
    <w:rsid w:val="003F2283"/>
    <w:rsid w:val="003F250C"/>
    <w:rsid w:val="003F2BF3"/>
    <w:rsid w:val="003F4B18"/>
    <w:rsid w:val="003F4CEC"/>
    <w:rsid w:val="003F5680"/>
    <w:rsid w:val="003F5DE4"/>
    <w:rsid w:val="003F63BE"/>
    <w:rsid w:val="003F6427"/>
    <w:rsid w:val="003F6D72"/>
    <w:rsid w:val="003F6EFF"/>
    <w:rsid w:val="003F7288"/>
    <w:rsid w:val="003F743B"/>
    <w:rsid w:val="003F7CFA"/>
    <w:rsid w:val="004005CD"/>
    <w:rsid w:val="004006EE"/>
    <w:rsid w:val="00400752"/>
    <w:rsid w:val="00400B80"/>
    <w:rsid w:val="00400C29"/>
    <w:rsid w:val="00400C3A"/>
    <w:rsid w:val="00400D17"/>
    <w:rsid w:val="00401188"/>
    <w:rsid w:val="00401423"/>
    <w:rsid w:val="00401512"/>
    <w:rsid w:val="00401D60"/>
    <w:rsid w:val="00403025"/>
    <w:rsid w:val="0040306A"/>
    <w:rsid w:val="00403099"/>
    <w:rsid w:val="00403B2D"/>
    <w:rsid w:val="00403D93"/>
    <w:rsid w:val="004044AD"/>
    <w:rsid w:val="0040474A"/>
    <w:rsid w:val="0040539F"/>
    <w:rsid w:val="0040555E"/>
    <w:rsid w:val="00405F27"/>
    <w:rsid w:val="00406055"/>
    <w:rsid w:val="00406A8C"/>
    <w:rsid w:val="00406BFE"/>
    <w:rsid w:val="00406C34"/>
    <w:rsid w:val="0040716D"/>
    <w:rsid w:val="004077C8"/>
    <w:rsid w:val="00407DB2"/>
    <w:rsid w:val="00407F81"/>
    <w:rsid w:val="0041003B"/>
    <w:rsid w:val="00410496"/>
    <w:rsid w:val="0041055C"/>
    <w:rsid w:val="004107AE"/>
    <w:rsid w:val="00410FFC"/>
    <w:rsid w:val="00411248"/>
    <w:rsid w:val="00411497"/>
    <w:rsid w:val="0041156C"/>
    <w:rsid w:val="00411C0E"/>
    <w:rsid w:val="00411C97"/>
    <w:rsid w:val="00411D09"/>
    <w:rsid w:val="004120D4"/>
    <w:rsid w:val="004121C2"/>
    <w:rsid w:val="0041277A"/>
    <w:rsid w:val="004129F3"/>
    <w:rsid w:val="00412B28"/>
    <w:rsid w:val="00412DC2"/>
    <w:rsid w:val="004139E8"/>
    <w:rsid w:val="00413A75"/>
    <w:rsid w:val="00413B9C"/>
    <w:rsid w:val="00413DC4"/>
    <w:rsid w:val="00413F2A"/>
    <w:rsid w:val="00414025"/>
    <w:rsid w:val="00414361"/>
    <w:rsid w:val="004146B0"/>
    <w:rsid w:val="004155A7"/>
    <w:rsid w:val="004155C1"/>
    <w:rsid w:val="00415839"/>
    <w:rsid w:val="00415905"/>
    <w:rsid w:val="00415A65"/>
    <w:rsid w:val="00416135"/>
    <w:rsid w:val="004164C6"/>
    <w:rsid w:val="004167CA"/>
    <w:rsid w:val="004171C3"/>
    <w:rsid w:val="00417596"/>
    <w:rsid w:val="004177C2"/>
    <w:rsid w:val="00417978"/>
    <w:rsid w:val="00417EDB"/>
    <w:rsid w:val="00420A73"/>
    <w:rsid w:val="00420AF5"/>
    <w:rsid w:val="00420EE2"/>
    <w:rsid w:val="004210DB"/>
    <w:rsid w:val="0042122F"/>
    <w:rsid w:val="00421A42"/>
    <w:rsid w:val="00421A77"/>
    <w:rsid w:val="00421CEA"/>
    <w:rsid w:val="00422035"/>
    <w:rsid w:val="004221BC"/>
    <w:rsid w:val="004222DD"/>
    <w:rsid w:val="00422604"/>
    <w:rsid w:val="0042291D"/>
    <w:rsid w:val="00422CCC"/>
    <w:rsid w:val="00423B5D"/>
    <w:rsid w:val="004241D6"/>
    <w:rsid w:val="00424822"/>
    <w:rsid w:val="00424D7A"/>
    <w:rsid w:val="00425061"/>
    <w:rsid w:val="0042534D"/>
    <w:rsid w:val="004257E1"/>
    <w:rsid w:val="00425933"/>
    <w:rsid w:val="004259EA"/>
    <w:rsid w:val="004260B7"/>
    <w:rsid w:val="00426C70"/>
    <w:rsid w:val="00426CA3"/>
    <w:rsid w:val="00426ED6"/>
    <w:rsid w:val="0042774A"/>
    <w:rsid w:val="00427925"/>
    <w:rsid w:val="00427E8E"/>
    <w:rsid w:val="00430523"/>
    <w:rsid w:val="00431097"/>
    <w:rsid w:val="004310E3"/>
    <w:rsid w:val="00431240"/>
    <w:rsid w:val="0043194A"/>
    <w:rsid w:val="00431963"/>
    <w:rsid w:val="00432048"/>
    <w:rsid w:val="00432195"/>
    <w:rsid w:val="0043243F"/>
    <w:rsid w:val="0043252E"/>
    <w:rsid w:val="00432A20"/>
    <w:rsid w:val="00432DCD"/>
    <w:rsid w:val="0043330D"/>
    <w:rsid w:val="00433562"/>
    <w:rsid w:val="00433900"/>
    <w:rsid w:val="00433DD3"/>
    <w:rsid w:val="00433F51"/>
    <w:rsid w:val="00433FFE"/>
    <w:rsid w:val="004343D2"/>
    <w:rsid w:val="00434540"/>
    <w:rsid w:val="004348F4"/>
    <w:rsid w:val="00434B24"/>
    <w:rsid w:val="00434B69"/>
    <w:rsid w:val="00434DB8"/>
    <w:rsid w:val="00434F5D"/>
    <w:rsid w:val="00435108"/>
    <w:rsid w:val="00435270"/>
    <w:rsid w:val="00435624"/>
    <w:rsid w:val="00435696"/>
    <w:rsid w:val="0043590E"/>
    <w:rsid w:val="004362EE"/>
    <w:rsid w:val="00436C62"/>
    <w:rsid w:val="00436FDE"/>
    <w:rsid w:val="00440203"/>
    <w:rsid w:val="00440385"/>
    <w:rsid w:val="00440475"/>
    <w:rsid w:val="004405DB"/>
    <w:rsid w:val="0044093E"/>
    <w:rsid w:val="00440A6F"/>
    <w:rsid w:val="004418C8"/>
    <w:rsid w:val="00441CBD"/>
    <w:rsid w:val="00441FEE"/>
    <w:rsid w:val="00442130"/>
    <w:rsid w:val="004422EE"/>
    <w:rsid w:val="00442601"/>
    <w:rsid w:val="00442773"/>
    <w:rsid w:val="00442B9D"/>
    <w:rsid w:val="00442EDF"/>
    <w:rsid w:val="00443127"/>
    <w:rsid w:val="00443385"/>
    <w:rsid w:val="0044348E"/>
    <w:rsid w:val="00443527"/>
    <w:rsid w:val="00443749"/>
    <w:rsid w:val="004437CC"/>
    <w:rsid w:val="00443C3A"/>
    <w:rsid w:val="00443E0D"/>
    <w:rsid w:val="0044401C"/>
    <w:rsid w:val="00444347"/>
    <w:rsid w:val="00445A2A"/>
    <w:rsid w:val="00445C3A"/>
    <w:rsid w:val="00446458"/>
    <w:rsid w:val="004464F1"/>
    <w:rsid w:val="004464F9"/>
    <w:rsid w:val="004466C3"/>
    <w:rsid w:val="0044682C"/>
    <w:rsid w:val="00446B19"/>
    <w:rsid w:val="00446B31"/>
    <w:rsid w:val="00447336"/>
    <w:rsid w:val="00447FB4"/>
    <w:rsid w:val="00450051"/>
    <w:rsid w:val="00450D96"/>
    <w:rsid w:val="00450E12"/>
    <w:rsid w:val="00450ED1"/>
    <w:rsid w:val="00450EFB"/>
    <w:rsid w:val="00451202"/>
    <w:rsid w:val="00451B7A"/>
    <w:rsid w:val="00451FFD"/>
    <w:rsid w:val="00452215"/>
    <w:rsid w:val="00452A45"/>
    <w:rsid w:val="00453033"/>
    <w:rsid w:val="00453B92"/>
    <w:rsid w:val="00453CB1"/>
    <w:rsid w:val="00453E3C"/>
    <w:rsid w:val="00454055"/>
    <w:rsid w:val="004542B9"/>
    <w:rsid w:val="00454942"/>
    <w:rsid w:val="004549B2"/>
    <w:rsid w:val="00454C4F"/>
    <w:rsid w:val="00454E09"/>
    <w:rsid w:val="00454F0C"/>
    <w:rsid w:val="00455FD2"/>
    <w:rsid w:val="00456092"/>
    <w:rsid w:val="00456118"/>
    <w:rsid w:val="004567BB"/>
    <w:rsid w:val="004567F0"/>
    <w:rsid w:val="0045686F"/>
    <w:rsid w:val="00456BA5"/>
    <w:rsid w:val="00456BEC"/>
    <w:rsid w:val="00456EA0"/>
    <w:rsid w:val="00456ECA"/>
    <w:rsid w:val="0045724E"/>
    <w:rsid w:val="0045739D"/>
    <w:rsid w:val="00457711"/>
    <w:rsid w:val="00457BFA"/>
    <w:rsid w:val="00460336"/>
    <w:rsid w:val="0046082D"/>
    <w:rsid w:val="00460F04"/>
    <w:rsid w:val="00460F4F"/>
    <w:rsid w:val="00460F99"/>
    <w:rsid w:val="004617FA"/>
    <w:rsid w:val="004618F0"/>
    <w:rsid w:val="00462114"/>
    <w:rsid w:val="0046214E"/>
    <w:rsid w:val="00462753"/>
    <w:rsid w:val="00463E0A"/>
    <w:rsid w:val="0046456B"/>
    <w:rsid w:val="00464995"/>
    <w:rsid w:val="00464F1B"/>
    <w:rsid w:val="0046536D"/>
    <w:rsid w:val="00465872"/>
    <w:rsid w:val="00466068"/>
    <w:rsid w:val="00466528"/>
    <w:rsid w:val="00466829"/>
    <w:rsid w:val="00466AFC"/>
    <w:rsid w:val="00467A02"/>
    <w:rsid w:val="00467E4B"/>
    <w:rsid w:val="00470255"/>
    <w:rsid w:val="0047084F"/>
    <w:rsid w:val="004709D8"/>
    <w:rsid w:val="00470CBD"/>
    <w:rsid w:val="00470F2E"/>
    <w:rsid w:val="00471096"/>
    <w:rsid w:val="0047138F"/>
    <w:rsid w:val="00471870"/>
    <w:rsid w:val="00471923"/>
    <w:rsid w:val="00471F1E"/>
    <w:rsid w:val="00472312"/>
    <w:rsid w:val="00472417"/>
    <w:rsid w:val="0047279B"/>
    <w:rsid w:val="00472812"/>
    <w:rsid w:val="00472972"/>
    <w:rsid w:val="00472DCC"/>
    <w:rsid w:val="00473219"/>
    <w:rsid w:val="0047337D"/>
    <w:rsid w:val="004736A3"/>
    <w:rsid w:val="00473A19"/>
    <w:rsid w:val="00473BB0"/>
    <w:rsid w:val="00473DD4"/>
    <w:rsid w:val="00474271"/>
    <w:rsid w:val="00474503"/>
    <w:rsid w:val="00474970"/>
    <w:rsid w:val="0047560D"/>
    <w:rsid w:val="00475DC3"/>
    <w:rsid w:val="0047620A"/>
    <w:rsid w:val="004767D7"/>
    <w:rsid w:val="0047699C"/>
    <w:rsid w:val="00476C4F"/>
    <w:rsid w:val="004770BB"/>
    <w:rsid w:val="00477659"/>
    <w:rsid w:val="004776E2"/>
    <w:rsid w:val="004779FB"/>
    <w:rsid w:val="00477B19"/>
    <w:rsid w:val="00477F30"/>
    <w:rsid w:val="00480AD1"/>
    <w:rsid w:val="004810D8"/>
    <w:rsid w:val="00481310"/>
    <w:rsid w:val="004816CD"/>
    <w:rsid w:val="004816D1"/>
    <w:rsid w:val="00481E6F"/>
    <w:rsid w:val="00482735"/>
    <w:rsid w:val="00482898"/>
    <w:rsid w:val="00482C46"/>
    <w:rsid w:val="00483300"/>
    <w:rsid w:val="00483CCE"/>
    <w:rsid w:val="004847E5"/>
    <w:rsid w:val="0048485E"/>
    <w:rsid w:val="00484CE7"/>
    <w:rsid w:val="00484E9A"/>
    <w:rsid w:val="0048503B"/>
    <w:rsid w:val="004850B0"/>
    <w:rsid w:val="00485124"/>
    <w:rsid w:val="00485288"/>
    <w:rsid w:val="004852CF"/>
    <w:rsid w:val="004853D1"/>
    <w:rsid w:val="004856B0"/>
    <w:rsid w:val="0048575F"/>
    <w:rsid w:val="004858BD"/>
    <w:rsid w:val="00485D0D"/>
    <w:rsid w:val="004863FE"/>
    <w:rsid w:val="00486771"/>
    <w:rsid w:val="00486A28"/>
    <w:rsid w:val="0048700E"/>
    <w:rsid w:val="004871D0"/>
    <w:rsid w:val="004871D7"/>
    <w:rsid w:val="00487EC6"/>
    <w:rsid w:val="00490180"/>
    <w:rsid w:val="004903F5"/>
    <w:rsid w:val="0049072F"/>
    <w:rsid w:val="0049081A"/>
    <w:rsid w:val="0049094A"/>
    <w:rsid w:val="00490A8D"/>
    <w:rsid w:val="00490E1F"/>
    <w:rsid w:val="004911FB"/>
    <w:rsid w:val="004918D0"/>
    <w:rsid w:val="0049194B"/>
    <w:rsid w:val="004919EA"/>
    <w:rsid w:val="00491C0F"/>
    <w:rsid w:val="00491DF4"/>
    <w:rsid w:val="00491EE6"/>
    <w:rsid w:val="00491FB4"/>
    <w:rsid w:val="004923EE"/>
    <w:rsid w:val="00492B19"/>
    <w:rsid w:val="00492B44"/>
    <w:rsid w:val="00492BD7"/>
    <w:rsid w:val="00492CD5"/>
    <w:rsid w:val="0049328A"/>
    <w:rsid w:val="0049331F"/>
    <w:rsid w:val="004933C9"/>
    <w:rsid w:val="004936D4"/>
    <w:rsid w:val="00493784"/>
    <w:rsid w:val="004937D9"/>
    <w:rsid w:val="00493DE4"/>
    <w:rsid w:val="00494103"/>
    <w:rsid w:val="0049415A"/>
    <w:rsid w:val="0049418C"/>
    <w:rsid w:val="00494636"/>
    <w:rsid w:val="004948B4"/>
    <w:rsid w:val="004948ED"/>
    <w:rsid w:val="00494944"/>
    <w:rsid w:val="00494B7A"/>
    <w:rsid w:val="00495274"/>
    <w:rsid w:val="0049543A"/>
    <w:rsid w:val="0049550C"/>
    <w:rsid w:val="00495A3E"/>
    <w:rsid w:val="00496205"/>
    <w:rsid w:val="00496316"/>
    <w:rsid w:val="00496C46"/>
    <w:rsid w:val="0049709B"/>
    <w:rsid w:val="004974F3"/>
    <w:rsid w:val="00497597"/>
    <w:rsid w:val="00497D12"/>
    <w:rsid w:val="004A032E"/>
    <w:rsid w:val="004A077C"/>
    <w:rsid w:val="004A0C2F"/>
    <w:rsid w:val="004A0C58"/>
    <w:rsid w:val="004A0E58"/>
    <w:rsid w:val="004A0F5B"/>
    <w:rsid w:val="004A14C8"/>
    <w:rsid w:val="004A1676"/>
    <w:rsid w:val="004A18D5"/>
    <w:rsid w:val="004A2649"/>
    <w:rsid w:val="004A2AC3"/>
    <w:rsid w:val="004A38D5"/>
    <w:rsid w:val="004A38E9"/>
    <w:rsid w:val="004A3CD0"/>
    <w:rsid w:val="004A3CEA"/>
    <w:rsid w:val="004A3FAD"/>
    <w:rsid w:val="004A41A4"/>
    <w:rsid w:val="004A429B"/>
    <w:rsid w:val="004A44B5"/>
    <w:rsid w:val="004A4712"/>
    <w:rsid w:val="004A4E78"/>
    <w:rsid w:val="004A5430"/>
    <w:rsid w:val="004A54CD"/>
    <w:rsid w:val="004A55E4"/>
    <w:rsid w:val="004A5D55"/>
    <w:rsid w:val="004A6553"/>
    <w:rsid w:val="004A6C21"/>
    <w:rsid w:val="004A6CCF"/>
    <w:rsid w:val="004A6FAD"/>
    <w:rsid w:val="004A7056"/>
    <w:rsid w:val="004B06D6"/>
    <w:rsid w:val="004B074F"/>
    <w:rsid w:val="004B0953"/>
    <w:rsid w:val="004B0A9A"/>
    <w:rsid w:val="004B0AFE"/>
    <w:rsid w:val="004B0C82"/>
    <w:rsid w:val="004B0D23"/>
    <w:rsid w:val="004B0DB8"/>
    <w:rsid w:val="004B0EDA"/>
    <w:rsid w:val="004B0F97"/>
    <w:rsid w:val="004B10DE"/>
    <w:rsid w:val="004B17FB"/>
    <w:rsid w:val="004B199C"/>
    <w:rsid w:val="004B1BF9"/>
    <w:rsid w:val="004B21AA"/>
    <w:rsid w:val="004B21D8"/>
    <w:rsid w:val="004B273E"/>
    <w:rsid w:val="004B3210"/>
    <w:rsid w:val="004B3635"/>
    <w:rsid w:val="004B3637"/>
    <w:rsid w:val="004B376B"/>
    <w:rsid w:val="004B3DE5"/>
    <w:rsid w:val="004B3E47"/>
    <w:rsid w:val="004B44E6"/>
    <w:rsid w:val="004B48A0"/>
    <w:rsid w:val="004B4D47"/>
    <w:rsid w:val="004B4E53"/>
    <w:rsid w:val="004B6548"/>
    <w:rsid w:val="004B688E"/>
    <w:rsid w:val="004B7088"/>
    <w:rsid w:val="004B739C"/>
    <w:rsid w:val="004B7773"/>
    <w:rsid w:val="004B7932"/>
    <w:rsid w:val="004B79CF"/>
    <w:rsid w:val="004B7D34"/>
    <w:rsid w:val="004B7E5C"/>
    <w:rsid w:val="004C0391"/>
    <w:rsid w:val="004C1143"/>
    <w:rsid w:val="004C1201"/>
    <w:rsid w:val="004C121B"/>
    <w:rsid w:val="004C12BB"/>
    <w:rsid w:val="004C1408"/>
    <w:rsid w:val="004C1511"/>
    <w:rsid w:val="004C1FAA"/>
    <w:rsid w:val="004C2014"/>
    <w:rsid w:val="004C2270"/>
    <w:rsid w:val="004C2474"/>
    <w:rsid w:val="004C27B5"/>
    <w:rsid w:val="004C27B9"/>
    <w:rsid w:val="004C37DD"/>
    <w:rsid w:val="004C430E"/>
    <w:rsid w:val="004C4BED"/>
    <w:rsid w:val="004C4CE0"/>
    <w:rsid w:val="004C5588"/>
    <w:rsid w:val="004C5859"/>
    <w:rsid w:val="004C5D03"/>
    <w:rsid w:val="004C5E59"/>
    <w:rsid w:val="004C5EF4"/>
    <w:rsid w:val="004C652D"/>
    <w:rsid w:val="004C6926"/>
    <w:rsid w:val="004C6B1F"/>
    <w:rsid w:val="004C6D8A"/>
    <w:rsid w:val="004C6E81"/>
    <w:rsid w:val="004C6FEE"/>
    <w:rsid w:val="004C7575"/>
    <w:rsid w:val="004C76AF"/>
    <w:rsid w:val="004C7790"/>
    <w:rsid w:val="004C7C10"/>
    <w:rsid w:val="004C7C46"/>
    <w:rsid w:val="004C7F15"/>
    <w:rsid w:val="004C7F53"/>
    <w:rsid w:val="004D10DC"/>
    <w:rsid w:val="004D112D"/>
    <w:rsid w:val="004D139A"/>
    <w:rsid w:val="004D18DF"/>
    <w:rsid w:val="004D19B4"/>
    <w:rsid w:val="004D1F1A"/>
    <w:rsid w:val="004D2433"/>
    <w:rsid w:val="004D2575"/>
    <w:rsid w:val="004D2B86"/>
    <w:rsid w:val="004D3566"/>
    <w:rsid w:val="004D36B3"/>
    <w:rsid w:val="004D3853"/>
    <w:rsid w:val="004D3A41"/>
    <w:rsid w:val="004D3ABA"/>
    <w:rsid w:val="004D3B6D"/>
    <w:rsid w:val="004D3C74"/>
    <w:rsid w:val="004D3DB9"/>
    <w:rsid w:val="004D449B"/>
    <w:rsid w:val="004D4A52"/>
    <w:rsid w:val="004D4B68"/>
    <w:rsid w:val="004D4C52"/>
    <w:rsid w:val="004D5D02"/>
    <w:rsid w:val="004D5D1C"/>
    <w:rsid w:val="004D5D97"/>
    <w:rsid w:val="004D5DC3"/>
    <w:rsid w:val="004D61F8"/>
    <w:rsid w:val="004D62C0"/>
    <w:rsid w:val="004D64F7"/>
    <w:rsid w:val="004D6542"/>
    <w:rsid w:val="004D6F42"/>
    <w:rsid w:val="004D7416"/>
    <w:rsid w:val="004D78E2"/>
    <w:rsid w:val="004D797C"/>
    <w:rsid w:val="004D7BA1"/>
    <w:rsid w:val="004D7CC5"/>
    <w:rsid w:val="004D7DDD"/>
    <w:rsid w:val="004E012E"/>
    <w:rsid w:val="004E017C"/>
    <w:rsid w:val="004E01D2"/>
    <w:rsid w:val="004E030F"/>
    <w:rsid w:val="004E0627"/>
    <w:rsid w:val="004E0DF9"/>
    <w:rsid w:val="004E0E8C"/>
    <w:rsid w:val="004E113D"/>
    <w:rsid w:val="004E19C9"/>
    <w:rsid w:val="004E215C"/>
    <w:rsid w:val="004E243F"/>
    <w:rsid w:val="004E24E6"/>
    <w:rsid w:val="004E2C56"/>
    <w:rsid w:val="004E2D9E"/>
    <w:rsid w:val="004E2E6C"/>
    <w:rsid w:val="004E35AB"/>
    <w:rsid w:val="004E370F"/>
    <w:rsid w:val="004E3C7F"/>
    <w:rsid w:val="004E423F"/>
    <w:rsid w:val="004E4932"/>
    <w:rsid w:val="004E4D2D"/>
    <w:rsid w:val="004E529F"/>
    <w:rsid w:val="004E548A"/>
    <w:rsid w:val="004E551C"/>
    <w:rsid w:val="004E5530"/>
    <w:rsid w:val="004E5911"/>
    <w:rsid w:val="004E5F7F"/>
    <w:rsid w:val="004E65F2"/>
    <w:rsid w:val="004E664C"/>
    <w:rsid w:val="004E66ED"/>
    <w:rsid w:val="004E69B5"/>
    <w:rsid w:val="004E6A20"/>
    <w:rsid w:val="004E6CDE"/>
    <w:rsid w:val="004E7061"/>
    <w:rsid w:val="004E72F0"/>
    <w:rsid w:val="004E7591"/>
    <w:rsid w:val="004E7772"/>
    <w:rsid w:val="004E79A8"/>
    <w:rsid w:val="004E7A91"/>
    <w:rsid w:val="004E7D7D"/>
    <w:rsid w:val="004E7FC0"/>
    <w:rsid w:val="004F04D5"/>
    <w:rsid w:val="004F05BD"/>
    <w:rsid w:val="004F0631"/>
    <w:rsid w:val="004F0679"/>
    <w:rsid w:val="004F0831"/>
    <w:rsid w:val="004F0E43"/>
    <w:rsid w:val="004F11E8"/>
    <w:rsid w:val="004F12FC"/>
    <w:rsid w:val="004F1856"/>
    <w:rsid w:val="004F1B65"/>
    <w:rsid w:val="004F1E8E"/>
    <w:rsid w:val="004F20CD"/>
    <w:rsid w:val="004F2AAD"/>
    <w:rsid w:val="004F2B9C"/>
    <w:rsid w:val="004F2D24"/>
    <w:rsid w:val="004F2F30"/>
    <w:rsid w:val="004F313A"/>
    <w:rsid w:val="004F39EB"/>
    <w:rsid w:val="004F3C0E"/>
    <w:rsid w:val="004F3E20"/>
    <w:rsid w:val="004F417D"/>
    <w:rsid w:val="004F516B"/>
    <w:rsid w:val="004F543C"/>
    <w:rsid w:val="004F5844"/>
    <w:rsid w:val="004F5A3F"/>
    <w:rsid w:val="004F5C0E"/>
    <w:rsid w:val="004F5CFC"/>
    <w:rsid w:val="004F5D61"/>
    <w:rsid w:val="004F6019"/>
    <w:rsid w:val="004F61D2"/>
    <w:rsid w:val="004F62AA"/>
    <w:rsid w:val="004F635B"/>
    <w:rsid w:val="004F6367"/>
    <w:rsid w:val="004F6A5E"/>
    <w:rsid w:val="004F6B69"/>
    <w:rsid w:val="004F6DE6"/>
    <w:rsid w:val="004F7AD7"/>
    <w:rsid w:val="004F7CE8"/>
    <w:rsid w:val="0050025A"/>
    <w:rsid w:val="00500581"/>
    <w:rsid w:val="005005BC"/>
    <w:rsid w:val="00500662"/>
    <w:rsid w:val="00500C66"/>
    <w:rsid w:val="0050100A"/>
    <w:rsid w:val="005013E3"/>
    <w:rsid w:val="005017E2"/>
    <w:rsid w:val="00501CE6"/>
    <w:rsid w:val="005026C3"/>
    <w:rsid w:val="005028D3"/>
    <w:rsid w:val="00502C85"/>
    <w:rsid w:val="00502D69"/>
    <w:rsid w:val="00502E47"/>
    <w:rsid w:val="00502FA8"/>
    <w:rsid w:val="00503027"/>
    <w:rsid w:val="00503292"/>
    <w:rsid w:val="005032D0"/>
    <w:rsid w:val="00503877"/>
    <w:rsid w:val="00503F11"/>
    <w:rsid w:val="00504133"/>
    <w:rsid w:val="00504391"/>
    <w:rsid w:val="005047DD"/>
    <w:rsid w:val="00504B9A"/>
    <w:rsid w:val="00504E87"/>
    <w:rsid w:val="00505003"/>
    <w:rsid w:val="0050502D"/>
    <w:rsid w:val="0050557E"/>
    <w:rsid w:val="00505B1A"/>
    <w:rsid w:val="00505EB3"/>
    <w:rsid w:val="005067CC"/>
    <w:rsid w:val="00506BD9"/>
    <w:rsid w:val="005070F0"/>
    <w:rsid w:val="00510014"/>
    <w:rsid w:val="005107DF"/>
    <w:rsid w:val="0051081B"/>
    <w:rsid w:val="00510924"/>
    <w:rsid w:val="00510F23"/>
    <w:rsid w:val="0051157B"/>
    <w:rsid w:val="005116E2"/>
    <w:rsid w:val="00511B18"/>
    <w:rsid w:val="00511DE4"/>
    <w:rsid w:val="00511E64"/>
    <w:rsid w:val="00511EF7"/>
    <w:rsid w:val="005120B0"/>
    <w:rsid w:val="00512175"/>
    <w:rsid w:val="005121A7"/>
    <w:rsid w:val="005122E2"/>
    <w:rsid w:val="0051270F"/>
    <w:rsid w:val="0051317A"/>
    <w:rsid w:val="00513375"/>
    <w:rsid w:val="0051339E"/>
    <w:rsid w:val="005134E2"/>
    <w:rsid w:val="00513515"/>
    <w:rsid w:val="005136EE"/>
    <w:rsid w:val="00513B27"/>
    <w:rsid w:val="00513B4B"/>
    <w:rsid w:val="00513F53"/>
    <w:rsid w:val="00513FA6"/>
    <w:rsid w:val="005146F5"/>
    <w:rsid w:val="0051495B"/>
    <w:rsid w:val="005149F8"/>
    <w:rsid w:val="00514AE0"/>
    <w:rsid w:val="00514CE3"/>
    <w:rsid w:val="00515467"/>
    <w:rsid w:val="0051580A"/>
    <w:rsid w:val="00516681"/>
    <w:rsid w:val="00516B4D"/>
    <w:rsid w:val="0051704D"/>
    <w:rsid w:val="00517342"/>
    <w:rsid w:val="00517636"/>
    <w:rsid w:val="00517BDA"/>
    <w:rsid w:val="00517F97"/>
    <w:rsid w:val="0052025A"/>
    <w:rsid w:val="005207F7"/>
    <w:rsid w:val="00521111"/>
    <w:rsid w:val="005212CD"/>
    <w:rsid w:val="00521450"/>
    <w:rsid w:val="00521E7C"/>
    <w:rsid w:val="00522055"/>
    <w:rsid w:val="00522468"/>
    <w:rsid w:val="00522614"/>
    <w:rsid w:val="0052268C"/>
    <w:rsid w:val="00522C00"/>
    <w:rsid w:val="00522C76"/>
    <w:rsid w:val="00522CC2"/>
    <w:rsid w:val="005233E3"/>
    <w:rsid w:val="00523613"/>
    <w:rsid w:val="00523630"/>
    <w:rsid w:val="00523C9D"/>
    <w:rsid w:val="00523CD5"/>
    <w:rsid w:val="00523F43"/>
    <w:rsid w:val="0052457F"/>
    <w:rsid w:val="005246C8"/>
    <w:rsid w:val="005246F2"/>
    <w:rsid w:val="005249BE"/>
    <w:rsid w:val="00524D78"/>
    <w:rsid w:val="0052500A"/>
    <w:rsid w:val="00525339"/>
    <w:rsid w:val="0052563D"/>
    <w:rsid w:val="0052565E"/>
    <w:rsid w:val="00525756"/>
    <w:rsid w:val="00525A5B"/>
    <w:rsid w:val="00525ADB"/>
    <w:rsid w:val="00525C33"/>
    <w:rsid w:val="00525FC3"/>
    <w:rsid w:val="0052615D"/>
    <w:rsid w:val="00526384"/>
    <w:rsid w:val="005263E3"/>
    <w:rsid w:val="00526642"/>
    <w:rsid w:val="00526BBE"/>
    <w:rsid w:val="00526C13"/>
    <w:rsid w:val="00526DAF"/>
    <w:rsid w:val="00527436"/>
    <w:rsid w:val="00527EA9"/>
    <w:rsid w:val="005300AC"/>
    <w:rsid w:val="00530186"/>
    <w:rsid w:val="0053051E"/>
    <w:rsid w:val="00530881"/>
    <w:rsid w:val="00530C29"/>
    <w:rsid w:val="00530DCB"/>
    <w:rsid w:val="00530FE6"/>
    <w:rsid w:val="005312A5"/>
    <w:rsid w:val="0053294F"/>
    <w:rsid w:val="00532F33"/>
    <w:rsid w:val="00533352"/>
    <w:rsid w:val="005334FF"/>
    <w:rsid w:val="00533A1E"/>
    <w:rsid w:val="00533D0E"/>
    <w:rsid w:val="00533E8A"/>
    <w:rsid w:val="0053440F"/>
    <w:rsid w:val="00534526"/>
    <w:rsid w:val="00534B8B"/>
    <w:rsid w:val="005351DE"/>
    <w:rsid w:val="00535777"/>
    <w:rsid w:val="005359BA"/>
    <w:rsid w:val="00535A8D"/>
    <w:rsid w:val="00535D27"/>
    <w:rsid w:val="00536017"/>
    <w:rsid w:val="00536700"/>
    <w:rsid w:val="00537207"/>
    <w:rsid w:val="005378F6"/>
    <w:rsid w:val="00537B48"/>
    <w:rsid w:val="0054018F"/>
    <w:rsid w:val="00540887"/>
    <w:rsid w:val="00540AD5"/>
    <w:rsid w:val="00540CC3"/>
    <w:rsid w:val="00540FF4"/>
    <w:rsid w:val="005416C1"/>
    <w:rsid w:val="00541BCA"/>
    <w:rsid w:val="0054207E"/>
    <w:rsid w:val="00542298"/>
    <w:rsid w:val="0054234F"/>
    <w:rsid w:val="0054271F"/>
    <w:rsid w:val="005427CF"/>
    <w:rsid w:val="00542C43"/>
    <w:rsid w:val="00542F59"/>
    <w:rsid w:val="00542F61"/>
    <w:rsid w:val="00543381"/>
    <w:rsid w:val="005435EC"/>
    <w:rsid w:val="0054374C"/>
    <w:rsid w:val="00543783"/>
    <w:rsid w:val="00543913"/>
    <w:rsid w:val="005439CC"/>
    <w:rsid w:val="00543DE4"/>
    <w:rsid w:val="00543DFF"/>
    <w:rsid w:val="00543EDC"/>
    <w:rsid w:val="0054435D"/>
    <w:rsid w:val="00544B84"/>
    <w:rsid w:val="00545014"/>
    <w:rsid w:val="0054524F"/>
    <w:rsid w:val="00545B6F"/>
    <w:rsid w:val="00545CAD"/>
    <w:rsid w:val="0054602D"/>
    <w:rsid w:val="005462A7"/>
    <w:rsid w:val="00546B82"/>
    <w:rsid w:val="00546DA8"/>
    <w:rsid w:val="00547131"/>
    <w:rsid w:val="0054743B"/>
    <w:rsid w:val="005476B3"/>
    <w:rsid w:val="0055041F"/>
    <w:rsid w:val="0055062D"/>
    <w:rsid w:val="00550755"/>
    <w:rsid w:val="0055113E"/>
    <w:rsid w:val="00551260"/>
    <w:rsid w:val="005514BE"/>
    <w:rsid w:val="005514F6"/>
    <w:rsid w:val="0055188A"/>
    <w:rsid w:val="00551B0A"/>
    <w:rsid w:val="005522E5"/>
    <w:rsid w:val="00552371"/>
    <w:rsid w:val="005524F3"/>
    <w:rsid w:val="0055282B"/>
    <w:rsid w:val="00553566"/>
    <w:rsid w:val="0055385B"/>
    <w:rsid w:val="005538B2"/>
    <w:rsid w:val="005538C7"/>
    <w:rsid w:val="00553E26"/>
    <w:rsid w:val="00553EEB"/>
    <w:rsid w:val="00553F3C"/>
    <w:rsid w:val="00554373"/>
    <w:rsid w:val="0055469B"/>
    <w:rsid w:val="0055514A"/>
    <w:rsid w:val="005552C2"/>
    <w:rsid w:val="00555464"/>
    <w:rsid w:val="005559ED"/>
    <w:rsid w:val="00556494"/>
    <w:rsid w:val="00556B5A"/>
    <w:rsid w:val="00556B76"/>
    <w:rsid w:val="00556F24"/>
    <w:rsid w:val="00557740"/>
    <w:rsid w:val="00557867"/>
    <w:rsid w:val="00557A12"/>
    <w:rsid w:val="00557B4A"/>
    <w:rsid w:val="00557B92"/>
    <w:rsid w:val="00557FC3"/>
    <w:rsid w:val="005600A0"/>
    <w:rsid w:val="005603AD"/>
    <w:rsid w:val="00560901"/>
    <w:rsid w:val="00560E95"/>
    <w:rsid w:val="005613F4"/>
    <w:rsid w:val="0056196A"/>
    <w:rsid w:val="0056253D"/>
    <w:rsid w:val="005630B2"/>
    <w:rsid w:val="005630B5"/>
    <w:rsid w:val="0056318D"/>
    <w:rsid w:val="00563415"/>
    <w:rsid w:val="005637DC"/>
    <w:rsid w:val="005638B6"/>
    <w:rsid w:val="00564165"/>
    <w:rsid w:val="0056530E"/>
    <w:rsid w:val="005653B4"/>
    <w:rsid w:val="00565415"/>
    <w:rsid w:val="005659D7"/>
    <w:rsid w:val="00565DEB"/>
    <w:rsid w:val="00566DC3"/>
    <w:rsid w:val="00566DCF"/>
    <w:rsid w:val="00566F6A"/>
    <w:rsid w:val="00566FDE"/>
    <w:rsid w:val="005670BB"/>
    <w:rsid w:val="00567755"/>
    <w:rsid w:val="00567B87"/>
    <w:rsid w:val="0057033C"/>
    <w:rsid w:val="00570940"/>
    <w:rsid w:val="00570D1F"/>
    <w:rsid w:val="00571278"/>
    <w:rsid w:val="005718C2"/>
    <w:rsid w:val="005718DB"/>
    <w:rsid w:val="00571A63"/>
    <w:rsid w:val="0057202A"/>
    <w:rsid w:val="005721E7"/>
    <w:rsid w:val="00572540"/>
    <w:rsid w:val="00572963"/>
    <w:rsid w:val="00572D89"/>
    <w:rsid w:val="00572F72"/>
    <w:rsid w:val="00573058"/>
    <w:rsid w:val="005738C9"/>
    <w:rsid w:val="005741C7"/>
    <w:rsid w:val="0057434B"/>
    <w:rsid w:val="00574489"/>
    <w:rsid w:val="00574A2D"/>
    <w:rsid w:val="00574B43"/>
    <w:rsid w:val="00574BE1"/>
    <w:rsid w:val="00574D13"/>
    <w:rsid w:val="00574E45"/>
    <w:rsid w:val="00575E00"/>
    <w:rsid w:val="005762EC"/>
    <w:rsid w:val="00576FD9"/>
    <w:rsid w:val="0057712C"/>
    <w:rsid w:val="0057731A"/>
    <w:rsid w:val="005773A4"/>
    <w:rsid w:val="00577417"/>
    <w:rsid w:val="005778C3"/>
    <w:rsid w:val="00577D41"/>
    <w:rsid w:val="00577D6E"/>
    <w:rsid w:val="00577F0D"/>
    <w:rsid w:val="00581678"/>
    <w:rsid w:val="00581A81"/>
    <w:rsid w:val="00581FA6"/>
    <w:rsid w:val="00582173"/>
    <w:rsid w:val="00582691"/>
    <w:rsid w:val="00582801"/>
    <w:rsid w:val="00582C47"/>
    <w:rsid w:val="00582E04"/>
    <w:rsid w:val="005838FD"/>
    <w:rsid w:val="00583B74"/>
    <w:rsid w:val="00583F78"/>
    <w:rsid w:val="005849A9"/>
    <w:rsid w:val="00586691"/>
    <w:rsid w:val="005868B3"/>
    <w:rsid w:val="00586C29"/>
    <w:rsid w:val="0058774D"/>
    <w:rsid w:val="00587761"/>
    <w:rsid w:val="00587989"/>
    <w:rsid w:val="00587E67"/>
    <w:rsid w:val="00590A3D"/>
    <w:rsid w:val="00590BCF"/>
    <w:rsid w:val="00590BFA"/>
    <w:rsid w:val="00590DBC"/>
    <w:rsid w:val="005919C7"/>
    <w:rsid w:val="0059245F"/>
    <w:rsid w:val="005924F9"/>
    <w:rsid w:val="00592AF1"/>
    <w:rsid w:val="005932CC"/>
    <w:rsid w:val="005935B5"/>
    <w:rsid w:val="005937ED"/>
    <w:rsid w:val="00593A38"/>
    <w:rsid w:val="00594463"/>
    <w:rsid w:val="00594C47"/>
    <w:rsid w:val="0059549D"/>
    <w:rsid w:val="005955B9"/>
    <w:rsid w:val="00595769"/>
    <w:rsid w:val="005958F4"/>
    <w:rsid w:val="005959BD"/>
    <w:rsid w:val="00595A77"/>
    <w:rsid w:val="00595CBA"/>
    <w:rsid w:val="005961F4"/>
    <w:rsid w:val="0059639F"/>
    <w:rsid w:val="00596734"/>
    <w:rsid w:val="00596A82"/>
    <w:rsid w:val="00596D99"/>
    <w:rsid w:val="00597927"/>
    <w:rsid w:val="00597BE1"/>
    <w:rsid w:val="00597F83"/>
    <w:rsid w:val="005A08AA"/>
    <w:rsid w:val="005A12CD"/>
    <w:rsid w:val="005A14E6"/>
    <w:rsid w:val="005A1953"/>
    <w:rsid w:val="005A1DFE"/>
    <w:rsid w:val="005A24B2"/>
    <w:rsid w:val="005A2878"/>
    <w:rsid w:val="005A2A2E"/>
    <w:rsid w:val="005A2F18"/>
    <w:rsid w:val="005A3982"/>
    <w:rsid w:val="005A3D44"/>
    <w:rsid w:val="005A41A0"/>
    <w:rsid w:val="005A4443"/>
    <w:rsid w:val="005A4B36"/>
    <w:rsid w:val="005A4B51"/>
    <w:rsid w:val="005A4E2C"/>
    <w:rsid w:val="005A4FD0"/>
    <w:rsid w:val="005A534A"/>
    <w:rsid w:val="005A57D6"/>
    <w:rsid w:val="005A5AA4"/>
    <w:rsid w:val="005A5E1A"/>
    <w:rsid w:val="005A615E"/>
    <w:rsid w:val="005A6A19"/>
    <w:rsid w:val="005A6ED0"/>
    <w:rsid w:val="005A74FF"/>
    <w:rsid w:val="005A760E"/>
    <w:rsid w:val="005A7749"/>
    <w:rsid w:val="005B001D"/>
    <w:rsid w:val="005B0687"/>
    <w:rsid w:val="005B0929"/>
    <w:rsid w:val="005B1042"/>
    <w:rsid w:val="005B20F4"/>
    <w:rsid w:val="005B38F3"/>
    <w:rsid w:val="005B3BDF"/>
    <w:rsid w:val="005B4CB4"/>
    <w:rsid w:val="005B528A"/>
    <w:rsid w:val="005B57C9"/>
    <w:rsid w:val="005B5966"/>
    <w:rsid w:val="005B5A53"/>
    <w:rsid w:val="005B5C4A"/>
    <w:rsid w:val="005B61EC"/>
    <w:rsid w:val="005B6231"/>
    <w:rsid w:val="005B6408"/>
    <w:rsid w:val="005B6543"/>
    <w:rsid w:val="005B67A7"/>
    <w:rsid w:val="005B6A56"/>
    <w:rsid w:val="005B6FCE"/>
    <w:rsid w:val="005B7038"/>
    <w:rsid w:val="005B7677"/>
    <w:rsid w:val="005B794C"/>
    <w:rsid w:val="005C03B5"/>
    <w:rsid w:val="005C03EF"/>
    <w:rsid w:val="005C111D"/>
    <w:rsid w:val="005C1501"/>
    <w:rsid w:val="005C1925"/>
    <w:rsid w:val="005C223B"/>
    <w:rsid w:val="005C23A1"/>
    <w:rsid w:val="005C2663"/>
    <w:rsid w:val="005C2887"/>
    <w:rsid w:val="005C2E0A"/>
    <w:rsid w:val="005C33B6"/>
    <w:rsid w:val="005C34FA"/>
    <w:rsid w:val="005C35CF"/>
    <w:rsid w:val="005C382B"/>
    <w:rsid w:val="005C4225"/>
    <w:rsid w:val="005C42B1"/>
    <w:rsid w:val="005C4AAA"/>
    <w:rsid w:val="005C4C22"/>
    <w:rsid w:val="005C506E"/>
    <w:rsid w:val="005C50F8"/>
    <w:rsid w:val="005C532D"/>
    <w:rsid w:val="005C5D52"/>
    <w:rsid w:val="005C6081"/>
    <w:rsid w:val="005C6153"/>
    <w:rsid w:val="005C6CEE"/>
    <w:rsid w:val="005C7AAC"/>
    <w:rsid w:val="005C7E66"/>
    <w:rsid w:val="005C7E8E"/>
    <w:rsid w:val="005D0CF8"/>
    <w:rsid w:val="005D0D09"/>
    <w:rsid w:val="005D0F01"/>
    <w:rsid w:val="005D1252"/>
    <w:rsid w:val="005D13A2"/>
    <w:rsid w:val="005D1584"/>
    <w:rsid w:val="005D19FB"/>
    <w:rsid w:val="005D1A44"/>
    <w:rsid w:val="005D1B79"/>
    <w:rsid w:val="005D1F45"/>
    <w:rsid w:val="005D24D1"/>
    <w:rsid w:val="005D2CE8"/>
    <w:rsid w:val="005D2D75"/>
    <w:rsid w:val="005D3126"/>
    <w:rsid w:val="005D329D"/>
    <w:rsid w:val="005D3351"/>
    <w:rsid w:val="005D369C"/>
    <w:rsid w:val="005D4402"/>
    <w:rsid w:val="005D4466"/>
    <w:rsid w:val="005D4BCB"/>
    <w:rsid w:val="005D4C13"/>
    <w:rsid w:val="005D5401"/>
    <w:rsid w:val="005D598F"/>
    <w:rsid w:val="005D60EB"/>
    <w:rsid w:val="005D61D7"/>
    <w:rsid w:val="005D6353"/>
    <w:rsid w:val="005D7D4D"/>
    <w:rsid w:val="005E038C"/>
    <w:rsid w:val="005E04B6"/>
    <w:rsid w:val="005E08E0"/>
    <w:rsid w:val="005E15D1"/>
    <w:rsid w:val="005E1BCC"/>
    <w:rsid w:val="005E254F"/>
    <w:rsid w:val="005E271E"/>
    <w:rsid w:val="005E35ED"/>
    <w:rsid w:val="005E3625"/>
    <w:rsid w:val="005E3668"/>
    <w:rsid w:val="005E3B31"/>
    <w:rsid w:val="005E3C60"/>
    <w:rsid w:val="005E3EA2"/>
    <w:rsid w:val="005E40BD"/>
    <w:rsid w:val="005E4373"/>
    <w:rsid w:val="005E4613"/>
    <w:rsid w:val="005E4820"/>
    <w:rsid w:val="005E4863"/>
    <w:rsid w:val="005E5324"/>
    <w:rsid w:val="005E55E7"/>
    <w:rsid w:val="005E5950"/>
    <w:rsid w:val="005E62C8"/>
    <w:rsid w:val="005E6C49"/>
    <w:rsid w:val="005E6E98"/>
    <w:rsid w:val="005E764C"/>
    <w:rsid w:val="005E78D1"/>
    <w:rsid w:val="005E78E4"/>
    <w:rsid w:val="005F03DC"/>
    <w:rsid w:val="005F05D6"/>
    <w:rsid w:val="005F0C85"/>
    <w:rsid w:val="005F1056"/>
    <w:rsid w:val="005F1074"/>
    <w:rsid w:val="005F2219"/>
    <w:rsid w:val="005F24CC"/>
    <w:rsid w:val="005F262E"/>
    <w:rsid w:val="005F2D49"/>
    <w:rsid w:val="005F2F62"/>
    <w:rsid w:val="005F3264"/>
    <w:rsid w:val="005F3676"/>
    <w:rsid w:val="005F3A22"/>
    <w:rsid w:val="005F3DAC"/>
    <w:rsid w:val="005F3F8E"/>
    <w:rsid w:val="005F41E3"/>
    <w:rsid w:val="005F46D5"/>
    <w:rsid w:val="005F48DE"/>
    <w:rsid w:val="005F5053"/>
    <w:rsid w:val="005F5059"/>
    <w:rsid w:val="005F5515"/>
    <w:rsid w:val="005F5E1D"/>
    <w:rsid w:val="005F6727"/>
    <w:rsid w:val="005F679A"/>
    <w:rsid w:val="005F6A18"/>
    <w:rsid w:val="005F709A"/>
    <w:rsid w:val="005F7395"/>
    <w:rsid w:val="005F741B"/>
    <w:rsid w:val="005F74EF"/>
    <w:rsid w:val="006008AB"/>
    <w:rsid w:val="00600D8E"/>
    <w:rsid w:val="0060103A"/>
    <w:rsid w:val="00601350"/>
    <w:rsid w:val="0060146B"/>
    <w:rsid w:val="00601508"/>
    <w:rsid w:val="006017BC"/>
    <w:rsid w:val="006018BA"/>
    <w:rsid w:val="00601E9C"/>
    <w:rsid w:val="0060223D"/>
    <w:rsid w:val="00602251"/>
    <w:rsid w:val="00602352"/>
    <w:rsid w:val="00602558"/>
    <w:rsid w:val="006028DA"/>
    <w:rsid w:val="00602983"/>
    <w:rsid w:val="00602CAD"/>
    <w:rsid w:val="00602ED9"/>
    <w:rsid w:val="00603439"/>
    <w:rsid w:val="006037F0"/>
    <w:rsid w:val="00603EAF"/>
    <w:rsid w:val="00603FFF"/>
    <w:rsid w:val="00604355"/>
    <w:rsid w:val="006043B6"/>
    <w:rsid w:val="006044B3"/>
    <w:rsid w:val="00604C84"/>
    <w:rsid w:val="00605461"/>
    <w:rsid w:val="006055D8"/>
    <w:rsid w:val="00605D96"/>
    <w:rsid w:val="00605F9F"/>
    <w:rsid w:val="0060626F"/>
    <w:rsid w:val="006062C3"/>
    <w:rsid w:val="00606670"/>
    <w:rsid w:val="00606F6B"/>
    <w:rsid w:val="0060762E"/>
    <w:rsid w:val="006079B5"/>
    <w:rsid w:val="00607E9A"/>
    <w:rsid w:val="00607F88"/>
    <w:rsid w:val="006106BE"/>
    <w:rsid w:val="00610AA2"/>
    <w:rsid w:val="00610BAF"/>
    <w:rsid w:val="00610CBC"/>
    <w:rsid w:val="00610D1D"/>
    <w:rsid w:val="006115EC"/>
    <w:rsid w:val="00611741"/>
    <w:rsid w:val="00611B93"/>
    <w:rsid w:val="0061222B"/>
    <w:rsid w:val="00612580"/>
    <w:rsid w:val="006128B4"/>
    <w:rsid w:val="006128DA"/>
    <w:rsid w:val="00612A0A"/>
    <w:rsid w:val="00612ED6"/>
    <w:rsid w:val="00612F74"/>
    <w:rsid w:val="00613036"/>
    <w:rsid w:val="0061305C"/>
    <w:rsid w:val="006131D1"/>
    <w:rsid w:val="00613496"/>
    <w:rsid w:val="00613B47"/>
    <w:rsid w:val="00613D74"/>
    <w:rsid w:val="00614A3D"/>
    <w:rsid w:val="00614BCB"/>
    <w:rsid w:val="00614F20"/>
    <w:rsid w:val="00614F3C"/>
    <w:rsid w:val="006150EE"/>
    <w:rsid w:val="00615BC7"/>
    <w:rsid w:val="00616D73"/>
    <w:rsid w:val="0061759A"/>
    <w:rsid w:val="006176C2"/>
    <w:rsid w:val="00617D1A"/>
    <w:rsid w:val="00617E5C"/>
    <w:rsid w:val="00617F9F"/>
    <w:rsid w:val="006202D5"/>
    <w:rsid w:val="006205A4"/>
    <w:rsid w:val="006209BE"/>
    <w:rsid w:val="00620EF3"/>
    <w:rsid w:val="00621BE6"/>
    <w:rsid w:val="006221F9"/>
    <w:rsid w:val="006226EE"/>
    <w:rsid w:val="006230D3"/>
    <w:rsid w:val="00623671"/>
    <w:rsid w:val="0062413D"/>
    <w:rsid w:val="006247D4"/>
    <w:rsid w:val="00624CB1"/>
    <w:rsid w:val="00624CF3"/>
    <w:rsid w:val="0062552F"/>
    <w:rsid w:val="00625975"/>
    <w:rsid w:val="00625C7A"/>
    <w:rsid w:val="00626058"/>
    <w:rsid w:val="0062714C"/>
    <w:rsid w:val="006275D3"/>
    <w:rsid w:val="00627784"/>
    <w:rsid w:val="006303BC"/>
    <w:rsid w:val="0063052F"/>
    <w:rsid w:val="00630911"/>
    <w:rsid w:val="00630A06"/>
    <w:rsid w:val="00631692"/>
    <w:rsid w:val="00631779"/>
    <w:rsid w:val="006319DC"/>
    <w:rsid w:val="00631AF5"/>
    <w:rsid w:val="00631F89"/>
    <w:rsid w:val="00632800"/>
    <w:rsid w:val="00632B2E"/>
    <w:rsid w:val="00632C17"/>
    <w:rsid w:val="00632C3B"/>
    <w:rsid w:val="00633060"/>
    <w:rsid w:val="00633073"/>
    <w:rsid w:val="00633382"/>
    <w:rsid w:val="0063384B"/>
    <w:rsid w:val="00633AC8"/>
    <w:rsid w:val="00633BF0"/>
    <w:rsid w:val="00633C31"/>
    <w:rsid w:val="00634BFF"/>
    <w:rsid w:val="00634C70"/>
    <w:rsid w:val="00634C9C"/>
    <w:rsid w:val="0063599A"/>
    <w:rsid w:val="00635D27"/>
    <w:rsid w:val="00635E12"/>
    <w:rsid w:val="006360B2"/>
    <w:rsid w:val="00636774"/>
    <w:rsid w:val="006367C5"/>
    <w:rsid w:val="00636B33"/>
    <w:rsid w:val="00636D0B"/>
    <w:rsid w:val="00636D4F"/>
    <w:rsid w:val="00637026"/>
    <w:rsid w:val="0063789C"/>
    <w:rsid w:val="006378BD"/>
    <w:rsid w:val="00637CAC"/>
    <w:rsid w:val="00637E27"/>
    <w:rsid w:val="00640471"/>
    <w:rsid w:val="006404ED"/>
    <w:rsid w:val="00640D82"/>
    <w:rsid w:val="006412A5"/>
    <w:rsid w:val="006417E6"/>
    <w:rsid w:val="00641807"/>
    <w:rsid w:val="00641DCE"/>
    <w:rsid w:val="00641E50"/>
    <w:rsid w:val="006422F3"/>
    <w:rsid w:val="00642352"/>
    <w:rsid w:val="00642689"/>
    <w:rsid w:val="006427A7"/>
    <w:rsid w:val="00642948"/>
    <w:rsid w:val="00642D35"/>
    <w:rsid w:val="00642EA6"/>
    <w:rsid w:val="00642ECF"/>
    <w:rsid w:val="00643028"/>
    <w:rsid w:val="006432B6"/>
    <w:rsid w:val="006436F1"/>
    <w:rsid w:val="00643981"/>
    <w:rsid w:val="00643BDE"/>
    <w:rsid w:val="00643C65"/>
    <w:rsid w:val="00644533"/>
    <w:rsid w:val="006446EC"/>
    <w:rsid w:val="00644A05"/>
    <w:rsid w:val="00644ED6"/>
    <w:rsid w:val="0064514E"/>
    <w:rsid w:val="00645334"/>
    <w:rsid w:val="006457E4"/>
    <w:rsid w:val="00645D21"/>
    <w:rsid w:val="00645E16"/>
    <w:rsid w:val="006464D4"/>
    <w:rsid w:val="006467F6"/>
    <w:rsid w:val="00646C5C"/>
    <w:rsid w:val="00646F31"/>
    <w:rsid w:val="00647025"/>
    <w:rsid w:val="00647308"/>
    <w:rsid w:val="0064732E"/>
    <w:rsid w:val="00647459"/>
    <w:rsid w:val="00647896"/>
    <w:rsid w:val="00647A30"/>
    <w:rsid w:val="00650392"/>
    <w:rsid w:val="00651F10"/>
    <w:rsid w:val="00652190"/>
    <w:rsid w:val="00652341"/>
    <w:rsid w:val="00652623"/>
    <w:rsid w:val="006528AB"/>
    <w:rsid w:val="00652A14"/>
    <w:rsid w:val="00652F38"/>
    <w:rsid w:val="00653ABB"/>
    <w:rsid w:val="00653EF3"/>
    <w:rsid w:val="00654766"/>
    <w:rsid w:val="00654BFB"/>
    <w:rsid w:val="00654C33"/>
    <w:rsid w:val="00655100"/>
    <w:rsid w:val="00655BB4"/>
    <w:rsid w:val="00655C13"/>
    <w:rsid w:val="00655E01"/>
    <w:rsid w:val="006560EB"/>
    <w:rsid w:val="00656A8D"/>
    <w:rsid w:val="00656C35"/>
    <w:rsid w:val="00657057"/>
    <w:rsid w:val="0065743E"/>
    <w:rsid w:val="006579C9"/>
    <w:rsid w:val="00657ED4"/>
    <w:rsid w:val="00660279"/>
    <w:rsid w:val="006608DE"/>
    <w:rsid w:val="00660E91"/>
    <w:rsid w:val="00661006"/>
    <w:rsid w:val="00661036"/>
    <w:rsid w:val="006611C6"/>
    <w:rsid w:val="00663874"/>
    <w:rsid w:val="00663A02"/>
    <w:rsid w:val="0066420C"/>
    <w:rsid w:val="006644DC"/>
    <w:rsid w:val="00664683"/>
    <w:rsid w:val="006647A9"/>
    <w:rsid w:val="0066487C"/>
    <w:rsid w:val="00664A66"/>
    <w:rsid w:val="00664E43"/>
    <w:rsid w:val="006651F9"/>
    <w:rsid w:val="006653C5"/>
    <w:rsid w:val="00665D89"/>
    <w:rsid w:val="00665E77"/>
    <w:rsid w:val="006662B1"/>
    <w:rsid w:val="006664AB"/>
    <w:rsid w:val="0066661A"/>
    <w:rsid w:val="006666A0"/>
    <w:rsid w:val="00666B14"/>
    <w:rsid w:val="00666BF9"/>
    <w:rsid w:val="0066701B"/>
    <w:rsid w:val="0066701D"/>
    <w:rsid w:val="0066717D"/>
    <w:rsid w:val="00667285"/>
    <w:rsid w:val="006672E7"/>
    <w:rsid w:val="00667353"/>
    <w:rsid w:val="006677A3"/>
    <w:rsid w:val="00667889"/>
    <w:rsid w:val="00667B12"/>
    <w:rsid w:val="00667B74"/>
    <w:rsid w:val="00667C71"/>
    <w:rsid w:val="00667D12"/>
    <w:rsid w:val="00667FD3"/>
    <w:rsid w:val="0067011E"/>
    <w:rsid w:val="0067018B"/>
    <w:rsid w:val="00670519"/>
    <w:rsid w:val="0067084B"/>
    <w:rsid w:val="00670E89"/>
    <w:rsid w:val="00671033"/>
    <w:rsid w:val="00671140"/>
    <w:rsid w:val="00671301"/>
    <w:rsid w:val="00671581"/>
    <w:rsid w:val="006722DC"/>
    <w:rsid w:val="0067316B"/>
    <w:rsid w:val="006731E9"/>
    <w:rsid w:val="0067349F"/>
    <w:rsid w:val="0067374E"/>
    <w:rsid w:val="0067390C"/>
    <w:rsid w:val="00673978"/>
    <w:rsid w:val="00673AF2"/>
    <w:rsid w:val="00673CBC"/>
    <w:rsid w:val="0067438C"/>
    <w:rsid w:val="00674513"/>
    <w:rsid w:val="00674593"/>
    <w:rsid w:val="006749BB"/>
    <w:rsid w:val="00674C20"/>
    <w:rsid w:val="0067503B"/>
    <w:rsid w:val="00675486"/>
    <w:rsid w:val="00675BB9"/>
    <w:rsid w:val="0067608B"/>
    <w:rsid w:val="00676D53"/>
    <w:rsid w:val="00677815"/>
    <w:rsid w:val="00677A8D"/>
    <w:rsid w:val="00677C61"/>
    <w:rsid w:val="00677F4A"/>
    <w:rsid w:val="00680394"/>
    <w:rsid w:val="00680855"/>
    <w:rsid w:val="00680907"/>
    <w:rsid w:val="00680F04"/>
    <w:rsid w:val="00681344"/>
    <w:rsid w:val="0068137F"/>
    <w:rsid w:val="006814F2"/>
    <w:rsid w:val="00681725"/>
    <w:rsid w:val="00681744"/>
    <w:rsid w:val="00681914"/>
    <w:rsid w:val="00681C25"/>
    <w:rsid w:val="00681DBE"/>
    <w:rsid w:val="0068221A"/>
    <w:rsid w:val="0068382E"/>
    <w:rsid w:val="006838D4"/>
    <w:rsid w:val="00683940"/>
    <w:rsid w:val="00683DDD"/>
    <w:rsid w:val="00684004"/>
    <w:rsid w:val="00684073"/>
    <w:rsid w:val="00684136"/>
    <w:rsid w:val="00684322"/>
    <w:rsid w:val="006848C5"/>
    <w:rsid w:val="00684B9C"/>
    <w:rsid w:val="00684F71"/>
    <w:rsid w:val="00684FA7"/>
    <w:rsid w:val="006852C2"/>
    <w:rsid w:val="00685580"/>
    <w:rsid w:val="00686C05"/>
    <w:rsid w:val="00687252"/>
    <w:rsid w:val="00687DD5"/>
    <w:rsid w:val="0069080A"/>
    <w:rsid w:val="00690A88"/>
    <w:rsid w:val="00690C0E"/>
    <w:rsid w:val="00690D09"/>
    <w:rsid w:val="006912D4"/>
    <w:rsid w:val="006914D8"/>
    <w:rsid w:val="00691804"/>
    <w:rsid w:val="00691841"/>
    <w:rsid w:val="00691C50"/>
    <w:rsid w:val="00691E89"/>
    <w:rsid w:val="00692393"/>
    <w:rsid w:val="006927FF"/>
    <w:rsid w:val="00692BC4"/>
    <w:rsid w:val="00692BE1"/>
    <w:rsid w:val="006933F3"/>
    <w:rsid w:val="00693ACF"/>
    <w:rsid w:val="00693BF4"/>
    <w:rsid w:val="00693C00"/>
    <w:rsid w:val="00693FCF"/>
    <w:rsid w:val="0069407B"/>
    <w:rsid w:val="006949B2"/>
    <w:rsid w:val="00694AC8"/>
    <w:rsid w:val="00694BD3"/>
    <w:rsid w:val="00695400"/>
    <w:rsid w:val="0069585B"/>
    <w:rsid w:val="006959E3"/>
    <w:rsid w:val="00695A2E"/>
    <w:rsid w:val="00695E37"/>
    <w:rsid w:val="00695F63"/>
    <w:rsid w:val="00696018"/>
    <w:rsid w:val="006960BE"/>
    <w:rsid w:val="00696110"/>
    <w:rsid w:val="006967BF"/>
    <w:rsid w:val="006968C9"/>
    <w:rsid w:val="00696956"/>
    <w:rsid w:val="0069699E"/>
    <w:rsid w:val="00696A2A"/>
    <w:rsid w:val="00696F24"/>
    <w:rsid w:val="0069732B"/>
    <w:rsid w:val="006973DD"/>
    <w:rsid w:val="006977F9"/>
    <w:rsid w:val="00697B73"/>
    <w:rsid w:val="00697D31"/>
    <w:rsid w:val="00697D60"/>
    <w:rsid w:val="006A01A4"/>
    <w:rsid w:val="006A01CE"/>
    <w:rsid w:val="006A0924"/>
    <w:rsid w:val="006A09F2"/>
    <w:rsid w:val="006A0A26"/>
    <w:rsid w:val="006A0A88"/>
    <w:rsid w:val="006A0A9C"/>
    <w:rsid w:val="006A0AB7"/>
    <w:rsid w:val="006A0B6C"/>
    <w:rsid w:val="006A0FC9"/>
    <w:rsid w:val="006A10F6"/>
    <w:rsid w:val="006A1164"/>
    <w:rsid w:val="006A14E0"/>
    <w:rsid w:val="006A1869"/>
    <w:rsid w:val="006A1E40"/>
    <w:rsid w:val="006A25D0"/>
    <w:rsid w:val="006A2904"/>
    <w:rsid w:val="006A2C13"/>
    <w:rsid w:val="006A3229"/>
    <w:rsid w:val="006A341A"/>
    <w:rsid w:val="006A342D"/>
    <w:rsid w:val="006A3A46"/>
    <w:rsid w:val="006A3D03"/>
    <w:rsid w:val="006A3E10"/>
    <w:rsid w:val="006A3ED2"/>
    <w:rsid w:val="006A41D8"/>
    <w:rsid w:val="006A452D"/>
    <w:rsid w:val="006A4A70"/>
    <w:rsid w:val="006A4F36"/>
    <w:rsid w:val="006A5512"/>
    <w:rsid w:val="006A55DE"/>
    <w:rsid w:val="006A56B9"/>
    <w:rsid w:val="006A56BF"/>
    <w:rsid w:val="006A57C3"/>
    <w:rsid w:val="006A5800"/>
    <w:rsid w:val="006A5890"/>
    <w:rsid w:val="006A590B"/>
    <w:rsid w:val="006A6495"/>
    <w:rsid w:val="006A6AA9"/>
    <w:rsid w:val="006A6AE5"/>
    <w:rsid w:val="006A6B64"/>
    <w:rsid w:val="006A6D34"/>
    <w:rsid w:val="006A7B6A"/>
    <w:rsid w:val="006A7E3D"/>
    <w:rsid w:val="006B052B"/>
    <w:rsid w:val="006B09C7"/>
    <w:rsid w:val="006B0BFA"/>
    <w:rsid w:val="006B0FE9"/>
    <w:rsid w:val="006B1221"/>
    <w:rsid w:val="006B1248"/>
    <w:rsid w:val="006B175D"/>
    <w:rsid w:val="006B1BF0"/>
    <w:rsid w:val="006B1DF4"/>
    <w:rsid w:val="006B1FB6"/>
    <w:rsid w:val="006B223C"/>
    <w:rsid w:val="006B22E6"/>
    <w:rsid w:val="006B2357"/>
    <w:rsid w:val="006B2493"/>
    <w:rsid w:val="006B2629"/>
    <w:rsid w:val="006B2A20"/>
    <w:rsid w:val="006B2BB8"/>
    <w:rsid w:val="006B3AF1"/>
    <w:rsid w:val="006B3BB9"/>
    <w:rsid w:val="006B3FC2"/>
    <w:rsid w:val="006B4273"/>
    <w:rsid w:val="006B4E18"/>
    <w:rsid w:val="006B4F78"/>
    <w:rsid w:val="006B50F1"/>
    <w:rsid w:val="006B51F5"/>
    <w:rsid w:val="006B54A1"/>
    <w:rsid w:val="006B556F"/>
    <w:rsid w:val="006B64E0"/>
    <w:rsid w:val="006B6715"/>
    <w:rsid w:val="006B6A15"/>
    <w:rsid w:val="006B6AB6"/>
    <w:rsid w:val="006B6C5B"/>
    <w:rsid w:val="006B6C96"/>
    <w:rsid w:val="006B7146"/>
    <w:rsid w:val="006B71AD"/>
    <w:rsid w:val="006B774D"/>
    <w:rsid w:val="006C01CF"/>
    <w:rsid w:val="006C0A3D"/>
    <w:rsid w:val="006C0D26"/>
    <w:rsid w:val="006C0FF1"/>
    <w:rsid w:val="006C1011"/>
    <w:rsid w:val="006C192D"/>
    <w:rsid w:val="006C1B83"/>
    <w:rsid w:val="006C1DF5"/>
    <w:rsid w:val="006C1EF1"/>
    <w:rsid w:val="006C26A0"/>
    <w:rsid w:val="006C2AC9"/>
    <w:rsid w:val="006C2D1F"/>
    <w:rsid w:val="006C2D93"/>
    <w:rsid w:val="006C3367"/>
    <w:rsid w:val="006C3763"/>
    <w:rsid w:val="006C382D"/>
    <w:rsid w:val="006C39D5"/>
    <w:rsid w:val="006C3E4E"/>
    <w:rsid w:val="006C458B"/>
    <w:rsid w:val="006C46FE"/>
    <w:rsid w:val="006C47AE"/>
    <w:rsid w:val="006C4859"/>
    <w:rsid w:val="006C49BE"/>
    <w:rsid w:val="006C4D9F"/>
    <w:rsid w:val="006C55FF"/>
    <w:rsid w:val="006C5955"/>
    <w:rsid w:val="006C5EDF"/>
    <w:rsid w:val="006C5F64"/>
    <w:rsid w:val="006C61F3"/>
    <w:rsid w:val="006C62A0"/>
    <w:rsid w:val="006C62D6"/>
    <w:rsid w:val="006C631B"/>
    <w:rsid w:val="006C6ED4"/>
    <w:rsid w:val="006C6F96"/>
    <w:rsid w:val="006C7355"/>
    <w:rsid w:val="006C7741"/>
    <w:rsid w:val="006C7B4F"/>
    <w:rsid w:val="006C7F52"/>
    <w:rsid w:val="006D05C1"/>
    <w:rsid w:val="006D05EB"/>
    <w:rsid w:val="006D06D2"/>
    <w:rsid w:val="006D07F6"/>
    <w:rsid w:val="006D0CD7"/>
    <w:rsid w:val="006D0D07"/>
    <w:rsid w:val="006D0D52"/>
    <w:rsid w:val="006D1139"/>
    <w:rsid w:val="006D1AD2"/>
    <w:rsid w:val="006D206A"/>
    <w:rsid w:val="006D28B0"/>
    <w:rsid w:val="006D2A4E"/>
    <w:rsid w:val="006D2CDD"/>
    <w:rsid w:val="006D2DCA"/>
    <w:rsid w:val="006D3313"/>
    <w:rsid w:val="006D35E9"/>
    <w:rsid w:val="006D36D2"/>
    <w:rsid w:val="006D3E4A"/>
    <w:rsid w:val="006D404B"/>
    <w:rsid w:val="006D44AE"/>
    <w:rsid w:val="006D4AFF"/>
    <w:rsid w:val="006D4B08"/>
    <w:rsid w:val="006D4B67"/>
    <w:rsid w:val="006D51A7"/>
    <w:rsid w:val="006D5448"/>
    <w:rsid w:val="006D545A"/>
    <w:rsid w:val="006D5998"/>
    <w:rsid w:val="006D5AC8"/>
    <w:rsid w:val="006D5BE5"/>
    <w:rsid w:val="006D5C31"/>
    <w:rsid w:val="006D5FD7"/>
    <w:rsid w:val="006D6076"/>
    <w:rsid w:val="006D66A0"/>
    <w:rsid w:val="006D676E"/>
    <w:rsid w:val="006D6B07"/>
    <w:rsid w:val="006D7141"/>
    <w:rsid w:val="006D7218"/>
    <w:rsid w:val="006D745B"/>
    <w:rsid w:val="006D7695"/>
    <w:rsid w:val="006D7A7A"/>
    <w:rsid w:val="006E0687"/>
    <w:rsid w:val="006E0B89"/>
    <w:rsid w:val="006E0E39"/>
    <w:rsid w:val="006E1C2F"/>
    <w:rsid w:val="006E2045"/>
    <w:rsid w:val="006E2169"/>
    <w:rsid w:val="006E2D11"/>
    <w:rsid w:val="006E3143"/>
    <w:rsid w:val="006E3200"/>
    <w:rsid w:val="006E3579"/>
    <w:rsid w:val="006E3D0F"/>
    <w:rsid w:val="006E44B3"/>
    <w:rsid w:val="006E4CF0"/>
    <w:rsid w:val="006E4E05"/>
    <w:rsid w:val="006E4E5C"/>
    <w:rsid w:val="006E5577"/>
    <w:rsid w:val="006E5818"/>
    <w:rsid w:val="006E586E"/>
    <w:rsid w:val="006E598B"/>
    <w:rsid w:val="006E5A57"/>
    <w:rsid w:val="006E5ACE"/>
    <w:rsid w:val="006E5F81"/>
    <w:rsid w:val="006E6066"/>
    <w:rsid w:val="006E6088"/>
    <w:rsid w:val="006E6CF3"/>
    <w:rsid w:val="006E7549"/>
    <w:rsid w:val="006E797D"/>
    <w:rsid w:val="006E79EC"/>
    <w:rsid w:val="006E7B07"/>
    <w:rsid w:val="006E7B81"/>
    <w:rsid w:val="006E7BBD"/>
    <w:rsid w:val="006F010C"/>
    <w:rsid w:val="006F0520"/>
    <w:rsid w:val="006F05CF"/>
    <w:rsid w:val="006F05F8"/>
    <w:rsid w:val="006F0BB5"/>
    <w:rsid w:val="006F1235"/>
    <w:rsid w:val="006F12BE"/>
    <w:rsid w:val="006F15C5"/>
    <w:rsid w:val="006F214A"/>
    <w:rsid w:val="006F223B"/>
    <w:rsid w:val="006F2539"/>
    <w:rsid w:val="006F2716"/>
    <w:rsid w:val="006F2D57"/>
    <w:rsid w:val="006F2F4C"/>
    <w:rsid w:val="006F30D0"/>
    <w:rsid w:val="006F3131"/>
    <w:rsid w:val="006F313E"/>
    <w:rsid w:val="006F351D"/>
    <w:rsid w:val="006F3B06"/>
    <w:rsid w:val="006F3ED5"/>
    <w:rsid w:val="006F45B3"/>
    <w:rsid w:val="006F4D6E"/>
    <w:rsid w:val="006F4F50"/>
    <w:rsid w:val="006F4F6B"/>
    <w:rsid w:val="006F4FC1"/>
    <w:rsid w:val="006F53D1"/>
    <w:rsid w:val="006F55E1"/>
    <w:rsid w:val="006F62DE"/>
    <w:rsid w:val="006F638B"/>
    <w:rsid w:val="006F712F"/>
    <w:rsid w:val="006F75DA"/>
    <w:rsid w:val="006F779B"/>
    <w:rsid w:val="006F7B74"/>
    <w:rsid w:val="006F7DE6"/>
    <w:rsid w:val="006F7F99"/>
    <w:rsid w:val="00700250"/>
    <w:rsid w:val="00700463"/>
    <w:rsid w:val="007004D4"/>
    <w:rsid w:val="00700904"/>
    <w:rsid w:val="00700C95"/>
    <w:rsid w:val="00701AEB"/>
    <w:rsid w:val="0070204C"/>
    <w:rsid w:val="007022BC"/>
    <w:rsid w:val="007025DC"/>
    <w:rsid w:val="00702732"/>
    <w:rsid w:val="00702B36"/>
    <w:rsid w:val="00702CC1"/>
    <w:rsid w:val="00702D7C"/>
    <w:rsid w:val="007033E0"/>
    <w:rsid w:val="00703AC2"/>
    <w:rsid w:val="00703FBE"/>
    <w:rsid w:val="00704B85"/>
    <w:rsid w:val="00704CDB"/>
    <w:rsid w:val="007050C4"/>
    <w:rsid w:val="00705151"/>
    <w:rsid w:val="00705330"/>
    <w:rsid w:val="0070553F"/>
    <w:rsid w:val="007058FC"/>
    <w:rsid w:val="00705F5D"/>
    <w:rsid w:val="00706209"/>
    <w:rsid w:val="0070622A"/>
    <w:rsid w:val="007068C8"/>
    <w:rsid w:val="00706ABA"/>
    <w:rsid w:val="007072E4"/>
    <w:rsid w:val="00707602"/>
    <w:rsid w:val="00707A4B"/>
    <w:rsid w:val="00710B1D"/>
    <w:rsid w:val="00710D21"/>
    <w:rsid w:val="00710EEC"/>
    <w:rsid w:val="00710F01"/>
    <w:rsid w:val="00711766"/>
    <w:rsid w:val="00711880"/>
    <w:rsid w:val="00711AE9"/>
    <w:rsid w:val="00711B98"/>
    <w:rsid w:val="00711C67"/>
    <w:rsid w:val="00711F07"/>
    <w:rsid w:val="00712066"/>
    <w:rsid w:val="00712609"/>
    <w:rsid w:val="00712670"/>
    <w:rsid w:val="0071363B"/>
    <w:rsid w:val="007139C4"/>
    <w:rsid w:val="00713A05"/>
    <w:rsid w:val="00713E00"/>
    <w:rsid w:val="00713E58"/>
    <w:rsid w:val="007141AC"/>
    <w:rsid w:val="00714318"/>
    <w:rsid w:val="007149FA"/>
    <w:rsid w:val="00715F33"/>
    <w:rsid w:val="00717169"/>
    <w:rsid w:val="00717354"/>
    <w:rsid w:val="007173BA"/>
    <w:rsid w:val="00717456"/>
    <w:rsid w:val="0071770B"/>
    <w:rsid w:val="00717A33"/>
    <w:rsid w:val="00720471"/>
    <w:rsid w:val="007206C8"/>
    <w:rsid w:val="007206EB"/>
    <w:rsid w:val="00720EF6"/>
    <w:rsid w:val="007211C7"/>
    <w:rsid w:val="0072166E"/>
    <w:rsid w:val="0072170C"/>
    <w:rsid w:val="0072190A"/>
    <w:rsid w:val="00721C8B"/>
    <w:rsid w:val="00722766"/>
    <w:rsid w:val="007229FF"/>
    <w:rsid w:val="00722A45"/>
    <w:rsid w:val="00722D16"/>
    <w:rsid w:val="007233D9"/>
    <w:rsid w:val="007235BC"/>
    <w:rsid w:val="00723AAE"/>
    <w:rsid w:val="00723E1E"/>
    <w:rsid w:val="00724620"/>
    <w:rsid w:val="00724D34"/>
    <w:rsid w:val="0072560B"/>
    <w:rsid w:val="0072596D"/>
    <w:rsid w:val="00725A8C"/>
    <w:rsid w:val="00726548"/>
    <w:rsid w:val="007268CA"/>
    <w:rsid w:val="007276C5"/>
    <w:rsid w:val="007277FC"/>
    <w:rsid w:val="00727CF7"/>
    <w:rsid w:val="007304D8"/>
    <w:rsid w:val="00730733"/>
    <w:rsid w:val="00730890"/>
    <w:rsid w:val="00730A63"/>
    <w:rsid w:val="00731342"/>
    <w:rsid w:val="00731554"/>
    <w:rsid w:val="00731FD1"/>
    <w:rsid w:val="00731FFA"/>
    <w:rsid w:val="0073317A"/>
    <w:rsid w:val="007333BE"/>
    <w:rsid w:val="00733930"/>
    <w:rsid w:val="00734014"/>
    <w:rsid w:val="00734B5D"/>
    <w:rsid w:val="00734C45"/>
    <w:rsid w:val="00735347"/>
    <w:rsid w:val="007359DF"/>
    <w:rsid w:val="00735BBA"/>
    <w:rsid w:val="00735DFE"/>
    <w:rsid w:val="00735E5B"/>
    <w:rsid w:val="00735E68"/>
    <w:rsid w:val="007360F4"/>
    <w:rsid w:val="00736197"/>
    <w:rsid w:val="007361AD"/>
    <w:rsid w:val="00736E09"/>
    <w:rsid w:val="00736EA9"/>
    <w:rsid w:val="007372DA"/>
    <w:rsid w:val="007378F1"/>
    <w:rsid w:val="00737D33"/>
    <w:rsid w:val="007401AA"/>
    <w:rsid w:val="00740298"/>
    <w:rsid w:val="007403DB"/>
    <w:rsid w:val="007404FE"/>
    <w:rsid w:val="00740CDB"/>
    <w:rsid w:val="00740E37"/>
    <w:rsid w:val="00740F62"/>
    <w:rsid w:val="007412D2"/>
    <w:rsid w:val="007414A1"/>
    <w:rsid w:val="007414CE"/>
    <w:rsid w:val="00741E38"/>
    <w:rsid w:val="007423D7"/>
    <w:rsid w:val="00742566"/>
    <w:rsid w:val="00743384"/>
    <w:rsid w:val="00743610"/>
    <w:rsid w:val="00743A8C"/>
    <w:rsid w:val="00743BAE"/>
    <w:rsid w:val="0074431C"/>
    <w:rsid w:val="00744978"/>
    <w:rsid w:val="00745069"/>
    <w:rsid w:val="00745213"/>
    <w:rsid w:val="00745820"/>
    <w:rsid w:val="007458B5"/>
    <w:rsid w:val="00745C73"/>
    <w:rsid w:val="00745DFB"/>
    <w:rsid w:val="00745E77"/>
    <w:rsid w:val="00746097"/>
    <w:rsid w:val="00746415"/>
    <w:rsid w:val="00746D62"/>
    <w:rsid w:val="00747216"/>
    <w:rsid w:val="007476AB"/>
    <w:rsid w:val="00747718"/>
    <w:rsid w:val="00747F43"/>
    <w:rsid w:val="0075001B"/>
    <w:rsid w:val="007503FE"/>
    <w:rsid w:val="00750670"/>
    <w:rsid w:val="007506A8"/>
    <w:rsid w:val="007508DA"/>
    <w:rsid w:val="00750C89"/>
    <w:rsid w:val="00750CB2"/>
    <w:rsid w:val="00750D43"/>
    <w:rsid w:val="00750F3B"/>
    <w:rsid w:val="00750F5C"/>
    <w:rsid w:val="00751645"/>
    <w:rsid w:val="00751D6E"/>
    <w:rsid w:val="00751EA6"/>
    <w:rsid w:val="00752082"/>
    <w:rsid w:val="0075229E"/>
    <w:rsid w:val="00752877"/>
    <w:rsid w:val="00752DC9"/>
    <w:rsid w:val="007536A9"/>
    <w:rsid w:val="007538DE"/>
    <w:rsid w:val="00754044"/>
    <w:rsid w:val="00755082"/>
    <w:rsid w:val="0075548C"/>
    <w:rsid w:val="0075558F"/>
    <w:rsid w:val="00755719"/>
    <w:rsid w:val="00755AB0"/>
    <w:rsid w:val="00755CD7"/>
    <w:rsid w:val="00755F17"/>
    <w:rsid w:val="0075610E"/>
    <w:rsid w:val="00756533"/>
    <w:rsid w:val="007566FA"/>
    <w:rsid w:val="00756EE5"/>
    <w:rsid w:val="007572E5"/>
    <w:rsid w:val="007573A1"/>
    <w:rsid w:val="0075796D"/>
    <w:rsid w:val="00757BB6"/>
    <w:rsid w:val="00757F4B"/>
    <w:rsid w:val="0076006E"/>
    <w:rsid w:val="0076036D"/>
    <w:rsid w:val="007604D7"/>
    <w:rsid w:val="00760751"/>
    <w:rsid w:val="0076091F"/>
    <w:rsid w:val="0076097E"/>
    <w:rsid w:val="00760E1A"/>
    <w:rsid w:val="00760F08"/>
    <w:rsid w:val="00761062"/>
    <w:rsid w:val="007616A1"/>
    <w:rsid w:val="00761C1A"/>
    <w:rsid w:val="007622F5"/>
    <w:rsid w:val="00762536"/>
    <w:rsid w:val="00762929"/>
    <w:rsid w:val="00762AFA"/>
    <w:rsid w:val="00763082"/>
    <w:rsid w:val="00763364"/>
    <w:rsid w:val="00763406"/>
    <w:rsid w:val="0076375D"/>
    <w:rsid w:val="00763F2E"/>
    <w:rsid w:val="007643C3"/>
    <w:rsid w:val="00764865"/>
    <w:rsid w:val="0076517A"/>
    <w:rsid w:val="007656CF"/>
    <w:rsid w:val="007656D2"/>
    <w:rsid w:val="00765902"/>
    <w:rsid w:val="00765A12"/>
    <w:rsid w:val="00766591"/>
    <w:rsid w:val="00766595"/>
    <w:rsid w:val="007666B7"/>
    <w:rsid w:val="007666F5"/>
    <w:rsid w:val="00766791"/>
    <w:rsid w:val="00766905"/>
    <w:rsid w:val="007670C3"/>
    <w:rsid w:val="00767330"/>
    <w:rsid w:val="00767823"/>
    <w:rsid w:val="00767902"/>
    <w:rsid w:val="0077002E"/>
    <w:rsid w:val="0077032A"/>
    <w:rsid w:val="00770873"/>
    <w:rsid w:val="00770C4E"/>
    <w:rsid w:val="00770C5A"/>
    <w:rsid w:val="00771491"/>
    <w:rsid w:val="00771664"/>
    <w:rsid w:val="00771DE1"/>
    <w:rsid w:val="00772021"/>
    <w:rsid w:val="007725D8"/>
    <w:rsid w:val="007736F4"/>
    <w:rsid w:val="007744F8"/>
    <w:rsid w:val="00774576"/>
    <w:rsid w:val="00774581"/>
    <w:rsid w:val="00774A6C"/>
    <w:rsid w:val="007751FD"/>
    <w:rsid w:val="0077552F"/>
    <w:rsid w:val="0077561D"/>
    <w:rsid w:val="0077615A"/>
    <w:rsid w:val="0077617C"/>
    <w:rsid w:val="00776476"/>
    <w:rsid w:val="007765A6"/>
    <w:rsid w:val="0077672E"/>
    <w:rsid w:val="00777188"/>
    <w:rsid w:val="007773EF"/>
    <w:rsid w:val="00777809"/>
    <w:rsid w:val="00777AA0"/>
    <w:rsid w:val="00777E3B"/>
    <w:rsid w:val="0078015B"/>
    <w:rsid w:val="00780250"/>
    <w:rsid w:val="007802EA"/>
    <w:rsid w:val="00780754"/>
    <w:rsid w:val="00780778"/>
    <w:rsid w:val="0078085A"/>
    <w:rsid w:val="00780A73"/>
    <w:rsid w:val="00780A9A"/>
    <w:rsid w:val="00781048"/>
    <w:rsid w:val="007812F1"/>
    <w:rsid w:val="00781434"/>
    <w:rsid w:val="007816C7"/>
    <w:rsid w:val="007816FA"/>
    <w:rsid w:val="00781C97"/>
    <w:rsid w:val="00782059"/>
    <w:rsid w:val="007835AA"/>
    <w:rsid w:val="007835F3"/>
    <w:rsid w:val="007838E7"/>
    <w:rsid w:val="00783911"/>
    <w:rsid w:val="00783E64"/>
    <w:rsid w:val="0078457E"/>
    <w:rsid w:val="0078497E"/>
    <w:rsid w:val="00784E3C"/>
    <w:rsid w:val="00785350"/>
    <w:rsid w:val="007859C3"/>
    <w:rsid w:val="00785C20"/>
    <w:rsid w:val="00785CD0"/>
    <w:rsid w:val="00786412"/>
    <w:rsid w:val="00786A1F"/>
    <w:rsid w:val="00787D92"/>
    <w:rsid w:val="00790256"/>
    <w:rsid w:val="007907E3"/>
    <w:rsid w:val="00790809"/>
    <w:rsid w:val="00790B31"/>
    <w:rsid w:val="00790D42"/>
    <w:rsid w:val="00791578"/>
    <w:rsid w:val="00791A62"/>
    <w:rsid w:val="00791D23"/>
    <w:rsid w:val="00792072"/>
    <w:rsid w:val="00792B0F"/>
    <w:rsid w:val="00793097"/>
    <w:rsid w:val="007936B9"/>
    <w:rsid w:val="00793B77"/>
    <w:rsid w:val="00793EEA"/>
    <w:rsid w:val="007941AD"/>
    <w:rsid w:val="00794663"/>
    <w:rsid w:val="00795177"/>
    <w:rsid w:val="00796543"/>
    <w:rsid w:val="007965C7"/>
    <w:rsid w:val="00796F21"/>
    <w:rsid w:val="00797046"/>
    <w:rsid w:val="0079721C"/>
    <w:rsid w:val="00797AC3"/>
    <w:rsid w:val="007A078A"/>
    <w:rsid w:val="007A09CE"/>
    <w:rsid w:val="007A1126"/>
    <w:rsid w:val="007A1664"/>
    <w:rsid w:val="007A179B"/>
    <w:rsid w:val="007A19D7"/>
    <w:rsid w:val="007A1C2E"/>
    <w:rsid w:val="007A23F0"/>
    <w:rsid w:val="007A2E7E"/>
    <w:rsid w:val="007A32E3"/>
    <w:rsid w:val="007A3771"/>
    <w:rsid w:val="007A3BB3"/>
    <w:rsid w:val="007A3D1B"/>
    <w:rsid w:val="007A3DAB"/>
    <w:rsid w:val="007A3FE5"/>
    <w:rsid w:val="007A43E1"/>
    <w:rsid w:val="007A48B7"/>
    <w:rsid w:val="007A4B33"/>
    <w:rsid w:val="007A4DEF"/>
    <w:rsid w:val="007A4F1E"/>
    <w:rsid w:val="007A5024"/>
    <w:rsid w:val="007A50EC"/>
    <w:rsid w:val="007A5764"/>
    <w:rsid w:val="007A588D"/>
    <w:rsid w:val="007A5ADD"/>
    <w:rsid w:val="007A5E4C"/>
    <w:rsid w:val="007A5FE9"/>
    <w:rsid w:val="007A61A6"/>
    <w:rsid w:val="007A61F2"/>
    <w:rsid w:val="007A69C1"/>
    <w:rsid w:val="007A7435"/>
    <w:rsid w:val="007A7C83"/>
    <w:rsid w:val="007A7EA8"/>
    <w:rsid w:val="007A7F3A"/>
    <w:rsid w:val="007B0140"/>
    <w:rsid w:val="007B0340"/>
    <w:rsid w:val="007B0768"/>
    <w:rsid w:val="007B0973"/>
    <w:rsid w:val="007B100F"/>
    <w:rsid w:val="007B11C6"/>
    <w:rsid w:val="007B1E6E"/>
    <w:rsid w:val="007B2106"/>
    <w:rsid w:val="007B2893"/>
    <w:rsid w:val="007B2A69"/>
    <w:rsid w:val="007B2B88"/>
    <w:rsid w:val="007B2FC1"/>
    <w:rsid w:val="007B307A"/>
    <w:rsid w:val="007B30DD"/>
    <w:rsid w:val="007B34F4"/>
    <w:rsid w:val="007B398B"/>
    <w:rsid w:val="007B3A3E"/>
    <w:rsid w:val="007B3DE8"/>
    <w:rsid w:val="007B47AB"/>
    <w:rsid w:val="007B4A2D"/>
    <w:rsid w:val="007B4AAE"/>
    <w:rsid w:val="007B4C9F"/>
    <w:rsid w:val="007B5499"/>
    <w:rsid w:val="007B5C6D"/>
    <w:rsid w:val="007B5E23"/>
    <w:rsid w:val="007B5EE6"/>
    <w:rsid w:val="007B5F25"/>
    <w:rsid w:val="007B5FCA"/>
    <w:rsid w:val="007B6284"/>
    <w:rsid w:val="007B6447"/>
    <w:rsid w:val="007B6852"/>
    <w:rsid w:val="007B69E1"/>
    <w:rsid w:val="007B6AB0"/>
    <w:rsid w:val="007B6ACD"/>
    <w:rsid w:val="007B6DFF"/>
    <w:rsid w:val="007B6E87"/>
    <w:rsid w:val="007B7127"/>
    <w:rsid w:val="007B7284"/>
    <w:rsid w:val="007B7B22"/>
    <w:rsid w:val="007B7CCA"/>
    <w:rsid w:val="007C0A8A"/>
    <w:rsid w:val="007C1075"/>
    <w:rsid w:val="007C1367"/>
    <w:rsid w:val="007C1382"/>
    <w:rsid w:val="007C168C"/>
    <w:rsid w:val="007C1DD0"/>
    <w:rsid w:val="007C1FF4"/>
    <w:rsid w:val="007C20B6"/>
    <w:rsid w:val="007C21C8"/>
    <w:rsid w:val="007C27E7"/>
    <w:rsid w:val="007C2972"/>
    <w:rsid w:val="007C2C4D"/>
    <w:rsid w:val="007C2CA3"/>
    <w:rsid w:val="007C31F1"/>
    <w:rsid w:val="007C35AC"/>
    <w:rsid w:val="007C37CE"/>
    <w:rsid w:val="007C424D"/>
    <w:rsid w:val="007C4293"/>
    <w:rsid w:val="007C4450"/>
    <w:rsid w:val="007C44DF"/>
    <w:rsid w:val="007C4687"/>
    <w:rsid w:val="007C4A25"/>
    <w:rsid w:val="007C517E"/>
    <w:rsid w:val="007C52B4"/>
    <w:rsid w:val="007C53BD"/>
    <w:rsid w:val="007C5927"/>
    <w:rsid w:val="007C5E37"/>
    <w:rsid w:val="007C6019"/>
    <w:rsid w:val="007C6B35"/>
    <w:rsid w:val="007C78C7"/>
    <w:rsid w:val="007C7AAC"/>
    <w:rsid w:val="007C7BEB"/>
    <w:rsid w:val="007D018B"/>
    <w:rsid w:val="007D02ED"/>
    <w:rsid w:val="007D03C5"/>
    <w:rsid w:val="007D03CF"/>
    <w:rsid w:val="007D0A3F"/>
    <w:rsid w:val="007D0F91"/>
    <w:rsid w:val="007D1190"/>
    <w:rsid w:val="007D15DC"/>
    <w:rsid w:val="007D1643"/>
    <w:rsid w:val="007D1CE6"/>
    <w:rsid w:val="007D1D57"/>
    <w:rsid w:val="007D1DC1"/>
    <w:rsid w:val="007D1E07"/>
    <w:rsid w:val="007D1FF8"/>
    <w:rsid w:val="007D21E1"/>
    <w:rsid w:val="007D2448"/>
    <w:rsid w:val="007D2DA1"/>
    <w:rsid w:val="007D37FF"/>
    <w:rsid w:val="007D3972"/>
    <w:rsid w:val="007D3A36"/>
    <w:rsid w:val="007D3D15"/>
    <w:rsid w:val="007D3F2F"/>
    <w:rsid w:val="007D4572"/>
    <w:rsid w:val="007D4C40"/>
    <w:rsid w:val="007D4E81"/>
    <w:rsid w:val="007D51ED"/>
    <w:rsid w:val="007D5488"/>
    <w:rsid w:val="007D57B5"/>
    <w:rsid w:val="007D5AE6"/>
    <w:rsid w:val="007D624E"/>
    <w:rsid w:val="007D62CC"/>
    <w:rsid w:val="007D66D3"/>
    <w:rsid w:val="007D6BEF"/>
    <w:rsid w:val="007D7020"/>
    <w:rsid w:val="007D73D3"/>
    <w:rsid w:val="007D787D"/>
    <w:rsid w:val="007D79CF"/>
    <w:rsid w:val="007D7A6F"/>
    <w:rsid w:val="007D7B62"/>
    <w:rsid w:val="007D7C84"/>
    <w:rsid w:val="007E0089"/>
    <w:rsid w:val="007E022B"/>
    <w:rsid w:val="007E0A01"/>
    <w:rsid w:val="007E0ADB"/>
    <w:rsid w:val="007E163E"/>
    <w:rsid w:val="007E1898"/>
    <w:rsid w:val="007E3633"/>
    <w:rsid w:val="007E374D"/>
    <w:rsid w:val="007E3F97"/>
    <w:rsid w:val="007E4058"/>
    <w:rsid w:val="007E43A0"/>
    <w:rsid w:val="007E4AAD"/>
    <w:rsid w:val="007E592A"/>
    <w:rsid w:val="007E5A46"/>
    <w:rsid w:val="007E63DB"/>
    <w:rsid w:val="007E64DA"/>
    <w:rsid w:val="007E6636"/>
    <w:rsid w:val="007E675C"/>
    <w:rsid w:val="007E6AA7"/>
    <w:rsid w:val="007E75F5"/>
    <w:rsid w:val="007E75F8"/>
    <w:rsid w:val="007E7980"/>
    <w:rsid w:val="007E7E2E"/>
    <w:rsid w:val="007F00FC"/>
    <w:rsid w:val="007F011C"/>
    <w:rsid w:val="007F0A6E"/>
    <w:rsid w:val="007F0AE2"/>
    <w:rsid w:val="007F0CED"/>
    <w:rsid w:val="007F0F44"/>
    <w:rsid w:val="007F1397"/>
    <w:rsid w:val="007F13CD"/>
    <w:rsid w:val="007F1FCF"/>
    <w:rsid w:val="007F2260"/>
    <w:rsid w:val="007F2DAA"/>
    <w:rsid w:val="007F2E7E"/>
    <w:rsid w:val="007F2F98"/>
    <w:rsid w:val="007F35A4"/>
    <w:rsid w:val="007F3689"/>
    <w:rsid w:val="007F37E1"/>
    <w:rsid w:val="007F3BD9"/>
    <w:rsid w:val="007F3E90"/>
    <w:rsid w:val="007F4098"/>
    <w:rsid w:val="007F4257"/>
    <w:rsid w:val="007F4264"/>
    <w:rsid w:val="007F45B5"/>
    <w:rsid w:val="007F486D"/>
    <w:rsid w:val="007F510D"/>
    <w:rsid w:val="007F53B7"/>
    <w:rsid w:val="007F5972"/>
    <w:rsid w:val="007F5F94"/>
    <w:rsid w:val="007F62D3"/>
    <w:rsid w:val="007F6321"/>
    <w:rsid w:val="007F65FF"/>
    <w:rsid w:val="007F6B4D"/>
    <w:rsid w:val="007F6BDE"/>
    <w:rsid w:val="007F74AE"/>
    <w:rsid w:val="007F79FE"/>
    <w:rsid w:val="007F7ECE"/>
    <w:rsid w:val="00800562"/>
    <w:rsid w:val="00800DBD"/>
    <w:rsid w:val="00801053"/>
    <w:rsid w:val="0080107D"/>
    <w:rsid w:val="00801236"/>
    <w:rsid w:val="00801237"/>
    <w:rsid w:val="0080186F"/>
    <w:rsid w:val="00801BD8"/>
    <w:rsid w:val="00801EC9"/>
    <w:rsid w:val="00801ECC"/>
    <w:rsid w:val="00802057"/>
    <w:rsid w:val="008027DA"/>
    <w:rsid w:val="008030FE"/>
    <w:rsid w:val="00803270"/>
    <w:rsid w:val="00803390"/>
    <w:rsid w:val="00803466"/>
    <w:rsid w:val="00803469"/>
    <w:rsid w:val="008034F1"/>
    <w:rsid w:val="00803969"/>
    <w:rsid w:val="00803B82"/>
    <w:rsid w:val="00804020"/>
    <w:rsid w:val="008048E8"/>
    <w:rsid w:val="00804EBF"/>
    <w:rsid w:val="00804F02"/>
    <w:rsid w:val="0080530B"/>
    <w:rsid w:val="008054BC"/>
    <w:rsid w:val="008059F4"/>
    <w:rsid w:val="00805EC0"/>
    <w:rsid w:val="008060F8"/>
    <w:rsid w:val="00806131"/>
    <w:rsid w:val="0080636E"/>
    <w:rsid w:val="00806A8E"/>
    <w:rsid w:val="00806CFE"/>
    <w:rsid w:val="00806E8D"/>
    <w:rsid w:val="00807256"/>
    <w:rsid w:val="008075F8"/>
    <w:rsid w:val="00807A74"/>
    <w:rsid w:val="00807B63"/>
    <w:rsid w:val="00807F82"/>
    <w:rsid w:val="00810819"/>
    <w:rsid w:val="00810D7C"/>
    <w:rsid w:val="0081106D"/>
    <w:rsid w:val="008110DD"/>
    <w:rsid w:val="00811497"/>
    <w:rsid w:val="0081187B"/>
    <w:rsid w:val="008118A8"/>
    <w:rsid w:val="00811F98"/>
    <w:rsid w:val="008121AE"/>
    <w:rsid w:val="00812350"/>
    <w:rsid w:val="00812DEA"/>
    <w:rsid w:val="00813253"/>
    <w:rsid w:val="0081393B"/>
    <w:rsid w:val="008145AB"/>
    <w:rsid w:val="008148F2"/>
    <w:rsid w:val="00814EBF"/>
    <w:rsid w:val="008153B9"/>
    <w:rsid w:val="008153C4"/>
    <w:rsid w:val="00815400"/>
    <w:rsid w:val="008155A8"/>
    <w:rsid w:val="00815833"/>
    <w:rsid w:val="00815D22"/>
    <w:rsid w:val="0081629B"/>
    <w:rsid w:val="008164D3"/>
    <w:rsid w:val="00816CF1"/>
    <w:rsid w:val="0081703F"/>
    <w:rsid w:val="00817AC0"/>
    <w:rsid w:val="00817B79"/>
    <w:rsid w:val="0082040A"/>
    <w:rsid w:val="00820631"/>
    <w:rsid w:val="00820C58"/>
    <w:rsid w:val="008210B9"/>
    <w:rsid w:val="008212E7"/>
    <w:rsid w:val="00821824"/>
    <w:rsid w:val="008218A6"/>
    <w:rsid w:val="00821937"/>
    <w:rsid w:val="008219C4"/>
    <w:rsid w:val="0082229D"/>
    <w:rsid w:val="0082341C"/>
    <w:rsid w:val="008240A3"/>
    <w:rsid w:val="00824573"/>
    <w:rsid w:val="00824930"/>
    <w:rsid w:val="00824CD6"/>
    <w:rsid w:val="00824FCA"/>
    <w:rsid w:val="00825755"/>
    <w:rsid w:val="00825A3C"/>
    <w:rsid w:val="00825ABF"/>
    <w:rsid w:val="00825ED2"/>
    <w:rsid w:val="00826305"/>
    <w:rsid w:val="00826A4B"/>
    <w:rsid w:val="008270C6"/>
    <w:rsid w:val="00827289"/>
    <w:rsid w:val="00827376"/>
    <w:rsid w:val="00827AAA"/>
    <w:rsid w:val="00827E1A"/>
    <w:rsid w:val="00830773"/>
    <w:rsid w:val="008314ED"/>
    <w:rsid w:val="008319FF"/>
    <w:rsid w:val="00831A46"/>
    <w:rsid w:val="00831AC3"/>
    <w:rsid w:val="00831C36"/>
    <w:rsid w:val="00831C9F"/>
    <w:rsid w:val="00831D4B"/>
    <w:rsid w:val="00831E07"/>
    <w:rsid w:val="00831F73"/>
    <w:rsid w:val="008321E6"/>
    <w:rsid w:val="008327AB"/>
    <w:rsid w:val="00832A33"/>
    <w:rsid w:val="00832A99"/>
    <w:rsid w:val="00832C4F"/>
    <w:rsid w:val="00832DF4"/>
    <w:rsid w:val="00832DFE"/>
    <w:rsid w:val="0083336A"/>
    <w:rsid w:val="00833CF9"/>
    <w:rsid w:val="00833F43"/>
    <w:rsid w:val="00834446"/>
    <w:rsid w:val="00834718"/>
    <w:rsid w:val="00834779"/>
    <w:rsid w:val="00834B48"/>
    <w:rsid w:val="008352FB"/>
    <w:rsid w:val="008354DC"/>
    <w:rsid w:val="0083553F"/>
    <w:rsid w:val="008362AE"/>
    <w:rsid w:val="008362C1"/>
    <w:rsid w:val="00836367"/>
    <w:rsid w:val="008368AA"/>
    <w:rsid w:val="00836EE2"/>
    <w:rsid w:val="0083720E"/>
    <w:rsid w:val="00837332"/>
    <w:rsid w:val="00837882"/>
    <w:rsid w:val="00837966"/>
    <w:rsid w:val="00837DD0"/>
    <w:rsid w:val="00840227"/>
    <w:rsid w:val="008402F2"/>
    <w:rsid w:val="008405B8"/>
    <w:rsid w:val="00840823"/>
    <w:rsid w:val="00840CE4"/>
    <w:rsid w:val="00840DC5"/>
    <w:rsid w:val="00840E49"/>
    <w:rsid w:val="00840F80"/>
    <w:rsid w:val="008412A8"/>
    <w:rsid w:val="00841B52"/>
    <w:rsid w:val="00841B70"/>
    <w:rsid w:val="00841D66"/>
    <w:rsid w:val="008430B7"/>
    <w:rsid w:val="00843C4C"/>
    <w:rsid w:val="00843F8B"/>
    <w:rsid w:val="00844370"/>
    <w:rsid w:val="00844E32"/>
    <w:rsid w:val="00845057"/>
    <w:rsid w:val="008451BD"/>
    <w:rsid w:val="00845646"/>
    <w:rsid w:val="00845761"/>
    <w:rsid w:val="008457ED"/>
    <w:rsid w:val="00845F25"/>
    <w:rsid w:val="0084619C"/>
    <w:rsid w:val="008461B8"/>
    <w:rsid w:val="00846D18"/>
    <w:rsid w:val="0084773E"/>
    <w:rsid w:val="0084792F"/>
    <w:rsid w:val="00847A2D"/>
    <w:rsid w:val="00850201"/>
    <w:rsid w:val="00850EC5"/>
    <w:rsid w:val="00850FC3"/>
    <w:rsid w:val="00851988"/>
    <w:rsid w:val="008521C1"/>
    <w:rsid w:val="0085296B"/>
    <w:rsid w:val="00852CB4"/>
    <w:rsid w:val="00852F57"/>
    <w:rsid w:val="00854780"/>
    <w:rsid w:val="008547DC"/>
    <w:rsid w:val="0085494C"/>
    <w:rsid w:val="00855994"/>
    <w:rsid w:val="00855B07"/>
    <w:rsid w:val="00856051"/>
    <w:rsid w:val="00856204"/>
    <w:rsid w:val="00856565"/>
    <w:rsid w:val="008571E6"/>
    <w:rsid w:val="008574A0"/>
    <w:rsid w:val="008574D8"/>
    <w:rsid w:val="00857503"/>
    <w:rsid w:val="00857B24"/>
    <w:rsid w:val="00857BF3"/>
    <w:rsid w:val="00857C34"/>
    <w:rsid w:val="00860132"/>
    <w:rsid w:val="008603FA"/>
    <w:rsid w:val="0086040C"/>
    <w:rsid w:val="008605C5"/>
    <w:rsid w:val="008607B5"/>
    <w:rsid w:val="0086098E"/>
    <w:rsid w:val="008610F1"/>
    <w:rsid w:val="008611DB"/>
    <w:rsid w:val="00861AC8"/>
    <w:rsid w:val="008623BA"/>
    <w:rsid w:val="008627BC"/>
    <w:rsid w:val="008629A7"/>
    <w:rsid w:val="00862C8A"/>
    <w:rsid w:val="008630F8"/>
    <w:rsid w:val="008632D5"/>
    <w:rsid w:val="00863442"/>
    <w:rsid w:val="008637F4"/>
    <w:rsid w:val="008638BE"/>
    <w:rsid w:val="0086430C"/>
    <w:rsid w:val="008644A6"/>
    <w:rsid w:val="00864573"/>
    <w:rsid w:val="00865766"/>
    <w:rsid w:val="00865B4A"/>
    <w:rsid w:val="00865B81"/>
    <w:rsid w:val="00865E9C"/>
    <w:rsid w:val="0086607D"/>
    <w:rsid w:val="008660D2"/>
    <w:rsid w:val="00866276"/>
    <w:rsid w:val="0086698D"/>
    <w:rsid w:val="00866A74"/>
    <w:rsid w:val="00867237"/>
    <w:rsid w:val="008676E7"/>
    <w:rsid w:val="00867906"/>
    <w:rsid w:val="00867DB2"/>
    <w:rsid w:val="008707FE"/>
    <w:rsid w:val="0087087B"/>
    <w:rsid w:val="00870BF7"/>
    <w:rsid w:val="00870DD2"/>
    <w:rsid w:val="00870E68"/>
    <w:rsid w:val="00870E8A"/>
    <w:rsid w:val="00870FBF"/>
    <w:rsid w:val="008711A6"/>
    <w:rsid w:val="00871741"/>
    <w:rsid w:val="00871960"/>
    <w:rsid w:val="00871AE2"/>
    <w:rsid w:val="00871BDB"/>
    <w:rsid w:val="00871D05"/>
    <w:rsid w:val="00871E46"/>
    <w:rsid w:val="0087255D"/>
    <w:rsid w:val="00872993"/>
    <w:rsid w:val="00873118"/>
    <w:rsid w:val="0087378B"/>
    <w:rsid w:val="00873AD9"/>
    <w:rsid w:val="00873D72"/>
    <w:rsid w:val="00874061"/>
    <w:rsid w:val="00874F7A"/>
    <w:rsid w:val="0087511F"/>
    <w:rsid w:val="00875265"/>
    <w:rsid w:val="00875ABC"/>
    <w:rsid w:val="0087664A"/>
    <w:rsid w:val="008766B1"/>
    <w:rsid w:val="00876B3F"/>
    <w:rsid w:val="0087729E"/>
    <w:rsid w:val="0087748D"/>
    <w:rsid w:val="00877683"/>
    <w:rsid w:val="00877AC1"/>
    <w:rsid w:val="00880A09"/>
    <w:rsid w:val="00880C26"/>
    <w:rsid w:val="00881335"/>
    <w:rsid w:val="00881420"/>
    <w:rsid w:val="00881444"/>
    <w:rsid w:val="00881A28"/>
    <w:rsid w:val="00881E22"/>
    <w:rsid w:val="00882056"/>
    <w:rsid w:val="008821B7"/>
    <w:rsid w:val="008821FB"/>
    <w:rsid w:val="0088296E"/>
    <w:rsid w:val="008831CC"/>
    <w:rsid w:val="008833BA"/>
    <w:rsid w:val="008839C9"/>
    <w:rsid w:val="00883B8E"/>
    <w:rsid w:val="00883C1A"/>
    <w:rsid w:val="008840A7"/>
    <w:rsid w:val="00884416"/>
    <w:rsid w:val="00884552"/>
    <w:rsid w:val="008845B2"/>
    <w:rsid w:val="00884D46"/>
    <w:rsid w:val="00885F0B"/>
    <w:rsid w:val="00886377"/>
    <w:rsid w:val="008867DA"/>
    <w:rsid w:val="00886B43"/>
    <w:rsid w:val="00886C4C"/>
    <w:rsid w:val="00887060"/>
    <w:rsid w:val="0088717C"/>
    <w:rsid w:val="00887397"/>
    <w:rsid w:val="0088741F"/>
    <w:rsid w:val="00887B0F"/>
    <w:rsid w:val="00887FEC"/>
    <w:rsid w:val="0089004B"/>
    <w:rsid w:val="00890316"/>
    <w:rsid w:val="00890856"/>
    <w:rsid w:val="00890A5C"/>
    <w:rsid w:val="008911EF"/>
    <w:rsid w:val="008914E0"/>
    <w:rsid w:val="00891DE4"/>
    <w:rsid w:val="00891FDA"/>
    <w:rsid w:val="00892043"/>
    <w:rsid w:val="008923A2"/>
    <w:rsid w:val="00892624"/>
    <w:rsid w:val="00893322"/>
    <w:rsid w:val="0089332B"/>
    <w:rsid w:val="00893502"/>
    <w:rsid w:val="00893A3E"/>
    <w:rsid w:val="00893B88"/>
    <w:rsid w:val="00893DB4"/>
    <w:rsid w:val="00893E91"/>
    <w:rsid w:val="00893ED2"/>
    <w:rsid w:val="00893FA2"/>
    <w:rsid w:val="00893FCF"/>
    <w:rsid w:val="008941AB"/>
    <w:rsid w:val="008945A4"/>
    <w:rsid w:val="0089468B"/>
    <w:rsid w:val="008947E5"/>
    <w:rsid w:val="00894A0C"/>
    <w:rsid w:val="00894A15"/>
    <w:rsid w:val="00894B56"/>
    <w:rsid w:val="0089502B"/>
    <w:rsid w:val="00895BFA"/>
    <w:rsid w:val="00895CAA"/>
    <w:rsid w:val="00895CBC"/>
    <w:rsid w:val="00895F79"/>
    <w:rsid w:val="008966E8"/>
    <w:rsid w:val="00896BC3"/>
    <w:rsid w:val="00896DFF"/>
    <w:rsid w:val="00896E7F"/>
    <w:rsid w:val="00897033"/>
    <w:rsid w:val="00897A16"/>
    <w:rsid w:val="00897DB6"/>
    <w:rsid w:val="008A06A1"/>
    <w:rsid w:val="008A0F2F"/>
    <w:rsid w:val="008A17AE"/>
    <w:rsid w:val="008A285D"/>
    <w:rsid w:val="008A29A0"/>
    <w:rsid w:val="008A2B06"/>
    <w:rsid w:val="008A2B29"/>
    <w:rsid w:val="008A2D31"/>
    <w:rsid w:val="008A2E8B"/>
    <w:rsid w:val="008A2F44"/>
    <w:rsid w:val="008A3109"/>
    <w:rsid w:val="008A381A"/>
    <w:rsid w:val="008A38DE"/>
    <w:rsid w:val="008A3DA5"/>
    <w:rsid w:val="008A42C3"/>
    <w:rsid w:val="008A445F"/>
    <w:rsid w:val="008A44ED"/>
    <w:rsid w:val="008A4D53"/>
    <w:rsid w:val="008A4E4E"/>
    <w:rsid w:val="008A4E7B"/>
    <w:rsid w:val="008A521F"/>
    <w:rsid w:val="008A546A"/>
    <w:rsid w:val="008A5575"/>
    <w:rsid w:val="008A5963"/>
    <w:rsid w:val="008A5DF8"/>
    <w:rsid w:val="008A5E96"/>
    <w:rsid w:val="008A6D23"/>
    <w:rsid w:val="008A748F"/>
    <w:rsid w:val="008A770A"/>
    <w:rsid w:val="008A7AD7"/>
    <w:rsid w:val="008A7C98"/>
    <w:rsid w:val="008B0280"/>
    <w:rsid w:val="008B04A9"/>
    <w:rsid w:val="008B050A"/>
    <w:rsid w:val="008B051E"/>
    <w:rsid w:val="008B0A70"/>
    <w:rsid w:val="008B0F18"/>
    <w:rsid w:val="008B1120"/>
    <w:rsid w:val="008B1F43"/>
    <w:rsid w:val="008B1FEF"/>
    <w:rsid w:val="008B2353"/>
    <w:rsid w:val="008B2405"/>
    <w:rsid w:val="008B24FA"/>
    <w:rsid w:val="008B25F5"/>
    <w:rsid w:val="008B2674"/>
    <w:rsid w:val="008B2C9E"/>
    <w:rsid w:val="008B2F0B"/>
    <w:rsid w:val="008B3001"/>
    <w:rsid w:val="008B319E"/>
    <w:rsid w:val="008B343D"/>
    <w:rsid w:val="008B35EA"/>
    <w:rsid w:val="008B3EAB"/>
    <w:rsid w:val="008B41F2"/>
    <w:rsid w:val="008B438E"/>
    <w:rsid w:val="008B4B72"/>
    <w:rsid w:val="008B4F64"/>
    <w:rsid w:val="008B55BA"/>
    <w:rsid w:val="008B5B32"/>
    <w:rsid w:val="008B63FB"/>
    <w:rsid w:val="008B6A5D"/>
    <w:rsid w:val="008B6CBC"/>
    <w:rsid w:val="008B6DC5"/>
    <w:rsid w:val="008B7525"/>
    <w:rsid w:val="008B79C5"/>
    <w:rsid w:val="008B7A4A"/>
    <w:rsid w:val="008B7C5F"/>
    <w:rsid w:val="008B7C86"/>
    <w:rsid w:val="008B7E6F"/>
    <w:rsid w:val="008C0966"/>
    <w:rsid w:val="008C0D80"/>
    <w:rsid w:val="008C0FAD"/>
    <w:rsid w:val="008C13CB"/>
    <w:rsid w:val="008C149F"/>
    <w:rsid w:val="008C166F"/>
    <w:rsid w:val="008C1815"/>
    <w:rsid w:val="008C19DD"/>
    <w:rsid w:val="008C1A9B"/>
    <w:rsid w:val="008C1D0C"/>
    <w:rsid w:val="008C207A"/>
    <w:rsid w:val="008C2A56"/>
    <w:rsid w:val="008C2A94"/>
    <w:rsid w:val="008C2AD9"/>
    <w:rsid w:val="008C3489"/>
    <w:rsid w:val="008C38CB"/>
    <w:rsid w:val="008C38FF"/>
    <w:rsid w:val="008C3EB1"/>
    <w:rsid w:val="008C40A2"/>
    <w:rsid w:val="008C4A60"/>
    <w:rsid w:val="008C4EC7"/>
    <w:rsid w:val="008C5261"/>
    <w:rsid w:val="008C5666"/>
    <w:rsid w:val="008C588C"/>
    <w:rsid w:val="008C5F1F"/>
    <w:rsid w:val="008C633F"/>
    <w:rsid w:val="008C68A7"/>
    <w:rsid w:val="008C6E79"/>
    <w:rsid w:val="008C6FDC"/>
    <w:rsid w:val="008C798D"/>
    <w:rsid w:val="008C7B34"/>
    <w:rsid w:val="008C7D16"/>
    <w:rsid w:val="008C7DA0"/>
    <w:rsid w:val="008C7F45"/>
    <w:rsid w:val="008D003D"/>
    <w:rsid w:val="008D00CA"/>
    <w:rsid w:val="008D00FA"/>
    <w:rsid w:val="008D012E"/>
    <w:rsid w:val="008D18E5"/>
    <w:rsid w:val="008D2065"/>
    <w:rsid w:val="008D2084"/>
    <w:rsid w:val="008D2306"/>
    <w:rsid w:val="008D2523"/>
    <w:rsid w:val="008D2545"/>
    <w:rsid w:val="008D28BC"/>
    <w:rsid w:val="008D291D"/>
    <w:rsid w:val="008D292E"/>
    <w:rsid w:val="008D3428"/>
    <w:rsid w:val="008D3881"/>
    <w:rsid w:val="008D3B20"/>
    <w:rsid w:val="008D3FD6"/>
    <w:rsid w:val="008D44EE"/>
    <w:rsid w:val="008D45D8"/>
    <w:rsid w:val="008D462D"/>
    <w:rsid w:val="008D4C3C"/>
    <w:rsid w:val="008D514C"/>
    <w:rsid w:val="008D5198"/>
    <w:rsid w:val="008D554A"/>
    <w:rsid w:val="008D5611"/>
    <w:rsid w:val="008D5E3C"/>
    <w:rsid w:val="008D648B"/>
    <w:rsid w:val="008D6D70"/>
    <w:rsid w:val="008D6E5F"/>
    <w:rsid w:val="008D7143"/>
    <w:rsid w:val="008D71DC"/>
    <w:rsid w:val="008D727B"/>
    <w:rsid w:val="008D738E"/>
    <w:rsid w:val="008D7525"/>
    <w:rsid w:val="008D76E8"/>
    <w:rsid w:val="008D78FC"/>
    <w:rsid w:val="008D7C58"/>
    <w:rsid w:val="008D7DC2"/>
    <w:rsid w:val="008D7FE1"/>
    <w:rsid w:val="008D7FEF"/>
    <w:rsid w:val="008E0439"/>
    <w:rsid w:val="008E077B"/>
    <w:rsid w:val="008E08CC"/>
    <w:rsid w:val="008E0DF0"/>
    <w:rsid w:val="008E22C3"/>
    <w:rsid w:val="008E2578"/>
    <w:rsid w:val="008E3012"/>
    <w:rsid w:val="008E307D"/>
    <w:rsid w:val="008E33D8"/>
    <w:rsid w:val="008E413B"/>
    <w:rsid w:val="008E49F2"/>
    <w:rsid w:val="008E518E"/>
    <w:rsid w:val="008E52AC"/>
    <w:rsid w:val="008E5AA3"/>
    <w:rsid w:val="008E5B54"/>
    <w:rsid w:val="008E6678"/>
    <w:rsid w:val="008E6683"/>
    <w:rsid w:val="008E680C"/>
    <w:rsid w:val="008E682A"/>
    <w:rsid w:val="008E6B76"/>
    <w:rsid w:val="008E6FD7"/>
    <w:rsid w:val="008E7546"/>
    <w:rsid w:val="008E7614"/>
    <w:rsid w:val="008E7959"/>
    <w:rsid w:val="008F0275"/>
    <w:rsid w:val="008F071D"/>
    <w:rsid w:val="008F0CC1"/>
    <w:rsid w:val="008F0D2B"/>
    <w:rsid w:val="008F0D59"/>
    <w:rsid w:val="008F0FB5"/>
    <w:rsid w:val="008F0FBF"/>
    <w:rsid w:val="008F13D4"/>
    <w:rsid w:val="008F23C4"/>
    <w:rsid w:val="008F2657"/>
    <w:rsid w:val="008F2864"/>
    <w:rsid w:val="008F29A9"/>
    <w:rsid w:val="008F31B1"/>
    <w:rsid w:val="008F3549"/>
    <w:rsid w:val="008F3DCF"/>
    <w:rsid w:val="008F42D3"/>
    <w:rsid w:val="008F43E6"/>
    <w:rsid w:val="008F4568"/>
    <w:rsid w:val="008F493A"/>
    <w:rsid w:val="008F4A79"/>
    <w:rsid w:val="008F4B77"/>
    <w:rsid w:val="008F4F0E"/>
    <w:rsid w:val="008F5805"/>
    <w:rsid w:val="008F5E33"/>
    <w:rsid w:val="008F5F2B"/>
    <w:rsid w:val="008F609D"/>
    <w:rsid w:val="008F6128"/>
    <w:rsid w:val="008F6255"/>
    <w:rsid w:val="008F654F"/>
    <w:rsid w:val="008F66B1"/>
    <w:rsid w:val="008F6784"/>
    <w:rsid w:val="008F686D"/>
    <w:rsid w:val="008F6896"/>
    <w:rsid w:val="008F6AFE"/>
    <w:rsid w:val="008F6B72"/>
    <w:rsid w:val="008F6B78"/>
    <w:rsid w:val="008F6E3E"/>
    <w:rsid w:val="008F7165"/>
    <w:rsid w:val="008F719B"/>
    <w:rsid w:val="008F7267"/>
    <w:rsid w:val="008F774E"/>
    <w:rsid w:val="008F785F"/>
    <w:rsid w:val="008F7953"/>
    <w:rsid w:val="008F7D9D"/>
    <w:rsid w:val="008F7DCA"/>
    <w:rsid w:val="008F7DF4"/>
    <w:rsid w:val="009002C4"/>
    <w:rsid w:val="009002FA"/>
    <w:rsid w:val="00900323"/>
    <w:rsid w:val="00900A9E"/>
    <w:rsid w:val="00900F25"/>
    <w:rsid w:val="009015F6"/>
    <w:rsid w:val="00901693"/>
    <w:rsid w:val="00901CFB"/>
    <w:rsid w:val="00902EDD"/>
    <w:rsid w:val="00902EE5"/>
    <w:rsid w:val="009033B0"/>
    <w:rsid w:val="0090355F"/>
    <w:rsid w:val="00903AC6"/>
    <w:rsid w:val="00903C63"/>
    <w:rsid w:val="00903CD4"/>
    <w:rsid w:val="00903EB2"/>
    <w:rsid w:val="00904D27"/>
    <w:rsid w:val="0090533F"/>
    <w:rsid w:val="00905394"/>
    <w:rsid w:val="009053C8"/>
    <w:rsid w:val="00905A15"/>
    <w:rsid w:val="00905AFC"/>
    <w:rsid w:val="00905B8D"/>
    <w:rsid w:val="00905E3F"/>
    <w:rsid w:val="00906042"/>
    <w:rsid w:val="00906099"/>
    <w:rsid w:val="009066BA"/>
    <w:rsid w:val="00907178"/>
    <w:rsid w:val="00907379"/>
    <w:rsid w:val="00907451"/>
    <w:rsid w:val="009076CE"/>
    <w:rsid w:val="00907A7D"/>
    <w:rsid w:val="00907B3E"/>
    <w:rsid w:val="00907B97"/>
    <w:rsid w:val="00907DEC"/>
    <w:rsid w:val="009106F2"/>
    <w:rsid w:val="00910D39"/>
    <w:rsid w:val="00910F31"/>
    <w:rsid w:val="00910F49"/>
    <w:rsid w:val="009111D2"/>
    <w:rsid w:val="0091165D"/>
    <w:rsid w:val="009117EA"/>
    <w:rsid w:val="00911805"/>
    <w:rsid w:val="0091183C"/>
    <w:rsid w:val="00911B5E"/>
    <w:rsid w:val="009121A2"/>
    <w:rsid w:val="00912322"/>
    <w:rsid w:val="00912EDD"/>
    <w:rsid w:val="009130BA"/>
    <w:rsid w:val="0091336B"/>
    <w:rsid w:val="00913657"/>
    <w:rsid w:val="00913686"/>
    <w:rsid w:val="00913BEB"/>
    <w:rsid w:val="00914027"/>
    <w:rsid w:val="009142F2"/>
    <w:rsid w:val="009143BA"/>
    <w:rsid w:val="00914618"/>
    <w:rsid w:val="00915636"/>
    <w:rsid w:val="00915D36"/>
    <w:rsid w:val="00916216"/>
    <w:rsid w:val="00916723"/>
    <w:rsid w:val="00917312"/>
    <w:rsid w:val="00917342"/>
    <w:rsid w:val="009179AA"/>
    <w:rsid w:val="00917A6F"/>
    <w:rsid w:val="00917D00"/>
    <w:rsid w:val="00920353"/>
    <w:rsid w:val="00920380"/>
    <w:rsid w:val="00920428"/>
    <w:rsid w:val="009212BB"/>
    <w:rsid w:val="0092161E"/>
    <w:rsid w:val="00921651"/>
    <w:rsid w:val="00922215"/>
    <w:rsid w:val="009229D7"/>
    <w:rsid w:val="00922F54"/>
    <w:rsid w:val="009232C7"/>
    <w:rsid w:val="009234C1"/>
    <w:rsid w:val="00923802"/>
    <w:rsid w:val="00923B2F"/>
    <w:rsid w:val="00923C0B"/>
    <w:rsid w:val="00923D07"/>
    <w:rsid w:val="00923F63"/>
    <w:rsid w:val="009240BC"/>
    <w:rsid w:val="00924725"/>
    <w:rsid w:val="00924D8E"/>
    <w:rsid w:val="00925013"/>
    <w:rsid w:val="00925420"/>
    <w:rsid w:val="009255B3"/>
    <w:rsid w:val="00925AD8"/>
    <w:rsid w:val="00925CC4"/>
    <w:rsid w:val="00925D9E"/>
    <w:rsid w:val="00926100"/>
    <w:rsid w:val="0092688C"/>
    <w:rsid w:val="00926DF2"/>
    <w:rsid w:val="00926EA7"/>
    <w:rsid w:val="0092717E"/>
    <w:rsid w:val="009271B3"/>
    <w:rsid w:val="00927FE8"/>
    <w:rsid w:val="009302B3"/>
    <w:rsid w:val="009308FE"/>
    <w:rsid w:val="00930E35"/>
    <w:rsid w:val="0093191A"/>
    <w:rsid w:val="00931C19"/>
    <w:rsid w:val="00931FA6"/>
    <w:rsid w:val="00932116"/>
    <w:rsid w:val="00932407"/>
    <w:rsid w:val="00932D4A"/>
    <w:rsid w:val="00932E18"/>
    <w:rsid w:val="00933BFC"/>
    <w:rsid w:val="00933E09"/>
    <w:rsid w:val="0093467B"/>
    <w:rsid w:val="00934AFE"/>
    <w:rsid w:val="00934E7E"/>
    <w:rsid w:val="009350D8"/>
    <w:rsid w:val="0093554F"/>
    <w:rsid w:val="0093561C"/>
    <w:rsid w:val="009358B4"/>
    <w:rsid w:val="00936156"/>
    <w:rsid w:val="0093640A"/>
    <w:rsid w:val="00936594"/>
    <w:rsid w:val="009367C5"/>
    <w:rsid w:val="009369ED"/>
    <w:rsid w:val="00936A90"/>
    <w:rsid w:val="009378E8"/>
    <w:rsid w:val="00937F4C"/>
    <w:rsid w:val="00941033"/>
    <w:rsid w:val="0094104D"/>
    <w:rsid w:val="009416A7"/>
    <w:rsid w:val="00941F53"/>
    <w:rsid w:val="00942355"/>
    <w:rsid w:val="00942A5F"/>
    <w:rsid w:val="00942BB7"/>
    <w:rsid w:val="00942CF6"/>
    <w:rsid w:val="00942DA1"/>
    <w:rsid w:val="00942DD1"/>
    <w:rsid w:val="009432B5"/>
    <w:rsid w:val="00943433"/>
    <w:rsid w:val="0094374A"/>
    <w:rsid w:val="009437AF"/>
    <w:rsid w:val="00943E36"/>
    <w:rsid w:val="00943ECF"/>
    <w:rsid w:val="00943F22"/>
    <w:rsid w:val="00944158"/>
    <w:rsid w:val="009441B6"/>
    <w:rsid w:val="00944364"/>
    <w:rsid w:val="0094492D"/>
    <w:rsid w:val="00945756"/>
    <w:rsid w:val="00945B29"/>
    <w:rsid w:val="00945B2D"/>
    <w:rsid w:val="00946F12"/>
    <w:rsid w:val="00947378"/>
    <w:rsid w:val="009474CF"/>
    <w:rsid w:val="00947902"/>
    <w:rsid w:val="00947E46"/>
    <w:rsid w:val="00947F04"/>
    <w:rsid w:val="009504FA"/>
    <w:rsid w:val="00950D5A"/>
    <w:rsid w:val="0095101B"/>
    <w:rsid w:val="009511D4"/>
    <w:rsid w:val="0095143E"/>
    <w:rsid w:val="00951496"/>
    <w:rsid w:val="00951BC7"/>
    <w:rsid w:val="00951DC1"/>
    <w:rsid w:val="00951F6F"/>
    <w:rsid w:val="00952200"/>
    <w:rsid w:val="00952333"/>
    <w:rsid w:val="0095266E"/>
    <w:rsid w:val="0095321B"/>
    <w:rsid w:val="00953A56"/>
    <w:rsid w:val="00953BBC"/>
    <w:rsid w:val="00953C74"/>
    <w:rsid w:val="009541DC"/>
    <w:rsid w:val="00954292"/>
    <w:rsid w:val="00954CD7"/>
    <w:rsid w:val="00954FD9"/>
    <w:rsid w:val="0095500D"/>
    <w:rsid w:val="00955517"/>
    <w:rsid w:val="00955B8E"/>
    <w:rsid w:val="009567B3"/>
    <w:rsid w:val="0095699A"/>
    <w:rsid w:val="00956A13"/>
    <w:rsid w:val="00956E9F"/>
    <w:rsid w:val="00956EEB"/>
    <w:rsid w:val="0095721F"/>
    <w:rsid w:val="0095762D"/>
    <w:rsid w:val="00957859"/>
    <w:rsid w:val="00957A06"/>
    <w:rsid w:val="00957D24"/>
    <w:rsid w:val="00957FBF"/>
    <w:rsid w:val="009604F3"/>
    <w:rsid w:val="0096093C"/>
    <w:rsid w:val="00960B60"/>
    <w:rsid w:val="00960F96"/>
    <w:rsid w:val="00960FC7"/>
    <w:rsid w:val="00961109"/>
    <w:rsid w:val="0096144B"/>
    <w:rsid w:val="0096208C"/>
    <w:rsid w:val="00962280"/>
    <w:rsid w:val="0096263D"/>
    <w:rsid w:val="0096284E"/>
    <w:rsid w:val="00962ABD"/>
    <w:rsid w:val="00962CDD"/>
    <w:rsid w:val="00962DEA"/>
    <w:rsid w:val="0096311B"/>
    <w:rsid w:val="00963333"/>
    <w:rsid w:val="009635A4"/>
    <w:rsid w:val="00963764"/>
    <w:rsid w:val="00964159"/>
    <w:rsid w:val="0096422D"/>
    <w:rsid w:val="009645A9"/>
    <w:rsid w:val="00964B31"/>
    <w:rsid w:val="00964D76"/>
    <w:rsid w:val="0096522D"/>
    <w:rsid w:val="00965283"/>
    <w:rsid w:val="009652E6"/>
    <w:rsid w:val="009658E2"/>
    <w:rsid w:val="009668E1"/>
    <w:rsid w:val="00966B75"/>
    <w:rsid w:val="009674F0"/>
    <w:rsid w:val="009678CC"/>
    <w:rsid w:val="00967A71"/>
    <w:rsid w:val="00967C86"/>
    <w:rsid w:val="00970615"/>
    <w:rsid w:val="009706A9"/>
    <w:rsid w:val="00970734"/>
    <w:rsid w:val="0097115F"/>
    <w:rsid w:val="00971270"/>
    <w:rsid w:val="00971441"/>
    <w:rsid w:val="009720D4"/>
    <w:rsid w:val="0097216D"/>
    <w:rsid w:val="0097228B"/>
    <w:rsid w:val="00972471"/>
    <w:rsid w:val="00972710"/>
    <w:rsid w:val="009727FC"/>
    <w:rsid w:val="009729C8"/>
    <w:rsid w:val="00973161"/>
    <w:rsid w:val="009732D4"/>
    <w:rsid w:val="00973309"/>
    <w:rsid w:val="009733CC"/>
    <w:rsid w:val="00974155"/>
    <w:rsid w:val="009742FB"/>
    <w:rsid w:val="0097451D"/>
    <w:rsid w:val="00974802"/>
    <w:rsid w:val="00974BA7"/>
    <w:rsid w:val="00974FB9"/>
    <w:rsid w:val="00975575"/>
    <w:rsid w:val="00975967"/>
    <w:rsid w:val="009763FC"/>
    <w:rsid w:val="009764EF"/>
    <w:rsid w:val="00976591"/>
    <w:rsid w:val="00976AD6"/>
    <w:rsid w:val="009771D1"/>
    <w:rsid w:val="0097738D"/>
    <w:rsid w:val="009775E6"/>
    <w:rsid w:val="00980396"/>
    <w:rsid w:val="009807F9"/>
    <w:rsid w:val="00980980"/>
    <w:rsid w:val="00980ACA"/>
    <w:rsid w:val="00980BF8"/>
    <w:rsid w:val="009811C2"/>
    <w:rsid w:val="00981718"/>
    <w:rsid w:val="009818D1"/>
    <w:rsid w:val="00981A1C"/>
    <w:rsid w:val="00981DA5"/>
    <w:rsid w:val="00981EF3"/>
    <w:rsid w:val="00982300"/>
    <w:rsid w:val="009825BD"/>
    <w:rsid w:val="009827FF"/>
    <w:rsid w:val="00982861"/>
    <w:rsid w:val="00982AF2"/>
    <w:rsid w:val="00982BC3"/>
    <w:rsid w:val="00982BE2"/>
    <w:rsid w:val="00982C71"/>
    <w:rsid w:val="00983B73"/>
    <w:rsid w:val="00983BE5"/>
    <w:rsid w:val="0098408E"/>
    <w:rsid w:val="0098429A"/>
    <w:rsid w:val="00984B4F"/>
    <w:rsid w:val="00984D10"/>
    <w:rsid w:val="00984E7B"/>
    <w:rsid w:val="00984FE5"/>
    <w:rsid w:val="00985F44"/>
    <w:rsid w:val="00986EA2"/>
    <w:rsid w:val="0098726B"/>
    <w:rsid w:val="00987D45"/>
    <w:rsid w:val="009901A1"/>
    <w:rsid w:val="009904A7"/>
    <w:rsid w:val="009904CF"/>
    <w:rsid w:val="00990771"/>
    <w:rsid w:val="009907B6"/>
    <w:rsid w:val="00990C71"/>
    <w:rsid w:val="00991E1B"/>
    <w:rsid w:val="00991E51"/>
    <w:rsid w:val="009920EC"/>
    <w:rsid w:val="009925C9"/>
    <w:rsid w:val="00992712"/>
    <w:rsid w:val="00992D10"/>
    <w:rsid w:val="0099362B"/>
    <w:rsid w:val="0099376A"/>
    <w:rsid w:val="009944A8"/>
    <w:rsid w:val="00994F9D"/>
    <w:rsid w:val="00995590"/>
    <w:rsid w:val="009955F8"/>
    <w:rsid w:val="00995FF5"/>
    <w:rsid w:val="00996AE1"/>
    <w:rsid w:val="00996B4F"/>
    <w:rsid w:val="00996B6B"/>
    <w:rsid w:val="00996D09"/>
    <w:rsid w:val="00996D8C"/>
    <w:rsid w:val="00997033"/>
    <w:rsid w:val="00997426"/>
    <w:rsid w:val="00997C96"/>
    <w:rsid w:val="00997DA1"/>
    <w:rsid w:val="009A0031"/>
    <w:rsid w:val="009A08FD"/>
    <w:rsid w:val="009A11EB"/>
    <w:rsid w:val="009A134C"/>
    <w:rsid w:val="009A15B6"/>
    <w:rsid w:val="009A1657"/>
    <w:rsid w:val="009A17FD"/>
    <w:rsid w:val="009A19C1"/>
    <w:rsid w:val="009A2038"/>
    <w:rsid w:val="009A20B4"/>
    <w:rsid w:val="009A2246"/>
    <w:rsid w:val="009A2505"/>
    <w:rsid w:val="009A2C01"/>
    <w:rsid w:val="009A2EF1"/>
    <w:rsid w:val="009A369A"/>
    <w:rsid w:val="009A371E"/>
    <w:rsid w:val="009A3878"/>
    <w:rsid w:val="009A3DE9"/>
    <w:rsid w:val="009A414D"/>
    <w:rsid w:val="009A418D"/>
    <w:rsid w:val="009A429B"/>
    <w:rsid w:val="009A435F"/>
    <w:rsid w:val="009A4E87"/>
    <w:rsid w:val="009A553D"/>
    <w:rsid w:val="009A5CEC"/>
    <w:rsid w:val="009A6060"/>
    <w:rsid w:val="009A60C1"/>
    <w:rsid w:val="009A65F1"/>
    <w:rsid w:val="009A670C"/>
    <w:rsid w:val="009A67B8"/>
    <w:rsid w:val="009A7389"/>
    <w:rsid w:val="009A7469"/>
    <w:rsid w:val="009A76B2"/>
    <w:rsid w:val="009A7703"/>
    <w:rsid w:val="009A7AFC"/>
    <w:rsid w:val="009A7BBC"/>
    <w:rsid w:val="009B06B0"/>
    <w:rsid w:val="009B18A6"/>
    <w:rsid w:val="009B2024"/>
    <w:rsid w:val="009B2101"/>
    <w:rsid w:val="009B238C"/>
    <w:rsid w:val="009B2A96"/>
    <w:rsid w:val="009B2E19"/>
    <w:rsid w:val="009B3161"/>
    <w:rsid w:val="009B3357"/>
    <w:rsid w:val="009B3526"/>
    <w:rsid w:val="009B3C23"/>
    <w:rsid w:val="009B42BD"/>
    <w:rsid w:val="009B4433"/>
    <w:rsid w:val="009B4550"/>
    <w:rsid w:val="009B4913"/>
    <w:rsid w:val="009B4C69"/>
    <w:rsid w:val="009B4CD6"/>
    <w:rsid w:val="009B50A8"/>
    <w:rsid w:val="009B552F"/>
    <w:rsid w:val="009B56B3"/>
    <w:rsid w:val="009B56C3"/>
    <w:rsid w:val="009B57A1"/>
    <w:rsid w:val="009B5E97"/>
    <w:rsid w:val="009B62B4"/>
    <w:rsid w:val="009B66A6"/>
    <w:rsid w:val="009B679A"/>
    <w:rsid w:val="009B68C0"/>
    <w:rsid w:val="009B6C91"/>
    <w:rsid w:val="009B6DA9"/>
    <w:rsid w:val="009B6E29"/>
    <w:rsid w:val="009B72E0"/>
    <w:rsid w:val="009B74D1"/>
    <w:rsid w:val="009B7B5B"/>
    <w:rsid w:val="009B7B9D"/>
    <w:rsid w:val="009B7DCA"/>
    <w:rsid w:val="009B7EE0"/>
    <w:rsid w:val="009C00B3"/>
    <w:rsid w:val="009C02A9"/>
    <w:rsid w:val="009C07D1"/>
    <w:rsid w:val="009C0B54"/>
    <w:rsid w:val="009C0C61"/>
    <w:rsid w:val="009C0DDD"/>
    <w:rsid w:val="009C1261"/>
    <w:rsid w:val="009C188B"/>
    <w:rsid w:val="009C1B44"/>
    <w:rsid w:val="009C1C17"/>
    <w:rsid w:val="009C1F17"/>
    <w:rsid w:val="009C2166"/>
    <w:rsid w:val="009C274D"/>
    <w:rsid w:val="009C27F5"/>
    <w:rsid w:val="009C35DD"/>
    <w:rsid w:val="009C40BA"/>
    <w:rsid w:val="009C493B"/>
    <w:rsid w:val="009C4A4F"/>
    <w:rsid w:val="009C4D4C"/>
    <w:rsid w:val="009C56D7"/>
    <w:rsid w:val="009C5736"/>
    <w:rsid w:val="009C583B"/>
    <w:rsid w:val="009C5D5F"/>
    <w:rsid w:val="009C6688"/>
    <w:rsid w:val="009C6AB4"/>
    <w:rsid w:val="009C6D21"/>
    <w:rsid w:val="009C70A3"/>
    <w:rsid w:val="009C7451"/>
    <w:rsid w:val="009C7D66"/>
    <w:rsid w:val="009C7E35"/>
    <w:rsid w:val="009D0016"/>
    <w:rsid w:val="009D05E7"/>
    <w:rsid w:val="009D08AE"/>
    <w:rsid w:val="009D09D2"/>
    <w:rsid w:val="009D0B2A"/>
    <w:rsid w:val="009D0B81"/>
    <w:rsid w:val="009D1024"/>
    <w:rsid w:val="009D1856"/>
    <w:rsid w:val="009D1990"/>
    <w:rsid w:val="009D3510"/>
    <w:rsid w:val="009D39F8"/>
    <w:rsid w:val="009D3CFE"/>
    <w:rsid w:val="009D416E"/>
    <w:rsid w:val="009D4374"/>
    <w:rsid w:val="009D45FD"/>
    <w:rsid w:val="009D4ADD"/>
    <w:rsid w:val="009D50B9"/>
    <w:rsid w:val="009D527C"/>
    <w:rsid w:val="009D52E3"/>
    <w:rsid w:val="009D56E8"/>
    <w:rsid w:val="009D59D7"/>
    <w:rsid w:val="009D5BAF"/>
    <w:rsid w:val="009D5C3C"/>
    <w:rsid w:val="009D5D9A"/>
    <w:rsid w:val="009D5FA4"/>
    <w:rsid w:val="009D6046"/>
    <w:rsid w:val="009D62C9"/>
    <w:rsid w:val="009D64CF"/>
    <w:rsid w:val="009D6571"/>
    <w:rsid w:val="009D79E1"/>
    <w:rsid w:val="009D7C91"/>
    <w:rsid w:val="009D7D86"/>
    <w:rsid w:val="009D7E06"/>
    <w:rsid w:val="009D7F67"/>
    <w:rsid w:val="009E00E1"/>
    <w:rsid w:val="009E089C"/>
    <w:rsid w:val="009E0A05"/>
    <w:rsid w:val="009E13D8"/>
    <w:rsid w:val="009E144B"/>
    <w:rsid w:val="009E15AF"/>
    <w:rsid w:val="009E18AE"/>
    <w:rsid w:val="009E1AD0"/>
    <w:rsid w:val="009E1B59"/>
    <w:rsid w:val="009E24A6"/>
    <w:rsid w:val="009E2567"/>
    <w:rsid w:val="009E2686"/>
    <w:rsid w:val="009E2A61"/>
    <w:rsid w:val="009E2D39"/>
    <w:rsid w:val="009E2FE8"/>
    <w:rsid w:val="009E304B"/>
    <w:rsid w:val="009E34B3"/>
    <w:rsid w:val="009E35FE"/>
    <w:rsid w:val="009E36A6"/>
    <w:rsid w:val="009E3BEC"/>
    <w:rsid w:val="009E40BB"/>
    <w:rsid w:val="009E44BF"/>
    <w:rsid w:val="009E458E"/>
    <w:rsid w:val="009E4654"/>
    <w:rsid w:val="009E46C9"/>
    <w:rsid w:val="009E475E"/>
    <w:rsid w:val="009E4F02"/>
    <w:rsid w:val="009E4F59"/>
    <w:rsid w:val="009E520D"/>
    <w:rsid w:val="009E5526"/>
    <w:rsid w:val="009E576E"/>
    <w:rsid w:val="009E5A4D"/>
    <w:rsid w:val="009E6296"/>
    <w:rsid w:val="009E63F5"/>
    <w:rsid w:val="009E685B"/>
    <w:rsid w:val="009E68CC"/>
    <w:rsid w:val="009E68FE"/>
    <w:rsid w:val="009E6BCC"/>
    <w:rsid w:val="009E74C4"/>
    <w:rsid w:val="009E7F19"/>
    <w:rsid w:val="009F0442"/>
    <w:rsid w:val="009F0493"/>
    <w:rsid w:val="009F0A5A"/>
    <w:rsid w:val="009F0C78"/>
    <w:rsid w:val="009F1292"/>
    <w:rsid w:val="009F1735"/>
    <w:rsid w:val="009F1BB9"/>
    <w:rsid w:val="009F2087"/>
    <w:rsid w:val="009F258E"/>
    <w:rsid w:val="009F266C"/>
    <w:rsid w:val="009F279B"/>
    <w:rsid w:val="009F2D68"/>
    <w:rsid w:val="009F2EBE"/>
    <w:rsid w:val="009F364A"/>
    <w:rsid w:val="009F38DC"/>
    <w:rsid w:val="009F4681"/>
    <w:rsid w:val="009F4A16"/>
    <w:rsid w:val="009F4D17"/>
    <w:rsid w:val="009F4EA6"/>
    <w:rsid w:val="009F5751"/>
    <w:rsid w:val="009F5960"/>
    <w:rsid w:val="009F5D2F"/>
    <w:rsid w:val="009F6322"/>
    <w:rsid w:val="009F659E"/>
    <w:rsid w:val="009F69D4"/>
    <w:rsid w:val="009F6F71"/>
    <w:rsid w:val="009F7874"/>
    <w:rsid w:val="009F7906"/>
    <w:rsid w:val="00A00622"/>
    <w:rsid w:val="00A00CB9"/>
    <w:rsid w:val="00A0129A"/>
    <w:rsid w:val="00A01374"/>
    <w:rsid w:val="00A01498"/>
    <w:rsid w:val="00A014FE"/>
    <w:rsid w:val="00A01714"/>
    <w:rsid w:val="00A020DC"/>
    <w:rsid w:val="00A02602"/>
    <w:rsid w:val="00A02734"/>
    <w:rsid w:val="00A02A20"/>
    <w:rsid w:val="00A02EAD"/>
    <w:rsid w:val="00A03636"/>
    <w:rsid w:val="00A03640"/>
    <w:rsid w:val="00A03C5B"/>
    <w:rsid w:val="00A03DA7"/>
    <w:rsid w:val="00A03DC3"/>
    <w:rsid w:val="00A0449C"/>
    <w:rsid w:val="00A0486F"/>
    <w:rsid w:val="00A04F6F"/>
    <w:rsid w:val="00A055F4"/>
    <w:rsid w:val="00A0586D"/>
    <w:rsid w:val="00A06371"/>
    <w:rsid w:val="00A06AB5"/>
    <w:rsid w:val="00A06AFC"/>
    <w:rsid w:val="00A06E2A"/>
    <w:rsid w:val="00A06EAA"/>
    <w:rsid w:val="00A06EAC"/>
    <w:rsid w:val="00A06F94"/>
    <w:rsid w:val="00A07325"/>
    <w:rsid w:val="00A0767A"/>
    <w:rsid w:val="00A07F01"/>
    <w:rsid w:val="00A1025E"/>
    <w:rsid w:val="00A10A8E"/>
    <w:rsid w:val="00A1106B"/>
    <w:rsid w:val="00A11631"/>
    <w:rsid w:val="00A11AFA"/>
    <w:rsid w:val="00A120A2"/>
    <w:rsid w:val="00A12732"/>
    <w:rsid w:val="00A12BB0"/>
    <w:rsid w:val="00A12CB6"/>
    <w:rsid w:val="00A12DDB"/>
    <w:rsid w:val="00A12F2E"/>
    <w:rsid w:val="00A13335"/>
    <w:rsid w:val="00A13337"/>
    <w:rsid w:val="00A13E30"/>
    <w:rsid w:val="00A13F4D"/>
    <w:rsid w:val="00A13FCF"/>
    <w:rsid w:val="00A1434E"/>
    <w:rsid w:val="00A14408"/>
    <w:rsid w:val="00A144D3"/>
    <w:rsid w:val="00A14703"/>
    <w:rsid w:val="00A14F7F"/>
    <w:rsid w:val="00A1547E"/>
    <w:rsid w:val="00A16531"/>
    <w:rsid w:val="00A16C49"/>
    <w:rsid w:val="00A16DCE"/>
    <w:rsid w:val="00A1703B"/>
    <w:rsid w:val="00A17219"/>
    <w:rsid w:val="00A17508"/>
    <w:rsid w:val="00A17609"/>
    <w:rsid w:val="00A17E65"/>
    <w:rsid w:val="00A17E84"/>
    <w:rsid w:val="00A2004F"/>
    <w:rsid w:val="00A203F0"/>
    <w:rsid w:val="00A206E7"/>
    <w:rsid w:val="00A20848"/>
    <w:rsid w:val="00A2139E"/>
    <w:rsid w:val="00A21649"/>
    <w:rsid w:val="00A2171B"/>
    <w:rsid w:val="00A21DAB"/>
    <w:rsid w:val="00A22029"/>
    <w:rsid w:val="00A22072"/>
    <w:rsid w:val="00A22202"/>
    <w:rsid w:val="00A225E1"/>
    <w:rsid w:val="00A228D3"/>
    <w:rsid w:val="00A23067"/>
    <w:rsid w:val="00A2389B"/>
    <w:rsid w:val="00A239A4"/>
    <w:rsid w:val="00A23B86"/>
    <w:rsid w:val="00A23F38"/>
    <w:rsid w:val="00A2416E"/>
    <w:rsid w:val="00A24267"/>
    <w:rsid w:val="00A2466D"/>
    <w:rsid w:val="00A249E0"/>
    <w:rsid w:val="00A24BE3"/>
    <w:rsid w:val="00A251A9"/>
    <w:rsid w:val="00A257F3"/>
    <w:rsid w:val="00A25C86"/>
    <w:rsid w:val="00A26614"/>
    <w:rsid w:val="00A26652"/>
    <w:rsid w:val="00A26B4D"/>
    <w:rsid w:val="00A26CFA"/>
    <w:rsid w:val="00A26D83"/>
    <w:rsid w:val="00A26FF6"/>
    <w:rsid w:val="00A2704E"/>
    <w:rsid w:val="00A2783A"/>
    <w:rsid w:val="00A3011A"/>
    <w:rsid w:val="00A30207"/>
    <w:rsid w:val="00A308C4"/>
    <w:rsid w:val="00A30B3E"/>
    <w:rsid w:val="00A31067"/>
    <w:rsid w:val="00A314DB"/>
    <w:rsid w:val="00A31762"/>
    <w:rsid w:val="00A31989"/>
    <w:rsid w:val="00A31AC2"/>
    <w:rsid w:val="00A32515"/>
    <w:rsid w:val="00A328E6"/>
    <w:rsid w:val="00A32A6C"/>
    <w:rsid w:val="00A32F04"/>
    <w:rsid w:val="00A3306C"/>
    <w:rsid w:val="00A330B7"/>
    <w:rsid w:val="00A33700"/>
    <w:rsid w:val="00A33906"/>
    <w:rsid w:val="00A340E2"/>
    <w:rsid w:val="00A34658"/>
    <w:rsid w:val="00A3483C"/>
    <w:rsid w:val="00A3508F"/>
    <w:rsid w:val="00A359C0"/>
    <w:rsid w:val="00A35DC9"/>
    <w:rsid w:val="00A35DCB"/>
    <w:rsid w:val="00A35F29"/>
    <w:rsid w:val="00A35FFE"/>
    <w:rsid w:val="00A36BAC"/>
    <w:rsid w:val="00A36CCA"/>
    <w:rsid w:val="00A36CE9"/>
    <w:rsid w:val="00A3701F"/>
    <w:rsid w:val="00A370B5"/>
    <w:rsid w:val="00A3723B"/>
    <w:rsid w:val="00A3732C"/>
    <w:rsid w:val="00A374C8"/>
    <w:rsid w:val="00A37E21"/>
    <w:rsid w:val="00A37F7F"/>
    <w:rsid w:val="00A40008"/>
    <w:rsid w:val="00A4030D"/>
    <w:rsid w:val="00A408AC"/>
    <w:rsid w:val="00A40A92"/>
    <w:rsid w:val="00A40E18"/>
    <w:rsid w:val="00A410FF"/>
    <w:rsid w:val="00A414CC"/>
    <w:rsid w:val="00A414E4"/>
    <w:rsid w:val="00A416CC"/>
    <w:rsid w:val="00A4180A"/>
    <w:rsid w:val="00A41ADE"/>
    <w:rsid w:val="00A420C7"/>
    <w:rsid w:val="00A42149"/>
    <w:rsid w:val="00A422A8"/>
    <w:rsid w:val="00A425E9"/>
    <w:rsid w:val="00A4315B"/>
    <w:rsid w:val="00A434CD"/>
    <w:rsid w:val="00A43606"/>
    <w:rsid w:val="00A43A1C"/>
    <w:rsid w:val="00A4413D"/>
    <w:rsid w:val="00A44ACB"/>
    <w:rsid w:val="00A44B39"/>
    <w:rsid w:val="00A44B96"/>
    <w:rsid w:val="00A4506A"/>
    <w:rsid w:val="00A45133"/>
    <w:rsid w:val="00A45167"/>
    <w:rsid w:val="00A457B1"/>
    <w:rsid w:val="00A45959"/>
    <w:rsid w:val="00A45DEB"/>
    <w:rsid w:val="00A45E2D"/>
    <w:rsid w:val="00A46436"/>
    <w:rsid w:val="00A468A4"/>
    <w:rsid w:val="00A469F7"/>
    <w:rsid w:val="00A46B43"/>
    <w:rsid w:val="00A46F0B"/>
    <w:rsid w:val="00A475A6"/>
    <w:rsid w:val="00A4792E"/>
    <w:rsid w:val="00A47A6E"/>
    <w:rsid w:val="00A47D26"/>
    <w:rsid w:val="00A5029A"/>
    <w:rsid w:val="00A509AF"/>
    <w:rsid w:val="00A50CB1"/>
    <w:rsid w:val="00A50DA9"/>
    <w:rsid w:val="00A528BE"/>
    <w:rsid w:val="00A52AC5"/>
    <w:rsid w:val="00A5316A"/>
    <w:rsid w:val="00A531E7"/>
    <w:rsid w:val="00A53DDB"/>
    <w:rsid w:val="00A5460F"/>
    <w:rsid w:val="00A5487C"/>
    <w:rsid w:val="00A54C35"/>
    <w:rsid w:val="00A55043"/>
    <w:rsid w:val="00A5548F"/>
    <w:rsid w:val="00A5559D"/>
    <w:rsid w:val="00A56D47"/>
    <w:rsid w:val="00A5786A"/>
    <w:rsid w:val="00A57A95"/>
    <w:rsid w:val="00A57CCF"/>
    <w:rsid w:val="00A57F05"/>
    <w:rsid w:val="00A60003"/>
    <w:rsid w:val="00A60032"/>
    <w:rsid w:val="00A601A7"/>
    <w:rsid w:val="00A60A95"/>
    <w:rsid w:val="00A60D08"/>
    <w:rsid w:val="00A60DD8"/>
    <w:rsid w:val="00A60FF1"/>
    <w:rsid w:val="00A61352"/>
    <w:rsid w:val="00A61454"/>
    <w:rsid w:val="00A6159C"/>
    <w:rsid w:val="00A61D23"/>
    <w:rsid w:val="00A62121"/>
    <w:rsid w:val="00A6227F"/>
    <w:rsid w:val="00A62D99"/>
    <w:rsid w:val="00A634F9"/>
    <w:rsid w:val="00A63ADE"/>
    <w:rsid w:val="00A63C3F"/>
    <w:rsid w:val="00A63E07"/>
    <w:rsid w:val="00A6427B"/>
    <w:rsid w:val="00A642A3"/>
    <w:rsid w:val="00A6478A"/>
    <w:rsid w:val="00A65B0B"/>
    <w:rsid w:val="00A65D41"/>
    <w:rsid w:val="00A65FCB"/>
    <w:rsid w:val="00A665E9"/>
    <w:rsid w:val="00A66990"/>
    <w:rsid w:val="00A66D48"/>
    <w:rsid w:val="00A6700F"/>
    <w:rsid w:val="00A67C42"/>
    <w:rsid w:val="00A67C91"/>
    <w:rsid w:val="00A70018"/>
    <w:rsid w:val="00A700DB"/>
    <w:rsid w:val="00A70311"/>
    <w:rsid w:val="00A70786"/>
    <w:rsid w:val="00A712E4"/>
    <w:rsid w:val="00A71366"/>
    <w:rsid w:val="00A71663"/>
    <w:rsid w:val="00A71BF2"/>
    <w:rsid w:val="00A722FA"/>
    <w:rsid w:val="00A72D20"/>
    <w:rsid w:val="00A731C4"/>
    <w:rsid w:val="00A732C3"/>
    <w:rsid w:val="00A73398"/>
    <w:rsid w:val="00A736FB"/>
    <w:rsid w:val="00A7390B"/>
    <w:rsid w:val="00A74447"/>
    <w:rsid w:val="00A74B89"/>
    <w:rsid w:val="00A75417"/>
    <w:rsid w:val="00A759B5"/>
    <w:rsid w:val="00A76053"/>
    <w:rsid w:val="00A762C4"/>
    <w:rsid w:val="00A765C8"/>
    <w:rsid w:val="00A7664D"/>
    <w:rsid w:val="00A76F81"/>
    <w:rsid w:val="00A77C57"/>
    <w:rsid w:val="00A80244"/>
    <w:rsid w:val="00A80514"/>
    <w:rsid w:val="00A80762"/>
    <w:rsid w:val="00A80B5A"/>
    <w:rsid w:val="00A80E9C"/>
    <w:rsid w:val="00A810C3"/>
    <w:rsid w:val="00A81753"/>
    <w:rsid w:val="00A821F1"/>
    <w:rsid w:val="00A823B9"/>
    <w:rsid w:val="00A83289"/>
    <w:rsid w:val="00A833DC"/>
    <w:rsid w:val="00A838B9"/>
    <w:rsid w:val="00A83D24"/>
    <w:rsid w:val="00A83D7F"/>
    <w:rsid w:val="00A83FC9"/>
    <w:rsid w:val="00A83FF3"/>
    <w:rsid w:val="00A8407D"/>
    <w:rsid w:val="00A8453D"/>
    <w:rsid w:val="00A8483A"/>
    <w:rsid w:val="00A84AFB"/>
    <w:rsid w:val="00A84F6B"/>
    <w:rsid w:val="00A853ED"/>
    <w:rsid w:val="00A85877"/>
    <w:rsid w:val="00A8596B"/>
    <w:rsid w:val="00A859E7"/>
    <w:rsid w:val="00A85A8A"/>
    <w:rsid w:val="00A85BF6"/>
    <w:rsid w:val="00A86311"/>
    <w:rsid w:val="00A8644B"/>
    <w:rsid w:val="00A866BA"/>
    <w:rsid w:val="00A86D99"/>
    <w:rsid w:val="00A87869"/>
    <w:rsid w:val="00A87EB8"/>
    <w:rsid w:val="00A90357"/>
    <w:rsid w:val="00A907F9"/>
    <w:rsid w:val="00A91319"/>
    <w:rsid w:val="00A913A7"/>
    <w:rsid w:val="00A917E5"/>
    <w:rsid w:val="00A91CE5"/>
    <w:rsid w:val="00A91ECF"/>
    <w:rsid w:val="00A92564"/>
    <w:rsid w:val="00A92EB6"/>
    <w:rsid w:val="00A931AF"/>
    <w:rsid w:val="00A93657"/>
    <w:rsid w:val="00A936E0"/>
    <w:rsid w:val="00A939D9"/>
    <w:rsid w:val="00A93A55"/>
    <w:rsid w:val="00A93FFE"/>
    <w:rsid w:val="00A944B4"/>
    <w:rsid w:val="00A947C5"/>
    <w:rsid w:val="00A94B9F"/>
    <w:rsid w:val="00A94E18"/>
    <w:rsid w:val="00A95207"/>
    <w:rsid w:val="00A95222"/>
    <w:rsid w:val="00A95422"/>
    <w:rsid w:val="00A955B3"/>
    <w:rsid w:val="00A95A8B"/>
    <w:rsid w:val="00A95CCF"/>
    <w:rsid w:val="00A95D81"/>
    <w:rsid w:val="00A967FC"/>
    <w:rsid w:val="00A96DF0"/>
    <w:rsid w:val="00A972E0"/>
    <w:rsid w:val="00A977BA"/>
    <w:rsid w:val="00A97E86"/>
    <w:rsid w:val="00AA00CF"/>
    <w:rsid w:val="00AA0127"/>
    <w:rsid w:val="00AA061E"/>
    <w:rsid w:val="00AA06D7"/>
    <w:rsid w:val="00AA0857"/>
    <w:rsid w:val="00AA1223"/>
    <w:rsid w:val="00AA15F5"/>
    <w:rsid w:val="00AA2162"/>
    <w:rsid w:val="00AA29CF"/>
    <w:rsid w:val="00AA2CA0"/>
    <w:rsid w:val="00AA30AE"/>
    <w:rsid w:val="00AA35DA"/>
    <w:rsid w:val="00AA3665"/>
    <w:rsid w:val="00AA3C5B"/>
    <w:rsid w:val="00AA456B"/>
    <w:rsid w:val="00AA45E7"/>
    <w:rsid w:val="00AA4653"/>
    <w:rsid w:val="00AA47A0"/>
    <w:rsid w:val="00AA4BC6"/>
    <w:rsid w:val="00AA4C80"/>
    <w:rsid w:val="00AA4F22"/>
    <w:rsid w:val="00AA4F28"/>
    <w:rsid w:val="00AA501C"/>
    <w:rsid w:val="00AA580E"/>
    <w:rsid w:val="00AA5A15"/>
    <w:rsid w:val="00AA5A4C"/>
    <w:rsid w:val="00AA5B1F"/>
    <w:rsid w:val="00AA5CFF"/>
    <w:rsid w:val="00AA674E"/>
    <w:rsid w:val="00AA6857"/>
    <w:rsid w:val="00AA698F"/>
    <w:rsid w:val="00AA69E8"/>
    <w:rsid w:val="00AA6ABD"/>
    <w:rsid w:val="00AA6AD2"/>
    <w:rsid w:val="00AA6CDA"/>
    <w:rsid w:val="00AA6E2E"/>
    <w:rsid w:val="00AA7430"/>
    <w:rsid w:val="00AA797B"/>
    <w:rsid w:val="00AA79FE"/>
    <w:rsid w:val="00AA7A20"/>
    <w:rsid w:val="00AA7BF2"/>
    <w:rsid w:val="00AA7C1E"/>
    <w:rsid w:val="00AB04AE"/>
    <w:rsid w:val="00AB06F4"/>
    <w:rsid w:val="00AB0ADE"/>
    <w:rsid w:val="00AB1806"/>
    <w:rsid w:val="00AB182F"/>
    <w:rsid w:val="00AB184D"/>
    <w:rsid w:val="00AB1A58"/>
    <w:rsid w:val="00AB1DFB"/>
    <w:rsid w:val="00AB2103"/>
    <w:rsid w:val="00AB2235"/>
    <w:rsid w:val="00AB2523"/>
    <w:rsid w:val="00AB2694"/>
    <w:rsid w:val="00AB2A07"/>
    <w:rsid w:val="00AB3356"/>
    <w:rsid w:val="00AB34A0"/>
    <w:rsid w:val="00AB3D02"/>
    <w:rsid w:val="00AB4107"/>
    <w:rsid w:val="00AB4485"/>
    <w:rsid w:val="00AB45A2"/>
    <w:rsid w:val="00AB4ABA"/>
    <w:rsid w:val="00AB4B68"/>
    <w:rsid w:val="00AB4CE2"/>
    <w:rsid w:val="00AB4E05"/>
    <w:rsid w:val="00AB5751"/>
    <w:rsid w:val="00AB5809"/>
    <w:rsid w:val="00AB6944"/>
    <w:rsid w:val="00AB72CF"/>
    <w:rsid w:val="00AB7654"/>
    <w:rsid w:val="00AB79E0"/>
    <w:rsid w:val="00AC0238"/>
    <w:rsid w:val="00AC071F"/>
    <w:rsid w:val="00AC0743"/>
    <w:rsid w:val="00AC15A1"/>
    <w:rsid w:val="00AC175D"/>
    <w:rsid w:val="00AC1D43"/>
    <w:rsid w:val="00AC1EA4"/>
    <w:rsid w:val="00AC23B5"/>
    <w:rsid w:val="00AC2530"/>
    <w:rsid w:val="00AC25D4"/>
    <w:rsid w:val="00AC2855"/>
    <w:rsid w:val="00AC3B0F"/>
    <w:rsid w:val="00AC3B3D"/>
    <w:rsid w:val="00AC3E70"/>
    <w:rsid w:val="00AC3F05"/>
    <w:rsid w:val="00AC4087"/>
    <w:rsid w:val="00AC4A1D"/>
    <w:rsid w:val="00AC5017"/>
    <w:rsid w:val="00AC5477"/>
    <w:rsid w:val="00AC5BFC"/>
    <w:rsid w:val="00AC5EF9"/>
    <w:rsid w:val="00AC6042"/>
    <w:rsid w:val="00AC62BE"/>
    <w:rsid w:val="00AC69AC"/>
    <w:rsid w:val="00AC6D7A"/>
    <w:rsid w:val="00AC7232"/>
    <w:rsid w:val="00AC732E"/>
    <w:rsid w:val="00AC74C2"/>
    <w:rsid w:val="00AC7A49"/>
    <w:rsid w:val="00AC7B03"/>
    <w:rsid w:val="00AD0227"/>
    <w:rsid w:val="00AD05D9"/>
    <w:rsid w:val="00AD0A9C"/>
    <w:rsid w:val="00AD123C"/>
    <w:rsid w:val="00AD1839"/>
    <w:rsid w:val="00AD1A05"/>
    <w:rsid w:val="00AD1ACA"/>
    <w:rsid w:val="00AD1B6E"/>
    <w:rsid w:val="00AD224B"/>
    <w:rsid w:val="00AD2292"/>
    <w:rsid w:val="00AD23F4"/>
    <w:rsid w:val="00AD243B"/>
    <w:rsid w:val="00AD262D"/>
    <w:rsid w:val="00AD3075"/>
    <w:rsid w:val="00AD345C"/>
    <w:rsid w:val="00AD3477"/>
    <w:rsid w:val="00AD35BA"/>
    <w:rsid w:val="00AD3821"/>
    <w:rsid w:val="00AD3C97"/>
    <w:rsid w:val="00AD533A"/>
    <w:rsid w:val="00AD545B"/>
    <w:rsid w:val="00AD600C"/>
    <w:rsid w:val="00AD60B7"/>
    <w:rsid w:val="00AD63FF"/>
    <w:rsid w:val="00AD654E"/>
    <w:rsid w:val="00AD666E"/>
    <w:rsid w:val="00AD6A8E"/>
    <w:rsid w:val="00AD6BA3"/>
    <w:rsid w:val="00AD710E"/>
    <w:rsid w:val="00AD742A"/>
    <w:rsid w:val="00AE1172"/>
    <w:rsid w:val="00AE178B"/>
    <w:rsid w:val="00AE1967"/>
    <w:rsid w:val="00AE1B89"/>
    <w:rsid w:val="00AE2124"/>
    <w:rsid w:val="00AE261A"/>
    <w:rsid w:val="00AE282F"/>
    <w:rsid w:val="00AE3380"/>
    <w:rsid w:val="00AE38B6"/>
    <w:rsid w:val="00AE38D9"/>
    <w:rsid w:val="00AE45BC"/>
    <w:rsid w:val="00AE468C"/>
    <w:rsid w:val="00AE4F3E"/>
    <w:rsid w:val="00AE5717"/>
    <w:rsid w:val="00AE5990"/>
    <w:rsid w:val="00AE5FBC"/>
    <w:rsid w:val="00AE66F1"/>
    <w:rsid w:val="00AE6755"/>
    <w:rsid w:val="00AE6E9C"/>
    <w:rsid w:val="00AE6EE1"/>
    <w:rsid w:val="00AE7765"/>
    <w:rsid w:val="00AE7FE2"/>
    <w:rsid w:val="00AF03E0"/>
    <w:rsid w:val="00AF0A55"/>
    <w:rsid w:val="00AF0CEB"/>
    <w:rsid w:val="00AF0FA7"/>
    <w:rsid w:val="00AF10CD"/>
    <w:rsid w:val="00AF112B"/>
    <w:rsid w:val="00AF138F"/>
    <w:rsid w:val="00AF1A25"/>
    <w:rsid w:val="00AF1C4E"/>
    <w:rsid w:val="00AF1D2B"/>
    <w:rsid w:val="00AF1E06"/>
    <w:rsid w:val="00AF2636"/>
    <w:rsid w:val="00AF26B0"/>
    <w:rsid w:val="00AF2DAE"/>
    <w:rsid w:val="00AF2E53"/>
    <w:rsid w:val="00AF33C9"/>
    <w:rsid w:val="00AF4926"/>
    <w:rsid w:val="00AF4964"/>
    <w:rsid w:val="00AF498F"/>
    <w:rsid w:val="00AF532A"/>
    <w:rsid w:val="00AF5BC5"/>
    <w:rsid w:val="00AF6053"/>
    <w:rsid w:val="00AF6723"/>
    <w:rsid w:val="00AF674A"/>
    <w:rsid w:val="00AF72D5"/>
    <w:rsid w:val="00AF74F6"/>
    <w:rsid w:val="00AF761B"/>
    <w:rsid w:val="00AF77CB"/>
    <w:rsid w:val="00AF7A2D"/>
    <w:rsid w:val="00B0001D"/>
    <w:rsid w:val="00B0022D"/>
    <w:rsid w:val="00B00243"/>
    <w:rsid w:val="00B00CE5"/>
    <w:rsid w:val="00B00FA3"/>
    <w:rsid w:val="00B01208"/>
    <w:rsid w:val="00B01576"/>
    <w:rsid w:val="00B01F7E"/>
    <w:rsid w:val="00B02695"/>
    <w:rsid w:val="00B02730"/>
    <w:rsid w:val="00B028C0"/>
    <w:rsid w:val="00B02EB2"/>
    <w:rsid w:val="00B033D5"/>
    <w:rsid w:val="00B038E9"/>
    <w:rsid w:val="00B03D11"/>
    <w:rsid w:val="00B03ECF"/>
    <w:rsid w:val="00B04094"/>
    <w:rsid w:val="00B044DB"/>
    <w:rsid w:val="00B04D16"/>
    <w:rsid w:val="00B055F8"/>
    <w:rsid w:val="00B0591D"/>
    <w:rsid w:val="00B06927"/>
    <w:rsid w:val="00B06969"/>
    <w:rsid w:val="00B06D3F"/>
    <w:rsid w:val="00B07313"/>
    <w:rsid w:val="00B074A7"/>
    <w:rsid w:val="00B077FD"/>
    <w:rsid w:val="00B10040"/>
    <w:rsid w:val="00B10982"/>
    <w:rsid w:val="00B10A38"/>
    <w:rsid w:val="00B10BD0"/>
    <w:rsid w:val="00B10E81"/>
    <w:rsid w:val="00B10F01"/>
    <w:rsid w:val="00B113B4"/>
    <w:rsid w:val="00B11659"/>
    <w:rsid w:val="00B119E7"/>
    <w:rsid w:val="00B11A54"/>
    <w:rsid w:val="00B11C30"/>
    <w:rsid w:val="00B11CA6"/>
    <w:rsid w:val="00B11F4A"/>
    <w:rsid w:val="00B123E7"/>
    <w:rsid w:val="00B1253D"/>
    <w:rsid w:val="00B12B3E"/>
    <w:rsid w:val="00B1302E"/>
    <w:rsid w:val="00B135FB"/>
    <w:rsid w:val="00B13A6B"/>
    <w:rsid w:val="00B13A7C"/>
    <w:rsid w:val="00B13B4F"/>
    <w:rsid w:val="00B14227"/>
    <w:rsid w:val="00B14338"/>
    <w:rsid w:val="00B147AA"/>
    <w:rsid w:val="00B14C3B"/>
    <w:rsid w:val="00B151F8"/>
    <w:rsid w:val="00B15998"/>
    <w:rsid w:val="00B15CAD"/>
    <w:rsid w:val="00B162A4"/>
    <w:rsid w:val="00B1690E"/>
    <w:rsid w:val="00B16BB7"/>
    <w:rsid w:val="00B17123"/>
    <w:rsid w:val="00B179E8"/>
    <w:rsid w:val="00B17C19"/>
    <w:rsid w:val="00B20156"/>
    <w:rsid w:val="00B2055A"/>
    <w:rsid w:val="00B2100D"/>
    <w:rsid w:val="00B211CF"/>
    <w:rsid w:val="00B2197F"/>
    <w:rsid w:val="00B21FB2"/>
    <w:rsid w:val="00B22B54"/>
    <w:rsid w:val="00B23F2A"/>
    <w:rsid w:val="00B245A8"/>
    <w:rsid w:val="00B24B6A"/>
    <w:rsid w:val="00B253E0"/>
    <w:rsid w:val="00B25733"/>
    <w:rsid w:val="00B25B2D"/>
    <w:rsid w:val="00B26286"/>
    <w:rsid w:val="00B262C5"/>
    <w:rsid w:val="00B26D3F"/>
    <w:rsid w:val="00B27138"/>
    <w:rsid w:val="00B277BB"/>
    <w:rsid w:val="00B279EE"/>
    <w:rsid w:val="00B3034D"/>
    <w:rsid w:val="00B30DC4"/>
    <w:rsid w:val="00B31104"/>
    <w:rsid w:val="00B31958"/>
    <w:rsid w:val="00B31A89"/>
    <w:rsid w:val="00B32167"/>
    <w:rsid w:val="00B32387"/>
    <w:rsid w:val="00B32B56"/>
    <w:rsid w:val="00B3322C"/>
    <w:rsid w:val="00B3346A"/>
    <w:rsid w:val="00B33495"/>
    <w:rsid w:val="00B339AA"/>
    <w:rsid w:val="00B33CF4"/>
    <w:rsid w:val="00B342F3"/>
    <w:rsid w:val="00B34930"/>
    <w:rsid w:val="00B34FF7"/>
    <w:rsid w:val="00B350DA"/>
    <w:rsid w:val="00B352E2"/>
    <w:rsid w:val="00B35720"/>
    <w:rsid w:val="00B35A19"/>
    <w:rsid w:val="00B363E3"/>
    <w:rsid w:val="00B36E1A"/>
    <w:rsid w:val="00B3792C"/>
    <w:rsid w:val="00B37B2A"/>
    <w:rsid w:val="00B37C14"/>
    <w:rsid w:val="00B37D34"/>
    <w:rsid w:val="00B37DAE"/>
    <w:rsid w:val="00B37F23"/>
    <w:rsid w:val="00B400C1"/>
    <w:rsid w:val="00B40247"/>
    <w:rsid w:val="00B40577"/>
    <w:rsid w:val="00B408FD"/>
    <w:rsid w:val="00B40A18"/>
    <w:rsid w:val="00B40FC5"/>
    <w:rsid w:val="00B4127F"/>
    <w:rsid w:val="00B4168B"/>
    <w:rsid w:val="00B4191E"/>
    <w:rsid w:val="00B4210C"/>
    <w:rsid w:val="00B424FD"/>
    <w:rsid w:val="00B429C9"/>
    <w:rsid w:val="00B42A8B"/>
    <w:rsid w:val="00B42C41"/>
    <w:rsid w:val="00B42D33"/>
    <w:rsid w:val="00B4345B"/>
    <w:rsid w:val="00B434B2"/>
    <w:rsid w:val="00B43632"/>
    <w:rsid w:val="00B438C1"/>
    <w:rsid w:val="00B43906"/>
    <w:rsid w:val="00B43D19"/>
    <w:rsid w:val="00B43F4C"/>
    <w:rsid w:val="00B440C9"/>
    <w:rsid w:val="00B442AE"/>
    <w:rsid w:val="00B44625"/>
    <w:rsid w:val="00B44B1A"/>
    <w:rsid w:val="00B44CD7"/>
    <w:rsid w:val="00B45E0E"/>
    <w:rsid w:val="00B45E71"/>
    <w:rsid w:val="00B460E9"/>
    <w:rsid w:val="00B46134"/>
    <w:rsid w:val="00B46BC6"/>
    <w:rsid w:val="00B46E4B"/>
    <w:rsid w:val="00B477D3"/>
    <w:rsid w:val="00B47A22"/>
    <w:rsid w:val="00B50226"/>
    <w:rsid w:val="00B502D0"/>
    <w:rsid w:val="00B50B54"/>
    <w:rsid w:val="00B50F3A"/>
    <w:rsid w:val="00B512C3"/>
    <w:rsid w:val="00B51563"/>
    <w:rsid w:val="00B51957"/>
    <w:rsid w:val="00B5241D"/>
    <w:rsid w:val="00B524DD"/>
    <w:rsid w:val="00B52FAB"/>
    <w:rsid w:val="00B53031"/>
    <w:rsid w:val="00B532B4"/>
    <w:rsid w:val="00B53484"/>
    <w:rsid w:val="00B534B7"/>
    <w:rsid w:val="00B537BC"/>
    <w:rsid w:val="00B53895"/>
    <w:rsid w:val="00B53A0D"/>
    <w:rsid w:val="00B53B95"/>
    <w:rsid w:val="00B53FE5"/>
    <w:rsid w:val="00B54305"/>
    <w:rsid w:val="00B548EE"/>
    <w:rsid w:val="00B5542C"/>
    <w:rsid w:val="00B55D8C"/>
    <w:rsid w:val="00B55EDB"/>
    <w:rsid w:val="00B562E6"/>
    <w:rsid w:val="00B56627"/>
    <w:rsid w:val="00B567F3"/>
    <w:rsid w:val="00B56A8F"/>
    <w:rsid w:val="00B56AE9"/>
    <w:rsid w:val="00B577BD"/>
    <w:rsid w:val="00B578B1"/>
    <w:rsid w:val="00B60014"/>
    <w:rsid w:val="00B60087"/>
    <w:rsid w:val="00B60132"/>
    <w:rsid w:val="00B60728"/>
    <w:rsid w:val="00B60CB4"/>
    <w:rsid w:val="00B60D22"/>
    <w:rsid w:val="00B610FF"/>
    <w:rsid w:val="00B618FD"/>
    <w:rsid w:val="00B61A7C"/>
    <w:rsid w:val="00B61FD6"/>
    <w:rsid w:val="00B627C5"/>
    <w:rsid w:val="00B629AC"/>
    <w:rsid w:val="00B62F81"/>
    <w:rsid w:val="00B630CA"/>
    <w:rsid w:val="00B63160"/>
    <w:rsid w:val="00B6324E"/>
    <w:rsid w:val="00B63258"/>
    <w:rsid w:val="00B634B8"/>
    <w:rsid w:val="00B640BF"/>
    <w:rsid w:val="00B64FF2"/>
    <w:rsid w:val="00B6566E"/>
    <w:rsid w:val="00B66761"/>
    <w:rsid w:val="00B66D70"/>
    <w:rsid w:val="00B66DCE"/>
    <w:rsid w:val="00B66FAE"/>
    <w:rsid w:val="00B67A6B"/>
    <w:rsid w:val="00B67DAB"/>
    <w:rsid w:val="00B7029C"/>
    <w:rsid w:val="00B703A1"/>
    <w:rsid w:val="00B70728"/>
    <w:rsid w:val="00B70AE0"/>
    <w:rsid w:val="00B70F1C"/>
    <w:rsid w:val="00B7189A"/>
    <w:rsid w:val="00B71E2B"/>
    <w:rsid w:val="00B7215E"/>
    <w:rsid w:val="00B7268F"/>
    <w:rsid w:val="00B72981"/>
    <w:rsid w:val="00B73752"/>
    <w:rsid w:val="00B7379B"/>
    <w:rsid w:val="00B7447E"/>
    <w:rsid w:val="00B74F6F"/>
    <w:rsid w:val="00B75334"/>
    <w:rsid w:val="00B75BA4"/>
    <w:rsid w:val="00B75CCC"/>
    <w:rsid w:val="00B75CF5"/>
    <w:rsid w:val="00B75FFA"/>
    <w:rsid w:val="00B76779"/>
    <w:rsid w:val="00B76BA4"/>
    <w:rsid w:val="00B76C4B"/>
    <w:rsid w:val="00B77300"/>
    <w:rsid w:val="00B77383"/>
    <w:rsid w:val="00B77489"/>
    <w:rsid w:val="00B775E1"/>
    <w:rsid w:val="00B80235"/>
    <w:rsid w:val="00B80402"/>
    <w:rsid w:val="00B8043E"/>
    <w:rsid w:val="00B807E9"/>
    <w:rsid w:val="00B80997"/>
    <w:rsid w:val="00B81039"/>
    <w:rsid w:val="00B817E7"/>
    <w:rsid w:val="00B81ADF"/>
    <w:rsid w:val="00B81BFF"/>
    <w:rsid w:val="00B81F1B"/>
    <w:rsid w:val="00B8241C"/>
    <w:rsid w:val="00B8302F"/>
    <w:rsid w:val="00B83EC5"/>
    <w:rsid w:val="00B841AB"/>
    <w:rsid w:val="00B844B0"/>
    <w:rsid w:val="00B845BC"/>
    <w:rsid w:val="00B845FA"/>
    <w:rsid w:val="00B8499F"/>
    <w:rsid w:val="00B84C38"/>
    <w:rsid w:val="00B84E0B"/>
    <w:rsid w:val="00B84FC3"/>
    <w:rsid w:val="00B85161"/>
    <w:rsid w:val="00B8575C"/>
    <w:rsid w:val="00B86133"/>
    <w:rsid w:val="00B86194"/>
    <w:rsid w:val="00B8686C"/>
    <w:rsid w:val="00B8697B"/>
    <w:rsid w:val="00B86EFA"/>
    <w:rsid w:val="00B87149"/>
    <w:rsid w:val="00B874CE"/>
    <w:rsid w:val="00B90947"/>
    <w:rsid w:val="00B90A16"/>
    <w:rsid w:val="00B9115B"/>
    <w:rsid w:val="00B912BD"/>
    <w:rsid w:val="00B91F9F"/>
    <w:rsid w:val="00B92174"/>
    <w:rsid w:val="00B925D4"/>
    <w:rsid w:val="00B9286E"/>
    <w:rsid w:val="00B92896"/>
    <w:rsid w:val="00B92CB1"/>
    <w:rsid w:val="00B92F53"/>
    <w:rsid w:val="00B92F78"/>
    <w:rsid w:val="00B933B4"/>
    <w:rsid w:val="00B9357F"/>
    <w:rsid w:val="00B935E3"/>
    <w:rsid w:val="00B93E39"/>
    <w:rsid w:val="00B9440B"/>
    <w:rsid w:val="00B952A3"/>
    <w:rsid w:val="00B9580B"/>
    <w:rsid w:val="00B95D0E"/>
    <w:rsid w:val="00B95E6F"/>
    <w:rsid w:val="00B95F8D"/>
    <w:rsid w:val="00B963F8"/>
    <w:rsid w:val="00B964FE"/>
    <w:rsid w:val="00B96713"/>
    <w:rsid w:val="00B96DCA"/>
    <w:rsid w:val="00B96F18"/>
    <w:rsid w:val="00B970D2"/>
    <w:rsid w:val="00B972EA"/>
    <w:rsid w:val="00B97753"/>
    <w:rsid w:val="00B97755"/>
    <w:rsid w:val="00BA07FD"/>
    <w:rsid w:val="00BA0E3D"/>
    <w:rsid w:val="00BA1094"/>
    <w:rsid w:val="00BA17E0"/>
    <w:rsid w:val="00BA2064"/>
    <w:rsid w:val="00BA2888"/>
    <w:rsid w:val="00BA29DB"/>
    <w:rsid w:val="00BA2F23"/>
    <w:rsid w:val="00BA2F90"/>
    <w:rsid w:val="00BA2FD0"/>
    <w:rsid w:val="00BA341C"/>
    <w:rsid w:val="00BA35CC"/>
    <w:rsid w:val="00BA3B44"/>
    <w:rsid w:val="00BA4062"/>
    <w:rsid w:val="00BA4686"/>
    <w:rsid w:val="00BA4BF5"/>
    <w:rsid w:val="00BA4C60"/>
    <w:rsid w:val="00BA4D93"/>
    <w:rsid w:val="00BA511C"/>
    <w:rsid w:val="00BA57C6"/>
    <w:rsid w:val="00BA5C2C"/>
    <w:rsid w:val="00BA5ECD"/>
    <w:rsid w:val="00BA64AC"/>
    <w:rsid w:val="00BA65EE"/>
    <w:rsid w:val="00BA6739"/>
    <w:rsid w:val="00BA6873"/>
    <w:rsid w:val="00BA6BCF"/>
    <w:rsid w:val="00BA7AF7"/>
    <w:rsid w:val="00BA7B7F"/>
    <w:rsid w:val="00BA7F72"/>
    <w:rsid w:val="00BB022F"/>
    <w:rsid w:val="00BB0271"/>
    <w:rsid w:val="00BB18A2"/>
    <w:rsid w:val="00BB1983"/>
    <w:rsid w:val="00BB2C6C"/>
    <w:rsid w:val="00BB2D15"/>
    <w:rsid w:val="00BB2F2B"/>
    <w:rsid w:val="00BB2FA8"/>
    <w:rsid w:val="00BB3CA2"/>
    <w:rsid w:val="00BB3E91"/>
    <w:rsid w:val="00BB4039"/>
    <w:rsid w:val="00BB4123"/>
    <w:rsid w:val="00BB4277"/>
    <w:rsid w:val="00BB5DC5"/>
    <w:rsid w:val="00BB5E5F"/>
    <w:rsid w:val="00BB6142"/>
    <w:rsid w:val="00BB61F1"/>
    <w:rsid w:val="00BB6440"/>
    <w:rsid w:val="00BB6892"/>
    <w:rsid w:val="00BB798E"/>
    <w:rsid w:val="00BB7B7D"/>
    <w:rsid w:val="00BB7C44"/>
    <w:rsid w:val="00BB7C81"/>
    <w:rsid w:val="00BC01D1"/>
    <w:rsid w:val="00BC043D"/>
    <w:rsid w:val="00BC052A"/>
    <w:rsid w:val="00BC059D"/>
    <w:rsid w:val="00BC0D8F"/>
    <w:rsid w:val="00BC10F9"/>
    <w:rsid w:val="00BC1198"/>
    <w:rsid w:val="00BC1628"/>
    <w:rsid w:val="00BC1846"/>
    <w:rsid w:val="00BC1A2B"/>
    <w:rsid w:val="00BC1F10"/>
    <w:rsid w:val="00BC1F8B"/>
    <w:rsid w:val="00BC21FD"/>
    <w:rsid w:val="00BC23CF"/>
    <w:rsid w:val="00BC250F"/>
    <w:rsid w:val="00BC3084"/>
    <w:rsid w:val="00BC33C2"/>
    <w:rsid w:val="00BC33C9"/>
    <w:rsid w:val="00BC43B3"/>
    <w:rsid w:val="00BC46AE"/>
    <w:rsid w:val="00BC48FD"/>
    <w:rsid w:val="00BC4BBF"/>
    <w:rsid w:val="00BC4C85"/>
    <w:rsid w:val="00BC4D1B"/>
    <w:rsid w:val="00BC529A"/>
    <w:rsid w:val="00BC616B"/>
    <w:rsid w:val="00BC63E8"/>
    <w:rsid w:val="00BC642D"/>
    <w:rsid w:val="00BC676A"/>
    <w:rsid w:val="00BC6BAF"/>
    <w:rsid w:val="00BC6BC3"/>
    <w:rsid w:val="00BC6C6F"/>
    <w:rsid w:val="00BC6E96"/>
    <w:rsid w:val="00BC709E"/>
    <w:rsid w:val="00BC72BF"/>
    <w:rsid w:val="00BC7812"/>
    <w:rsid w:val="00BD02D3"/>
    <w:rsid w:val="00BD04EC"/>
    <w:rsid w:val="00BD05FA"/>
    <w:rsid w:val="00BD0E9B"/>
    <w:rsid w:val="00BD109A"/>
    <w:rsid w:val="00BD1328"/>
    <w:rsid w:val="00BD15F9"/>
    <w:rsid w:val="00BD1662"/>
    <w:rsid w:val="00BD1727"/>
    <w:rsid w:val="00BD1E20"/>
    <w:rsid w:val="00BD21DE"/>
    <w:rsid w:val="00BD2407"/>
    <w:rsid w:val="00BD29C5"/>
    <w:rsid w:val="00BD2C11"/>
    <w:rsid w:val="00BD34CD"/>
    <w:rsid w:val="00BD3D22"/>
    <w:rsid w:val="00BD3F32"/>
    <w:rsid w:val="00BD4495"/>
    <w:rsid w:val="00BD44EF"/>
    <w:rsid w:val="00BD4872"/>
    <w:rsid w:val="00BD4E2E"/>
    <w:rsid w:val="00BD4EBF"/>
    <w:rsid w:val="00BD4F07"/>
    <w:rsid w:val="00BD523A"/>
    <w:rsid w:val="00BD53C5"/>
    <w:rsid w:val="00BD5CDD"/>
    <w:rsid w:val="00BD5E05"/>
    <w:rsid w:val="00BD6205"/>
    <w:rsid w:val="00BD66B7"/>
    <w:rsid w:val="00BD68A5"/>
    <w:rsid w:val="00BD6C7C"/>
    <w:rsid w:val="00BD6D4C"/>
    <w:rsid w:val="00BD6DFE"/>
    <w:rsid w:val="00BD6F96"/>
    <w:rsid w:val="00BD7137"/>
    <w:rsid w:val="00BD7839"/>
    <w:rsid w:val="00BE1513"/>
    <w:rsid w:val="00BE183F"/>
    <w:rsid w:val="00BE1884"/>
    <w:rsid w:val="00BE1950"/>
    <w:rsid w:val="00BE1966"/>
    <w:rsid w:val="00BE1AFE"/>
    <w:rsid w:val="00BE2222"/>
    <w:rsid w:val="00BE245B"/>
    <w:rsid w:val="00BE2650"/>
    <w:rsid w:val="00BE2702"/>
    <w:rsid w:val="00BE2742"/>
    <w:rsid w:val="00BE278A"/>
    <w:rsid w:val="00BE2F95"/>
    <w:rsid w:val="00BE366C"/>
    <w:rsid w:val="00BE378F"/>
    <w:rsid w:val="00BE39BB"/>
    <w:rsid w:val="00BE3AA8"/>
    <w:rsid w:val="00BE3D85"/>
    <w:rsid w:val="00BE3E05"/>
    <w:rsid w:val="00BE4096"/>
    <w:rsid w:val="00BE41FC"/>
    <w:rsid w:val="00BE44F2"/>
    <w:rsid w:val="00BE4A3C"/>
    <w:rsid w:val="00BE4A6D"/>
    <w:rsid w:val="00BE4ACD"/>
    <w:rsid w:val="00BE4D1C"/>
    <w:rsid w:val="00BE4E8D"/>
    <w:rsid w:val="00BE57E4"/>
    <w:rsid w:val="00BE5DF0"/>
    <w:rsid w:val="00BE61E2"/>
    <w:rsid w:val="00BE6275"/>
    <w:rsid w:val="00BE643E"/>
    <w:rsid w:val="00BE6950"/>
    <w:rsid w:val="00BE7130"/>
    <w:rsid w:val="00BE74C4"/>
    <w:rsid w:val="00BE7533"/>
    <w:rsid w:val="00BE756D"/>
    <w:rsid w:val="00BE7E9C"/>
    <w:rsid w:val="00BF001B"/>
    <w:rsid w:val="00BF0AD7"/>
    <w:rsid w:val="00BF0D1A"/>
    <w:rsid w:val="00BF118B"/>
    <w:rsid w:val="00BF1217"/>
    <w:rsid w:val="00BF169D"/>
    <w:rsid w:val="00BF234F"/>
    <w:rsid w:val="00BF2F14"/>
    <w:rsid w:val="00BF36B1"/>
    <w:rsid w:val="00BF3767"/>
    <w:rsid w:val="00BF3812"/>
    <w:rsid w:val="00BF3A2C"/>
    <w:rsid w:val="00BF4D07"/>
    <w:rsid w:val="00BF51AB"/>
    <w:rsid w:val="00BF5348"/>
    <w:rsid w:val="00BF5528"/>
    <w:rsid w:val="00BF55C7"/>
    <w:rsid w:val="00BF5688"/>
    <w:rsid w:val="00BF63E4"/>
    <w:rsid w:val="00BF6F4A"/>
    <w:rsid w:val="00BF7E17"/>
    <w:rsid w:val="00C005E2"/>
    <w:rsid w:val="00C00799"/>
    <w:rsid w:val="00C00F64"/>
    <w:rsid w:val="00C01F6D"/>
    <w:rsid w:val="00C02F81"/>
    <w:rsid w:val="00C045FE"/>
    <w:rsid w:val="00C04A58"/>
    <w:rsid w:val="00C04BF2"/>
    <w:rsid w:val="00C04E42"/>
    <w:rsid w:val="00C05276"/>
    <w:rsid w:val="00C052F3"/>
    <w:rsid w:val="00C05BCD"/>
    <w:rsid w:val="00C063C3"/>
    <w:rsid w:val="00C06755"/>
    <w:rsid w:val="00C06CCF"/>
    <w:rsid w:val="00C07712"/>
    <w:rsid w:val="00C078D3"/>
    <w:rsid w:val="00C07EF2"/>
    <w:rsid w:val="00C10175"/>
    <w:rsid w:val="00C1028F"/>
    <w:rsid w:val="00C103ED"/>
    <w:rsid w:val="00C10635"/>
    <w:rsid w:val="00C1083F"/>
    <w:rsid w:val="00C11085"/>
    <w:rsid w:val="00C115F5"/>
    <w:rsid w:val="00C11629"/>
    <w:rsid w:val="00C11A06"/>
    <w:rsid w:val="00C11D35"/>
    <w:rsid w:val="00C12C02"/>
    <w:rsid w:val="00C12C20"/>
    <w:rsid w:val="00C13465"/>
    <w:rsid w:val="00C139B6"/>
    <w:rsid w:val="00C13DA8"/>
    <w:rsid w:val="00C1412E"/>
    <w:rsid w:val="00C1438D"/>
    <w:rsid w:val="00C143FF"/>
    <w:rsid w:val="00C14479"/>
    <w:rsid w:val="00C1460F"/>
    <w:rsid w:val="00C14795"/>
    <w:rsid w:val="00C15475"/>
    <w:rsid w:val="00C158CB"/>
    <w:rsid w:val="00C15A34"/>
    <w:rsid w:val="00C160DB"/>
    <w:rsid w:val="00C162FC"/>
    <w:rsid w:val="00C1634C"/>
    <w:rsid w:val="00C16735"/>
    <w:rsid w:val="00C16A27"/>
    <w:rsid w:val="00C17016"/>
    <w:rsid w:val="00C17F15"/>
    <w:rsid w:val="00C200CD"/>
    <w:rsid w:val="00C20EED"/>
    <w:rsid w:val="00C21048"/>
    <w:rsid w:val="00C2129E"/>
    <w:rsid w:val="00C21D14"/>
    <w:rsid w:val="00C2321C"/>
    <w:rsid w:val="00C23D82"/>
    <w:rsid w:val="00C2403E"/>
    <w:rsid w:val="00C241FB"/>
    <w:rsid w:val="00C2462C"/>
    <w:rsid w:val="00C24A96"/>
    <w:rsid w:val="00C24CFC"/>
    <w:rsid w:val="00C24E55"/>
    <w:rsid w:val="00C2559B"/>
    <w:rsid w:val="00C25A4F"/>
    <w:rsid w:val="00C25D99"/>
    <w:rsid w:val="00C261DA"/>
    <w:rsid w:val="00C263CE"/>
    <w:rsid w:val="00C2675F"/>
    <w:rsid w:val="00C26781"/>
    <w:rsid w:val="00C2764E"/>
    <w:rsid w:val="00C27676"/>
    <w:rsid w:val="00C27AAD"/>
    <w:rsid w:val="00C3026C"/>
    <w:rsid w:val="00C302E9"/>
    <w:rsid w:val="00C30325"/>
    <w:rsid w:val="00C305DA"/>
    <w:rsid w:val="00C30BAD"/>
    <w:rsid w:val="00C30ECE"/>
    <w:rsid w:val="00C30EE0"/>
    <w:rsid w:val="00C318C7"/>
    <w:rsid w:val="00C31A6A"/>
    <w:rsid w:val="00C31AF8"/>
    <w:rsid w:val="00C3220E"/>
    <w:rsid w:val="00C323FC"/>
    <w:rsid w:val="00C32B3F"/>
    <w:rsid w:val="00C3372A"/>
    <w:rsid w:val="00C341AF"/>
    <w:rsid w:val="00C344B4"/>
    <w:rsid w:val="00C348CE"/>
    <w:rsid w:val="00C348DB"/>
    <w:rsid w:val="00C34973"/>
    <w:rsid w:val="00C34DFF"/>
    <w:rsid w:val="00C356DF"/>
    <w:rsid w:val="00C35994"/>
    <w:rsid w:val="00C35B6A"/>
    <w:rsid w:val="00C35ED4"/>
    <w:rsid w:val="00C361E5"/>
    <w:rsid w:val="00C362F8"/>
    <w:rsid w:val="00C36466"/>
    <w:rsid w:val="00C367C3"/>
    <w:rsid w:val="00C36C02"/>
    <w:rsid w:val="00C3736E"/>
    <w:rsid w:val="00C377FB"/>
    <w:rsid w:val="00C409EF"/>
    <w:rsid w:val="00C40E15"/>
    <w:rsid w:val="00C4191B"/>
    <w:rsid w:val="00C41AA6"/>
    <w:rsid w:val="00C4213D"/>
    <w:rsid w:val="00C42276"/>
    <w:rsid w:val="00C423B1"/>
    <w:rsid w:val="00C42DC0"/>
    <w:rsid w:val="00C4331C"/>
    <w:rsid w:val="00C4331D"/>
    <w:rsid w:val="00C43409"/>
    <w:rsid w:val="00C434BC"/>
    <w:rsid w:val="00C437B3"/>
    <w:rsid w:val="00C43FDB"/>
    <w:rsid w:val="00C441D5"/>
    <w:rsid w:val="00C44272"/>
    <w:rsid w:val="00C44A53"/>
    <w:rsid w:val="00C44AEC"/>
    <w:rsid w:val="00C44CEE"/>
    <w:rsid w:val="00C44EA9"/>
    <w:rsid w:val="00C44F07"/>
    <w:rsid w:val="00C45066"/>
    <w:rsid w:val="00C4548D"/>
    <w:rsid w:val="00C45529"/>
    <w:rsid w:val="00C45621"/>
    <w:rsid w:val="00C458F5"/>
    <w:rsid w:val="00C45B6D"/>
    <w:rsid w:val="00C45CCD"/>
    <w:rsid w:val="00C45F61"/>
    <w:rsid w:val="00C46279"/>
    <w:rsid w:val="00C4675C"/>
    <w:rsid w:val="00C47410"/>
    <w:rsid w:val="00C47C7C"/>
    <w:rsid w:val="00C502B9"/>
    <w:rsid w:val="00C5032C"/>
    <w:rsid w:val="00C50572"/>
    <w:rsid w:val="00C509BF"/>
    <w:rsid w:val="00C50A9A"/>
    <w:rsid w:val="00C5102E"/>
    <w:rsid w:val="00C51353"/>
    <w:rsid w:val="00C5145D"/>
    <w:rsid w:val="00C51605"/>
    <w:rsid w:val="00C51E1E"/>
    <w:rsid w:val="00C51E7D"/>
    <w:rsid w:val="00C51FB3"/>
    <w:rsid w:val="00C5234E"/>
    <w:rsid w:val="00C52A17"/>
    <w:rsid w:val="00C52E63"/>
    <w:rsid w:val="00C5308F"/>
    <w:rsid w:val="00C53159"/>
    <w:rsid w:val="00C5315C"/>
    <w:rsid w:val="00C53251"/>
    <w:rsid w:val="00C53E56"/>
    <w:rsid w:val="00C53FA4"/>
    <w:rsid w:val="00C54012"/>
    <w:rsid w:val="00C5490D"/>
    <w:rsid w:val="00C54BAA"/>
    <w:rsid w:val="00C54FCA"/>
    <w:rsid w:val="00C55178"/>
    <w:rsid w:val="00C55B31"/>
    <w:rsid w:val="00C56453"/>
    <w:rsid w:val="00C566C7"/>
    <w:rsid w:val="00C567D0"/>
    <w:rsid w:val="00C56A32"/>
    <w:rsid w:val="00C5791A"/>
    <w:rsid w:val="00C6007A"/>
    <w:rsid w:val="00C60929"/>
    <w:rsid w:val="00C611D3"/>
    <w:rsid w:val="00C61389"/>
    <w:rsid w:val="00C616DA"/>
    <w:rsid w:val="00C6181B"/>
    <w:rsid w:val="00C61952"/>
    <w:rsid w:val="00C61ED8"/>
    <w:rsid w:val="00C62018"/>
    <w:rsid w:val="00C622A0"/>
    <w:rsid w:val="00C6367B"/>
    <w:rsid w:val="00C63705"/>
    <w:rsid w:val="00C63ED6"/>
    <w:rsid w:val="00C64072"/>
    <w:rsid w:val="00C6453C"/>
    <w:rsid w:val="00C64670"/>
    <w:rsid w:val="00C65BE7"/>
    <w:rsid w:val="00C6657A"/>
    <w:rsid w:val="00C66859"/>
    <w:rsid w:val="00C671EF"/>
    <w:rsid w:val="00C678B9"/>
    <w:rsid w:val="00C679B7"/>
    <w:rsid w:val="00C67F11"/>
    <w:rsid w:val="00C67F78"/>
    <w:rsid w:val="00C7054F"/>
    <w:rsid w:val="00C70B4D"/>
    <w:rsid w:val="00C71A4A"/>
    <w:rsid w:val="00C71AF5"/>
    <w:rsid w:val="00C71CEF"/>
    <w:rsid w:val="00C71D53"/>
    <w:rsid w:val="00C727CB"/>
    <w:rsid w:val="00C72B84"/>
    <w:rsid w:val="00C72BC5"/>
    <w:rsid w:val="00C72D77"/>
    <w:rsid w:val="00C73339"/>
    <w:rsid w:val="00C73560"/>
    <w:rsid w:val="00C73D53"/>
    <w:rsid w:val="00C74045"/>
    <w:rsid w:val="00C7459A"/>
    <w:rsid w:val="00C747F3"/>
    <w:rsid w:val="00C7498E"/>
    <w:rsid w:val="00C74A7B"/>
    <w:rsid w:val="00C74DF7"/>
    <w:rsid w:val="00C75432"/>
    <w:rsid w:val="00C7546E"/>
    <w:rsid w:val="00C754B5"/>
    <w:rsid w:val="00C75D04"/>
    <w:rsid w:val="00C76123"/>
    <w:rsid w:val="00C76189"/>
    <w:rsid w:val="00C7656E"/>
    <w:rsid w:val="00C765BD"/>
    <w:rsid w:val="00C767D3"/>
    <w:rsid w:val="00C76900"/>
    <w:rsid w:val="00C769D9"/>
    <w:rsid w:val="00C76B05"/>
    <w:rsid w:val="00C76D9C"/>
    <w:rsid w:val="00C77753"/>
    <w:rsid w:val="00C77AF4"/>
    <w:rsid w:val="00C77BDB"/>
    <w:rsid w:val="00C77D63"/>
    <w:rsid w:val="00C77E10"/>
    <w:rsid w:val="00C77ED4"/>
    <w:rsid w:val="00C77F66"/>
    <w:rsid w:val="00C80147"/>
    <w:rsid w:val="00C80370"/>
    <w:rsid w:val="00C80DD9"/>
    <w:rsid w:val="00C812F4"/>
    <w:rsid w:val="00C81B13"/>
    <w:rsid w:val="00C8223C"/>
    <w:rsid w:val="00C82710"/>
    <w:rsid w:val="00C82ECF"/>
    <w:rsid w:val="00C83E05"/>
    <w:rsid w:val="00C8466D"/>
    <w:rsid w:val="00C84B7B"/>
    <w:rsid w:val="00C856FD"/>
    <w:rsid w:val="00C8595C"/>
    <w:rsid w:val="00C85B2C"/>
    <w:rsid w:val="00C85D50"/>
    <w:rsid w:val="00C86199"/>
    <w:rsid w:val="00C86EBE"/>
    <w:rsid w:val="00C87542"/>
    <w:rsid w:val="00C87F6D"/>
    <w:rsid w:val="00C87F70"/>
    <w:rsid w:val="00C901D5"/>
    <w:rsid w:val="00C908D0"/>
    <w:rsid w:val="00C90E11"/>
    <w:rsid w:val="00C9102D"/>
    <w:rsid w:val="00C9123B"/>
    <w:rsid w:val="00C92488"/>
    <w:rsid w:val="00C9250B"/>
    <w:rsid w:val="00C9298E"/>
    <w:rsid w:val="00C92A62"/>
    <w:rsid w:val="00C92A92"/>
    <w:rsid w:val="00C92EB7"/>
    <w:rsid w:val="00C9335E"/>
    <w:rsid w:val="00C93698"/>
    <w:rsid w:val="00C93960"/>
    <w:rsid w:val="00C9399F"/>
    <w:rsid w:val="00C93A28"/>
    <w:rsid w:val="00C94307"/>
    <w:rsid w:val="00C9447A"/>
    <w:rsid w:val="00C94D38"/>
    <w:rsid w:val="00C9516D"/>
    <w:rsid w:val="00C95507"/>
    <w:rsid w:val="00C95561"/>
    <w:rsid w:val="00C9565E"/>
    <w:rsid w:val="00C95E43"/>
    <w:rsid w:val="00C9651B"/>
    <w:rsid w:val="00C96AE1"/>
    <w:rsid w:val="00C96B1B"/>
    <w:rsid w:val="00C96DFA"/>
    <w:rsid w:val="00C96ED3"/>
    <w:rsid w:val="00C97650"/>
    <w:rsid w:val="00C9781E"/>
    <w:rsid w:val="00CA02BC"/>
    <w:rsid w:val="00CA034A"/>
    <w:rsid w:val="00CA03B4"/>
    <w:rsid w:val="00CA0604"/>
    <w:rsid w:val="00CA07D8"/>
    <w:rsid w:val="00CA11E0"/>
    <w:rsid w:val="00CA16F8"/>
    <w:rsid w:val="00CA1963"/>
    <w:rsid w:val="00CA1E67"/>
    <w:rsid w:val="00CA1F46"/>
    <w:rsid w:val="00CA2232"/>
    <w:rsid w:val="00CA279D"/>
    <w:rsid w:val="00CA2ACB"/>
    <w:rsid w:val="00CA360D"/>
    <w:rsid w:val="00CA5276"/>
    <w:rsid w:val="00CA662D"/>
    <w:rsid w:val="00CA67EF"/>
    <w:rsid w:val="00CA6D14"/>
    <w:rsid w:val="00CA6D64"/>
    <w:rsid w:val="00CA7086"/>
    <w:rsid w:val="00CA70D9"/>
    <w:rsid w:val="00CA7144"/>
    <w:rsid w:val="00CA7388"/>
    <w:rsid w:val="00CA7627"/>
    <w:rsid w:val="00CA79C2"/>
    <w:rsid w:val="00CA7E1C"/>
    <w:rsid w:val="00CA7E1D"/>
    <w:rsid w:val="00CB028C"/>
    <w:rsid w:val="00CB0A97"/>
    <w:rsid w:val="00CB0CB4"/>
    <w:rsid w:val="00CB1097"/>
    <w:rsid w:val="00CB1C37"/>
    <w:rsid w:val="00CB2097"/>
    <w:rsid w:val="00CB2500"/>
    <w:rsid w:val="00CB2B1F"/>
    <w:rsid w:val="00CB2B49"/>
    <w:rsid w:val="00CB3263"/>
    <w:rsid w:val="00CB3307"/>
    <w:rsid w:val="00CB3858"/>
    <w:rsid w:val="00CB3ABF"/>
    <w:rsid w:val="00CB40FF"/>
    <w:rsid w:val="00CB4479"/>
    <w:rsid w:val="00CB454A"/>
    <w:rsid w:val="00CB4E71"/>
    <w:rsid w:val="00CB55D5"/>
    <w:rsid w:val="00CB5784"/>
    <w:rsid w:val="00CB5794"/>
    <w:rsid w:val="00CB5898"/>
    <w:rsid w:val="00CB5D2F"/>
    <w:rsid w:val="00CB6002"/>
    <w:rsid w:val="00CB6664"/>
    <w:rsid w:val="00CB6A96"/>
    <w:rsid w:val="00CB6BB3"/>
    <w:rsid w:val="00CB6E16"/>
    <w:rsid w:val="00CB7545"/>
    <w:rsid w:val="00CB79DA"/>
    <w:rsid w:val="00CC0479"/>
    <w:rsid w:val="00CC06D2"/>
    <w:rsid w:val="00CC08F9"/>
    <w:rsid w:val="00CC0D85"/>
    <w:rsid w:val="00CC0E7C"/>
    <w:rsid w:val="00CC15EA"/>
    <w:rsid w:val="00CC1C18"/>
    <w:rsid w:val="00CC2AC6"/>
    <w:rsid w:val="00CC3043"/>
    <w:rsid w:val="00CC33B2"/>
    <w:rsid w:val="00CC348D"/>
    <w:rsid w:val="00CC3ABC"/>
    <w:rsid w:val="00CC4179"/>
    <w:rsid w:val="00CC44F3"/>
    <w:rsid w:val="00CC460F"/>
    <w:rsid w:val="00CC4C35"/>
    <w:rsid w:val="00CC515F"/>
    <w:rsid w:val="00CC54B3"/>
    <w:rsid w:val="00CC5543"/>
    <w:rsid w:val="00CC5575"/>
    <w:rsid w:val="00CC5AC1"/>
    <w:rsid w:val="00CC5D4B"/>
    <w:rsid w:val="00CC5FB0"/>
    <w:rsid w:val="00CC60BD"/>
    <w:rsid w:val="00CC6CC7"/>
    <w:rsid w:val="00CC73EF"/>
    <w:rsid w:val="00CC7981"/>
    <w:rsid w:val="00CC7B89"/>
    <w:rsid w:val="00CC7F16"/>
    <w:rsid w:val="00CC7F69"/>
    <w:rsid w:val="00CD0AE2"/>
    <w:rsid w:val="00CD113F"/>
    <w:rsid w:val="00CD13BB"/>
    <w:rsid w:val="00CD1621"/>
    <w:rsid w:val="00CD164B"/>
    <w:rsid w:val="00CD1A03"/>
    <w:rsid w:val="00CD21BF"/>
    <w:rsid w:val="00CD26DB"/>
    <w:rsid w:val="00CD2B1A"/>
    <w:rsid w:val="00CD2EBE"/>
    <w:rsid w:val="00CD2EC5"/>
    <w:rsid w:val="00CD3286"/>
    <w:rsid w:val="00CD391F"/>
    <w:rsid w:val="00CD39CB"/>
    <w:rsid w:val="00CD3A3A"/>
    <w:rsid w:val="00CD3E9B"/>
    <w:rsid w:val="00CD441E"/>
    <w:rsid w:val="00CD464E"/>
    <w:rsid w:val="00CD4836"/>
    <w:rsid w:val="00CD4A37"/>
    <w:rsid w:val="00CD5589"/>
    <w:rsid w:val="00CD5631"/>
    <w:rsid w:val="00CD56E1"/>
    <w:rsid w:val="00CD5B8C"/>
    <w:rsid w:val="00CD5BDA"/>
    <w:rsid w:val="00CD5C52"/>
    <w:rsid w:val="00CD6DAC"/>
    <w:rsid w:val="00CD6E16"/>
    <w:rsid w:val="00CD7041"/>
    <w:rsid w:val="00CD709E"/>
    <w:rsid w:val="00CD70A9"/>
    <w:rsid w:val="00CD70F3"/>
    <w:rsid w:val="00CD7585"/>
    <w:rsid w:val="00CD7D25"/>
    <w:rsid w:val="00CE0112"/>
    <w:rsid w:val="00CE03FE"/>
    <w:rsid w:val="00CE041B"/>
    <w:rsid w:val="00CE0669"/>
    <w:rsid w:val="00CE0937"/>
    <w:rsid w:val="00CE0D9D"/>
    <w:rsid w:val="00CE0DDD"/>
    <w:rsid w:val="00CE0F02"/>
    <w:rsid w:val="00CE0F8E"/>
    <w:rsid w:val="00CE145E"/>
    <w:rsid w:val="00CE17D3"/>
    <w:rsid w:val="00CE1D2E"/>
    <w:rsid w:val="00CE201E"/>
    <w:rsid w:val="00CE2255"/>
    <w:rsid w:val="00CE22E8"/>
    <w:rsid w:val="00CE2407"/>
    <w:rsid w:val="00CE2530"/>
    <w:rsid w:val="00CE2A8E"/>
    <w:rsid w:val="00CE2DC0"/>
    <w:rsid w:val="00CE325F"/>
    <w:rsid w:val="00CE3504"/>
    <w:rsid w:val="00CE36EC"/>
    <w:rsid w:val="00CE3B35"/>
    <w:rsid w:val="00CE3C24"/>
    <w:rsid w:val="00CE3DA1"/>
    <w:rsid w:val="00CE3EE9"/>
    <w:rsid w:val="00CE41A7"/>
    <w:rsid w:val="00CE44A4"/>
    <w:rsid w:val="00CE4798"/>
    <w:rsid w:val="00CE4A5B"/>
    <w:rsid w:val="00CE5501"/>
    <w:rsid w:val="00CE56FB"/>
    <w:rsid w:val="00CE5D7C"/>
    <w:rsid w:val="00CE5D8E"/>
    <w:rsid w:val="00CE5EFA"/>
    <w:rsid w:val="00CE6332"/>
    <w:rsid w:val="00CE67D7"/>
    <w:rsid w:val="00CE76A6"/>
    <w:rsid w:val="00CE785E"/>
    <w:rsid w:val="00CE7AE6"/>
    <w:rsid w:val="00CE7F57"/>
    <w:rsid w:val="00CF03DE"/>
    <w:rsid w:val="00CF0490"/>
    <w:rsid w:val="00CF0912"/>
    <w:rsid w:val="00CF0CD3"/>
    <w:rsid w:val="00CF0EAE"/>
    <w:rsid w:val="00CF0F9C"/>
    <w:rsid w:val="00CF12F8"/>
    <w:rsid w:val="00CF187B"/>
    <w:rsid w:val="00CF1A38"/>
    <w:rsid w:val="00CF3008"/>
    <w:rsid w:val="00CF3CB9"/>
    <w:rsid w:val="00CF41F9"/>
    <w:rsid w:val="00CF458F"/>
    <w:rsid w:val="00CF511C"/>
    <w:rsid w:val="00CF518D"/>
    <w:rsid w:val="00CF526F"/>
    <w:rsid w:val="00CF5325"/>
    <w:rsid w:val="00CF5553"/>
    <w:rsid w:val="00CF5856"/>
    <w:rsid w:val="00CF5BD1"/>
    <w:rsid w:val="00CF5DEF"/>
    <w:rsid w:val="00CF6451"/>
    <w:rsid w:val="00CF6454"/>
    <w:rsid w:val="00CF66EF"/>
    <w:rsid w:val="00CF6B67"/>
    <w:rsid w:val="00CF6B87"/>
    <w:rsid w:val="00CF7085"/>
    <w:rsid w:val="00CF70DF"/>
    <w:rsid w:val="00CF7147"/>
    <w:rsid w:val="00CF7723"/>
    <w:rsid w:val="00CF7C0D"/>
    <w:rsid w:val="00CF7EAB"/>
    <w:rsid w:val="00D00026"/>
    <w:rsid w:val="00D0069B"/>
    <w:rsid w:val="00D008FD"/>
    <w:rsid w:val="00D00A60"/>
    <w:rsid w:val="00D01193"/>
    <w:rsid w:val="00D011FF"/>
    <w:rsid w:val="00D01376"/>
    <w:rsid w:val="00D01403"/>
    <w:rsid w:val="00D015EB"/>
    <w:rsid w:val="00D01738"/>
    <w:rsid w:val="00D01929"/>
    <w:rsid w:val="00D01E72"/>
    <w:rsid w:val="00D021A5"/>
    <w:rsid w:val="00D022E9"/>
    <w:rsid w:val="00D023FE"/>
    <w:rsid w:val="00D02637"/>
    <w:rsid w:val="00D0273B"/>
    <w:rsid w:val="00D02807"/>
    <w:rsid w:val="00D03231"/>
    <w:rsid w:val="00D03520"/>
    <w:rsid w:val="00D03DE5"/>
    <w:rsid w:val="00D04153"/>
    <w:rsid w:val="00D0531B"/>
    <w:rsid w:val="00D05D99"/>
    <w:rsid w:val="00D06189"/>
    <w:rsid w:val="00D06241"/>
    <w:rsid w:val="00D06B77"/>
    <w:rsid w:val="00D07169"/>
    <w:rsid w:val="00D07358"/>
    <w:rsid w:val="00D073EE"/>
    <w:rsid w:val="00D07AD5"/>
    <w:rsid w:val="00D07E4C"/>
    <w:rsid w:val="00D07E5E"/>
    <w:rsid w:val="00D11636"/>
    <w:rsid w:val="00D1197C"/>
    <w:rsid w:val="00D11B3F"/>
    <w:rsid w:val="00D12B94"/>
    <w:rsid w:val="00D13067"/>
    <w:rsid w:val="00D132F4"/>
    <w:rsid w:val="00D135AD"/>
    <w:rsid w:val="00D13959"/>
    <w:rsid w:val="00D13B76"/>
    <w:rsid w:val="00D13D2A"/>
    <w:rsid w:val="00D1421D"/>
    <w:rsid w:val="00D14985"/>
    <w:rsid w:val="00D14ADF"/>
    <w:rsid w:val="00D14B87"/>
    <w:rsid w:val="00D14E40"/>
    <w:rsid w:val="00D15420"/>
    <w:rsid w:val="00D155E2"/>
    <w:rsid w:val="00D15C6B"/>
    <w:rsid w:val="00D16ABD"/>
    <w:rsid w:val="00D17B3B"/>
    <w:rsid w:val="00D200D3"/>
    <w:rsid w:val="00D202CF"/>
    <w:rsid w:val="00D2035E"/>
    <w:rsid w:val="00D20A2F"/>
    <w:rsid w:val="00D20DD8"/>
    <w:rsid w:val="00D21B4F"/>
    <w:rsid w:val="00D223DE"/>
    <w:rsid w:val="00D2341C"/>
    <w:rsid w:val="00D2366F"/>
    <w:rsid w:val="00D236AE"/>
    <w:rsid w:val="00D2375C"/>
    <w:rsid w:val="00D23991"/>
    <w:rsid w:val="00D23C12"/>
    <w:rsid w:val="00D23C45"/>
    <w:rsid w:val="00D24484"/>
    <w:rsid w:val="00D24631"/>
    <w:rsid w:val="00D25374"/>
    <w:rsid w:val="00D257CE"/>
    <w:rsid w:val="00D25921"/>
    <w:rsid w:val="00D259E8"/>
    <w:rsid w:val="00D25D09"/>
    <w:rsid w:val="00D2707C"/>
    <w:rsid w:val="00D27150"/>
    <w:rsid w:val="00D271FF"/>
    <w:rsid w:val="00D27269"/>
    <w:rsid w:val="00D275B7"/>
    <w:rsid w:val="00D302EC"/>
    <w:rsid w:val="00D307FC"/>
    <w:rsid w:val="00D308B1"/>
    <w:rsid w:val="00D30D00"/>
    <w:rsid w:val="00D312FE"/>
    <w:rsid w:val="00D313E8"/>
    <w:rsid w:val="00D31C6E"/>
    <w:rsid w:val="00D321F7"/>
    <w:rsid w:val="00D32535"/>
    <w:rsid w:val="00D32993"/>
    <w:rsid w:val="00D32BA5"/>
    <w:rsid w:val="00D32D64"/>
    <w:rsid w:val="00D3361F"/>
    <w:rsid w:val="00D33B96"/>
    <w:rsid w:val="00D3402C"/>
    <w:rsid w:val="00D34467"/>
    <w:rsid w:val="00D344E8"/>
    <w:rsid w:val="00D34873"/>
    <w:rsid w:val="00D34E02"/>
    <w:rsid w:val="00D34EBA"/>
    <w:rsid w:val="00D35A40"/>
    <w:rsid w:val="00D35DC5"/>
    <w:rsid w:val="00D362FC"/>
    <w:rsid w:val="00D3639A"/>
    <w:rsid w:val="00D363F6"/>
    <w:rsid w:val="00D36584"/>
    <w:rsid w:val="00D36882"/>
    <w:rsid w:val="00D36AB9"/>
    <w:rsid w:val="00D36D8C"/>
    <w:rsid w:val="00D36DDA"/>
    <w:rsid w:val="00D36E95"/>
    <w:rsid w:val="00D370A7"/>
    <w:rsid w:val="00D37465"/>
    <w:rsid w:val="00D3762E"/>
    <w:rsid w:val="00D37652"/>
    <w:rsid w:val="00D401DC"/>
    <w:rsid w:val="00D402A4"/>
    <w:rsid w:val="00D40833"/>
    <w:rsid w:val="00D40834"/>
    <w:rsid w:val="00D410D1"/>
    <w:rsid w:val="00D41BCD"/>
    <w:rsid w:val="00D41DB9"/>
    <w:rsid w:val="00D41EBA"/>
    <w:rsid w:val="00D426A2"/>
    <w:rsid w:val="00D4275D"/>
    <w:rsid w:val="00D427B5"/>
    <w:rsid w:val="00D42E29"/>
    <w:rsid w:val="00D4345A"/>
    <w:rsid w:val="00D43D3C"/>
    <w:rsid w:val="00D43E3F"/>
    <w:rsid w:val="00D44290"/>
    <w:rsid w:val="00D442E1"/>
    <w:rsid w:val="00D44377"/>
    <w:rsid w:val="00D444EA"/>
    <w:rsid w:val="00D44515"/>
    <w:rsid w:val="00D44551"/>
    <w:rsid w:val="00D445CD"/>
    <w:rsid w:val="00D44A62"/>
    <w:rsid w:val="00D4507A"/>
    <w:rsid w:val="00D45585"/>
    <w:rsid w:val="00D45886"/>
    <w:rsid w:val="00D4623E"/>
    <w:rsid w:val="00D46305"/>
    <w:rsid w:val="00D46450"/>
    <w:rsid w:val="00D46625"/>
    <w:rsid w:val="00D466C6"/>
    <w:rsid w:val="00D4685F"/>
    <w:rsid w:val="00D46B6B"/>
    <w:rsid w:val="00D474FD"/>
    <w:rsid w:val="00D47E0B"/>
    <w:rsid w:val="00D50092"/>
    <w:rsid w:val="00D500AD"/>
    <w:rsid w:val="00D5025A"/>
    <w:rsid w:val="00D5077E"/>
    <w:rsid w:val="00D50A12"/>
    <w:rsid w:val="00D50B08"/>
    <w:rsid w:val="00D50B5E"/>
    <w:rsid w:val="00D51318"/>
    <w:rsid w:val="00D5181D"/>
    <w:rsid w:val="00D5181F"/>
    <w:rsid w:val="00D51D54"/>
    <w:rsid w:val="00D51E10"/>
    <w:rsid w:val="00D51EFD"/>
    <w:rsid w:val="00D521DD"/>
    <w:rsid w:val="00D5260D"/>
    <w:rsid w:val="00D52AC4"/>
    <w:rsid w:val="00D5325E"/>
    <w:rsid w:val="00D53B7A"/>
    <w:rsid w:val="00D53DC7"/>
    <w:rsid w:val="00D541BE"/>
    <w:rsid w:val="00D543E0"/>
    <w:rsid w:val="00D543F9"/>
    <w:rsid w:val="00D54466"/>
    <w:rsid w:val="00D54A25"/>
    <w:rsid w:val="00D55B75"/>
    <w:rsid w:val="00D55C2E"/>
    <w:rsid w:val="00D5678D"/>
    <w:rsid w:val="00D56CC0"/>
    <w:rsid w:val="00D57428"/>
    <w:rsid w:val="00D5779F"/>
    <w:rsid w:val="00D578DE"/>
    <w:rsid w:val="00D57A3A"/>
    <w:rsid w:val="00D57C25"/>
    <w:rsid w:val="00D6019B"/>
    <w:rsid w:val="00D603EE"/>
    <w:rsid w:val="00D60B28"/>
    <w:rsid w:val="00D60ED5"/>
    <w:rsid w:val="00D61310"/>
    <w:rsid w:val="00D613BA"/>
    <w:rsid w:val="00D6179E"/>
    <w:rsid w:val="00D61B77"/>
    <w:rsid w:val="00D61DE0"/>
    <w:rsid w:val="00D620C7"/>
    <w:rsid w:val="00D62416"/>
    <w:rsid w:val="00D6268B"/>
    <w:rsid w:val="00D62A71"/>
    <w:rsid w:val="00D62B8D"/>
    <w:rsid w:val="00D63873"/>
    <w:rsid w:val="00D63916"/>
    <w:rsid w:val="00D63C09"/>
    <w:rsid w:val="00D640C2"/>
    <w:rsid w:val="00D6428D"/>
    <w:rsid w:val="00D6453C"/>
    <w:rsid w:val="00D652CE"/>
    <w:rsid w:val="00D65443"/>
    <w:rsid w:val="00D656EB"/>
    <w:rsid w:val="00D65C0B"/>
    <w:rsid w:val="00D65CCC"/>
    <w:rsid w:val="00D6615D"/>
    <w:rsid w:val="00D66184"/>
    <w:rsid w:val="00D66471"/>
    <w:rsid w:val="00D66E64"/>
    <w:rsid w:val="00D67A7B"/>
    <w:rsid w:val="00D67B25"/>
    <w:rsid w:val="00D67EE4"/>
    <w:rsid w:val="00D708AC"/>
    <w:rsid w:val="00D7145E"/>
    <w:rsid w:val="00D71D09"/>
    <w:rsid w:val="00D72034"/>
    <w:rsid w:val="00D7241C"/>
    <w:rsid w:val="00D72429"/>
    <w:rsid w:val="00D72480"/>
    <w:rsid w:val="00D7267D"/>
    <w:rsid w:val="00D727C4"/>
    <w:rsid w:val="00D731CE"/>
    <w:rsid w:val="00D7341E"/>
    <w:rsid w:val="00D73B74"/>
    <w:rsid w:val="00D73E46"/>
    <w:rsid w:val="00D74020"/>
    <w:rsid w:val="00D74539"/>
    <w:rsid w:val="00D7480B"/>
    <w:rsid w:val="00D7483A"/>
    <w:rsid w:val="00D74981"/>
    <w:rsid w:val="00D752D5"/>
    <w:rsid w:val="00D75CB3"/>
    <w:rsid w:val="00D75D33"/>
    <w:rsid w:val="00D75E01"/>
    <w:rsid w:val="00D75E7D"/>
    <w:rsid w:val="00D76550"/>
    <w:rsid w:val="00D76649"/>
    <w:rsid w:val="00D76716"/>
    <w:rsid w:val="00D767A5"/>
    <w:rsid w:val="00D768AB"/>
    <w:rsid w:val="00D76933"/>
    <w:rsid w:val="00D76979"/>
    <w:rsid w:val="00D77BAB"/>
    <w:rsid w:val="00D77CAA"/>
    <w:rsid w:val="00D77E98"/>
    <w:rsid w:val="00D80211"/>
    <w:rsid w:val="00D805CC"/>
    <w:rsid w:val="00D80CA3"/>
    <w:rsid w:val="00D80EC0"/>
    <w:rsid w:val="00D816D4"/>
    <w:rsid w:val="00D81AEF"/>
    <w:rsid w:val="00D81E10"/>
    <w:rsid w:val="00D822A6"/>
    <w:rsid w:val="00D82569"/>
    <w:rsid w:val="00D82A0E"/>
    <w:rsid w:val="00D83894"/>
    <w:rsid w:val="00D83A91"/>
    <w:rsid w:val="00D83DEB"/>
    <w:rsid w:val="00D84692"/>
    <w:rsid w:val="00D84855"/>
    <w:rsid w:val="00D84AB6"/>
    <w:rsid w:val="00D858CC"/>
    <w:rsid w:val="00D866C0"/>
    <w:rsid w:val="00D867A3"/>
    <w:rsid w:val="00D867AA"/>
    <w:rsid w:val="00D86939"/>
    <w:rsid w:val="00D870AE"/>
    <w:rsid w:val="00D87287"/>
    <w:rsid w:val="00D87625"/>
    <w:rsid w:val="00D87BBA"/>
    <w:rsid w:val="00D87DC4"/>
    <w:rsid w:val="00D90078"/>
    <w:rsid w:val="00D90261"/>
    <w:rsid w:val="00D904A6"/>
    <w:rsid w:val="00D90676"/>
    <w:rsid w:val="00D912FB"/>
    <w:rsid w:val="00D913B3"/>
    <w:rsid w:val="00D91A47"/>
    <w:rsid w:val="00D91FB1"/>
    <w:rsid w:val="00D92409"/>
    <w:rsid w:val="00D9298D"/>
    <w:rsid w:val="00D93412"/>
    <w:rsid w:val="00D9384A"/>
    <w:rsid w:val="00D93D5E"/>
    <w:rsid w:val="00D93E0E"/>
    <w:rsid w:val="00D94B18"/>
    <w:rsid w:val="00D952F5"/>
    <w:rsid w:val="00D95508"/>
    <w:rsid w:val="00D957BF"/>
    <w:rsid w:val="00D95B7A"/>
    <w:rsid w:val="00D9655D"/>
    <w:rsid w:val="00D96CCC"/>
    <w:rsid w:val="00D970D7"/>
    <w:rsid w:val="00D970F2"/>
    <w:rsid w:val="00D97801"/>
    <w:rsid w:val="00D97DB2"/>
    <w:rsid w:val="00D97ECD"/>
    <w:rsid w:val="00D97F05"/>
    <w:rsid w:val="00DA0282"/>
    <w:rsid w:val="00DA0BCB"/>
    <w:rsid w:val="00DA1782"/>
    <w:rsid w:val="00DA1A55"/>
    <w:rsid w:val="00DA1B28"/>
    <w:rsid w:val="00DA1C9D"/>
    <w:rsid w:val="00DA1EE9"/>
    <w:rsid w:val="00DA2331"/>
    <w:rsid w:val="00DA2419"/>
    <w:rsid w:val="00DA2AE6"/>
    <w:rsid w:val="00DA2CE7"/>
    <w:rsid w:val="00DA3489"/>
    <w:rsid w:val="00DA40BA"/>
    <w:rsid w:val="00DA4304"/>
    <w:rsid w:val="00DA4477"/>
    <w:rsid w:val="00DA4A44"/>
    <w:rsid w:val="00DA4B88"/>
    <w:rsid w:val="00DA4C79"/>
    <w:rsid w:val="00DA50C3"/>
    <w:rsid w:val="00DA5A1F"/>
    <w:rsid w:val="00DA5C0D"/>
    <w:rsid w:val="00DA5EC1"/>
    <w:rsid w:val="00DA68BF"/>
    <w:rsid w:val="00DA6F6A"/>
    <w:rsid w:val="00DA7199"/>
    <w:rsid w:val="00DA72CF"/>
    <w:rsid w:val="00DA77AB"/>
    <w:rsid w:val="00DA7800"/>
    <w:rsid w:val="00DA7A66"/>
    <w:rsid w:val="00DA7D0A"/>
    <w:rsid w:val="00DB0146"/>
    <w:rsid w:val="00DB0391"/>
    <w:rsid w:val="00DB07CC"/>
    <w:rsid w:val="00DB0B10"/>
    <w:rsid w:val="00DB0DFA"/>
    <w:rsid w:val="00DB1589"/>
    <w:rsid w:val="00DB16A6"/>
    <w:rsid w:val="00DB2B10"/>
    <w:rsid w:val="00DB30EB"/>
    <w:rsid w:val="00DB333A"/>
    <w:rsid w:val="00DB374D"/>
    <w:rsid w:val="00DB3EC7"/>
    <w:rsid w:val="00DB423C"/>
    <w:rsid w:val="00DB4425"/>
    <w:rsid w:val="00DB54B9"/>
    <w:rsid w:val="00DB55A6"/>
    <w:rsid w:val="00DB583F"/>
    <w:rsid w:val="00DB5E20"/>
    <w:rsid w:val="00DB60D6"/>
    <w:rsid w:val="00DB647B"/>
    <w:rsid w:val="00DB68F7"/>
    <w:rsid w:val="00DB69B6"/>
    <w:rsid w:val="00DB6C67"/>
    <w:rsid w:val="00DB6C7D"/>
    <w:rsid w:val="00DB702B"/>
    <w:rsid w:val="00DB70C5"/>
    <w:rsid w:val="00DB71EC"/>
    <w:rsid w:val="00DB79E0"/>
    <w:rsid w:val="00DB7DCB"/>
    <w:rsid w:val="00DC013C"/>
    <w:rsid w:val="00DC04B3"/>
    <w:rsid w:val="00DC04E6"/>
    <w:rsid w:val="00DC0584"/>
    <w:rsid w:val="00DC09FE"/>
    <w:rsid w:val="00DC0BE9"/>
    <w:rsid w:val="00DC11B9"/>
    <w:rsid w:val="00DC1247"/>
    <w:rsid w:val="00DC12A7"/>
    <w:rsid w:val="00DC14C9"/>
    <w:rsid w:val="00DC1927"/>
    <w:rsid w:val="00DC1B53"/>
    <w:rsid w:val="00DC24A9"/>
    <w:rsid w:val="00DC267F"/>
    <w:rsid w:val="00DC2D64"/>
    <w:rsid w:val="00DC2F2C"/>
    <w:rsid w:val="00DC311D"/>
    <w:rsid w:val="00DC3396"/>
    <w:rsid w:val="00DC345B"/>
    <w:rsid w:val="00DC3B76"/>
    <w:rsid w:val="00DC3DD7"/>
    <w:rsid w:val="00DC3E82"/>
    <w:rsid w:val="00DC4171"/>
    <w:rsid w:val="00DC4417"/>
    <w:rsid w:val="00DC44E4"/>
    <w:rsid w:val="00DC4597"/>
    <w:rsid w:val="00DC49EB"/>
    <w:rsid w:val="00DC53AF"/>
    <w:rsid w:val="00DC54F6"/>
    <w:rsid w:val="00DC55B3"/>
    <w:rsid w:val="00DC59E4"/>
    <w:rsid w:val="00DC5AD6"/>
    <w:rsid w:val="00DC5B9B"/>
    <w:rsid w:val="00DC5E08"/>
    <w:rsid w:val="00DC611C"/>
    <w:rsid w:val="00DC614F"/>
    <w:rsid w:val="00DC624C"/>
    <w:rsid w:val="00DC64ED"/>
    <w:rsid w:val="00DC66EB"/>
    <w:rsid w:val="00DC697E"/>
    <w:rsid w:val="00DC6B17"/>
    <w:rsid w:val="00DC6BA0"/>
    <w:rsid w:val="00DC7D80"/>
    <w:rsid w:val="00DD00EE"/>
    <w:rsid w:val="00DD079D"/>
    <w:rsid w:val="00DD0F63"/>
    <w:rsid w:val="00DD10FB"/>
    <w:rsid w:val="00DD1268"/>
    <w:rsid w:val="00DD1655"/>
    <w:rsid w:val="00DD1B24"/>
    <w:rsid w:val="00DD1C14"/>
    <w:rsid w:val="00DD1F24"/>
    <w:rsid w:val="00DD1F42"/>
    <w:rsid w:val="00DD215C"/>
    <w:rsid w:val="00DD2306"/>
    <w:rsid w:val="00DD2422"/>
    <w:rsid w:val="00DD246D"/>
    <w:rsid w:val="00DD2B56"/>
    <w:rsid w:val="00DD2EF2"/>
    <w:rsid w:val="00DD2F48"/>
    <w:rsid w:val="00DD3140"/>
    <w:rsid w:val="00DD3327"/>
    <w:rsid w:val="00DD3929"/>
    <w:rsid w:val="00DD3A7E"/>
    <w:rsid w:val="00DD52AF"/>
    <w:rsid w:val="00DD554B"/>
    <w:rsid w:val="00DD55FD"/>
    <w:rsid w:val="00DD5E07"/>
    <w:rsid w:val="00DD62DC"/>
    <w:rsid w:val="00DD67D7"/>
    <w:rsid w:val="00DD6924"/>
    <w:rsid w:val="00DD6B37"/>
    <w:rsid w:val="00DD6EAA"/>
    <w:rsid w:val="00DD714E"/>
    <w:rsid w:val="00DD7278"/>
    <w:rsid w:val="00DD7517"/>
    <w:rsid w:val="00DD76AE"/>
    <w:rsid w:val="00DD77A5"/>
    <w:rsid w:val="00DD78B7"/>
    <w:rsid w:val="00DD7C7D"/>
    <w:rsid w:val="00DE021B"/>
    <w:rsid w:val="00DE0AF5"/>
    <w:rsid w:val="00DE1649"/>
    <w:rsid w:val="00DE1B30"/>
    <w:rsid w:val="00DE21C5"/>
    <w:rsid w:val="00DE2B45"/>
    <w:rsid w:val="00DE354E"/>
    <w:rsid w:val="00DE36BA"/>
    <w:rsid w:val="00DE36EE"/>
    <w:rsid w:val="00DE37BA"/>
    <w:rsid w:val="00DE3FCD"/>
    <w:rsid w:val="00DE44F3"/>
    <w:rsid w:val="00DE52BC"/>
    <w:rsid w:val="00DE5354"/>
    <w:rsid w:val="00DE5955"/>
    <w:rsid w:val="00DE5DED"/>
    <w:rsid w:val="00DE5FF7"/>
    <w:rsid w:val="00DE6373"/>
    <w:rsid w:val="00DE65FE"/>
    <w:rsid w:val="00DE6787"/>
    <w:rsid w:val="00DE6AC3"/>
    <w:rsid w:val="00DE7AE9"/>
    <w:rsid w:val="00DE7CBF"/>
    <w:rsid w:val="00DF052D"/>
    <w:rsid w:val="00DF05D3"/>
    <w:rsid w:val="00DF0E21"/>
    <w:rsid w:val="00DF17C9"/>
    <w:rsid w:val="00DF18FB"/>
    <w:rsid w:val="00DF1AD5"/>
    <w:rsid w:val="00DF2744"/>
    <w:rsid w:val="00DF2940"/>
    <w:rsid w:val="00DF2CFE"/>
    <w:rsid w:val="00DF2E3A"/>
    <w:rsid w:val="00DF2E40"/>
    <w:rsid w:val="00DF31C0"/>
    <w:rsid w:val="00DF375C"/>
    <w:rsid w:val="00DF3A0D"/>
    <w:rsid w:val="00DF3A5A"/>
    <w:rsid w:val="00DF3B1A"/>
    <w:rsid w:val="00DF3BE0"/>
    <w:rsid w:val="00DF3D8E"/>
    <w:rsid w:val="00DF3DB0"/>
    <w:rsid w:val="00DF4C06"/>
    <w:rsid w:val="00DF4F4F"/>
    <w:rsid w:val="00DF5375"/>
    <w:rsid w:val="00DF58E3"/>
    <w:rsid w:val="00DF59BA"/>
    <w:rsid w:val="00DF5BC9"/>
    <w:rsid w:val="00DF6093"/>
    <w:rsid w:val="00DF682C"/>
    <w:rsid w:val="00DF6B33"/>
    <w:rsid w:val="00DF6BC5"/>
    <w:rsid w:val="00DF6EFF"/>
    <w:rsid w:val="00DF7834"/>
    <w:rsid w:val="00DF7852"/>
    <w:rsid w:val="00DF7BD1"/>
    <w:rsid w:val="00E002FA"/>
    <w:rsid w:val="00E008A0"/>
    <w:rsid w:val="00E00D29"/>
    <w:rsid w:val="00E00DD9"/>
    <w:rsid w:val="00E00DED"/>
    <w:rsid w:val="00E00EDD"/>
    <w:rsid w:val="00E013BF"/>
    <w:rsid w:val="00E01972"/>
    <w:rsid w:val="00E01DF9"/>
    <w:rsid w:val="00E02257"/>
    <w:rsid w:val="00E02260"/>
    <w:rsid w:val="00E03282"/>
    <w:rsid w:val="00E032DE"/>
    <w:rsid w:val="00E0381B"/>
    <w:rsid w:val="00E03B54"/>
    <w:rsid w:val="00E0444F"/>
    <w:rsid w:val="00E0487F"/>
    <w:rsid w:val="00E04B37"/>
    <w:rsid w:val="00E04CFE"/>
    <w:rsid w:val="00E04D44"/>
    <w:rsid w:val="00E052ED"/>
    <w:rsid w:val="00E055BA"/>
    <w:rsid w:val="00E0569B"/>
    <w:rsid w:val="00E05A78"/>
    <w:rsid w:val="00E0622E"/>
    <w:rsid w:val="00E06443"/>
    <w:rsid w:val="00E0657B"/>
    <w:rsid w:val="00E066BF"/>
    <w:rsid w:val="00E06742"/>
    <w:rsid w:val="00E07094"/>
    <w:rsid w:val="00E077A9"/>
    <w:rsid w:val="00E077CB"/>
    <w:rsid w:val="00E077DC"/>
    <w:rsid w:val="00E07B58"/>
    <w:rsid w:val="00E07EFD"/>
    <w:rsid w:val="00E10424"/>
    <w:rsid w:val="00E109EF"/>
    <w:rsid w:val="00E11D33"/>
    <w:rsid w:val="00E11FFE"/>
    <w:rsid w:val="00E1242A"/>
    <w:rsid w:val="00E126B6"/>
    <w:rsid w:val="00E12C9E"/>
    <w:rsid w:val="00E13471"/>
    <w:rsid w:val="00E14323"/>
    <w:rsid w:val="00E14596"/>
    <w:rsid w:val="00E14A20"/>
    <w:rsid w:val="00E154F9"/>
    <w:rsid w:val="00E154FA"/>
    <w:rsid w:val="00E1579D"/>
    <w:rsid w:val="00E158FF"/>
    <w:rsid w:val="00E15C43"/>
    <w:rsid w:val="00E15D90"/>
    <w:rsid w:val="00E168C3"/>
    <w:rsid w:val="00E16B31"/>
    <w:rsid w:val="00E1704E"/>
    <w:rsid w:val="00E1756C"/>
    <w:rsid w:val="00E20110"/>
    <w:rsid w:val="00E205D4"/>
    <w:rsid w:val="00E20624"/>
    <w:rsid w:val="00E20868"/>
    <w:rsid w:val="00E20E19"/>
    <w:rsid w:val="00E21827"/>
    <w:rsid w:val="00E22380"/>
    <w:rsid w:val="00E223D6"/>
    <w:rsid w:val="00E229B0"/>
    <w:rsid w:val="00E235AD"/>
    <w:rsid w:val="00E23BA6"/>
    <w:rsid w:val="00E24058"/>
    <w:rsid w:val="00E2445C"/>
    <w:rsid w:val="00E24590"/>
    <w:rsid w:val="00E2472A"/>
    <w:rsid w:val="00E247FC"/>
    <w:rsid w:val="00E24C7A"/>
    <w:rsid w:val="00E24FCB"/>
    <w:rsid w:val="00E25444"/>
    <w:rsid w:val="00E25C6D"/>
    <w:rsid w:val="00E262B2"/>
    <w:rsid w:val="00E26340"/>
    <w:rsid w:val="00E26367"/>
    <w:rsid w:val="00E2658C"/>
    <w:rsid w:val="00E2691A"/>
    <w:rsid w:val="00E26B9A"/>
    <w:rsid w:val="00E26C0A"/>
    <w:rsid w:val="00E26E9C"/>
    <w:rsid w:val="00E275D8"/>
    <w:rsid w:val="00E2774D"/>
    <w:rsid w:val="00E27804"/>
    <w:rsid w:val="00E27D81"/>
    <w:rsid w:val="00E27E88"/>
    <w:rsid w:val="00E301A6"/>
    <w:rsid w:val="00E3031E"/>
    <w:rsid w:val="00E304C9"/>
    <w:rsid w:val="00E305CD"/>
    <w:rsid w:val="00E30B74"/>
    <w:rsid w:val="00E30EBE"/>
    <w:rsid w:val="00E30ED5"/>
    <w:rsid w:val="00E3130C"/>
    <w:rsid w:val="00E314DB"/>
    <w:rsid w:val="00E317CF"/>
    <w:rsid w:val="00E31E98"/>
    <w:rsid w:val="00E320B8"/>
    <w:rsid w:val="00E32761"/>
    <w:rsid w:val="00E32DFF"/>
    <w:rsid w:val="00E3311D"/>
    <w:rsid w:val="00E33302"/>
    <w:rsid w:val="00E3363C"/>
    <w:rsid w:val="00E33D30"/>
    <w:rsid w:val="00E3455D"/>
    <w:rsid w:val="00E3463A"/>
    <w:rsid w:val="00E349BA"/>
    <w:rsid w:val="00E352B7"/>
    <w:rsid w:val="00E3650C"/>
    <w:rsid w:val="00E3692B"/>
    <w:rsid w:val="00E369A1"/>
    <w:rsid w:val="00E36B55"/>
    <w:rsid w:val="00E36EF7"/>
    <w:rsid w:val="00E37281"/>
    <w:rsid w:val="00E372E7"/>
    <w:rsid w:val="00E3769F"/>
    <w:rsid w:val="00E37984"/>
    <w:rsid w:val="00E37B62"/>
    <w:rsid w:val="00E37BC4"/>
    <w:rsid w:val="00E37C7A"/>
    <w:rsid w:val="00E37CD5"/>
    <w:rsid w:val="00E4014B"/>
    <w:rsid w:val="00E4047E"/>
    <w:rsid w:val="00E40562"/>
    <w:rsid w:val="00E4075F"/>
    <w:rsid w:val="00E40A6E"/>
    <w:rsid w:val="00E412CD"/>
    <w:rsid w:val="00E4144F"/>
    <w:rsid w:val="00E4163D"/>
    <w:rsid w:val="00E41D09"/>
    <w:rsid w:val="00E41DC7"/>
    <w:rsid w:val="00E41DDF"/>
    <w:rsid w:val="00E41FD8"/>
    <w:rsid w:val="00E422DF"/>
    <w:rsid w:val="00E423E3"/>
    <w:rsid w:val="00E42543"/>
    <w:rsid w:val="00E4268F"/>
    <w:rsid w:val="00E42B49"/>
    <w:rsid w:val="00E42B63"/>
    <w:rsid w:val="00E42C24"/>
    <w:rsid w:val="00E42F73"/>
    <w:rsid w:val="00E4367D"/>
    <w:rsid w:val="00E4440E"/>
    <w:rsid w:val="00E453C6"/>
    <w:rsid w:val="00E453E2"/>
    <w:rsid w:val="00E465AB"/>
    <w:rsid w:val="00E468EB"/>
    <w:rsid w:val="00E46C5F"/>
    <w:rsid w:val="00E46F73"/>
    <w:rsid w:val="00E47528"/>
    <w:rsid w:val="00E47AF2"/>
    <w:rsid w:val="00E507DB"/>
    <w:rsid w:val="00E50935"/>
    <w:rsid w:val="00E509FF"/>
    <w:rsid w:val="00E50B69"/>
    <w:rsid w:val="00E50E59"/>
    <w:rsid w:val="00E50F97"/>
    <w:rsid w:val="00E51134"/>
    <w:rsid w:val="00E518CE"/>
    <w:rsid w:val="00E51BDA"/>
    <w:rsid w:val="00E51EEE"/>
    <w:rsid w:val="00E524DC"/>
    <w:rsid w:val="00E526BD"/>
    <w:rsid w:val="00E52A3E"/>
    <w:rsid w:val="00E530A1"/>
    <w:rsid w:val="00E533F2"/>
    <w:rsid w:val="00E5342D"/>
    <w:rsid w:val="00E53E14"/>
    <w:rsid w:val="00E53FEB"/>
    <w:rsid w:val="00E5423B"/>
    <w:rsid w:val="00E546C8"/>
    <w:rsid w:val="00E546ED"/>
    <w:rsid w:val="00E54754"/>
    <w:rsid w:val="00E54949"/>
    <w:rsid w:val="00E54F60"/>
    <w:rsid w:val="00E54F63"/>
    <w:rsid w:val="00E558EC"/>
    <w:rsid w:val="00E55E9D"/>
    <w:rsid w:val="00E55F3E"/>
    <w:rsid w:val="00E56234"/>
    <w:rsid w:val="00E562AE"/>
    <w:rsid w:val="00E56404"/>
    <w:rsid w:val="00E56B91"/>
    <w:rsid w:val="00E56CC0"/>
    <w:rsid w:val="00E57542"/>
    <w:rsid w:val="00E576D2"/>
    <w:rsid w:val="00E577F4"/>
    <w:rsid w:val="00E60168"/>
    <w:rsid w:val="00E6047F"/>
    <w:rsid w:val="00E605DA"/>
    <w:rsid w:val="00E60DF2"/>
    <w:rsid w:val="00E61277"/>
    <w:rsid w:val="00E6137C"/>
    <w:rsid w:val="00E621D4"/>
    <w:rsid w:val="00E62540"/>
    <w:rsid w:val="00E62629"/>
    <w:rsid w:val="00E62C2A"/>
    <w:rsid w:val="00E62D80"/>
    <w:rsid w:val="00E62DD9"/>
    <w:rsid w:val="00E62E53"/>
    <w:rsid w:val="00E634D5"/>
    <w:rsid w:val="00E64009"/>
    <w:rsid w:val="00E64209"/>
    <w:rsid w:val="00E64C7F"/>
    <w:rsid w:val="00E64F20"/>
    <w:rsid w:val="00E6500B"/>
    <w:rsid w:val="00E6540F"/>
    <w:rsid w:val="00E65F61"/>
    <w:rsid w:val="00E66189"/>
    <w:rsid w:val="00E666FA"/>
    <w:rsid w:val="00E667DA"/>
    <w:rsid w:val="00E66C05"/>
    <w:rsid w:val="00E66D67"/>
    <w:rsid w:val="00E66D89"/>
    <w:rsid w:val="00E66F31"/>
    <w:rsid w:val="00E66F41"/>
    <w:rsid w:val="00E671AB"/>
    <w:rsid w:val="00E67984"/>
    <w:rsid w:val="00E67D47"/>
    <w:rsid w:val="00E70896"/>
    <w:rsid w:val="00E70AD2"/>
    <w:rsid w:val="00E70C8B"/>
    <w:rsid w:val="00E70DCC"/>
    <w:rsid w:val="00E7104B"/>
    <w:rsid w:val="00E7114D"/>
    <w:rsid w:val="00E7171C"/>
    <w:rsid w:val="00E71E20"/>
    <w:rsid w:val="00E725A6"/>
    <w:rsid w:val="00E725EA"/>
    <w:rsid w:val="00E726FD"/>
    <w:rsid w:val="00E72840"/>
    <w:rsid w:val="00E72E4C"/>
    <w:rsid w:val="00E73E17"/>
    <w:rsid w:val="00E7406D"/>
    <w:rsid w:val="00E7408A"/>
    <w:rsid w:val="00E74D39"/>
    <w:rsid w:val="00E753F9"/>
    <w:rsid w:val="00E7545A"/>
    <w:rsid w:val="00E75C3A"/>
    <w:rsid w:val="00E75DF4"/>
    <w:rsid w:val="00E76584"/>
    <w:rsid w:val="00E76D43"/>
    <w:rsid w:val="00E76E35"/>
    <w:rsid w:val="00E773BD"/>
    <w:rsid w:val="00E7752E"/>
    <w:rsid w:val="00E775F4"/>
    <w:rsid w:val="00E77768"/>
    <w:rsid w:val="00E77798"/>
    <w:rsid w:val="00E77A17"/>
    <w:rsid w:val="00E77D7E"/>
    <w:rsid w:val="00E77F95"/>
    <w:rsid w:val="00E8001D"/>
    <w:rsid w:val="00E804E4"/>
    <w:rsid w:val="00E8113F"/>
    <w:rsid w:val="00E8125C"/>
    <w:rsid w:val="00E81340"/>
    <w:rsid w:val="00E81550"/>
    <w:rsid w:val="00E816D2"/>
    <w:rsid w:val="00E81CFA"/>
    <w:rsid w:val="00E81D1F"/>
    <w:rsid w:val="00E81F90"/>
    <w:rsid w:val="00E8218A"/>
    <w:rsid w:val="00E8221F"/>
    <w:rsid w:val="00E82941"/>
    <w:rsid w:val="00E82B45"/>
    <w:rsid w:val="00E834ED"/>
    <w:rsid w:val="00E834FF"/>
    <w:rsid w:val="00E83519"/>
    <w:rsid w:val="00E83765"/>
    <w:rsid w:val="00E83785"/>
    <w:rsid w:val="00E83B69"/>
    <w:rsid w:val="00E83B74"/>
    <w:rsid w:val="00E84166"/>
    <w:rsid w:val="00E847D3"/>
    <w:rsid w:val="00E849B3"/>
    <w:rsid w:val="00E84D97"/>
    <w:rsid w:val="00E8565D"/>
    <w:rsid w:val="00E85756"/>
    <w:rsid w:val="00E85F24"/>
    <w:rsid w:val="00E86030"/>
    <w:rsid w:val="00E860F1"/>
    <w:rsid w:val="00E8616C"/>
    <w:rsid w:val="00E864B0"/>
    <w:rsid w:val="00E865FD"/>
    <w:rsid w:val="00E866BF"/>
    <w:rsid w:val="00E8671E"/>
    <w:rsid w:val="00E86C57"/>
    <w:rsid w:val="00E870C5"/>
    <w:rsid w:val="00E8737F"/>
    <w:rsid w:val="00E87439"/>
    <w:rsid w:val="00E878F1"/>
    <w:rsid w:val="00E87EC3"/>
    <w:rsid w:val="00E904AF"/>
    <w:rsid w:val="00E9052D"/>
    <w:rsid w:val="00E90B8F"/>
    <w:rsid w:val="00E919FE"/>
    <w:rsid w:val="00E923FA"/>
    <w:rsid w:val="00E92B26"/>
    <w:rsid w:val="00E92D55"/>
    <w:rsid w:val="00E9303D"/>
    <w:rsid w:val="00E931B7"/>
    <w:rsid w:val="00E93261"/>
    <w:rsid w:val="00E9329A"/>
    <w:rsid w:val="00E93CA4"/>
    <w:rsid w:val="00E93E99"/>
    <w:rsid w:val="00E943D3"/>
    <w:rsid w:val="00E947EF"/>
    <w:rsid w:val="00E9481F"/>
    <w:rsid w:val="00E95690"/>
    <w:rsid w:val="00E959DE"/>
    <w:rsid w:val="00E95C0E"/>
    <w:rsid w:val="00E95E93"/>
    <w:rsid w:val="00E96A2C"/>
    <w:rsid w:val="00E96C97"/>
    <w:rsid w:val="00E96F57"/>
    <w:rsid w:val="00E9746A"/>
    <w:rsid w:val="00EA0470"/>
    <w:rsid w:val="00EA0AF9"/>
    <w:rsid w:val="00EA0C48"/>
    <w:rsid w:val="00EA0ECA"/>
    <w:rsid w:val="00EA128C"/>
    <w:rsid w:val="00EA14C3"/>
    <w:rsid w:val="00EA24E2"/>
    <w:rsid w:val="00EA2B1A"/>
    <w:rsid w:val="00EA2BAD"/>
    <w:rsid w:val="00EA2F56"/>
    <w:rsid w:val="00EA342F"/>
    <w:rsid w:val="00EA3936"/>
    <w:rsid w:val="00EA39EC"/>
    <w:rsid w:val="00EA47B2"/>
    <w:rsid w:val="00EA494E"/>
    <w:rsid w:val="00EA4ADE"/>
    <w:rsid w:val="00EA4BE6"/>
    <w:rsid w:val="00EA5ED0"/>
    <w:rsid w:val="00EA5F5F"/>
    <w:rsid w:val="00EA609F"/>
    <w:rsid w:val="00EA63FB"/>
    <w:rsid w:val="00EA649B"/>
    <w:rsid w:val="00EA64C3"/>
    <w:rsid w:val="00EA68FB"/>
    <w:rsid w:val="00EA6F00"/>
    <w:rsid w:val="00EA7479"/>
    <w:rsid w:val="00EA76F7"/>
    <w:rsid w:val="00EA7CAD"/>
    <w:rsid w:val="00EB025B"/>
    <w:rsid w:val="00EB02AC"/>
    <w:rsid w:val="00EB04C3"/>
    <w:rsid w:val="00EB0524"/>
    <w:rsid w:val="00EB071A"/>
    <w:rsid w:val="00EB15BB"/>
    <w:rsid w:val="00EB1B36"/>
    <w:rsid w:val="00EB2048"/>
    <w:rsid w:val="00EB2103"/>
    <w:rsid w:val="00EB2D82"/>
    <w:rsid w:val="00EB3859"/>
    <w:rsid w:val="00EB3EE0"/>
    <w:rsid w:val="00EB4273"/>
    <w:rsid w:val="00EB4509"/>
    <w:rsid w:val="00EB473A"/>
    <w:rsid w:val="00EB4974"/>
    <w:rsid w:val="00EB4D7C"/>
    <w:rsid w:val="00EB5004"/>
    <w:rsid w:val="00EB502A"/>
    <w:rsid w:val="00EB5107"/>
    <w:rsid w:val="00EB5242"/>
    <w:rsid w:val="00EB553F"/>
    <w:rsid w:val="00EB57CE"/>
    <w:rsid w:val="00EB586E"/>
    <w:rsid w:val="00EB5AAF"/>
    <w:rsid w:val="00EB635D"/>
    <w:rsid w:val="00EB6C15"/>
    <w:rsid w:val="00EB6C31"/>
    <w:rsid w:val="00EB738B"/>
    <w:rsid w:val="00EB7707"/>
    <w:rsid w:val="00EB78CE"/>
    <w:rsid w:val="00EC0028"/>
    <w:rsid w:val="00EC00A7"/>
    <w:rsid w:val="00EC07BA"/>
    <w:rsid w:val="00EC08DD"/>
    <w:rsid w:val="00EC0A29"/>
    <w:rsid w:val="00EC0CF7"/>
    <w:rsid w:val="00EC13BA"/>
    <w:rsid w:val="00EC1687"/>
    <w:rsid w:val="00EC168C"/>
    <w:rsid w:val="00EC176B"/>
    <w:rsid w:val="00EC1A8E"/>
    <w:rsid w:val="00EC23BF"/>
    <w:rsid w:val="00EC2505"/>
    <w:rsid w:val="00EC2509"/>
    <w:rsid w:val="00EC2AB9"/>
    <w:rsid w:val="00EC3088"/>
    <w:rsid w:val="00EC3179"/>
    <w:rsid w:val="00EC32C3"/>
    <w:rsid w:val="00EC35FC"/>
    <w:rsid w:val="00EC3737"/>
    <w:rsid w:val="00EC50A1"/>
    <w:rsid w:val="00EC540F"/>
    <w:rsid w:val="00EC54BE"/>
    <w:rsid w:val="00EC5788"/>
    <w:rsid w:val="00EC65DA"/>
    <w:rsid w:val="00EC6A0F"/>
    <w:rsid w:val="00EC6D14"/>
    <w:rsid w:val="00EC7423"/>
    <w:rsid w:val="00EC78D0"/>
    <w:rsid w:val="00EC7DB1"/>
    <w:rsid w:val="00EC7E6C"/>
    <w:rsid w:val="00ED005A"/>
    <w:rsid w:val="00ED01F6"/>
    <w:rsid w:val="00ED031F"/>
    <w:rsid w:val="00ED033D"/>
    <w:rsid w:val="00ED0547"/>
    <w:rsid w:val="00ED0C69"/>
    <w:rsid w:val="00ED0DA0"/>
    <w:rsid w:val="00ED0FA1"/>
    <w:rsid w:val="00ED1321"/>
    <w:rsid w:val="00ED19C0"/>
    <w:rsid w:val="00ED223D"/>
    <w:rsid w:val="00ED24F9"/>
    <w:rsid w:val="00ED2BE4"/>
    <w:rsid w:val="00ED2CBA"/>
    <w:rsid w:val="00ED2D3A"/>
    <w:rsid w:val="00ED306F"/>
    <w:rsid w:val="00ED30ED"/>
    <w:rsid w:val="00ED3141"/>
    <w:rsid w:val="00ED317D"/>
    <w:rsid w:val="00ED4460"/>
    <w:rsid w:val="00ED4D9E"/>
    <w:rsid w:val="00ED521B"/>
    <w:rsid w:val="00ED52D6"/>
    <w:rsid w:val="00ED6269"/>
    <w:rsid w:val="00ED632C"/>
    <w:rsid w:val="00ED64CE"/>
    <w:rsid w:val="00ED64D2"/>
    <w:rsid w:val="00ED6F2C"/>
    <w:rsid w:val="00ED7376"/>
    <w:rsid w:val="00ED76EB"/>
    <w:rsid w:val="00ED7847"/>
    <w:rsid w:val="00ED7FFB"/>
    <w:rsid w:val="00EE09A8"/>
    <w:rsid w:val="00EE0D47"/>
    <w:rsid w:val="00EE0D4F"/>
    <w:rsid w:val="00EE0D64"/>
    <w:rsid w:val="00EE17EE"/>
    <w:rsid w:val="00EE1801"/>
    <w:rsid w:val="00EE2749"/>
    <w:rsid w:val="00EE280F"/>
    <w:rsid w:val="00EE2916"/>
    <w:rsid w:val="00EE3078"/>
    <w:rsid w:val="00EE3219"/>
    <w:rsid w:val="00EE36A6"/>
    <w:rsid w:val="00EE38E4"/>
    <w:rsid w:val="00EE3C17"/>
    <w:rsid w:val="00EE4016"/>
    <w:rsid w:val="00EE44AF"/>
    <w:rsid w:val="00EE4559"/>
    <w:rsid w:val="00EE45D4"/>
    <w:rsid w:val="00EE4AB3"/>
    <w:rsid w:val="00EE4F93"/>
    <w:rsid w:val="00EE52B4"/>
    <w:rsid w:val="00EE5575"/>
    <w:rsid w:val="00EE59F3"/>
    <w:rsid w:val="00EE5CC2"/>
    <w:rsid w:val="00EE5EB7"/>
    <w:rsid w:val="00EE6709"/>
    <w:rsid w:val="00EE699F"/>
    <w:rsid w:val="00EE7051"/>
    <w:rsid w:val="00EE71C4"/>
    <w:rsid w:val="00EE72A2"/>
    <w:rsid w:val="00EE77A9"/>
    <w:rsid w:val="00EE79EE"/>
    <w:rsid w:val="00EF0099"/>
    <w:rsid w:val="00EF0972"/>
    <w:rsid w:val="00EF0A6F"/>
    <w:rsid w:val="00EF0C76"/>
    <w:rsid w:val="00EF0CDC"/>
    <w:rsid w:val="00EF17B5"/>
    <w:rsid w:val="00EF1C85"/>
    <w:rsid w:val="00EF1F55"/>
    <w:rsid w:val="00EF20F9"/>
    <w:rsid w:val="00EF2183"/>
    <w:rsid w:val="00EF23A0"/>
    <w:rsid w:val="00EF2488"/>
    <w:rsid w:val="00EF2F64"/>
    <w:rsid w:val="00EF35A2"/>
    <w:rsid w:val="00EF3D0D"/>
    <w:rsid w:val="00EF3F04"/>
    <w:rsid w:val="00EF41BC"/>
    <w:rsid w:val="00EF44E4"/>
    <w:rsid w:val="00EF4674"/>
    <w:rsid w:val="00EF48BF"/>
    <w:rsid w:val="00EF48D2"/>
    <w:rsid w:val="00EF496D"/>
    <w:rsid w:val="00EF4C66"/>
    <w:rsid w:val="00EF501A"/>
    <w:rsid w:val="00EF5151"/>
    <w:rsid w:val="00EF54A7"/>
    <w:rsid w:val="00EF5830"/>
    <w:rsid w:val="00EF5A4E"/>
    <w:rsid w:val="00EF5ADB"/>
    <w:rsid w:val="00EF5C80"/>
    <w:rsid w:val="00EF64BF"/>
    <w:rsid w:val="00EF767B"/>
    <w:rsid w:val="00EF7692"/>
    <w:rsid w:val="00EF7A18"/>
    <w:rsid w:val="00EF7E80"/>
    <w:rsid w:val="00EF7FF7"/>
    <w:rsid w:val="00F00071"/>
    <w:rsid w:val="00F000E5"/>
    <w:rsid w:val="00F001D5"/>
    <w:rsid w:val="00F00597"/>
    <w:rsid w:val="00F00598"/>
    <w:rsid w:val="00F00992"/>
    <w:rsid w:val="00F00EFC"/>
    <w:rsid w:val="00F01227"/>
    <w:rsid w:val="00F01833"/>
    <w:rsid w:val="00F01FC6"/>
    <w:rsid w:val="00F03109"/>
    <w:rsid w:val="00F033C1"/>
    <w:rsid w:val="00F03ACA"/>
    <w:rsid w:val="00F05079"/>
    <w:rsid w:val="00F05D99"/>
    <w:rsid w:val="00F05E15"/>
    <w:rsid w:val="00F06423"/>
    <w:rsid w:val="00F068BE"/>
    <w:rsid w:val="00F07249"/>
    <w:rsid w:val="00F07871"/>
    <w:rsid w:val="00F0796B"/>
    <w:rsid w:val="00F07A22"/>
    <w:rsid w:val="00F10BF6"/>
    <w:rsid w:val="00F10DDE"/>
    <w:rsid w:val="00F10F52"/>
    <w:rsid w:val="00F110A3"/>
    <w:rsid w:val="00F11219"/>
    <w:rsid w:val="00F114EF"/>
    <w:rsid w:val="00F1169C"/>
    <w:rsid w:val="00F11D75"/>
    <w:rsid w:val="00F11E81"/>
    <w:rsid w:val="00F120BD"/>
    <w:rsid w:val="00F12560"/>
    <w:rsid w:val="00F1270A"/>
    <w:rsid w:val="00F1290F"/>
    <w:rsid w:val="00F12BC1"/>
    <w:rsid w:val="00F12C77"/>
    <w:rsid w:val="00F12DCF"/>
    <w:rsid w:val="00F12DF7"/>
    <w:rsid w:val="00F13704"/>
    <w:rsid w:val="00F143AD"/>
    <w:rsid w:val="00F14580"/>
    <w:rsid w:val="00F14650"/>
    <w:rsid w:val="00F14B67"/>
    <w:rsid w:val="00F15135"/>
    <w:rsid w:val="00F151B6"/>
    <w:rsid w:val="00F152EC"/>
    <w:rsid w:val="00F156B1"/>
    <w:rsid w:val="00F15C3D"/>
    <w:rsid w:val="00F15C79"/>
    <w:rsid w:val="00F1627B"/>
    <w:rsid w:val="00F16520"/>
    <w:rsid w:val="00F1652A"/>
    <w:rsid w:val="00F16BB0"/>
    <w:rsid w:val="00F16BC4"/>
    <w:rsid w:val="00F16D0E"/>
    <w:rsid w:val="00F172F7"/>
    <w:rsid w:val="00F173D1"/>
    <w:rsid w:val="00F17912"/>
    <w:rsid w:val="00F201D1"/>
    <w:rsid w:val="00F20646"/>
    <w:rsid w:val="00F20A27"/>
    <w:rsid w:val="00F20EFE"/>
    <w:rsid w:val="00F21185"/>
    <w:rsid w:val="00F213EA"/>
    <w:rsid w:val="00F219BF"/>
    <w:rsid w:val="00F21BC7"/>
    <w:rsid w:val="00F21CF3"/>
    <w:rsid w:val="00F21D28"/>
    <w:rsid w:val="00F21D85"/>
    <w:rsid w:val="00F21DEC"/>
    <w:rsid w:val="00F22541"/>
    <w:rsid w:val="00F2281F"/>
    <w:rsid w:val="00F229AD"/>
    <w:rsid w:val="00F23154"/>
    <w:rsid w:val="00F231E4"/>
    <w:rsid w:val="00F2336B"/>
    <w:rsid w:val="00F238BF"/>
    <w:rsid w:val="00F23B29"/>
    <w:rsid w:val="00F23F7B"/>
    <w:rsid w:val="00F24362"/>
    <w:rsid w:val="00F24E37"/>
    <w:rsid w:val="00F2518B"/>
    <w:rsid w:val="00F25E31"/>
    <w:rsid w:val="00F25EB8"/>
    <w:rsid w:val="00F26140"/>
    <w:rsid w:val="00F2640F"/>
    <w:rsid w:val="00F26658"/>
    <w:rsid w:val="00F2694A"/>
    <w:rsid w:val="00F26B93"/>
    <w:rsid w:val="00F2753A"/>
    <w:rsid w:val="00F2760D"/>
    <w:rsid w:val="00F27715"/>
    <w:rsid w:val="00F27B4D"/>
    <w:rsid w:val="00F27BA8"/>
    <w:rsid w:val="00F27C35"/>
    <w:rsid w:val="00F27FAD"/>
    <w:rsid w:val="00F302FD"/>
    <w:rsid w:val="00F30336"/>
    <w:rsid w:val="00F30ECA"/>
    <w:rsid w:val="00F30EDF"/>
    <w:rsid w:val="00F310BB"/>
    <w:rsid w:val="00F314E1"/>
    <w:rsid w:val="00F315AE"/>
    <w:rsid w:val="00F31A02"/>
    <w:rsid w:val="00F3200B"/>
    <w:rsid w:val="00F3228E"/>
    <w:rsid w:val="00F3233C"/>
    <w:rsid w:val="00F32520"/>
    <w:rsid w:val="00F32847"/>
    <w:rsid w:val="00F32970"/>
    <w:rsid w:val="00F329C0"/>
    <w:rsid w:val="00F33DC0"/>
    <w:rsid w:val="00F341A8"/>
    <w:rsid w:val="00F34BB4"/>
    <w:rsid w:val="00F35B3A"/>
    <w:rsid w:val="00F3600B"/>
    <w:rsid w:val="00F36278"/>
    <w:rsid w:val="00F36735"/>
    <w:rsid w:val="00F36BE8"/>
    <w:rsid w:val="00F36D81"/>
    <w:rsid w:val="00F3735C"/>
    <w:rsid w:val="00F373C9"/>
    <w:rsid w:val="00F376A9"/>
    <w:rsid w:val="00F37DD3"/>
    <w:rsid w:val="00F401F1"/>
    <w:rsid w:val="00F4025A"/>
    <w:rsid w:val="00F402DC"/>
    <w:rsid w:val="00F403CE"/>
    <w:rsid w:val="00F4055E"/>
    <w:rsid w:val="00F40937"/>
    <w:rsid w:val="00F40B45"/>
    <w:rsid w:val="00F411F2"/>
    <w:rsid w:val="00F4137E"/>
    <w:rsid w:val="00F41AC9"/>
    <w:rsid w:val="00F41E3D"/>
    <w:rsid w:val="00F42715"/>
    <w:rsid w:val="00F427AD"/>
    <w:rsid w:val="00F42B87"/>
    <w:rsid w:val="00F432A5"/>
    <w:rsid w:val="00F433DE"/>
    <w:rsid w:val="00F4446B"/>
    <w:rsid w:val="00F444D1"/>
    <w:rsid w:val="00F445F0"/>
    <w:rsid w:val="00F449C3"/>
    <w:rsid w:val="00F45009"/>
    <w:rsid w:val="00F45014"/>
    <w:rsid w:val="00F4511D"/>
    <w:rsid w:val="00F4567B"/>
    <w:rsid w:val="00F458DE"/>
    <w:rsid w:val="00F459A0"/>
    <w:rsid w:val="00F45D2A"/>
    <w:rsid w:val="00F45DAC"/>
    <w:rsid w:val="00F46214"/>
    <w:rsid w:val="00F463B1"/>
    <w:rsid w:val="00F4718D"/>
    <w:rsid w:val="00F4733C"/>
    <w:rsid w:val="00F477CB"/>
    <w:rsid w:val="00F47969"/>
    <w:rsid w:val="00F5021D"/>
    <w:rsid w:val="00F50244"/>
    <w:rsid w:val="00F503D0"/>
    <w:rsid w:val="00F505CC"/>
    <w:rsid w:val="00F50D62"/>
    <w:rsid w:val="00F50DAC"/>
    <w:rsid w:val="00F50F9B"/>
    <w:rsid w:val="00F51286"/>
    <w:rsid w:val="00F51629"/>
    <w:rsid w:val="00F5187E"/>
    <w:rsid w:val="00F51F72"/>
    <w:rsid w:val="00F51F86"/>
    <w:rsid w:val="00F533B2"/>
    <w:rsid w:val="00F53600"/>
    <w:rsid w:val="00F53686"/>
    <w:rsid w:val="00F53760"/>
    <w:rsid w:val="00F539E3"/>
    <w:rsid w:val="00F5486E"/>
    <w:rsid w:val="00F54D80"/>
    <w:rsid w:val="00F5585C"/>
    <w:rsid w:val="00F561C6"/>
    <w:rsid w:val="00F561D6"/>
    <w:rsid w:val="00F563FC"/>
    <w:rsid w:val="00F56618"/>
    <w:rsid w:val="00F5681E"/>
    <w:rsid w:val="00F56B7E"/>
    <w:rsid w:val="00F56EFC"/>
    <w:rsid w:val="00F573FA"/>
    <w:rsid w:val="00F57633"/>
    <w:rsid w:val="00F57691"/>
    <w:rsid w:val="00F57FDB"/>
    <w:rsid w:val="00F60904"/>
    <w:rsid w:val="00F612C0"/>
    <w:rsid w:val="00F61555"/>
    <w:rsid w:val="00F619AA"/>
    <w:rsid w:val="00F61CF8"/>
    <w:rsid w:val="00F61F38"/>
    <w:rsid w:val="00F62B8E"/>
    <w:rsid w:val="00F62C62"/>
    <w:rsid w:val="00F632E2"/>
    <w:rsid w:val="00F63FD6"/>
    <w:rsid w:val="00F64A10"/>
    <w:rsid w:val="00F64E28"/>
    <w:rsid w:val="00F656A5"/>
    <w:rsid w:val="00F65841"/>
    <w:rsid w:val="00F658B9"/>
    <w:rsid w:val="00F65BA9"/>
    <w:rsid w:val="00F65F3A"/>
    <w:rsid w:val="00F661EE"/>
    <w:rsid w:val="00F66761"/>
    <w:rsid w:val="00F6698D"/>
    <w:rsid w:val="00F67188"/>
    <w:rsid w:val="00F6747F"/>
    <w:rsid w:val="00F67689"/>
    <w:rsid w:val="00F67A1D"/>
    <w:rsid w:val="00F67DBF"/>
    <w:rsid w:val="00F70720"/>
    <w:rsid w:val="00F70765"/>
    <w:rsid w:val="00F7091D"/>
    <w:rsid w:val="00F7095F"/>
    <w:rsid w:val="00F70D34"/>
    <w:rsid w:val="00F71740"/>
    <w:rsid w:val="00F72325"/>
    <w:rsid w:val="00F72653"/>
    <w:rsid w:val="00F726DE"/>
    <w:rsid w:val="00F729D2"/>
    <w:rsid w:val="00F72EFB"/>
    <w:rsid w:val="00F7353A"/>
    <w:rsid w:val="00F744DB"/>
    <w:rsid w:val="00F746C3"/>
    <w:rsid w:val="00F75476"/>
    <w:rsid w:val="00F75BC3"/>
    <w:rsid w:val="00F7632F"/>
    <w:rsid w:val="00F763C1"/>
    <w:rsid w:val="00F76409"/>
    <w:rsid w:val="00F76428"/>
    <w:rsid w:val="00F764B0"/>
    <w:rsid w:val="00F778A7"/>
    <w:rsid w:val="00F77C55"/>
    <w:rsid w:val="00F77DAB"/>
    <w:rsid w:val="00F80134"/>
    <w:rsid w:val="00F803B5"/>
    <w:rsid w:val="00F8093B"/>
    <w:rsid w:val="00F80FDC"/>
    <w:rsid w:val="00F81336"/>
    <w:rsid w:val="00F8164D"/>
    <w:rsid w:val="00F8179E"/>
    <w:rsid w:val="00F81BE2"/>
    <w:rsid w:val="00F81F17"/>
    <w:rsid w:val="00F82753"/>
    <w:rsid w:val="00F8277E"/>
    <w:rsid w:val="00F828DA"/>
    <w:rsid w:val="00F82BD3"/>
    <w:rsid w:val="00F82FFA"/>
    <w:rsid w:val="00F83D75"/>
    <w:rsid w:val="00F83E70"/>
    <w:rsid w:val="00F83F5E"/>
    <w:rsid w:val="00F84072"/>
    <w:rsid w:val="00F84123"/>
    <w:rsid w:val="00F84534"/>
    <w:rsid w:val="00F84BFB"/>
    <w:rsid w:val="00F84C1A"/>
    <w:rsid w:val="00F84E5D"/>
    <w:rsid w:val="00F84F50"/>
    <w:rsid w:val="00F853FA"/>
    <w:rsid w:val="00F854E7"/>
    <w:rsid w:val="00F85938"/>
    <w:rsid w:val="00F85B70"/>
    <w:rsid w:val="00F86162"/>
    <w:rsid w:val="00F8656D"/>
    <w:rsid w:val="00F86626"/>
    <w:rsid w:val="00F8697D"/>
    <w:rsid w:val="00F86A2B"/>
    <w:rsid w:val="00F87034"/>
    <w:rsid w:val="00F87244"/>
    <w:rsid w:val="00F873E4"/>
    <w:rsid w:val="00F874F8"/>
    <w:rsid w:val="00F87D1E"/>
    <w:rsid w:val="00F87E10"/>
    <w:rsid w:val="00F90430"/>
    <w:rsid w:val="00F907D3"/>
    <w:rsid w:val="00F90E20"/>
    <w:rsid w:val="00F91072"/>
    <w:rsid w:val="00F910E6"/>
    <w:rsid w:val="00F91D79"/>
    <w:rsid w:val="00F9260B"/>
    <w:rsid w:val="00F92E13"/>
    <w:rsid w:val="00F92EB7"/>
    <w:rsid w:val="00F938FC"/>
    <w:rsid w:val="00F940B9"/>
    <w:rsid w:val="00F941C0"/>
    <w:rsid w:val="00F9429D"/>
    <w:rsid w:val="00F94443"/>
    <w:rsid w:val="00F948BA"/>
    <w:rsid w:val="00F94B17"/>
    <w:rsid w:val="00F94B9C"/>
    <w:rsid w:val="00F94C64"/>
    <w:rsid w:val="00F9526A"/>
    <w:rsid w:val="00F952BC"/>
    <w:rsid w:val="00F9548F"/>
    <w:rsid w:val="00F95771"/>
    <w:rsid w:val="00F95952"/>
    <w:rsid w:val="00F96174"/>
    <w:rsid w:val="00F9643D"/>
    <w:rsid w:val="00F9668B"/>
    <w:rsid w:val="00F9693E"/>
    <w:rsid w:val="00F96DE2"/>
    <w:rsid w:val="00F97167"/>
    <w:rsid w:val="00F9753A"/>
    <w:rsid w:val="00F977F7"/>
    <w:rsid w:val="00F97EEB"/>
    <w:rsid w:val="00FA00B7"/>
    <w:rsid w:val="00FA04AE"/>
    <w:rsid w:val="00FA06BE"/>
    <w:rsid w:val="00FA08F8"/>
    <w:rsid w:val="00FA0A65"/>
    <w:rsid w:val="00FA1265"/>
    <w:rsid w:val="00FA1288"/>
    <w:rsid w:val="00FA1DC9"/>
    <w:rsid w:val="00FA2183"/>
    <w:rsid w:val="00FA2831"/>
    <w:rsid w:val="00FA2D99"/>
    <w:rsid w:val="00FA3702"/>
    <w:rsid w:val="00FA3A23"/>
    <w:rsid w:val="00FA3D7F"/>
    <w:rsid w:val="00FA417A"/>
    <w:rsid w:val="00FA4287"/>
    <w:rsid w:val="00FA42D5"/>
    <w:rsid w:val="00FA438B"/>
    <w:rsid w:val="00FA464F"/>
    <w:rsid w:val="00FA49B3"/>
    <w:rsid w:val="00FA49D1"/>
    <w:rsid w:val="00FA4A18"/>
    <w:rsid w:val="00FA4C5D"/>
    <w:rsid w:val="00FA5E76"/>
    <w:rsid w:val="00FA6265"/>
    <w:rsid w:val="00FA6315"/>
    <w:rsid w:val="00FA63D3"/>
    <w:rsid w:val="00FA6C7C"/>
    <w:rsid w:val="00FA6FB7"/>
    <w:rsid w:val="00FA7192"/>
    <w:rsid w:val="00FA783C"/>
    <w:rsid w:val="00FA7DBB"/>
    <w:rsid w:val="00FB09D3"/>
    <w:rsid w:val="00FB09FD"/>
    <w:rsid w:val="00FB0F25"/>
    <w:rsid w:val="00FB0FB2"/>
    <w:rsid w:val="00FB1133"/>
    <w:rsid w:val="00FB1259"/>
    <w:rsid w:val="00FB1A6D"/>
    <w:rsid w:val="00FB1C6D"/>
    <w:rsid w:val="00FB2539"/>
    <w:rsid w:val="00FB258B"/>
    <w:rsid w:val="00FB2863"/>
    <w:rsid w:val="00FB2A06"/>
    <w:rsid w:val="00FB2AA6"/>
    <w:rsid w:val="00FB2BE5"/>
    <w:rsid w:val="00FB2E7E"/>
    <w:rsid w:val="00FB2FC7"/>
    <w:rsid w:val="00FB3A29"/>
    <w:rsid w:val="00FB3DA0"/>
    <w:rsid w:val="00FB46AA"/>
    <w:rsid w:val="00FB4BB5"/>
    <w:rsid w:val="00FB4F72"/>
    <w:rsid w:val="00FB4F90"/>
    <w:rsid w:val="00FB5514"/>
    <w:rsid w:val="00FB5553"/>
    <w:rsid w:val="00FB55B0"/>
    <w:rsid w:val="00FB5B93"/>
    <w:rsid w:val="00FB5C63"/>
    <w:rsid w:val="00FB6274"/>
    <w:rsid w:val="00FB6846"/>
    <w:rsid w:val="00FB6BEF"/>
    <w:rsid w:val="00FB709E"/>
    <w:rsid w:val="00FB72E9"/>
    <w:rsid w:val="00FB7344"/>
    <w:rsid w:val="00FB73A6"/>
    <w:rsid w:val="00FB7650"/>
    <w:rsid w:val="00FB7655"/>
    <w:rsid w:val="00FB7B76"/>
    <w:rsid w:val="00FC0907"/>
    <w:rsid w:val="00FC0BEF"/>
    <w:rsid w:val="00FC0EAB"/>
    <w:rsid w:val="00FC185D"/>
    <w:rsid w:val="00FC1CB2"/>
    <w:rsid w:val="00FC1EF1"/>
    <w:rsid w:val="00FC2015"/>
    <w:rsid w:val="00FC238D"/>
    <w:rsid w:val="00FC3295"/>
    <w:rsid w:val="00FC34B2"/>
    <w:rsid w:val="00FC406C"/>
    <w:rsid w:val="00FC40AE"/>
    <w:rsid w:val="00FC468D"/>
    <w:rsid w:val="00FC54FD"/>
    <w:rsid w:val="00FC5919"/>
    <w:rsid w:val="00FC5DE6"/>
    <w:rsid w:val="00FC60A1"/>
    <w:rsid w:val="00FC68FD"/>
    <w:rsid w:val="00FC7329"/>
    <w:rsid w:val="00FC75DA"/>
    <w:rsid w:val="00FC7615"/>
    <w:rsid w:val="00FC79F9"/>
    <w:rsid w:val="00FD060F"/>
    <w:rsid w:val="00FD076C"/>
    <w:rsid w:val="00FD08FD"/>
    <w:rsid w:val="00FD0A9A"/>
    <w:rsid w:val="00FD0B1E"/>
    <w:rsid w:val="00FD0BF7"/>
    <w:rsid w:val="00FD0D80"/>
    <w:rsid w:val="00FD1183"/>
    <w:rsid w:val="00FD13BE"/>
    <w:rsid w:val="00FD144C"/>
    <w:rsid w:val="00FD2031"/>
    <w:rsid w:val="00FD24C0"/>
    <w:rsid w:val="00FD251F"/>
    <w:rsid w:val="00FD26DC"/>
    <w:rsid w:val="00FD2D96"/>
    <w:rsid w:val="00FD3229"/>
    <w:rsid w:val="00FD39C4"/>
    <w:rsid w:val="00FD4094"/>
    <w:rsid w:val="00FD43B6"/>
    <w:rsid w:val="00FD4945"/>
    <w:rsid w:val="00FD4CA4"/>
    <w:rsid w:val="00FD5041"/>
    <w:rsid w:val="00FD5311"/>
    <w:rsid w:val="00FD5945"/>
    <w:rsid w:val="00FD5F7E"/>
    <w:rsid w:val="00FD61B6"/>
    <w:rsid w:val="00FD6419"/>
    <w:rsid w:val="00FD646E"/>
    <w:rsid w:val="00FD66E0"/>
    <w:rsid w:val="00FD6813"/>
    <w:rsid w:val="00FD68A4"/>
    <w:rsid w:val="00FD68B8"/>
    <w:rsid w:val="00FD6BC0"/>
    <w:rsid w:val="00FD6EB7"/>
    <w:rsid w:val="00FD6EC6"/>
    <w:rsid w:val="00FD6FCC"/>
    <w:rsid w:val="00FD7E1F"/>
    <w:rsid w:val="00FE0B6B"/>
    <w:rsid w:val="00FE0C3C"/>
    <w:rsid w:val="00FE0EDF"/>
    <w:rsid w:val="00FE15B1"/>
    <w:rsid w:val="00FE1707"/>
    <w:rsid w:val="00FE249A"/>
    <w:rsid w:val="00FE2810"/>
    <w:rsid w:val="00FE3031"/>
    <w:rsid w:val="00FE323D"/>
    <w:rsid w:val="00FE3DFA"/>
    <w:rsid w:val="00FE42CC"/>
    <w:rsid w:val="00FE43B5"/>
    <w:rsid w:val="00FE43C5"/>
    <w:rsid w:val="00FE5400"/>
    <w:rsid w:val="00FE549A"/>
    <w:rsid w:val="00FE5602"/>
    <w:rsid w:val="00FE5757"/>
    <w:rsid w:val="00FE5EA7"/>
    <w:rsid w:val="00FE6CA3"/>
    <w:rsid w:val="00FE7315"/>
    <w:rsid w:val="00FE74FB"/>
    <w:rsid w:val="00FE7566"/>
    <w:rsid w:val="00FE79A7"/>
    <w:rsid w:val="00FF0487"/>
    <w:rsid w:val="00FF04C9"/>
    <w:rsid w:val="00FF0817"/>
    <w:rsid w:val="00FF0E8F"/>
    <w:rsid w:val="00FF14D1"/>
    <w:rsid w:val="00FF1913"/>
    <w:rsid w:val="00FF2E9F"/>
    <w:rsid w:val="00FF323F"/>
    <w:rsid w:val="00FF3A5F"/>
    <w:rsid w:val="00FF4324"/>
    <w:rsid w:val="00FF4B1B"/>
    <w:rsid w:val="00FF4CA0"/>
    <w:rsid w:val="00FF4D6A"/>
    <w:rsid w:val="00FF5128"/>
    <w:rsid w:val="00FF5373"/>
    <w:rsid w:val="00FF5A57"/>
    <w:rsid w:val="00FF5ABF"/>
    <w:rsid w:val="00FF5C1A"/>
    <w:rsid w:val="00FF66D7"/>
    <w:rsid w:val="00FF6858"/>
    <w:rsid w:val="00FF6C00"/>
    <w:rsid w:val="00FF73EF"/>
    <w:rsid w:val="00FF7A00"/>
    <w:rsid w:val="00FF7CF7"/>
    <w:rsid w:val="00FF7E0C"/>
    <w:rsid w:val="00FF7FEC"/>
    <w:rsid w:val="02886280"/>
    <w:rsid w:val="02CA2561"/>
    <w:rsid w:val="03C04E1F"/>
    <w:rsid w:val="0619193C"/>
    <w:rsid w:val="0A8A2498"/>
    <w:rsid w:val="0A8A603B"/>
    <w:rsid w:val="0CF663AE"/>
    <w:rsid w:val="0E9A4A19"/>
    <w:rsid w:val="0FB41FF8"/>
    <w:rsid w:val="113F59F6"/>
    <w:rsid w:val="136E5AEF"/>
    <w:rsid w:val="13F866C4"/>
    <w:rsid w:val="14F86492"/>
    <w:rsid w:val="171A64CC"/>
    <w:rsid w:val="19121FD6"/>
    <w:rsid w:val="19CE5324"/>
    <w:rsid w:val="1A041DA9"/>
    <w:rsid w:val="1C76645C"/>
    <w:rsid w:val="1C774562"/>
    <w:rsid w:val="1DC732CB"/>
    <w:rsid w:val="21A97250"/>
    <w:rsid w:val="22855DAD"/>
    <w:rsid w:val="2635407F"/>
    <w:rsid w:val="2A337FFE"/>
    <w:rsid w:val="2CB95E5E"/>
    <w:rsid w:val="2CBF201D"/>
    <w:rsid w:val="2DD65871"/>
    <w:rsid w:val="2DEB702A"/>
    <w:rsid w:val="2F155DA1"/>
    <w:rsid w:val="2F911B52"/>
    <w:rsid w:val="2FDB378B"/>
    <w:rsid w:val="306D3B35"/>
    <w:rsid w:val="336A4256"/>
    <w:rsid w:val="35773495"/>
    <w:rsid w:val="37740433"/>
    <w:rsid w:val="38915088"/>
    <w:rsid w:val="3CAA3BB4"/>
    <w:rsid w:val="408353E4"/>
    <w:rsid w:val="43F02DE7"/>
    <w:rsid w:val="448F3FAF"/>
    <w:rsid w:val="45943BEF"/>
    <w:rsid w:val="480212E4"/>
    <w:rsid w:val="4BF90C50"/>
    <w:rsid w:val="4C445963"/>
    <w:rsid w:val="4C716A38"/>
    <w:rsid w:val="4F337FD5"/>
    <w:rsid w:val="5221680B"/>
    <w:rsid w:val="52AD4AC0"/>
    <w:rsid w:val="532B497C"/>
    <w:rsid w:val="54647647"/>
    <w:rsid w:val="561A1EEF"/>
    <w:rsid w:val="56325B45"/>
    <w:rsid w:val="56CF0A66"/>
    <w:rsid w:val="57E36310"/>
    <w:rsid w:val="5B2305AE"/>
    <w:rsid w:val="5E231BA8"/>
    <w:rsid w:val="60FD0443"/>
    <w:rsid w:val="615564D1"/>
    <w:rsid w:val="62C6485F"/>
    <w:rsid w:val="62E1351F"/>
    <w:rsid w:val="63BE6594"/>
    <w:rsid w:val="657809E0"/>
    <w:rsid w:val="67C779FD"/>
    <w:rsid w:val="68015937"/>
    <w:rsid w:val="6D875C64"/>
    <w:rsid w:val="722B03C7"/>
    <w:rsid w:val="723363A1"/>
    <w:rsid w:val="726F3A49"/>
    <w:rsid w:val="75F45E61"/>
    <w:rsid w:val="784529A4"/>
    <w:rsid w:val="7B845591"/>
    <w:rsid w:val="7F1E3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0" w:name="heading 6"/>
    <w:lsdException w:qFormat="1" w:unhideWhenUsed="0" w:uiPriority="0" w:name="heading 7"/>
    <w:lsdException w:qFormat="1" w:unhideWhenUsed="0" w:uiPriority="99" w:semiHidden="0" w:name="heading 8"/>
    <w:lsdException w:qFormat="1" w:unhideWhenUsed="0" w:uiPriority="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name="toc 3"/>
    <w:lsdException w:qFormat="1" w:unhideWhenUsed="0" w:uiPriority="39" w:name="toc 4"/>
    <w:lsdException w:qFormat="1" w:unhideWhenUsed="0" w:uiPriority="39" w:name="toc 5"/>
    <w:lsdException w:qFormat="1" w:unhideWhenUsed="0" w:uiPriority="39" w:name="toc 6"/>
    <w:lsdException w:qFormat="1" w:unhideWhenUsed="0" w:uiPriority="39" w:name="toc 7"/>
    <w:lsdException w:qFormat="1" w:unhideWhenUsed="0" w:uiPriority="39" w:name="toc 8"/>
    <w:lsdException w:qFormat="1" w:unhideWhenUsed="0" w:uiPriority="39" w:name="toc 9"/>
    <w:lsdException w:uiPriority="99" w:semiHidden="0" w:name="Normal Indent"/>
    <w:lsdException w:qFormat="1" w:unhideWhenUsed="0" w:uiPriority="99"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name="index heading"/>
    <w:lsdException w:qFormat="1" w:unhideWhenUsed="0" w:uiPriority="0" w:name="caption"/>
    <w:lsdException w:qFormat="1" w:uiPriority="99"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99"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iPriority="99" w:semiHidden="0" w:name="toa heading"/>
    <w:lsdException w:qFormat="1" w:unhideWhenUsed="0" w:uiPriority="99" w:semiHidden="0" w:name="List"/>
    <w:lsdException w:qFormat="1" w:unhideWhenUsed="0" w:uiPriority="0" w:name="List Bullet"/>
    <w:lsdException w:qFormat="1" w:unhideWhenUsed="0" w:uiPriority="0" w:name="List Number"/>
    <w:lsdException w:qFormat="1" w:uiPriority="99" w:semiHidden="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unhideWhenUsed="0" w:uiPriority="0" w:name="Title"/>
    <w:lsdException w:qFormat="1" w:unhideWhenUsed="0" w:uiPriority="0" w:name="Closing"/>
    <w:lsdException w:qFormat="1" w:unhideWhenUsed="0" w:uiPriority="0" w:name="Signature"/>
    <w:lsdException w:qFormat="1" w:uiPriority="1" w:name="Default Paragraph Font"/>
    <w:lsdException w:qFormat="1" w:uiPriority="99" w:semiHidden="0" w:name="Body Text"/>
    <w:lsdException w:qFormat="1" w:uiPriority="99" w:semiHidden="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unhideWhenUsed="0" w:uiPriority="0" w:semiHidden="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99" w:name="Body Text Indent 2"/>
    <w:lsdException w:qFormat="1" w:uiPriority="99" w:name="Body Text Indent 3"/>
    <w:lsdException w:qFormat="1" w:unhideWhenUsed="0" w:uiPriority="0" w:name="Block Text"/>
    <w:lsdException w:qFormat="1" w:uiPriority="99" w:semiHidden="0" w:name="Hyperlink"/>
    <w:lsdException w:qFormat="1" w:uiPriority="99" w:name="FollowedHyperlink"/>
    <w:lsdException w:qFormat="1" w:unhideWhenUsed="0" w:uiPriority="0" w:semiHidden="0" w:name="Strong"/>
    <w:lsdException w:unhideWhenUsed="0" w:uiPriority="20" w:semiHidden="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99" w:semiHidden="0"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iPriority="0" w:name="Table Simple 1"/>
    <w:lsdException w:qFormat="1" w:uiPriority="0" w:name="Table Simple 2"/>
    <w:lsdException w:qFormat="1" w:uiPriority="0" w:name="Table Simple 3"/>
    <w:lsdException w:qFormat="1" w:uiPriority="0" w:name="Table Classic 1"/>
    <w:lsdException w:qFormat="1" w:uiPriority="0" w:name="Table Classic 2"/>
    <w:lsdException w:qFormat="1" w:uiPriority="0" w:name="Table Classic 3"/>
    <w:lsdException w:qFormat="1" w:uiPriority="0" w:name="Table Classic 4"/>
    <w:lsdException w:uiPriority="99" w:name="Table Colorful 1"/>
    <w:lsdException w:qFormat="1" w:uiPriority="0" w:name="Table Colorful 2"/>
    <w:lsdException w:qFormat="1" w:uiPriority="0" w:name="Table Colorful 3"/>
    <w:lsdException w:qFormat="1" w:uiPriority="0" w:name="Table Columns 1"/>
    <w:lsdException w:qFormat="1" w:uiPriority="0" w:name="Table Columns 2"/>
    <w:lsdException w:qFormat="1" w:uiPriority="0" w:name="Table Columns 3"/>
    <w:lsdException w:qFormat="1" w:uiPriority="0" w:name="Table Columns 4"/>
    <w:lsdException w:qFormat="1" w:uiPriority="0" w:name="Table Columns 5"/>
    <w:lsdException w:qFormat="1" w:uiPriority="0" w:name="Table Grid 1"/>
    <w:lsdException w:qFormat="1" w:uiPriority="0" w:name="Table Grid 2"/>
    <w:lsdException w:qFormat="1" w:uiPriority="0" w:name="Table Grid 3"/>
    <w:lsdException w:qFormat="1" w:uiPriority="0" w:name="Table Grid 4"/>
    <w:lsdException w:qFormat="1" w:uiPriority="0" w:name="Table Grid 5"/>
    <w:lsdException w:qFormat="1" w:uiPriority="0" w:name="Table Grid 6"/>
    <w:lsdException w:qFormat="1" w:uiPriority="0" w:name="Table Grid 7"/>
    <w:lsdException w:qFormat="1" w:uiPriority="0" w:name="Table Grid 8"/>
    <w:lsdException w:qFormat="1" w:uiPriority="0" w:name="Table List 1"/>
    <w:lsdException w:qFormat="1" w:uiPriority="0" w:name="Table List 2"/>
    <w:lsdException w:qFormat="1" w:uiPriority="0" w:name="Table List 3"/>
    <w:lsdException w:qFormat="1" w:uiPriority="0" w:name="Table List 4"/>
    <w:lsdException w:qFormat="1" w:uiPriority="0" w:name="Table List 5"/>
    <w:lsdException w:qFormat="1" w:uiPriority="0" w:name="Table List 6"/>
    <w:lsdException w:qFormat="1" w:uiPriority="0" w:name="Table List 7"/>
    <w:lsdException w:qFormat="1" w:uiPriority="0" w:name="Table List 8"/>
    <w:lsdException w:qFormat="1" w:uiPriority="0" w:name="Table 3D effects 1"/>
    <w:lsdException w:qFormat="1" w:uiPriority="0" w:name="Table 3D effects 2"/>
    <w:lsdException w:qFormat="1" w:uiPriority="0" w:name="Table 3D effects 3"/>
    <w:lsdException w:qFormat="1" w:unhideWhenUsed="0" w:uiPriority="0" w:semiHidden="0" w:name="Table Contemporary"/>
    <w:lsdException w:qFormat="1" w:uiPriority="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iPriority="0" w:name="Table Web 1"/>
    <w:lsdException w:qFormat="1" w:uiPriority="0" w:name="Table Web 2"/>
    <w:lsdException w:qFormat="1" w:uiPriority="0" w:name="Table Web 3"/>
    <w:lsdException w:qFormat="1" w:unhideWhenUsed="0" w:uiPriority="0" w:name="Balloon Text"/>
    <w:lsdException w:qFormat="1" w:unhideWhenUsed="0" w:uiPriority="99" w:semiHidden="0" w:name="Table Grid"/>
    <w:lsdException w:qFormat="1"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imes New Roman" w:hAnsi="Times New Roman" w:eastAsiaTheme="minorEastAsia" w:cstheme="minorBidi"/>
      <w:kern w:val="2"/>
      <w:sz w:val="24"/>
      <w:szCs w:val="21"/>
      <w:lang w:val="en-US" w:eastAsia="zh-CN" w:bidi="ar-SA"/>
    </w:rPr>
  </w:style>
  <w:style w:type="paragraph" w:styleId="3">
    <w:name w:val="heading 1"/>
    <w:basedOn w:val="1"/>
    <w:next w:val="1"/>
    <w:link w:val="52"/>
    <w:qFormat/>
    <w:uiPriority w:val="99"/>
    <w:pPr>
      <w:keepNext/>
      <w:keepLines/>
      <w:spacing w:before="340" w:after="330" w:line="578" w:lineRule="auto"/>
      <w:outlineLvl w:val="0"/>
    </w:pPr>
    <w:rPr>
      <w:b/>
      <w:bCs/>
      <w:kern w:val="44"/>
      <w:sz w:val="44"/>
      <w:szCs w:val="44"/>
      <w:lang w:val="zh-CN"/>
    </w:rPr>
  </w:style>
  <w:style w:type="paragraph" w:styleId="4">
    <w:name w:val="heading 2"/>
    <w:basedOn w:val="1"/>
    <w:next w:val="1"/>
    <w:link w:val="53"/>
    <w:qFormat/>
    <w:uiPriority w:val="99"/>
    <w:pPr>
      <w:keepNext/>
      <w:keepLines/>
      <w:spacing w:before="260" w:after="260" w:line="416" w:lineRule="auto"/>
      <w:outlineLvl w:val="1"/>
    </w:pPr>
    <w:rPr>
      <w:rFonts w:ascii="Arial" w:hAnsi="Arial" w:eastAsia="黑体"/>
      <w:b/>
      <w:bCs/>
      <w:kern w:val="0"/>
      <w:sz w:val="32"/>
      <w:szCs w:val="32"/>
      <w:lang w:val="zh-CN"/>
    </w:rPr>
  </w:style>
  <w:style w:type="paragraph" w:styleId="5">
    <w:name w:val="heading 3"/>
    <w:basedOn w:val="1"/>
    <w:next w:val="1"/>
    <w:link w:val="54"/>
    <w:qFormat/>
    <w:uiPriority w:val="99"/>
    <w:pPr>
      <w:keepNext/>
      <w:keepLines/>
      <w:spacing w:before="60" w:after="60" w:line="520" w:lineRule="atLeast"/>
      <w:outlineLvl w:val="2"/>
    </w:pPr>
    <w:rPr>
      <w:rFonts w:ascii="仿宋_GB2312" w:eastAsia="仿宋_GB2312"/>
      <w:b/>
      <w:bCs/>
      <w:kern w:val="0"/>
      <w:sz w:val="30"/>
      <w:szCs w:val="32"/>
      <w:lang w:val="zh-CN"/>
    </w:rPr>
  </w:style>
  <w:style w:type="paragraph" w:styleId="6">
    <w:name w:val="heading 4"/>
    <w:basedOn w:val="1"/>
    <w:next w:val="1"/>
    <w:link w:val="55"/>
    <w:qFormat/>
    <w:uiPriority w:val="99"/>
    <w:pPr>
      <w:keepNext/>
      <w:keepLines/>
      <w:spacing w:before="280" w:after="290" w:line="376" w:lineRule="auto"/>
      <w:outlineLvl w:val="3"/>
    </w:pPr>
    <w:rPr>
      <w:rFonts w:ascii="Arial" w:hAnsi="Arial" w:eastAsia="黑体"/>
      <w:b/>
      <w:bCs/>
      <w:kern w:val="0"/>
      <w:sz w:val="28"/>
      <w:szCs w:val="28"/>
      <w:lang w:val="zh-CN"/>
    </w:rPr>
  </w:style>
  <w:style w:type="paragraph" w:styleId="7">
    <w:name w:val="heading 5"/>
    <w:basedOn w:val="1"/>
    <w:next w:val="1"/>
    <w:link w:val="56"/>
    <w:qFormat/>
    <w:uiPriority w:val="99"/>
    <w:pPr>
      <w:keepNext/>
      <w:keepLines/>
      <w:spacing w:before="280" w:after="290" w:line="376" w:lineRule="auto"/>
      <w:outlineLvl w:val="4"/>
    </w:pPr>
    <w:rPr>
      <w:b/>
      <w:bCs/>
      <w:kern w:val="0"/>
      <w:sz w:val="28"/>
      <w:szCs w:val="28"/>
      <w:lang w:val="zh-CN"/>
    </w:rPr>
  </w:style>
  <w:style w:type="paragraph" w:styleId="8">
    <w:name w:val="heading 6"/>
    <w:basedOn w:val="1"/>
    <w:next w:val="1"/>
    <w:link w:val="57"/>
    <w:semiHidden/>
    <w:qFormat/>
    <w:uiPriority w:val="0"/>
    <w:pPr>
      <w:keepNext/>
      <w:keepLines/>
      <w:numPr>
        <w:ilvl w:val="5"/>
        <w:numId w:val="1"/>
      </w:numPr>
      <w:tabs>
        <w:tab w:val="clear" w:pos="1152"/>
      </w:tabs>
      <w:spacing w:before="240" w:after="64" w:line="320" w:lineRule="auto"/>
      <w:ind w:left="0" w:firstLine="0"/>
      <w:outlineLvl w:val="5"/>
    </w:pPr>
    <w:rPr>
      <w:rFonts w:ascii="Arial" w:hAnsi="Arial" w:eastAsia="黑体"/>
      <w:b/>
      <w:bCs/>
      <w:lang w:val="zh-CN"/>
    </w:rPr>
  </w:style>
  <w:style w:type="paragraph" w:styleId="9">
    <w:name w:val="heading 7"/>
    <w:basedOn w:val="1"/>
    <w:next w:val="1"/>
    <w:link w:val="58"/>
    <w:semiHidden/>
    <w:qFormat/>
    <w:uiPriority w:val="0"/>
    <w:pPr>
      <w:keepNext/>
      <w:keepLines/>
      <w:numPr>
        <w:ilvl w:val="6"/>
        <w:numId w:val="1"/>
      </w:numPr>
      <w:tabs>
        <w:tab w:val="clear" w:pos="1296"/>
      </w:tabs>
      <w:spacing w:before="240" w:after="64" w:line="320" w:lineRule="auto"/>
      <w:ind w:left="0" w:firstLine="0"/>
      <w:outlineLvl w:val="6"/>
    </w:pPr>
    <w:rPr>
      <w:rFonts w:eastAsia="仿宋_GB2312"/>
      <w:b/>
      <w:bCs/>
      <w:lang w:val="zh-CN"/>
    </w:rPr>
  </w:style>
  <w:style w:type="paragraph" w:styleId="10">
    <w:name w:val="heading 8"/>
    <w:basedOn w:val="1"/>
    <w:next w:val="1"/>
    <w:link w:val="59"/>
    <w:qFormat/>
    <w:uiPriority w:val="99"/>
    <w:pPr>
      <w:keepNext/>
      <w:keepLines/>
      <w:numPr>
        <w:ilvl w:val="7"/>
        <w:numId w:val="1"/>
      </w:numPr>
      <w:tabs>
        <w:tab w:val="clear" w:pos="1440"/>
      </w:tabs>
      <w:spacing w:before="240" w:after="64" w:line="320" w:lineRule="auto"/>
      <w:ind w:left="0" w:firstLine="0"/>
      <w:outlineLvl w:val="7"/>
    </w:pPr>
    <w:rPr>
      <w:rFonts w:ascii="Arial" w:hAnsi="Arial" w:eastAsia="黑体"/>
      <w:lang w:val="zh-CN"/>
    </w:rPr>
  </w:style>
  <w:style w:type="paragraph" w:styleId="11">
    <w:name w:val="heading 9"/>
    <w:basedOn w:val="1"/>
    <w:next w:val="1"/>
    <w:link w:val="60"/>
    <w:semiHidden/>
    <w:qFormat/>
    <w:uiPriority w:val="0"/>
    <w:pPr>
      <w:keepNext/>
      <w:keepLines/>
      <w:numPr>
        <w:ilvl w:val="8"/>
        <w:numId w:val="1"/>
      </w:numPr>
      <w:tabs>
        <w:tab w:val="clear" w:pos="1584"/>
      </w:tabs>
      <w:spacing w:before="240" w:after="64" w:line="320" w:lineRule="auto"/>
      <w:ind w:left="0" w:firstLine="0"/>
      <w:outlineLvl w:val="8"/>
    </w:pPr>
    <w:rPr>
      <w:rFonts w:ascii="Arial" w:hAnsi="Arial" w:eastAsia="黑体"/>
      <w:lang w:val="zh-CN"/>
    </w:rPr>
  </w:style>
  <w:style w:type="character" w:default="1" w:styleId="44">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2">
    <w:name w:val="macro"/>
    <w:link w:val="61"/>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sz w:val="24"/>
      <w:szCs w:val="24"/>
      <w:lang w:val="en-US" w:eastAsia="zh-CN" w:bidi="ar-SA"/>
    </w:rPr>
  </w:style>
  <w:style w:type="paragraph" w:styleId="12">
    <w:name w:val="table of authorities"/>
    <w:basedOn w:val="1"/>
    <w:next w:val="1"/>
    <w:semiHidden/>
    <w:qFormat/>
    <w:uiPriority w:val="0"/>
    <w:pPr>
      <w:widowControl w:val="0"/>
      <w:ind w:left="420" w:leftChars="200"/>
      <w:jc w:val="both"/>
    </w:pPr>
  </w:style>
  <w:style w:type="paragraph" w:styleId="13">
    <w:name w:val="Note Heading"/>
    <w:basedOn w:val="1"/>
    <w:next w:val="1"/>
    <w:link w:val="62"/>
    <w:semiHidden/>
    <w:qFormat/>
    <w:uiPriority w:val="0"/>
    <w:pPr>
      <w:jc w:val="center"/>
    </w:pPr>
    <w:rPr>
      <w:kern w:val="0"/>
      <w:sz w:val="20"/>
      <w:szCs w:val="20"/>
      <w:lang w:val="zh-CN"/>
    </w:rPr>
  </w:style>
  <w:style w:type="paragraph" w:styleId="14">
    <w:name w:val="Normal Indent"/>
    <w:basedOn w:val="1"/>
    <w:next w:val="1"/>
    <w:unhideWhenUsed/>
    <w:uiPriority w:val="99"/>
    <w:pPr>
      <w:widowControl w:val="0"/>
      <w:spacing w:line="240" w:lineRule="auto"/>
      <w:ind w:firstLine="420" w:firstLineChars="0"/>
      <w:jc w:val="both"/>
    </w:pPr>
    <w:rPr>
      <w:rFonts w:eastAsia="宋体" w:cs="Times New Roman"/>
      <w:sz w:val="21"/>
    </w:rPr>
  </w:style>
  <w:style w:type="paragraph" w:styleId="15">
    <w:name w:val="Document Map"/>
    <w:basedOn w:val="1"/>
    <w:link w:val="63"/>
    <w:semiHidden/>
    <w:qFormat/>
    <w:uiPriority w:val="0"/>
    <w:pPr>
      <w:shd w:val="clear" w:color="auto" w:fill="000080"/>
    </w:pPr>
    <w:rPr>
      <w:kern w:val="0"/>
      <w:sz w:val="20"/>
      <w:lang w:val="zh-CN"/>
    </w:rPr>
  </w:style>
  <w:style w:type="paragraph" w:styleId="16">
    <w:name w:val="toa heading"/>
    <w:basedOn w:val="1"/>
    <w:next w:val="1"/>
    <w:unhideWhenUsed/>
    <w:qFormat/>
    <w:uiPriority w:val="99"/>
    <w:pPr>
      <w:widowControl w:val="0"/>
      <w:adjustRightInd w:val="0"/>
      <w:snapToGrid w:val="0"/>
      <w:spacing w:before="120" w:after="100" w:afterAutospacing="1" w:line="300" w:lineRule="auto"/>
      <w:ind w:firstLine="0" w:firstLineChars="0"/>
      <w:jc w:val="both"/>
    </w:pPr>
    <w:rPr>
      <w:rFonts w:ascii="Arial" w:hAnsi="Arial" w:eastAsia="宋体" w:cs="Arial"/>
      <w:szCs w:val="24"/>
    </w:rPr>
  </w:style>
  <w:style w:type="paragraph" w:styleId="17">
    <w:name w:val="annotation text"/>
    <w:basedOn w:val="1"/>
    <w:link w:val="64"/>
    <w:semiHidden/>
    <w:qFormat/>
    <w:uiPriority w:val="0"/>
    <w:rPr>
      <w:kern w:val="0"/>
      <w:sz w:val="20"/>
      <w:lang w:val="zh-CN"/>
    </w:rPr>
  </w:style>
  <w:style w:type="paragraph" w:styleId="18">
    <w:name w:val="Closing"/>
    <w:basedOn w:val="1"/>
    <w:link w:val="66"/>
    <w:semiHidden/>
    <w:qFormat/>
    <w:uiPriority w:val="0"/>
    <w:pPr>
      <w:ind w:left="4320"/>
    </w:pPr>
    <w:rPr>
      <w:kern w:val="0"/>
      <w:sz w:val="20"/>
      <w:szCs w:val="20"/>
      <w:lang w:val="zh-CN"/>
    </w:rPr>
  </w:style>
  <w:style w:type="paragraph" w:styleId="19">
    <w:name w:val="Body Text"/>
    <w:basedOn w:val="1"/>
    <w:next w:val="1"/>
    <w:link w:val="210"/>
    <w:unhideWhenUsed/>
    <w:qFormat/>
    <w:uiPriority w:val="99"/>
    <w:pPr>
      <w:widowControl w:val="0"/>
      <w:spacing w:line="240" w:lineRule="auto"/>
      <w:ind w:firstLine="0" w:firstLineChars="0"/>
    </w:pPr>
    <w:rPr>
      <w:rFonts w:eastAsia="宋体" w:cs="Times New Roman"/>
      <w:sz w:val="21"/>
    </w:rPr>
  </w:style>
  <w:style w:type="paragraph" w:styleId="20">
    <w:name w:val="Body Text Indent"/>
    <w:basedOn w:val="1"/>
    <w:next w:val="1"/>
    <w:link w:val="207"/>
    <w:unhideWhenUsed/>
    <w:qFormat/>
    <w:uiPriority w:val="99"/>
    <w:pPr>
      <w:widowControl w:val="0"/>
      <w:adjustRightInd w:val="0"/>
      <w:snapToGrid w:val="0"/>
      <w:spacing w:beforeLines="25" w:afterLines="25"/>
      <w:ind w:firstLine="540" w:firstLineChars="225"/>
      <w:jc w:val="both"/>
    </w:pPr>
    <w:rPr>
      <w:rFonts w:ascii="Bookman Old Style" w:hAnsi="Bookman Old Style" w:eastAsia="宋体" w:cs="Times New Roman"/>
      <w:szCs w:val="24"/>
    </w:rPr>
  </w:style>
  <w:style w:type="paragraph" w:styleId="21">
    <w:name w:val="List 2"/>
    <w:basedOn w:val="1"/>
    <w:unhideWhenUsed/>
    <w:qFormat/>
    <w:uiPriority w:val="99"/>
    <w:pPr>
      <w:spacing w:line="360" w:lineRule="exact"/>
      <w:ind w:firstLine="0" w:firstLineChars="0"/>
      <w:jc w:val="center"/>
    </w:pPr>
    <w:rPr>
      <w:rFonts w:ascii="仿宋_GB2312" w:hAnsi="宋体" w:eastAsia="仿宋_GB2312" w:cs="宋体"/>
      <w:kern w:val="0"/>
      <w:szCs w:val="24"/>
    </w:rPr>
  </w:style>
  <w:style w:type="paragraph" w:styleId="22">
    <w:name w:val="Block Text"/>
    <w:basedOn w:val="1"/>
    <w:link w:val="67"/>
    <w:semiHidden/>
    <w:qFormat/>
    <w:uiPriority w:val="0"/>
    <w:pPr>
      <w:spacing w:after="120" w:line="500" w:lineRule="exact"/>
      <w:ind w:left="1440" w:leftChars="700" w:right="1440" w:rightChars="700"/>
    </w:pPr>
    <w:rPr>
      <w:rFonts w:ascii="仿宋_GB2312" w:eastAsia="仿宋_GB2312"/>
      <w:kern w:val="0"/>
      <w:sz w:val="28"/>
      <w:szCs w:val="20"/>
      <w:lang w:val="zh-CN"/>
    </w:rPr>
  </w:style>
  <w:style w:type="paragraph" w:styleId="23">
    <w:name w:val="Plain Text"/>
    <w:basedOn w:val="1"/>
    <w:link w:val="68"/>
    <w:semiHidden/>
    <w:qFormat/>
    <w:uiPriority w:val="0"/>
    <w:rPr>
      <w:rFonts w:ascii="宋体" w:hAnsi="Courier New"/>
      <w:kern w:val="0"/>
      <w:sz w:val="20"/>
      <w:lang w:val="zh-CN"/>
    </w:rPr>
  </w:style>
  <w:style w:type="paragraph" w:styleId="24">
    <w:name w:val="Body Text Indent 2"/>
    <w:basedOn w:val="1"/>
    <w:link w:val="212"/>
    <w:semiHidden/>
    <w:qFormat/>
    <w:uiPriority w:val="99"/>
    <w:pPr>
      <w:spacing w:after="120" w:line="480" w:lineRule="auto"/>
      <w:ind w:left="420" w:leftChars="200"/>
    </w:pPr>
  </w:style>
  <w:style w:type="paragraph" w:styleId="25">
    <w:name w:val="Balloon Text"/>
    <w:basedOn w:val="1"/>
    <w:link w:val="69"/>
    <w:semiHidden/>
    <w:qFormat/>
    <w:uiPriority w:val="0"/>
    <w:rPr>
      <w:sz w:val="18"/>
      <w:szCs w:val="18"/>
    </w:rPr>
  </w:style>
  <w:style w:type="paragraph" w:styleId="26">
    <w:name w:val="footer"/>
    <w:basedOn w:val="1"/>
    <w:link w:val="70"/>
    <w:qFormat/>
    <w:uiPriority w:val="99"/>
    <w:pPr>
      <w:tabs>
        <w:tab w:val="center" w:pos="4153"/>
        <w:tab w:val="right" w:pos="8306"/>
      </w:tabs>
      <w:snapToGrid w:val="0"/>
    </w:pPr>
    <w:rPr>
      <w:sz w:val="18"/>
      <w:szCs w:val="18"/>
    </w:rPr>
  </w:style>
  <w:style w:type="paragraph" w:styleId="27">
    <w:name w:val="envelope return"/>
    <w:basedOn w:val="1"/>
    <w:semiHidden/>
    <w:qFormat/>
    <w:uiPriority w:val="0"/>
    <w:pPr>
      <w:snapToGrid w:val="0"/>
    </w:pPr>
    <w:rPr>
      <w:rFonts w:ascii="Arial" w:hAnsi="Arial" w:cs="Arial"/>
      <w:szCs w:val="20"/>
    </w:rPr>
  </w:style>
  <w:style w:type="paragraph" w:styleId="28">
    <w:name w:val="header"/>
    <w:basedOn w:val="1"/>
    <w:link w:val="71"/>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style>
  <w:style w:type="paragraph" w:styleId="30">
    <w:name w:val="List"/>
    <w:basedOn w:val="1"/>
    <w:link w:val="72"/>
    <w:qFormat/>
    <w:uiPriority w:val="99"/>
    <w:pPr>
      <w:spacing w:line="360" w:lineRule="exact"/>
      <w:jc w:val="center"/>
    </w:pPr>
    <w:rPr>
      <w:rFonts w:ascii="宋体"/>
      <w:szCs w:val="20"/>
      <w:lang w:val="zh-CN"/>
    </w:rPr>
  </w:style>
  <w:style w:type="paragraph" w:styleId="31">
    <w:name w:val="footnote text"/>
    <w:basedOn w:val="1"/>
    <w:link w:val="73"/>
    <w:qFormat/>
    <w:uiPriority w:val="99"/>
    <w:pPr>
      <w:widowControl w:val="0"/>
      <w:snapToGrid w:val="0"/>
    </w:pPr>
    <w:rPr>
      <w:kern w:val="0"/>
      <w:sz w:val="18"/>
      <w:szCs w:val="18"/>
      <w:lang w:val="zh-CN"/>
    </w:rPr>
  </w:style>
  <w:style w:type="paragraph" w:styleId="32">
    <w:name w:val="Body Text Indent 3"/>
    <w:basedOn w:val="1"/>
    <w:link w:val="226"/>
    <w:semiHidden/>
    <w:unhideWhenUsed/>
    <w:qFormat/>
    <w:uiPriority w:val="99"/>
    <w:pPr>
      <w:widowControl w:val="0"/>
      <w:spacing w:before="100" w:beforeAutospacing="1" w:after="120"/>
      <w:ind w:left="420" w:leftChars="200"/>
      <w:jc w:val="both"/>
    </w:pPr>
    <w:rPr>
      <w:rFonts w:eastAsia="宋体" w:cs="Times New Roman"/>
      <w:sz w:val="16"/>
      <w:szCs w:val="16"/>
    </w:rPr>
  </w:style>
  <w:style w:type="paragraph" w:styleId="33">
    <w:name w:val="table of figures"/>
    <w:basedOn w:val="1"/>
    <w:next w:val="1"/>
    <w:semiHidden/>
    <w:unhideWhenUsed/>
    <w:qFormat/>
    <w:uiPriority w:val="99"/>
    <w:pPr>
      <w:widowControl w:val="0"/>
      <w:spacing w:before="100" w:beforeAutospacing="1" w:after="100" w:afterAutospacing="1"/>
      <w:ind w:left="200" w:leftChars="200" w:hanging="200" w:hangingChars="200"/>
      <w:jc w:val="both"/>
    </w:pPr>
    <w:rPr>
      <w:rFonts w:eastAsia="宋体" w:cs="Times New Roman"/>
      <w:color w:val="000000"/>
      <w:szCs w:val="24"/>
    </w:rPr>
  </w:style>
  <w:style w:type="paragraph" w:styleId="34">
    <w:name w:val="toc 2"/>
    <w:basedOn w:val="1"/>
    <w:next w:val="1"/>
    <w:qFormat/>
    <w:uiPriority w:val="39"/>
    <w:pPr>
      <w:ind w:left="420" w:leftChars="200"/>
    </w:pPr>
  </w:style>
  <w:style w:type="paragraph" w:styleId="35">
    <w:name w:val="Message Header"/>
    <w:basedOn w:val="1"/>
    <w:link w:val="74"/>
    <w:semiHidden/>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kern w:val="0"/>
      <w:szCs w:val="20"/>
      <w:lang w:val="zh-CN"/>
    </w:rPr>
  </w:style>
  <w:style w:type="paragraph" w:styleId="36">
    <w:name w:val="Normal (Web)"/>
    <w:basedOn w:val="1"/>
    <w:qFormat/>
    <w:uiPriority w:val="99"/>
    <w:pPr>
      <w:spacing w:before="100" w:beforeAutospacing="1" w:after="100" w:afterAutospacing="1" w:line="240" w:lineRule="auto"/>
      <w:ind w:firstLine="0" w:firstLineChars="0"/>
    </w:pPr>
    <w:rPr>
      <w:rFonts w:ascii="宋体" w:hAnsi="宋体" w:eastAsia="宋体" w:cs="宋体"/>
      <w:kern w:val="0"/>
      <w:szCs w:val="24"/>
    </w:rPr>
  </w:style>
  <w:style w:type="paragraph" w:styleId="37">
    <w:name w:val="annotation subject"/>
    <w:basedOn w:val="17"/>
    <w:next w:val="17"/>
    <w:link w:val="187"/>
    <w:semiHidden/>
    <w:qFormat/>
    <w:uiPriority w:val="0"/>
    <w:rPr>
      <w:b/>
      <w:bCs/>
      <w:kern w:val="2"/>
      <w:sz w:val="24"/>
      <w:lang w:val="en-US"/>
    </w:rPr>
  </w:style>
  <w:style w:type="table" w:styleId="39">
    <w:name w:val="Table Grid"/>
    <w:basedOn w:val="38"/>
    <w:qFormat/>
    <w:uiPriority w:val="9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0">
    <w:name w:val="Table Subtle 1"/>
    <w:basedOn w:val="38"/>
    <w:qFormat/>
    <w:uiPriority w:val="0"/>
    <w:pPr>
      <w:widowControl w:val="0"/>
      <w:jc w:val="both"/>
    </w:pPr>
    <w:rPr>
      <w:rFonts w:ascii="Times New Roman" w:hAnsi="Times New Roman" w:eastAsia="宋体" w:cs="Times New Roman"/>
    </w:r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1">
    <w:name w:val="Table Subtle 2"/>
    <w:basedOn w:val="38"/>
    <w:qFormat/>
    <w:uiPriority w:val="0"/>
    <w:pPr>
      <w:widowControl w:val="0"/>
      <w:jc w:val="both"/>
    </w:pPr>
    <w:rPr>
      <w:rFonts w:ascii="Times New Roman" w:hAnsi="Times New Roman" w:eastAsia="宋体" w:cs="Times New Roman"/>
    </w:r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2">
    <w:name w:val="Table Contemporary"/>
    <w:basedOn w:val="38"/>
    <w:qFormat/>
    <w:uiPriority w:val="0"/>
    <w:pPr>
      <w:widowControl w:val="0"/>
      <w:jc w:val="both"/>
    </w:pPr>
    <w:rPr>
      <w:rFonts w:ascii="Times New Roman" w:hAnsi="Times New Roman" w:eastAsia="宋体" w:cs="Times New Roman"/>
    </w:r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43">
    <w:name w:val="Table Professional"/>
    <w:basedOn w:val="38"/>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45">
    <w:name w:val="Strong"/>
    <w:qFormat/>
    <w:uiPriority w:val="0"/>
    <w:rPr>
      <w:b/>
      <w:bCs/>
    </w:rPr>
  </w:style>
  <w:style w:type="character" w:styleId="46">
    <w:name w:val="page number"/>
    <w:basedOn w:val="44"/>
    <w:semiHidden/>
    <w:qFormat/>
    <w:uiPriority w:val="0"/>
  </w:style>
  <w:style w:type="character" w:styleId="47">
    <w:name w:val="FollowedHyperlink"/>
    <w:basedOn w:val="44"/>
    <w:semiHidden/>
    <w:unhideWhenUsed/>
    <w:qFormat/>
    <w:uiPriority w:val="99"/>
    <w:rPr>
      <w:color w:val="954F72"/>
      <w:u w:val="single"/>
    </w:rPr>
  </w:style>
  <w:style w:type="character" w:styleId="48">
    <w:name w:val="line number"/>
    <w:basedOn w:val="44"/>
    <w:semiHidden/>
    <w:qFormat/>
    <w:uiPriority w:val="0"/>
  </w:style>
  <w:style w:type="character" w:styleId="49">
    <w:name w:val="Hyperlink"/>
    <w:basedOn w:val="44"/>
    <w:unhideWhenUsed/>
    <w:qFormat/>
    <w:uiPriority w:val="99"/>
    <w:rPr>
      <w:color w:val="0563C1"/>
      <w:u w:val="single"/>
    </w:rPr>
  </w:style>
  <w:style w:type="character" w:styleId="50">
    <w:name w:val="annotation reference"/>
    <w:basedOn w:val="44"/>
    <w:semiHidden/>
    <w:qFormat/>
    <w:uiPriority w:val="99"/>
    <w:rPr>
      <w:sz w:val="21"/>
      <w:szCs w:val="21"/>
    </w:rPr>
  </w:style>
  <w:style w:type="character" w:styleId="51">
    <w:name w:val="footnote reference"/>
    <w:semiHidden/>
    <w:qFormat/>
    <w:uiPriority w:val="0"/>
    <w:rPr>
      <w:vertAlign w:val="superscript"/>
    </w:rPr>
  </w:style>
  <w:style w:type="character" w:customStyle="1" w:styleId="52">
    <w:name w:val="标题 1 字符"/>
    <w:basedOn w:val="44"/>
    <w:link w:val="3"/>
    <w:qFormat/>
    <w:uiPriority w:val="99"/>
    <w:rPr>
      <w:b/>
      <w:bCs/>
      <w:kern w:val="44"/>
      <w:sz w:val="44"/>
      <w:szCs w:val="44"/>
      <w:lang w:val="zh-CN" w:eastAsia="zh-CN"/>
    </w:rPr>
  </w:style>
  <w:style w:type="character" w:customStyle="1" w:styleId="53">
    <w:name w:val="标题 2 字符"/>
    <w:basedOn w:val="44"/>
    <w:link w:val="4"/>
    <w:qFormat/>
    <w:uiPriority w:val="99"/>
    <w:rPr>
      <w:rFonts w:ascii="Arial" w:hAnsi="Arial" w:eastAsia="黑体"/>
      <w:b/>
      <w:bCs/>
      <w:kern w:val="0"/>
      <w:sz w:val="32"/>
      <w:szCs w:val="32"/>
      <w:lang w:val="zh-CN" w:eastAsia="zh-CN"/>
    </w:rPr>
  </w:style>
  <w:style w:type="character" w:customStyle="1" w:styleId="54">
    <w:name w:val="标题 3 字符"/>
    <w:link w:val="5"/>
    <w:qFormat/>
    <w:uiPriority w:val="99"/>
    <w:rPr>
      <w:rFonts w:ascii="仿宋_GB2312" w:eastAsia="仿宋_GB2312"/>
      <w:b/>
      <w:bCs/>
      <w:kern w:val="0"/>
      <w:sz w:val="30"/>
      <w:szCs w:val="32"/>
      <w:lang w:val="zh-CN" w:eastAsia="zh-CN"/>
    </w:rPr>
  </w:style>
  <w:style w:type="character" w:customStyle="1" w:styleId="55">
    <w:name w:val="标题 4 字符"/>
    <w:basedOn w:val="44"/>
    <w:link w:val="6"/>
    <w:qFormat/>
    <w:uiPriority w:val="99"/>
    <w:rPr>
      <w:rFonts w:ascii="Arial" w:hAnsi="Arial" w:eastAsia="黑体"/>
      <w:b/>
      <w:bCs/>
      <w:kern w:val="0"/>
      <w:sz w:val="28"/>
      <w:szCs w:val="28"/>
      <w:lang w:val="zh-CN" w:eastAsia="zh-CN"/>
    </w:rPr>
  </w:style>
  <w:style w:type="character" w:customStyle="1" w:styleId="56">
    <w:name w:val="标题 5 字符"/>
    <w:basedOn w:val="44"/>
    <w:link w:val="7"/>
    <w:qFormat/>
    <w:uiPriority w:val="99"/>
    <w:rPr>
      <w:b/>
      <w:bCs/>
      <w:kern w:val="0"/>
      <w:sz w:val="28"/>
      <w:szCs w:val="28"/>
      <w:lang w:val="zh-CN" w:eastAsia="zh-CN"/>
    </w:rPr>
  </w:style>
  <w:style w:type="character" w:customStyle="1" w:styleId="57">
    <w:name w:val="标题 6 字符"/>
    <w:basedOn w:val="44"/>
    <w:link w:val="8"/>
    <w:semiHidden/>
    <w:qFormat/>
    <w:uiPriority w:val="0"/>
    <w:rPr>
      <w:rFonts w:ascii="Arial" w:hAnsi="Arial" w:eastAsia="黑体"/>
      <w:b/>
      <w:bCs/>
      <w:kern w:val="2"/>
      <w:sz w:val="24"/>
      <w:szCs w:val="21"/>
      <w:lang w:val="zh-CN"/>
    </w:rPr>
  </w:style>
  <w:style w:type="character" w:customStyle="1" w:styleId="58">
    <w:name w:val="标题 7 字符"/>
    <w:basedOn w:val="44"/>
    <w:link w:val="9"/>
    <w:semiHidden/>
    <w:qFormat/>
    <w:uiPriority w:val="0"/>
    <w:rPr>
      <w:rFonts w:ascii="Times New Roman" w:hAnsi="Times New Roman" w:eastAsia="仿宋_GB2312"/>
      <w:b/>
      <w:bCs/>
      <w:kern w:val="2"/>
      <w:sz w:val="24"/>
      <w:szCs w:val="21"/>
      <w:lang w:val="zh-CN"/>
    </w:rPr>
  </w:style>
  <w:style w:type="character" w:customStyle="1" w:styleId="59">
    <w:name w:val="标题 8 字符"/>
    <w:basedOn w:val="44"/>
    <w:link w:val="10"/>
    <w:qFormat/>
    <w:uiPriority w:val="99"/>
    <w:rPr>
      <w:rFonts w:ascii="Arial" w:hAnsi="Arial" w:eastAsia="黑体"/>
      <w:kern w:val="2"/>
      <w:sz w:val="24"/>
      <w:szCs w:val="21"/>
      <w:lang w:val="zh-CN"/>
    </w:rPr>
  </w:style>
  <w:style w:type="character" w:customStyle="1" w:styleId="60">
    <w:name w:val="标题 9 字符"/>
    <w:basedOn w:val="44"/>
    <w:link w:val="11"/>
    <w:semiHidden/>
    <w:qFormat/>
    <w:uiPriority w:val="0"/>
    <w:rPr>
      <w:rFonts w:ascii="Arial" w:hAnsi="Arial" w:eastAsia="黑体"/>
      <w:kern w:val="2"/>
      <w:sz w:val="24"/>
      <w:szCs w:val="21"/>
      <w:lang w:val="zh-CN"/>
    </w:rPr>
  </w:style>
  <w:style w:type="character" w:customStyle="1" w:styleId="61">
    <w:name w:val="宏文本 字符"/>
    <w:link w:val="2"/>
    <w:semiHidden/>
    <w:qFormat/>
    <w:uiPriority w:val="0"/>
    <w:rPr>
      <w:rFonts w:ascii="Courier New" w:hAnsi="Courier New" w:eastAsia="宋体" w:cs="Times New Roman"/>
      <w:kern w:val="0"/>
      <w:sz w:val="24"/>
      <w:szCs w:val="24"/>
    </w:rPr>
  </w:style>
  <w:style w:type="character" w:customStyle="1" w:styleId="62">
    <w:name w:val="注释标题 字符"/>
    <w:basedOn w:val="44"/>
    <w:link w:val="13"/>
    <w:semiHidden/>
    <w:qFormat/>
    <w:uiPriority w:val="0"/>
    <w:rPr>
      <w:kern w:val="0"/>
      <w:sz w:val="20"/>
      <w:szCs w:val="20"/>
      <w:lang w:val="zh-CN" w:eastAsia="zh-CN"/>
    </w:rPr>
  </w:style>
  <w:style w:type="character" w:customStyle="1" w:styleId="63">
    <w:name w:val="文档结构图 字符"/>
    <w:basedOn w:val="44"/>
    <w:link w:val="15"/>
    <w:semiHidden/>
    <w:qFormat/>
    <w:uiPriority w:val="0"/>
    <w:rPr>
      <w:kern w:val="0"/>
      <w:sz w:val="20"/>
      <w:shd w:val="clear" w:color="auto" w:fill="000080"/>
      <w:lang w:val="zh-CN" w:eastAsia="zh-CN"/>
    </w:rPr>
  </w:style>
  <w:style w:type="character" w:customStyle="1" w:styleId="64">
    <w:name w:val="批注文字 字符"/>
    <w:basedOn w:val="44"/>
    <w:link w:val="17"/>
    <w:semiHidden/>
    <w:qFormat/>
    <w:uiPriority w:val="0"/>
    <w:rPr>
      <w:kern w:val="0"/>
      <w:sz w:val="20"/>
      <w:lang w:val="zh-CN" w:eastAsia="zh-CN"/>
    </w:rPr>
  </w:style>
  <w:style w:type="character" w:customStyle="1" w:styleId="65">
    <w:name w:val="明显参考1"/>
    <w:basedOn w:val="44"/>
    <w:qFormat/>
    <w:uiPriority w:val="32"/>
    <w:rPr>
      <w:b/>
      <w:bCs/>
      <w:smallCaps/>
      <w:color w:val="4F81BD" w:themeColor="accent1"/>
      <w:spacing w:val="5"/>
      <w14:textFill>
        <w14:solidFill>
          <w14:schemeClr w14:val="accent1"/>
        </w14:solidFill>
      </w14:textFill>
    </w:rPr>
  </w:style>
  <w:style w:type="character" w:customStyle="1" w:styleId="66">
    <w:name w:val="结束语 字符"/>
    <w:basedOn w:val="44"/>
    <w:link w:val="18"/>
    <w:semiHidden/>
    <w:qFormat/>
    <w:uiPriority w:val="0"/>
    <w:rPr>
      <w:kern w:val="0"/>
      <w:sz w:val="20"/>
      <w:szCs w:val="20"/>
      <w:lang w:val="zh-CN" w:eastAsia="zh-CN"/>
    </w:rPr>
  </w:style>
  <w:style w:type="character" w:customStyle="1" w:styleId="67">
    <w:name w:val="文本块 字符"/>
    <w:link w:val="22"/>
    <w:semiHidden/>
    <w:qFormat/>
    <w:uiPriority w:val="0"/>
    <w:rPr>
      <w:rFonts w:ascii="仿宋_GB2312" w:eastAsia="仿宋_GB2312"/>
      <w:kern w:val="0"/>
      <w:sz w:val="28"/>
      <w:szCs w:val="20"/>
      <w:lang w:val="zh-CN" w:eastAsia="zh-CN"/>
    </w:rPr>
  </w:style>
  <w:style w:type="character" w:customStyle="1" w:styleId="68">
    <w:name w:val="纯文本 字符"/>
    <w:basedOn w:val="44"/>
    <w:link w:val="23"/>
    <w:semiHidden/>
    <w:qFormat/>
    <w:uiPriority w:val="0"/>
    <w:rPr>
      <w:rFonts w:ascii="宋体" w:hAnsi="Courier New"/>
      <w:kern w:val="0"/>
      <w:sz w:val="20"/>
      <w:lang w:val="zh-CN" w:eastAsia="zh-CN"/>
    </w:rPr>
  </w:style>
  <w:style w:type="character" w:customStyle="1" w:styleId="69">
    <w:name w:val="批注框文本 字符"/>
    <w:link w:val="25"/>
    <w:semiHidden/>
    <w:qFormat/>
    <w:uiPriority w:val="0"/>
    <w:rPr>
      <w:sz w:val="18"/>
      <w:szCs w:val="18"/>
    </w:rPr>
  </w:style>
  <w:style w:type="character" w:customStyle="1" w:styleId="70">
    <w:name w:val="页脚 字符"/>
    <w:basedOn w:val="44"/>
    <w:link w:val="26"/>
    <w:qFormat/>
    <w:uiPriority w:val="99"/>
    <w:rPr>
      <w:sz w:val="18"/>
      <w:szCs w:val="18"/>
    </w:rPr>
  </w:style>
  <w:style w:type="character" w:customStyle="1" w:styleId="71">
    <w:name w:val="页眉 字符"/>
    <w:basedOn w:val="44"/>
    <w:link w:val="28"/>
    <w:qFormat/>
    <w:uiPriority w:val="99"/>
    <w:rPr>
      <w:sz w:val="18"/>
      <w:szCs w:val="18"/>
    </w:rPr>
  </w:style>
  <w:style w:type="character" w:customStyle="1" w:styleId="72">
    <w:name w:val="列表 字符"/>
    <w:link w:val="30"/>
    <w:semiHidden/>
    <w:qFormat/>
    <w:uiPriority w:val="0"/>
    <w:rPr>
      <w:rFonts w:ascii="宋体"/>
      <w:szCs w:val="20"/>
      <w:lang w:val="zh-CN" w:eastAsia="zh-CN"/>
    </w:rPr>
  </w:style>
  <w:style w:type="character" w:customStyle="1" w:styleId="73">
    <w:name w:val="脚注文本 字符"/>
    <w:basedOn w:val="44"/>
    <w:link w:val="31"/>
    <w:qFormat/>
    <w:uiPriority w:val="99"/>
    <w:rPr>
      <w:kern w:val="0"/>
      <w:sz w:val="18"/>
      <w:szCs w:val="18"/>
      <w:lang w:val="zh-CN" w:eastAsia="zh-CN"/>
    </w:rPr>
  </w:style>
  <w:style w:type="character" w:customStyle="1" w:styleId="74">
    <w:name w:val="信息标题 字符"/>
    <w:basedOn w:val="44"/>
    <w:link w:val="35"/>
    <w:semiHidden/>
    <w:qFormat/>
    <w:uiPriority w:val="0"/>
    <w:rPr>
      <w:rFonts w:ascii="Arial" w:hAnsi="Arial"/>
      <w:kern w:val="0"/>
      <w:sz w:val="24"/>
      <w:szCs w:val="20"/>
      <w:shd w:val="pct20" w:color="auto" w:fill="auto"/>
      <w:lang w:val="zh-CN" w:eastAsia="zh-CN"/>
    </w:rPr>
  </w:style>
  <w:style w:type="character" w:customStyle="1" w:styleId="75">
    <w:name w:val="明显强调1"/>
    <w:basedOn w:val="44"/>
    <w:qFormat/>
    <w:uiPriority w:val="21"/>
    <w:rPr>
      <w:i/>
      <w:iCs/>
      <w:color w:val="4F81BD" w:themeColor="accent1"/>
      <w14:textFill>
        <w14:solidFill>
          <w14:schemeClr w14:val="accent1"/>
        </w14:solidFill>
      </w14:textFill>
    </w:rPr>
  </w:style>
  <w:style w:type="paragraph" w:customStyle="1" w:styleId="76">
    <w:name w:val="f标题1"/>
    <w:basedOn w:val="1"/>
    <w:next w:val="1"/>
    <w:link w:val="77"/>
    <w:qFormat/>
    <w:uiPriority w:val="0"/>
    <w:pPr>
      <w:numPr>
        <w:ilvl w:val="0"/>
        <w:numId w:val="2"/>
      </w:numPr>
      <w:ind w:left="0" w:firstLineChars="0"/>
      <w:outlineLvl w:val="0"/>
    </w:pPr>
    <w:rPr>
      <w:rFonts w:cs="Times New Roman"/>
      <w:b/>
      <w:sz w:val="44"/>
      <w:szCs w:val="48"/>
      <w:lang w:val="zh-CN"/>
    </w:rPr>
  </w:style>
  <w:style w:type="character" w:customStyle="1" w:styleId="77">
    <w:name w:val="f标题1 字符"/>
    <w:link w:val="76"/>
    <w:qFormat/>
    <w:uiPriority w:val="0"/>
    <w:rPr>
      <w:rFonts w:ascii="Times New Roman" w:hAnsi="Times New Roman" w:cs="Times New Roman"/>
      <w:b/>
      <w:kern w:val="2"/>
      <w:sz w:val="44"/>
      <w:szCs w:val="48"/>
      <w:lang w:val="zh-CN"/>
    </w:rPr>
  </w:style>
  <w:style w:type="paragraph" w:customStyle="1" w:styleId="78">
    <w:name w:val="f付正文"/>
    <w:basedOn w:val="1"/>
    <w:link w:val="79"/>
    <w:semiHidden/>
    <w:qFormat/>
    <w:uiPriority w:val="0"/>
    <w:pPr>
      <w:wordWrap w:val="0"/>
      <w:ind w:firstLine="480"/>
      <w:jc w:val="both"/>
    </w:pPr>
    <w:rPr>
      <w:lang w:val="zh-CN"/>
    </w:rPr>
  </w:style>
  <w:style w:type="character" w:customStyle="1" w:styleId="79">
    <w:name w:val="f付正文 字符"/>
    <w:link w:val="78"/>
    <w:semiHidden/>
    <w:qFormat/>
    <w:uiPriority w:val="0"/>
    <w:rPr>
      <w:sz w:val="24"/>
      <w:lang w:val="zh-CN" w:eastAsia="zh-CN"/>
    </w:rPr>
  </w:style>
  <w:style w:type="paragraph" w:customStyle="1" w:styleId="80">
    <w:name w:val="f标题2"/>
    <w:basedOn w:val="1"/>
    <w:next w:val="1"/>
    <w:link w:val="81"/>
    <w:qFormat/>
    <w:uiPriority w:val="0"/>
    <w:pPr>
      <w:keepNext/>
      <w:keepLines/>
      <w:numPr>
        <w:ilvl w:val="1"/>
        <w:numId w:val="2"/>
      </w:numPr>
      <w:adjustRightInd w:val="0"/>
      <w:snapToGrid w:val="0"/>
      <w:spacing w:before="240"/>
      <w:ind w:firstLineChars="0"/>
      <w:outlineLvl w:val="1"/>
    </w:pPr>
    <w:rPr>
      <w:b/>
      <w:sz w:val="32"/>
      <w:szCs w:val="32"/>
      <w:lang w:val="zh-CN"/>
    </w:rPr>
  </w:style>
  <w:style w:type="character" w:customStyle="1" w:styleId="81">
    <w:name w:val="f标题2 字符"/>
    <w:link w:val="80"/>
    <w:qFormat/>
    <w:uiPriority w:val="0"/>
    <w:rPr>
      <w:rFonts w:ascii="Times New Roman" w:hAnsi="Times New Roman"/>
      <w:b/>
      <w:kern w:val="2"/>
      <w:sz w:val="32"/>
      <w:szCs w:val="32"/>
      <w:lang w:val="zh-CN"/>
    </w:rPr>
  </w:style>
  <w:style w:type="paragraph" w:customStyle="1" w:styleId="82">
    <w:name w:val="f标题3"/>
    <w:basedOn w:val="1"/>
    <w:next w:val="1"/>
    <w:link w:val="83"/>
    <w:qFormat/>
    <w:uiPriority w:val="0"/>
    <w:pPr>
      <w:keepNext/>
      <w:keepLines/>
      <w:numPr>
        <w:ilvl w:val="2"/>
        <w:numId w:val="2"/>
      </w:numPr>
      <w:ind w:firstLineChars="0"/>
      <w:outlineLvl w:val="2"/>
    </w:pPr>
    <w:rPr>
      <w:rFonts w:cs="Times New Roman"/>
      <w:b/>
      <w:sz w:val="28"/>
      <w:szCs w:val="30"/>
      <w:lang w:val="zh-CN"/>
    </w:rPr>
  </w:style>
  <w:style w:type="character" w:customStyle="1" w:styleId="83">
    <w:name w:val="f标题3 字符"/>
    <w:link w:val="82"/>
    <w:qFormat/>
    <w:uiPriority w:val="0"/>
    <w:rPr>
      <w:rFonts w:ascii="Times New Roman" w:hAnsi="Times New Roman" w:cs="Times New Roman"/>
      <w:b/>
      <w:kern w:val="2"/>
      <w:sz w:val="28"/>
      <w:szCs w:val="30"/>
      <w:lang w:val="zh-CN"/>
    </w:rPr>
  </w:style>
  <w:style w:type="paragraph" w:customStyle="1" w:styleId="84">
    <w:name w:val="f标题4"/>
    <w:basedOn w:val="1"/>
    <w:next w:val="1"/>
    <w:link w:val="85"/>
    <w:qFormat/>
    <w:uiPriority w:val="0"/>
    <w:pPr>
      <w:keepNext/>
      <w:keepLines/>
      <w:numPr>
        <w:ilvl w:val="3"/>
        <w:numId w:val="2"/>
      </w:numPr>
      <w:ind w:firstLineChars="0"/>
      <w:outlineLvl w:val="3"/>
    </w:pPr>
    <w:rPr>
      <w:rFonts w:cs="Times New Roman"/>
      <w:b/>
      <w:sz w:val="28"/>
      <w:szCs w:val="28"/>
      <w:lang w:val="zh-CN"/>
    </w:rPr>
  </w:style>
  <w:style w:type="character" w:customStyle="1" w:styleId="85">
    <w:name w:val="f标题4 字符"/>
    <w:link w:val="84"/>
    <w:qFormat/>
    <w:uiPriority w:val="0"/>
    <w:rPr>
      <w:rFonts w:ascii="Times New Roman" w:hAnsi="Times New Roman" w:cs="Times New Roman"/>
      <w:b/>
      <w:kern w:val="2"/>
      <w:sz w:val="28"/>
      <w:szCs w:val="28"/>
      <w:lang w:val="zh-CN"/>
    </w:rPr>
  </w:style>
  <w:style w:type="paragraph" w:customStyle="1" w:styleId="86">
    <w:name w:val="f表头文字"/>
    <w:basedOn w:val="1"/>
    <w:next w:val="1"/>
    <w:link w:val="87"/>
    <w:qFormat/>
    <w:uiPriority w:val="0"/>
    <w:pPr>
      <w:keepNext/>
      <w:numPr>
        <w:ilvl w:val="5"/>
        <w:numId w:val="3"/>
      </w:numPr>
      <w:spacing w:before="20"/>
      <w:ind w:left="0" w:firstLineChars="0"/>
      <w:jc w:val="center"/>
    </w:pPr>
    <w:rPr>
      <w:b/>
      <w:lang w:val="zh-CN"/>
    </w:rPr>
  </w:style>
  <w:style w:type="character" w:customStyle="1" w:styleId="87">
    <w:name w:val="f表头文字 字符"/>
    <w:link w:val="86"/>
    <w:qFormat/>
    <w:uiPriority w:val="0"/>
    <w:rPr>
      <w:rFonts w:ascii="Times New Roman" w:hAnsi="Times New Roman"/>
      <w:b/>
      <w:kern w:val="2"/>
      <w:sz w:val="24"/>
      <w:szCs w:val="21"/>
      <w:lang w:val="zh-CN"/>
    </w:rPr>
  </w:style>
  <w:style w:type="paragraph" w:customStyle="1" w:styleId="88">
    <w:name w:val="f格中内容"/>
    <w:basedOn w:val="1"/>
    <w:next w:val="1"/>
    <w:link w:val="89"/>
    <w:qFormat/>
    <w:uiPriority w:val="0"/>
    <w:pPr>
      <w:widowControl w:val="0"/>
      <w:wordWrap w:val="0"/>
      <w:adjustRightInd w:val="0"/>
      <w:snapToGrid w:val="0"/>
      <w:spacing w:line="240" w:lineRule="auto"/>
      <w:ind w:firstLine="480" w:firstLineChars="0"/>
      <w:jc w:val="both"/>
    </w:pPr>
    <w:rPr>
      <w:rFonts w:eastAsia="宋体" w:cs="Times New Roman"/>
      <w:kern w:val="0"/>
      <w:szCs w:val="24"/>
    </w:rPr>
  </w:style>
  <w:style w:type="character" w:customStyle="1" w:styleId="89">
    <w:name w:val="f格中内容 字符"/>
    <w:link w:val="88"/>
    <w:qFormat/>
    <w:uiPriority w:val="0"/>
    <w:rPr>
      <w:rFonts w:ascii="Times New Roman" w:hAnsi="Times New Roman" w:eastAsia="宋体" w:cs="Times New Roman"/>
      <w:sz w:val="24"/>
      <w:szCs w:val="24"/>
    </w:rPr>
  </w:style>
  <w:style w:type="paragraph" w:customStyle="1" w:styleId="90">
    <w:name w:val="f图形标题"/>
    <w:basedOn w:val="1"/>
    <w:next w:val="1"/>
    <w:qFormat/>
    <w:uiPriority w:val="0"/>
    <w:pPr>
      <w:ind w:firstLine="0" w:firstLineChars="0"/>
      <w:jc w:val="center"/>
    </w:pPr>
    <w:rPr>
      <w:rFonts w:eastAsia="宋体"/>
      <w:b/>
    </w:rPr>
  </w:style>
  <w:style w:type="paragraph" w:customStyle="1" w:styleId="91">
    <w:name w:val="f底注"/>
    <w:basedOn w:val="1"/>
    <w:next w:val="1"/>
    <w:link w:val="92"/>
    <w:qFormat/>
    <w:uiPriority w:val="0"/>
    <w:pPr>
      <w:spacing w:line="288" w:lineRule="auto"/>
      <w:ind w:firstLine="0" w:firstLineChars="0"/>
    </w:pPr>
    <w:rPr>
      <w:b/>
      <w:kern w:val="0"/>
      <w:sz w:val="21"/>
      <w:szCs w:val="18"/>
      <w:lang w:val="zh-CN"/>
    </w:rPr>
  </w:style>
  <w:style w:type="character" w:customStyle="1" w:styleId="92">
    <w:name w:val="f底注 字符"/>
    <w:link w:val="91"/>
    <w:qFormat/>
    <w:uiPriority w:val="0"/>
    <w:rPr>
      <w:rFonts w:ascii="Times New Roman" w:hAnsi="Times New Roman"/>
      <w:b/>
      <w:sz w:val="21"/>
      <w:szCs w:val="18"/>
      <w:lang w:val="zh-CN"/>
    </w:rPr>
  </w:style>
  <w:style w:type="paragraph" w:customStyle="1" w:styleId="93">
    <w:name w:val="f正文－修改好"/>
    <w:basedOn w:val="78"/>
    <w:qFormat/>
    <w:uiPriority w:val="0"/>
  </w:style>
  <w:style w:type="paragraph" w:customStyle="1" w:styleId="94">
    <w:name w:val="fu表格中内容"/>
    <w:basedOn w:val="1"/>
    <w:next w:val="1"/>
    <w:semiHidden/>
    <w:qFormat/>
    <w:uiPriority w:val="0"/>
    <w:pPr>
      <w:widowControl w:val="0"/>
      <w:adjustRightInd w:val="0"/>
      <w:jc w:val="center"/>
      <w:textAlignment w:val="baseline"/>
    </w:pPr>
    <w:rPr>
      <w:rFonts w:eastAsia="宋体" w:cs="Times New Roman"/>
      <w:kern w:val="0"/>
      <w:sz w:val="20"/>
      <w:szCs w:val="24"/>
    </w:rPr>
  </w:style>
  <w:style w:type="paragraph" w:customStyle="1" w:styleId="95">
    <w:name w:val="段落"/>
    <w:basedOn w:val="1"/>
    <w:link w:val="96"/>
    <w:semiHidden/>
    <w:qFormat/>
    <w:uiPriority w:val="0"/>
    <w:pPr>
      <w:tabs>
        <w:tab w:val="left" w:pos="1021"/>
      </w:tabs>
      <w:adjustRightInd w:val="0"/>
      <w:spacing w:line="300" w:lineRule="auto"/>
      <w:ind w:firstLine="480"/>
    </w:pPr>
    <w:rPr>
      <w:kern w:val="24"/>
      <w:lang w:val="zh-CN"/>
    </w:rPr>
  </w:style>
  <w:style w:type="character" w:customStyle="1" w:styleId="96">
    <w:name w:val="段落 Char1"/>
    <w:link w:val="95"/>
    <w:semiHidden/>
    <w:qFormat/>
    <w:uiPriority w:val="0"/>
    <w:rPr>
      <w:kern w:val="24"/>
      <w:sz w:val="24"/>
      <w:lang w:val="zh-CN" w:eastAsia="zh-CN"/>
    </w:rPr>
  </w:style>
  <w:style w:type="paragraph" w:customStyle="1" w:styleId="97">
    <w:name w:val="大纲正文"/>
    <w:basedOn w:val="1"/>
    <w:link w:val="98"/>
    <w:semiHidden/>
    <w:qFormat/>
    <w:uiPriority w:val="0"/>
    <w:pPr>
      <w:adjustRightInd w:val="0"/>
      <w:snapToGrid w:val="0"/>
      <w:spacing w:afterLines="50" w:line="300" w:lineRule="auto"/>
      <w:ind w:firstLine="480"/>
    </w:pPr>
    <w:rPr>
      <w:kern w:val="0"/>
      <w:lang w:val="zh-CN"/>
    </w:rPr>
  </w:style>
  <w:style w:type="character" w:customStyle="1" w:styleId="98">
    <w:name w:val="大纲正文 Char"/>
    <w:link w:val="97"/>
    <w:semiHidden/>
    <w:qFormat/>
    <w:uiPriority w:val="0"/>
    <w:rPr>
      <w:kern w:val="0"/>
      <w:sz w:val="24"/>
      <w:lang w:val="zh-CN" w:eastAsia="zh-CN"/>
    </w:rPr>
  </w:style>
  <w:style w:type="paragraph" w:customStyle="1" w:styleId="99">
    <w:name w:val="图注"/>
    <w:basedOn w:val="1"/>
    <w:next w:val="1"/>
    <w:semiHidden/>
    <w:qFormat/>
    <w:uiPriority w:val="0"/>
    <w:pPr>
      <w:spacing w:before="60"/>
      <w:jc w:val="center"/>
    </w:pPr>
    <w:rPr>
      <w:rFonts w:ascii="宋体" w:hAnsi="宋体"/>
      <w:color w:val="0000FF"/>
      <w:szCs w:val="20"/>
    </w:rPr>
  </w:style>
  <w:style w:type="paragraph" w:customStyle="1" w:styleId="100">
    <w:name w:val="新正文"/>
    <w:basedOn w:val="1"/>
    <w:semiHidden/>
    <w:qFormat/>
    <w:uiPriority w:val="99"/>
    <w:pPr>
      <w:spacing w:line="480" w:lineRule="exact"/>
      <w:ind w:firstLine="482"/>
    </w:pPr>
    <w:rPr>
      <w:rFonts w:hint="eastAsia" w:ascii="仿宋_GB2312" w:eastAsia="仿宋_GB2312"/>
      <w:kern w:val="0"/>
      <w:sz w:val="28"/>
      <w:szCs w:val="20"/>
    </w:rPr>
  </w:style>
  <w:style w:type="character" w:customStyle="1" w:styleId="101">
    <w:name w:val="未命名11"/>
    <w:semiHidden/>
    <w:qFormat/>
    <w:uiPriority w:val="0"/>
    <w:rPr>
      <w:rFonts w:hint="eastAsia" w:ascii="宋体" w:hAnsi="宋体" w:eastAsia="宋体"/>
      <w:sz w:val="18"/>
      <w:szCs w:val="18"/>
    </w:rPr>
  </w:style>
  <w:style w:type="paragraph" w:customStyle="1" w:styleId="102">
    <w:name w:val="一级条标题"/>
    <w:basedOn w:val="4"/>
    <w:next w:val="1"/>
    <w:semiHidden/>
    <w:qFormat/>
    <w:uiPriority w:val="0"/>
    <w:pPr>
      <w:keepNext w:val="0"/>
      <w:keepLines w:val="0"/>
      <w:tabs>
        <w:tab w:val="left" w:pos="360"/>
        <w:tab w:val="left" w:pos="900"/>
      </w:tabs>
      <w:spacing w:before="0" w:after="0" w:line="240" w:lineRule="auto"/>
      <w:ind w:left="900" w:hanging="420"/>
      <w:outlineLvl w:val="2"/>
    </w:pPr>
    <w:rPr>
      <w:rFonts w:ascii="黑体" w:hAnsi="Times New Roman"/>
      <w:b w:val="0"/>
      <w:bCs w:val="0"/>
      <w:sz w:val="21"/>
      <w:szCs w:val="20"/>
    </w:rPr>
  </w:style>
  <w:style w:type="paragraph" w:customStyle="1" w:styleId="103">
    <w:name w:val="五级条标题"/>
    <w:basedOn w:val="1"/>
    <w:next w:val="1"/>
    <w:semiHidden/>
    <w:qFormat/>
    <w:uiPriority w:val="0"/>
    <w:pPr>
      <w:tabs>
        <w:tab w:val="left" w:pos="360"/>
        <w:tab w:val="left" w:pos="900"/>
        <w:tab w:val="left" w:pos="1740"/>
        <w:tab w:val="left" w:pos="2160"/>
        <w:tab w:val="left" w:pos="2580"/>
        <w:tab w:val="left" w:pos="3000"/>
      </w:tabs>
      <w:spacing w:line="240" w:lineRule="auto"/>
      <w:ind w:left="3000" w:hanging="420"/>
      <w:outlineLvl w:val="6"/>
    </w:pPr>
    <w:rPr>
      <w:rFonts w:ascii="黑体" w:eastAsia="黑体"/>
      <w:kern w:val="0"/>
      <w:sz w:val="21"/>
      <w:szCs w:val="20"/>
      <w:lang w:val="zh-CN"/>
    </w:rPr>
  </w:style>
  <w:style w:type="paragraph" w:customStyle="1" w:styleId="104">
    <w:name w:val="文本框"/>
    <w:basedOn w:val="1"/>
    <w:semiHidden/>
    <w:qFormat/>
    <w:uiPriority w:val="0"/>
    <w:pPr>
      <w:tabs>
        <w:tab w:val="left" w:pos="3420"/>
      </w:tabs>
      <w:adjustRightInd w:val="0"/>
      <w:snapToGrid w:val="0"/>
      <w:spacing w:line="300" w:lineRule="exact"/>
      <w:ind w:left="3420" w:hanging="420"/>
      <w:jc w:val="center"/>
    </w:pPr>
  </w:style>
  <w:style w:type="paragraph" w:customStyle="1" w:styleId="105">
    <w:name w:val="项目编号"/>
    <w:basedOn w:val="1"/>
    <w:next w:val="1"/>
    <w:semiHidden/>
    <w:qFormat/>
    <w:uiPriority w:val="0"/>
    <w:pPr>
      <w:spacing w:before="120" w:after="120"/>
    </w:pPr>
    <w:rPr>
      <w:szCs w:val="20"/>
    </w:rPr>
  </w:style>
  <w:style w:type="paragraph" w:customStyle="1" w:styleId="106">
    <w:name w:val="项目编号文字"/>
    <w:basedOn w:val="1"/>
    <w:next w:val="1"/>
    <w:semiHidden/>
    <w:qFormat/>
    <w:uiPriority w:val="0"/>
    <w:pPr>
      <w:spacing w:before="120" w:after="120"/>
      <w:ind w:left="1077"/>
    </w:pPr>
    <w:rPr>
      <w:szCs w:val="20"/>
    </w:rPr>
  </w:style>
  <w:style w:type="paragraph" w:customStyle="1" w:styleId="107">
    <w:name w:val="样式"/>
    <w:semiHidden/>
    <w:qFormat/>
    <w:uiPriority w:val="0"/>
    <w:pPr>
      <w:keepNext/>
      <w:keepLines/>
      <w:widowControl w:val="0"/>
      <w:adjustRightInd w:val="0"/>
      <w:spacing w:before="340" w:after="330" w:line="578" w:lineRule="atLeast"/>
      <w:jc w:val="both"/>
      <w:textAlignment w:val="baseline"/>
    </w:pPr>
    <w:rPr>
      <w:rFonts w:ascii="Times New Roman" w:hAnsi="Times New Roman" w:eastAsia="宋体" w:cs="Times New Roman"/>
      <w:b/>
      <w:sz w:val="24"/>
      <w:lang w:val="en-US" w:eastAsia="zh-CN" w:bidi="ar-SA"/>
    </w:rPr>
  </w:style>
  <w:style w:type="paragraph" w:customStyle="1" w:styleId="108">
    <w:name w:val="款"/>
    <w:basedOn w:val="1"/>
    <w:semiHidden/>
    <w:qFormat/>
    <w:uiPriority w:val="99"/>
    <w:rPr>
      <w:szCs w:val="20"/>
    </w:rPr>
  </w:style>
  <w:style w:type="paragraph" w:customStyle="1" w:styleId="109">
    <w:name w:val="环正文"/>
    <w:basedOn w:val="1"/>
    <w:semiHidden/>
    <w:qFormat/>
    <w:uiPriority w:val="0"/>
    <w:pPr>
      <w:tabs>
        <w:tab w:val="left" w:pos="5187"/>
      </w:tabs>
      <w:suppressAutoHyphens/>
      <w:adjustRightInd w:val="0"/>
      <w:spacing w:line="312" w:lineRule="atLeast"/>
      <w:ind w:firstLine="550"/>
      <w:textAlignment w:val="baseline"/>
    </w:pPr>
    <w:rPr>
      <w:rFonts w:ascii="宋体" w:hAnsi="宋体"/>
      <w:kern w:val="0"/>
      <w:szCs w:val="20"/>
    </w:rPr>
  </w:style>
  <w:style w:type="paragraph" w:customStyle="1" w:styleId="110">
    <w:name w:val="环评正文"/>
    <w:basedOn w:val="1"/>
    <w:link w:val="111"/>
    <w:semiHidden/>
    <w:qFormat/>
    <w:uiPriority w:val="0"/>
    <w:rPr>
      <w:kern w:val="0"/>
      <w:sz w:val="20"/>
      <w:lang w:val="zh-CN"/>
    </w:rPr>
  </w:style>
  <w:style w:type="character" w:customStyle="1" w:styleId="111">
    <w:name w:val="环评正文 Char"/>
    <w:link w:val="110"/>
    <w:semiHidden/>
    <w:qFormat/>
    <w:uiPriority w:val="0"/>
    <w:rPr>
      <w:kern w:val="0"/>
      <w:sz w:val="20"/>
      <w:lang w:val="zh-CN" w:eastAsia="zh-CN"/>
    </w:rPr>
  </w:style>
  <w:style w:type="paragraph" w:customStyle="1" w:styleId="112">
    <w:name w:val="流程图"/>
    <w:basedOn w:val="1"/>
    <w:semiHidden/>
    <w:qFormat/>
    <w:uiPriority w:val="0"/>
    <w:pPr>
      <w:tabs>
        <w:tab w:val="left" w:pos="0"/>
      </w:tabs>
      <w:autoSpaceDE w:val="0"/>
      <w:autoSpaceDN w:val="0"/>
      <w:adjustRightInd w:val="0"/>
      <w:spacing w:line="240" w:lineRule="atLeast"/>
      <w:jc w:val="center"/>
      <w:textAlignment w:val="bottom"/>
    </w:pPr>
    <w:rPr>
      <w:rFonts w:ascii="宋体" w:cs="宋体"/>
    </w:rPr>
  </w:style>
  <w:style w:type="paragraph" w:customStyle="1" w:styleId="113">
    <w:name w:val="框图"/>
    <w:basedOn w:val="1"/>
    <w:semiHidden/>
    <w:qFormat/>
    <w:uiPriority w:val="0"/>
    <w:pPr>
      <w:adjustRightInd w:val="0"/>
      <w:snapToGrid w:val="0"/>
      <w:ind w:left="2" w:leftChars="-38" w:right="-106" w:rightChars="-38" w:hanging="108" w:hangingChars="54"/>
      <w:jc w:val="center"/>
    </w:pPr>
    <w:rPr>
      <w:rFonts w:ascii="宋体" w:cs="宋体"/>
      <w:sz w:val="20"/>
      <w:szCs w:val="20"/>
    </w:rPr>
  </w:style>
  <w:style w:type="paragraph" w:customStyle="1" w:styleId="114">
    <w:name w:val="封面单位"/>
    <w:basedOn w:val="1"/>
    <w:semiHidden/>
    <w:qFormat/>
    <w:uiPriority w:val="0"/>
    <w:pPr>
      <w:tabs>
        <w:tab w:val="center" w:pos="8222"/>
      </w:tabs>
      <w:jc w:val="center"/>
    </w:pPr>
    <w:rPr>
      <w:rFonts w:ascii="楷体_GB2312" w:eastAsia="楷体_GB2312" w:cs="楷体_GB2312"/>
      <w:b/>
      <w:bCs/>
      <w:sz w:val="36"/>
      <w:szCs w:val="36"/>
    </w:rPr>
  </w:style>
  <w:style w:type="paragraph" w:customStyle="1" w:styleId="115">
    <w:name w:val="封面标准文稿编辑信息"/>
    <w:semiHidden/>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16">
    <w:name w:val="注解"/>
    <w:basedOn w:val="1"/>
    <w:semiHidden/>
    <w:qFormat/>
    <w:uiPriority w:val="0"/>
    <w:pPr>
      <w:adjustRightInd w:val="0"/>
      <w:snapToGrid w:val="0"/>
      <w:ind w:left="624" w:right="170" w:hanging="454"/>
    </w:pPr>
    <w:rPr>
      <w:rFonts w:ascii="宋体" w:hAnsi="宋体"/>
      <w:color w:val="000000"/>
      <w:sz w:val="15"/>
      <w:szCs w:val="20"/>
    </w:rPr>
  </w:style>
  <w:style w:type="paragraph" w:customStyle="1" w:styleId="117">
    <w:name w:val="引言"/>
    <w:basedOn w:val="1"/>
    <w:next w:val="1"/>
    <w:semiHidden/>
    <w:qFormat/>
    <w:uiPriority w:val="0"/>
    <w:pPr>
      <w:snapToGrid w:val="0"/>
      <w:jc w:val="center"/>
    </w:pPr>
    <w:rPr>
      <w:rFonts w:ascii="仿宋_GB2312" w:eastAsia="仿宋_GB2312"/>
      <w:color w:val="000000"/>
    </w:rPr>
  </w:style>
  <w:style w:type="paragraph" w:styleId="118">
    <w:name w:val="No Spacing"/>
    <w:link w:val="119"/>
    <w:qFormat/>
    <w:uiPriority w:val="0"/>
    <w:rPr>
      <w:rFonts w:ascii="Calibri" w:hAnsi="Calibri" w:eastAsia="宋体" w:cs="Times New Roman"/>
      <w:sz w:val="22"/>
      <w:lang w:val="en-US" w:eastAsia="zh-CN" w:bidi="ar-SA"/>
    </w:rPr>
  </w:style>
  <w:style w:type="character" w:customStyle="1" w:styleId="119">
    <w:name w:val="无间隔 字符"/>
    <w:link w:val="118"/>
    <w:qFormat/>
    <w:uiPriority w:val="0"/>
    <w:rPr>
      <w:rFonts w:ascii="Calibri" w:hAnsi="Calibri" w:eastAsia="宋体" w:cs="Times New Roman"/>
      <w:kern w:val="0"/>
      <w:sz w:val="22"/>
      <w:szCs w:val="20"/>
    </w:rPr>
  </w:style>
  <w:style w:type="paragraph" w:customStyle="1" w:styleId="120">
    <w:name w:val="总题"/>
    <w:next w:val="1"/>
    <w:semiHidden/>
    <w:qFormat/>
    <w:uiPriority w:val="0"/>
    <w:pPr>
      <w:spacing w:before="100" w:beforeAutospacing="1" w:after="100" w:afterAutospacing="1" w:line="480" w:lineRule="auto"/>
      <w:jc w:val="center"/>
    </w:pPr>
    <w:rPr>
      <w:rFonts w:ascii="Times New Roman" w:hAnsi="Times New Roman" w:eastAsia="黑体" w:cs="Times New Roman"/>
      <w:b/>
      <w:spacing w:val="20"/>
      <w:sz w:val="44"/>
      <w:lang w:val="en-US" w:eastAsia="zh-CN" w:bidi="ar-SA"/>
    </w:rPr>
  </w:style>
  <w:style w:type="paragraph" w:customStyle="1" w:styleId="121">
    <w:name w:val="文本条款"/>
    <w:basedOn w:val="1"/>
    <w:semiHidden/>
    <w:qFormat/>
    <w:uiPriority w:val="0"/>
    <w:pPr>
      <w:spacing w:line="480" w:lineRule="exact"/>
      <w:ind w:firstLine="560"/>
    </w:pPr>
    <w:rPr>
      <w:rFonts w:ascii="宋体"/>
      <w:sz w:val="28"/>
      <w:szCs w:val="20"/>
    </w:rPr>
  </w:style>
  <w:style w:type="paragraph" w:customStyle="1" w:styleId="122">
    <w:name w:val="段"/>
    <w:semiHidden/>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23">
    <w:name w:val="我的正文"/>
    <w:basedOn w:val="1"/>
    <w:semiHidden/>
    <w:qFormat/>
    <w:uiPriority w:val="0"/>
    <w:rPr>
      <w:snapToGrid w:val="0"/>
      <w:kern w:val="0"/>
      <w:sz w:val="28"/>
    </w:rPr>
  </w:style>
  <w:style w:type="paragraph" w:customStyle="1" w:styleId="124">
    <w:name w:val="段落样式"/>
    <w:basedOn w:val="1"/>
    <w:semiHidden/>
    <w:qFormat/>
    <w:uiPriority w:val="0"/>
    <w:pPr>
      <w:keepNext/>
      <w:suppressLineNumbers/>
      <w:suppressAutoHyphens/>
      <w:topLinePunct/>
      <w:adjustRightInd w:val="0"/>
      <w:snapToGrid w:val="0"/>
      <w:spacing w:line="480" w:lineRule="atLeast"/>
      <w:ind w:firstLine="482"/>
      <w:textAlignment w:val="baseline"/>
    </w:pPr>
    <w:rPr>
      <w:snapToGrid w:val="0"/>
      <w:w w:val="90"/>
      <w:kern w:val="0"/>
      <w:sz w:val="28"/>
      <w:szCs w:val="20"/>
    </w:rPr>
  </w:style>
  <w:style w:type="paragraph" w:customStyle="1" w:styleId="125">
    <w:name w:val="文字块"/>
    <w:basedOn w:val="1"/>
    <w:semiHidden/>
    <w:qFormat/>
    <w:uiPriority w:val="0"/>
    <w:pPr>
      <w:spacing w:before="100" w:beforeAutospacing="1" w:after="100" w:afterAutospacing="1"/>
    </w:pPr>
    <w:rPr>
      <w:rFonts w:ascii="宋体" w:hAnsi="宋体" w:cs="宋体"/>
      <w:kern w:val="0"/>
    </w:rPr>
  </w:style>
  <w:style w:type="paragraph" w:customStyle="1" w:styleId="126">
    <w:name w:val="目录"/>
    <w:basedOn w:val="1"/>
    <w:semiHidden/>
    <w:qFormat/>
    <w:uiPriority w:val="0"/>
    <w:pPr>
      <w:suppressLineNumbers/>
      <w:suppressAutoHyphens/>
      <w:spacing w:line="360" w:lineRule="atLeast"/>
      <w:textAlignment w:val="baseline"/>
    </w:pPr>
    <w:rPr>
      <w:rFonts w:cs="Tahoma"/>
      <w:kern w:val="0"/>
      <w:szCs w:val="20"/>
      <w:lang w:eastAsia="ar-SA"/>
    </w:rPr>
  </w:style>
  <w:style w:type="paragraph" w:customStyle="1" w:styleId="127">
    <w:name w:val="封面日期"/>
    <w:semiHidden/>
    <w:qFormat/>
    <w:uiPriority w:val="0"/>
    <w:pPr>
      <w:widowControl w:val="0"/>
      <w:suppressAutoHyphens/>
      <w:spacing w:line="360" w:lineRule="atLeast"/>
      <w:jc w:val="center"/>
      <w:textAlignment w:val="baseline"/>
    </w:pPr>
    <w:rPr>
      <w:rFonts w:ascii="宋体" w:hAnsi="宋体" w:eastAsia="宋体" w:cs="Times New Roman"/>
      <w:sz w:val="28"/>
      <w:lang w:val="en-US" w:eastAsia="ar-SA" w:bidi="ar-SA"/>
    </w:rPr>
  </w:style>
  <w:style w:type="paragraph" w:styleId="128">
    <w:name w:val="Quote"/>
    <w:basedOn w:val="1"/>
    <w:next w:val="1"/>
    <w:link w:val="129"/>
    <w:qFormat/>
    <w:uiPriority w:val="29"/>
    <w:pPr>
      <w:spacing w:before="100" w:beforeAutospacing="1" w:after="100" w:afterAutospacing="1"/>
    </w:pPr>
    <w:rPr>
      <w:rFonts w:ascii="Calibri" w:hAnsi="Calibri"/>
      <w:i/>
      <w:iCs/>
      <w:color w:val="000000"/>
      <w:kern w:val="0"/>
      <w:szCs w:val="22"/>
      <w:lang w:val="zh-CN" w:eastAsia="en-US" w:bidi="en-US"/>
    </w:rPr>
  </w:style>
  <w:style w:type="character" w:customStyle="1" w:styleId="129">
    <w:name w:val="引用 字符"/>
    <w:basedOn w:val="44"/>
    <w:link w:val="128"/>
    <w:qFormat/>
    <w:uiPriority w:val="29"/>
    <w:rPr>
      <w:rFonts w:ascii="Calibri" w:hAnsi="Calibri"/>
      <w:i/>
      <w:iCs/>
      <w:color w:val="000000"/>
      <w:kern w:val="0"/>
      <w:sz w:val="24"/>
      <w:szCs w:val="22"/>
      <w:lang w:val="zh-CN" w:eastAsia="en-US" w:bidi="en-US"/>
    </w:rPr>
  </w:style>
  <w:style w:type="paragraph" w:styleId="130">
    <w:name w:val="Intense Quote"/>
    <w:basedOn w:val="1"/>
    <w:next w:val="1"/>
    <w:link w:val="131"/>
    <w:qFormat/>
    <w:uiPriority w:val="0"/>
    <w:pPr>
      <w:pBdr>
        <w:bottom w:val="single" w:color="4F81BD" w:sz="4" w:space="4"/>
      </w:pBdr>
      <w:spacing w:before="200" w:beforeAutospacing="1" w:after="280" w:afterAutospacing="1"/>
      <w:ind w:left="936" w:right="936"/>
    </w:pPr>
    <w:rPr>
      <w:rFonts w:ascii="Calibri" w:hAnsi="Calibri"/>
      <w:b/>
      <w:bCs/>
      <w:i/>
      <w:iCs/>
      <w:color w:val="4F81BD"/>
      <w:kern w:val="0"/>
      <w:szCs w:val="22"/>
      <w:lang w:val="zh-CN" w:eastAsia="en-US" w:bidi="en-US"/>
    </w:rPr>
  </w:style>
  <w:style w:type="character" w:customStyle="1" w:styleId="131">
    <w:name w:val="明显引用 字符"/>
    <w:basedOn w:val="44"/>
    <w:link w:val="130"/>
    <w:qFormat/>
    <w:uiPriority w:val="0"/>
    <w:rPr>
      <w:rFonts w:ascii="Calibri" w:hAnsi="Calibri"/>
      <w:b/>
      <w:bCs/>
      <w:i/>
      <w:iCs/>
      <w:color w:val="4F81BD"/>
      <w:kern w:val="0"/>
      <w:sz w:val="24"/>
      <w:szCs w:val="22"/>
      <w:lang w:val="zh-CN" w:eastAsia="en-US" w:bidi="en-US"/>
    </w:rPr>
  </w:style>
  <w:style w:type="paragraph" w:customStyle="1" w:styleId="132">
    <w:name w:val="款标题"/>
    <w:basedOn w:val="1"/>
    <w:semiHidden/>
    <w:qFormat/>
    <w:uiPriority w:val="0"/>
    <w:pPr>
      <w:tabs>
        <w:tab w:val="left" w:pos="720"/>
      </w:tabs>
      <w:ind w:firstLine="480"/>
    </w:pPr>
    <w:rPr>
      <w:rFonts w:ascii="宋体" w:hAnsi="宋体"/>
      <w:bCs/>
    </w:rPr>
  </w:style>
  <w:style w:type="paragraph" w:customStyle="1" w:styleId="133">
    <w:name w:val="封面落款"/>
    <w:semiHidden/>
    <w:qFormat/>
    <w:uiPriority w:val="0"/>
    <w:pPr>
      <w:jc w:val="center"/>
    </w:pPr>
    <w:rPr>
      <w:rFonts w:ascii="Times New Roman" w:hAnsi="Times New Roman" w:eastAsia="宋体" w:cs="Times New Roman"/>
      <w:kern w:val="2"/>
      <w:sz w:val="32"/>
      <w:szCs w:val="24"/>
      <w:lang w:val="en-US" w:eastAsia="zh-CN" w:bidi="ar-SA"/>
    </w:rPr>
  </w:style>
  <w:style w:type="paragraph" w:customStyle="1" w:styleId="134">
    <w:name w:val="符号说明"/>
    <w:basedOn w:val="1"/>
    <w:semiHidden/>
    <w:qFormat/>
    <w:uiPriority w:val="0"/>
    <w:pPr>
      <w:tabs>
        <w:tab w:val="left" w:pos="1260"/>
        <w:tab w:val="left" w:pos="3780"/>
        <w:tab w:val="left" w:pos="4680"/>
      </w:tabs>
      <w:ind w:firstLine="1120" w:firstLineChars="400"/>
    </w:pPr>
    <w:rPr>
      <w:sz w:val="28"/>
    </w:rPr>
  </w:style>
  <w:style w:type="paragraph" w:customStyle="1" w:styleId="135">
    <w:name w:val="尾注"/>
    <w:basedOn w:val="1"/>
    <w:semiHidden/>
    <w:qFormat/>
    <w:uiPriority w:val="0"/>
    <w:pPr>
      <w:adjustRightInd w:val="0"/>
      <w:spacing w:line="312" w:lineRule="atLeast"/>
      <w:textAlignment w:val="baseline"/>
    </w:pPr>
    <w:rPr>
      <w:kern w:val="0"/>
      <w:sz w:val="28"/>
      <w:szCs w:val="20"/>
    </w:rPr>
  </w:style>
  <w:style w:type="paragraph" w:customStyle="1" w:styleId="136">
    <w:name w:val="二级标题"/>
    <w:basedOn w:val="1"/>
    <w:semiHidden/>
    <w:qFormat/>
    <w:uiPriority w:val="0"/>
    <w:pPr>
      <w:spacing w:before="60" w:line="460" w:lineRule="exact"/>
      <w:outlineLvl w:val="1"/>
    </w:pPr>
    <w:rPr>
      <w:b/>
      <w:sz w:val="28"/>
    </w:rPr>
  </w:style>
  <w:style w:type="paragraph" w:customStyle="1" w:styleId="137">
    <w:name w:val="明显引用1"/>
    <w:basedOn w:val="1"/>
    <w:next w:val="1"/>
    <w:semiHidden/>
    <w:qFormat/>
    <w:uiPriority w:val="0"/>
    <w:pPr>
      <w:pBdr>
        <w:bottom w:val="single" w:color="4F81BD" w:sz="4" w:space="4"/>
      </w:pBdr>
      <w:spacing w:before="200" w:beforeAutospacing="1" w:after="280" w:afterAutospacing="1"/>
      <w:ind w:left="936" w:right="936"/>
    </w:pPr>
    <w:rPr>
      <w:rFonts w:ascii="Calibri" w:hAnsi="Calibri"/>
      <w:b/>
      <w:bCs/>
      <w:i/>
      <w:iCs/>
      <w:color w:val="4F81BD"/>
      <w:kern w:val="0"/>
      <w:szCs w:val="22"/>
      <w:lang w:eastAsia="en-US" w:bidi="en-US"/>
    </w:rPr>
  </w:style>
  <w:style w:type="paragraph" w:customStyle="1" w:styleId="138">
    <w:name w:val="简单回函地址"/>
    <w:basedOn w:val="1"/>
    <w:semiHidden/>
    <w:qFormat/>
    <w:uiPriority w:val="0"/>
    <w:pPr>
      <w:widowControl w:val="0"/>
      <w:jc w:val="both"/>
    </w:pPr>
  </w:style>
  <w:style w:type="paragraph" w:customStyle="1" w:styleId="139">
    <w:name w:val="f正文红"/>
    <w:basedOn w:val="1"/>
    <w:link w:val="140"/>
    <w:qFormat/>
    <w:uiPriority w:val="0"/>
    <w:pPr>
      <w:widowControl w:val="0"/>
      <w:adjustRightInd w:val="0"/>
      <w:snapToGrid w:val="0"/>
      <w:jc w:val="both"/>
    </w:pPr>
    <w:rPr>
      <w:color w:val="FF0000"/>
      <w:kern w:val="0"/>
      <w:szCs w:val="20"/>
      <w:lang w:val="zh-CN"/>
    </w:rPr>
  </w:style>
  <w:style w:type="character" w:customStyle="1" w:styleId="140">
    <w:name w:val="f正文红 字符"/>
    <w:link w:val="139"/>
    <w:qFormat/>
    <w:uiPriority w:val="0"/>
    <w:rPr>
      <w:rFonts w:ascii="Times New Roman" w:hAnsi="Times New Roman"/>
      <w:color w:val="FF0000"/>
      <w:kern w:val="0"/>
      <w:sz w:val="24"/>
      <w:szCs w:val="20"/>
      <w:lang w:val="zh-CN" w:eastAsia="zh-CN"/>
    </w:rPr>
  </w:style>
  <w:style w:type="paragraph" w:customStyle="1" w:styleId="141">
    <w:name w:val="段标"/>
    <w:basedOn w:val="1"/>
    <w:semiHidden/>
    <w:qFormat/>
    <w:uiPriority w:val="0"/>
    <w:pPr>
      <w:widowControl w:val="0"/>
      <w:adjustRightInd w:val="0"/>
      <w:ind w:firstLine="567"/>
      <w:textAlignment w:val="baseline"/>
    </w:pPr>
    <w:rPr>
      <w:kern w:val="0"/>
      <w:sz w:val="28"/>
      <w:szCs w:val="20"/>
    </w:rPr>
  </w:style>
  <w:style w:type="paragraph" w:customStyle="1" w:styleId="142">
    <w:name w:val="大标题"/>
    <w:basedOn w:val="1"/>
    <w:next w:val="1"/>
    <w:semiHidden/>
    <w:qFormat/>
    <w:uiPriority w:val="0"/>
    <w:pPr>
      <w:widowControl w:val="0"/>
      <w:spacing w:before="60" w:after="60" w:line="440" w:lineRule="exact"/>
      <w:ind w:firstLine="482"/>
      <w:jc w:val="center"/>
    </w:pPr>
    <w:rPr>
      <w:b/>
      <w:sz w:val="32"/>
      <w:szCs w:val="20"/>
    </w:rPr>
  </w:style>
  <w:style w:type="paragraph" w:customStyle="1" w:styleId="143">
    <w:name w:val="偶数页脚"/>
    <w:semiHidden/>
    <w:qFormat/>
    <w:uiPriority w:val="0"/>
    <w:pPr>
      <w:adjustRightInd w:val="0"/>
      <w:snapToGrid w:val="0"/>
    </w:pPr>
    <w:rPr>
      <w:rFonts w:ascii="Times New Roman" w:hAnsi="Times New Roman" w:eastAsia="Times New Roman" w:cs="Times New Roman"/>
      <w:kern w:val="2"/>
      <w:sz w:val="24"/>
      <w:szCs w:val="24"/>
      <w:lang w:val="en-US" w:eastAsia="zh-CN" w:bidi="ar-SA"/>
    </w:rPr>
  </w:style>
  <w:style w:type="paragraph" w:customStyle="1" w:styleId="144">
    <w:name w:val="修订1"/>
    <w:semiHidden/>
    <w:qFormat/>
    <w:uiPriority w:val="0"/>
    <w:rPr>
      <w:rFonts w:ascii="Times New Roman" w:hAnsi="Times New Roman" w:eastAsia="宋体" w:cs="Times New Roman"/>
      <w:kern w:val="2"/>
      <w:sz w:val="24"/>
      <w:szCs w:val="24"/>
      <w:lang w:val="en-US" w:eastAsia="zh-CN" w:bidi="ar-SA"/>
    </w:rPr>
  </w:style>
  <w:style w:type="paragraph" w:customStyle="1" w:styleId="145">
    <w:name w:val="目次"/>
    <w:semiHidden/>
    <w:qFormat/>
    <w:uiPriority w:val="0"/>
    <w:pPr>
      <w:adjustRightInd w:val="0"/>
      <w:snapToGrid w:val="0"/>
      <w:jc w:val="center"/>
    </w:pPr>
    <w:rPr>
      <w:rFonts w:ascii="Times New Roman" w:hAnsi="Times New Roman" w:eastAsia="黑体" w:cs="Times New Roman"/>
      <w:kern w:val="2"/>
      <w:sz w:val="30"/>
      <w:szCs w:val="30"/>
      <w:lang w:val="en-US" w:eastAsia="zh-CN" w:bidi="ar-SA"/>
    </w:rPr>
  </w:style>
  <w:style w:type="paragraph" w:customStyle="1" w:styleId="146">
    <w:name w:val="项目符号1"/>
    <w:basedOn w:val="1"/>
    <w:semiHidden/>
    <w:qFormat/>
    <w:uiPriority w:val="0"/>
    <w:pPr>
      <w:widowControl w:val="0"/>
      <w:overflowPunct w:val="0"/>
      <w:snapToGrid w:val="0"/>
      <w:spacing w:line="480" w:lineRule="exact"/>
      <w:jc w:val="both"/>
    </w:pPr>
    <w:rPr>
      <w:rFonts w:ascii="Arial" w:hAnsi="Arial" w:eastAsia="仿宋_GB2312"/>
      <w:sz w:val="28"/>
      <w:szCs w:val="20"/>
    </w:rPr>
  </w:style>
  <w:style w:type="paragraph" w:customStyle="1" w:styleId="147">
    <w:name w:val="注释"/>
    <w:basedOn w:val="1"/>
    <w:semiHidden/>
    <w:qFormat/>
    <w:uiPriority w:val="0"/>
    <w:pPr>
      <w:widowControl w:val="0"/>
      <w:adjustRightInd w:val="0"/>
      <w:snapToGrid w:val="0"/>
      <w:jc w:val="both"/>
    </w:pPr>
    <w:rPr>
      <w:kern w:val="0"/>
      <w:szCs w:val="28"/>
    </w:rPr>
  </w:style>
  <w:style w:type="paragraph" w:customStyle="1" w:styleId="148">
    <w:name w:val="偶数页眉"/>
    <w:semiHidden/>
    <w:qFormat/>
    <w:uiPriority w:val="0"/>
    <w:pPr>
      <w:pBdr>
        <w:bottom w:val="thinThickSmallGap" w:color="auto" w:sz="12" w:space="1"/>
      </w:pBdr>
      <w:adjustRightInd w:val="0"/>
      <w:snapToGrid w:val="0"/>
    </w:pPr>
    <w:rPr>
      <w:rFonts w:ascii="Times New Roman" w:hAnsi="Times New Roman" w:eastAsia="仿宋_GB2312" w:cs="Times New Roman"/>
      <w:b/>
      <w:kern w:val="2"/>
      <w:sz w:val="21"/>
      <w:szCs w:val="21"/>
      <w:lang w:val="en-US" w:eastAsia="zh-CN" w:bidi="ar-SA"/>
    </w:rPr>
  </w:style>
  <w:style w:type="paragraph" w:customStyle="1" w:styleId="149">
    <w:name w:val="项目"/>
    <w:basedOn w:val="1"/>
    <w:semiHidden/>
    <w:qFormat/>
    <w:uiPriority w:val="0"/>
    <w:pPr>
      <w:widowControl w:val="0"/>
      <w:tabs>
        <w:tab w:val="left" w:pos="948"/>
      </w:tabs>
      <w:ind w:left="948" w:hanging="420"/>
      <w:jc w:val="both"/>
    </w:pPr>
  </w:style>
  <w:style w:type="paragraph" w:customStyle="1" w:styleId="150">
    <w:name w:val="基准页眉样式"/>
    <w:basedOn w:val="1"/>
    <w:semiHidden/>
    <w:qFormat/>
    <w:uiPriority w:val="0"/>
    <w:pPr>
      <w:widowControl w:val="0"/>
      <w:jc w:val="center"/>
    </w:pPr>
    <w:rPr>
      <w:bCs/>
      <w:sz w:val="18"/>
    </w:rPr>
  </w:style>
  <w:style w:type="paragraph" w:customStyle="1" w:styleId="151">
    <w:name w:val="节标"/>
    <w:basedOn w:val="1"/>
    <w:semiHidden/>
    <w:qFormat/>
    <w:uiPriority w:val="0"/>
    <w:pPr>
      <w:autoSpaceDE w:val="0"/>
      <w:autoSpaceDN w:val="0"/>
      <w:adjustRightInd w:val="0"/>
      <w:spacing w:line="480" w:lineRule="exact"/>
      <w:ind w:firstLine="567"/>
      <w:jc w:val="center"/>
      <w:textAlignment w:val="bottom"/>
    </w:pPr>
    <w:rPr>
      <w:b/>
      <w:kern w:val="0"/>
      <w:sz w:val="30"/>
      <w:szCs w:val="20"/>
    </w:rPr>
  </w:style>
  <w:style w:type="paragraph" w:customStyle="1" w:styleId="152">
    <w:name w:val="公式"/>
    <w:basedOn w:val="1"/>
    <w:semiHidden/>
    <w:qFormat/>
    <w:uiPriority w:val="0"/>
    <w:pPr>
      <w:widowControl w:val="0"/>
      <w:spacing w:beforeLines="200" w:afterLines="200" w:line="1000" w:lineRule="exact"/>
      <w:jc w:val="both"/>
    </w:pPr>
    <w:rPr>
      <w:spacing w:val="20"/>
      <w:sz w:val="28"/>
      <w:szCs w:val="20"/>
    </w:rPr>
  </w:style>
  <w:style w:type="paragraph" w:customStyle="1" w:styleId="153">
    <w:name w:val="讲稿"/>
    <w:basedOn w:val="1"/>
    <w:semiHidden/>
    <w:qFormat/>
    <w:uiPriority w:val="0"/>
    <w:pPr>
      <w:widowControl w:val="0"/>
      <w:ind w:firstLine="431"/>
      <w:jc w:val="both"/>
    </w:pPr>
    <w:rPr>
      <w:rFonts w:ascii="Arial" w:hAnsi="Arial"/>
      <w:kern w:val="0"/>
      <w:szCs w:val="20"/>
    </w:rPr>
  </w:style>
  <w:style w:type="paragraph" w:customStyle="1" w:styleId="154">
    <w:name w:val="页号"/>
    <w:basedOn w:val="26"/>
    <w:semiHidden/>
    <w:qFormat/>
    <w:uiPriority w:val="0"/>
    <w:pPr>
      <w:tabs>
        <w:tab w:val="center" w:pos="4320"/>
        <w:tab w:val="right" w:pos="8640"/>
        <w:tab w:val="clear" w:pos="4153"/>
        <w:tab w:val="clear" w:pos="8306"/>
      </w:tabs>
      <w:adjustRightInd w:val="0"/>
      <w:snapToGrid/>
      <w:jc w:val="center"/>
      <w:textAlignment w:val="baseline"/>
    </w:pPr>
    <w:rPr>
      <w:rFonts w:ascii="Calibri" w:hAnsi="Calibri"/>
      <w:spacing w:val="3"/>
      <w:kern w:val="24"/>
      <w:sz w:val="24"/>
      <w:szCs w:val="20"/>
      <w:lang w:val="zh-CN"/>
    </w:rPr>
  </w:style>
  <w:style w:type="paragraph" w:customStyle="1" w:styleId="155">
    <w:name w:val="基准标题"/>
    <w:basedOn w:val="1"/>
    <w:next w:val="1"/>
    <w:semiHidden/>
    <w:qFormat/>
    <w:uiPriority w:val="0"/>
    <w:pPr>
      <w:widowControl w:val="0"/>
      <w:spacing w:before="80" w:after="80"/>
      <w:jc w:val="both"/>
    </w:pPr>
    <w:rPr>
      <w:kern w:val="0"/>
      <w:sz w:val="20"/>
      <w:szCs w:val="20"/>
      <w:lang w:val="zh-CN"/>
    </w:rPr>
  </w:style>
  <w:style w:type="paragraph" w:customStyle="1" w:styleId="156">
    <w:name w:val="目录名称"/>
    <w:semiHidden/>
    <w:qFormat/>
    <w:uiPriority w:val="0"/>
    <w:pPr>
      <w:spacing w:line="360" w:lineRule="auto"/>
      <w:jc w:val="center"/>
    </w:pPr>
    <w:rPr>
      <w:rFonts w:ascii="Times New Roman" w:hAnsi="Times New Roman" w:eastAsia="黑体" w:cs="Times New Roman"/>
      <w:sz w:val="32"/>
      <w:lang w:val="en-US" w:eastAsia="zh-CN" w:bidi="ar-SA"/>
    </w:rPr>
  </w:style>
  <w:style w:type="paragraph" w:customStyle="1" w:styleId="157">
    <w:name w:val="基准页脚样式"/>
    <w:basedOn w:val="1"/>
    <w:semiHidden/>
    <w:qFormat/>
    <w:uiPriority w:val="0"/>
    <w:pPr>
      <w:widowControl w:val="0"/>
      <w:spacing w:line="240" w:lineRule="exact"/>
      <w:jc w:val="center"/>
    </w:pPr>
    <w:rPr>
      <w:bCs/>
    </w:rPr>
  </w:style>
  <w:style w:type="character" w:customStyle="1" w:styleId="158">
    <w:name w:val="小标题 Char"/>
    <w:link w:val="159"/>
    <w:semiHidden/>
    <w:qFormat/>
    <w:uiPriority w:val="0"/>
    <w:rPr>
      <w:rFonts w:ascii="宋体" w:hAnsi="宋体"/>
      <w:b/>
      <w:snapToGrid w:val="0"/>
      <w:sz w:val="28"/>
      <w:szCs w:val="28"/>
    </w:rPr>
  </w:style>
  <w:style w:type="paragraph" w:customStyle="1" w:styleId="159">
    <w:name w:val="小标题"/>
    <w:basedOn w:val="1"/>
    <w:next w:val="1"/>
    <w:link w:val="158"/>
    <w:semiHidden/>
    <w:qFormat/>
    <w:uiPriority w:val="0"/>
    <w:pPr>
      <w:widowControl w:val="0"/>
    </w:pPr>
    <w:rPr>
      <w:rFonts w:ascii="宋体" w:hAnsi="宋体"/>
      <w:b/>
      <w:snapToGrid w:val="0"/>
      <w:sz w:val="28"/>
      <w:szCs w:val="28"/>
    </w:rPr>
  </w:style>
  <w:style w:type="paragraph" w:customStyle="1" w:styleId="160">
    <w:name w:val="插图1"/>
    <w:basedOn w:val="1"/>
    <w:semiHidden/>
    <w:qFormat/>
    <w:uiPriority w:val="0"/>
    <w:pPr>
      <w:widowControl w:val="0"/>
      <w:adjustRightInd w:val="0"/>
      <w:spacing w:before="120" w:after="120"/>
      <w:jc w:val="both"/>
      <w:textAlignment w:val="baseline"/>
    </w:pPr>
    <w:rPr>
      <w:kern w:val="0"/>
      <w:szCs w:val="28"/>
    </w:rPr>
  </w:style>
  <w:style w:type="paragraph" w:customStyle="1" w:styleId="161">
    <w:name w:val="注："/>
    <w:next w:val="5"/>
    <w:semiHidden/>
    <w:qFormat/>
    <w:uiPriority w:val="0"/>
    <w:pPr>
      <w:widowControl w:val="0"/>
      <w:autoSpaceDE w:val="0"/>
      <w:autoSpaceDN w:val="0"/>
      <w:ind w:left="1200" w:hanging="720"/>
      <w:jc w:val="both"/>
    </w:pPr>
    <w:rPr>
      <w:rFonts w:ascii="宋体" w:hAnsi="Times New Roman" w:eastAsia="宋体" w:cs="Times New Roman"/>
      <w:sz w:val="18"/>
      <w:lang w:val="en-US" w:eastAsia="zh-CN" w:bidi="ar-SA"/>
    </w:rPr>
  </w:style>
  <w:style w:type="paragraph" w:customStyle="1" w:styleId="162">
    <w:name w:val="码头表"/>
    <w:basedOn w:val="1"/>
    <w:semiHidden/>
    <w:qFormat/>
    <w:uiPriority w:val="0"/>
    <w:pPr>
      <w:widowControl w:val="0"/>
      <w:jc w:val="center"/>
    </w:pPr>
    <w:rPr>
      <w:rFonts w:eastAsia="仿宋_GB2312"/>
      <w:color w:val="FF6600"/>
    </w:rPr>
  </w:style>
  <w:style w:type="paragraph" w:customStyle="1" w:styleId="163">
    <w:name w:val="依据文字"/>
    <w:basedOn w:val="1"/>
    <w:semiHidden/>
    <w:qFormat/>
    <w:uiPriority w:val="0"/>
    <w:pPr>
      <w:widowControl w:val="0"/>
      <w:tabs>
        <w:tab w:val="left" w:pos="420"/>
        <w:tab w:val="left" w:pos="870"/>
        <w:tab w:val="left" w:pos="3150"/>
      </w:tabs>
      <w:autoSpaceDE w:val="0"/>
      <w:autoSpaceDN w:val="0"/>
      <w:adjustRightInd w:val="0"/>
      <w:spacing w:before="60" w:line="336" w:lineRule="auto"/>
      <w:ind w:firstLine="527"/>
      <w:jc w:val="both"/>
      <w:textAlignment w:val="baseline"/>
    </w:pPr>
    <w:rPr>
      <w:rFonts w:ascii="宋体"/>
      <w:kern w:val="0"/>
      <w:szCs w:val="20"/>
      <w:lang w:val="zh-CN"/>
    </w:rPr>
  </w:style>
  <w:style w:type="paragraph" w:customStyle="1" w:styleId="164">
    <w:name w:val="文本正文"/>
    <w:basedOn w:val="1"/>
    <w:semiHidden/>
    <w:qFormat/>
    <w:uiPriority w:val="0"/>
    <w:pPr>
      <w:widowControl w:val="0"/>
      <w:snapToGrid w:val="0"/>
      <w:jc w:val="center"/>
    </w:pPr>
    <w:rPr>
      <w:rFonts w:hAnsi="宋体"/>
    </w:rPr>
  </w:style>
  <w:style w:type="paragraph" w:customStyle="1" w:styleId="165">
    <w:name w:val="封面标准名称"/>
    <w:semiHidden/>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6">
    <w:name w:val="大表内容"/>
    <w:semiHidden/>
    <w:qFormat/>
    <w:uiPriority w:val="0"/>
    <w:pPr>
      <w:snapToGrid w:val="0"/>
      <w:jc w:val="center"/>
    </w:pPr>
    <w:rPr>
      <w:rFonts w:ascii="Times New Roman" w:hAnsi="Times New Roman" w:eastAsia="宋体" w:cs="Times New Roman"/>
      <w:sz w:val="21"/>
      <w:lang w:val="en-US" w:eastAsia="zh-CN" w:bidi="ar-SA"/>
    </w:rPr>
  </w:style>
  <w:style w:type="paragraph" w:customStyle="1" w:styleId="167">
    <w:name w:val="仿宋体"/>
    <w:basedOn w:val="1"/>
    <w:semiHidden/>
    <w:qFormat/>
    <w:uiPriority w:val="0"/>
    <w:pPr>
      <w:spacing w:line="844" w:lineRule="atLeast"/>
      <w:ind w:firstLine="419"/>
      <w:jc w:val="both"/>
      <w:textAlignment w:val="baseline"/>
    </w:pPr>
    <w:rPr>
      <w:rFonts w:eastAsia="仿宋_GB2312"/>
      <w:color w:val="000000"/>
      <w:kern w:val="0"/>
      <w:sz w:val="31"/>
      <w:szCs w:val="20"/>
      <w:u w:color="000000"/>
    </w:rPr>
  </w:style>
  <w:style w:type="paragraph" w:customStyle="1" w:styleId="168">
    <w:name w:val="文档二级标题"/>
    <w:basedOn w:val="1"/>
    <w:semiHidden/>
    <w:qFormat/>
    <w:uiPriority w:val="0"/>
    <w:pPr>
      <w:widowControl w:val="0"/>
      <w:jc w:val="both"/>
    </w:pPr>
    <w:rPr>
      <w:rFonts w:ascii="楷体_GB2312" w:hAnsi="华文仿宋" w:eastAsia="楷体_GB2312"/>
      <w:sz w:val="28"/>
    </w:rPr>
  </w:style>
  <w:style w:type="paragraph" w:customStyle="1" w:styleId="169">
    <w:name w:val="右侧"/>
    <w:semiHidden/>
    <w:qFormat/>
    <w:uiPriority w:val="0"/>
    <w:pPr>
      <w:spacing w:line="280" w:lineRule="exact"/>
      <w:jc w:val="right"/>
    </w:pPr>
    <w:rPr>
      <w:rFonts w:ascii="Batang" w:hAnsi="Batang" w:eastAsia="宋体" w:cs="Times New Roman"/>
      <w:color w:val="000000"/>
      <w:sz w:val="18"/>
      <w:lang w:val="en-US" w:eastAsia="zh-CN" w:bidi="ar-SA"/>
    </w:rPr>
  </w:style>
  <w:style w:type="paragraph" w:customStyle="1" w:styleId="170">
    <w:name w:val="左侧"/>
    <w:semiHidden/>
    <w:qFormat/>
    <w:uiPriority w:val="0"/>
    <w:pPr>
      <w:spacing w:line="280" w:lineRule="exact"/>
      <w:jc w:val="center"/>
    </w:pPr>
    <w:rPr>
      <w:rFonts w:ascii="Batang" w:hAnsi="Batang" w:eastAsia="宋体" w:cs="Times New Roman"/>
      <w:color w:val="000000"/>
      <w:sz w:val="21"/>
      <w:lang w:val="en-US" w:eastAsia="zh-CN" w:bidi="ar-SA"/>
    </w:rPr>
  </w:style>
  <w:style w:type="paragraph" w:customStyle="1" w:styleId="171">
    <w:name w:val="左五"/>
    <w:basedOn w:val="1"/>
    <w:semiHidden/>
    <w:qFormat/>
    <w:uiPriority w:val="0"/>
    <w:pPr>
      <w:widowControl w:val="0"/>
      <w:adjustRightInd w:val="0"/>
      <w:snapToGrid w:val="0"/>
      <w:spacing w:line="280" w:lineRule="exact"/>
    </w:pPr>
    <w:rPr>
      <w:rFonts w:ascii="宋体" w:hAnsi="Symusic"/>
      <w:color w:val="000000"/>
      <w:sz w:val="18"/>
    </w:rPr>
  </w:style>
  <w:style w:type="paragraph" w:customStyle="1" w:styleId="172">
    <w:name w:val="默认段落"/>
    <w:basedOn w:val="1"/>
    <w:link w:val="173"/>
    <w:semiHidden/>
    <w:qFormat/>
    <w:uiPriority w:val="0"/>
    <w:pPr>
      <w:widowControl w:val="0"/>
      <w:ind w:firstLine="480"/>
      <w:jc w:val="both"/>
    </w:pPr>
    <w:rPr>
      <w:kern w:val="0"/>
      <w:szCs w:val="20"/>
      <w:lang w:val="zh-CN"/>
    </w:rPr>
  </w:style>
  <w:style w:type="character" w:customStyle="1" w:styleId="173">
    <w:name w:val="默认段落 Char"/>
    <w:link w:val="172"/>
    <w:semiHidden/>
    <w:qFormat/>
    <w:uiPriority w:val="0"/>
    <w:rPr>
      <w:kern w:val="0"/>
      <w:sz w:val="24"/>
      <w:szCs w:val="20"/>
      <w:lang w:val="zh-CN" w:eastAsia="zh-CN"/>
    </w:rPr>
  </w:style>
  <w:style w:type="paragraph" w:customStyle="1" w:styleId="174">
    <w:name w:val="节标题"/>
    <w:basedOn w:val="1"/>
    <w:next w:val="1"/>
    <w:semiHidden/>
    <w:qFormat/>
    <w:uiPriority w:val="99"/>
    <w:pPr>
      <w:keepNext/>
      <w:widowControl w:val="0"/>
      <w:autoSpaceDE w:val="0"/>
      <w:autoSpaceDN w:val="0"/>
      <w:adjustRightInd w:val="0"/>
      <w:spacing w:before="240" w:after="240"/>
      <w:jc w:val="both"/>
      <w:textAlignment w:val="baseline"/>
    </w:pPr>
    <w:rPr>
      <w:rFonts w:ascii="宋体"/>
      <w:b/>
      <w:sz w:val="30"/>
      <w:szCs w:val="20"/>
    </w:rPr>
  </w:style>
  <w:style w:type="paragraph" w:customStyle="1" w:styleId="175">
    <w:name w:val="检索号"/>
    <w:basedOn w:val="1"/>
    <w:semiHidden/>
    <w:qFormat/>
    <w:uiPriority w:val="0"/>
    <w:pPr>
      <w:widowControl w:val="0"/>
      <w:adjustRightInd w:val="0"/>
      <w:jc w:val="both"/>
      <w:textAlignment w:val="baseline"/>
    </w:pPr>
    <w:rPr>
      <w:kern w:val="0"/>
    </w:rPr>
  </w:style>
  <w:style w:type="paragraph" w:customStyle="1" w:styleId="176">
    <w:name w:val="正标题"/>
    <w:basedOn w:val="1"/>
    <w:semiHidden/>
    <w:qFormat/>
    <w:uiPriority w:val="0"/>
    <w:pPr>
      <w:widowControl w:val="0"/>
      <w:adjustRightInd w:val="0"/>
      <w:spacing w:before="360"/>
      <w:jc w:val="center"/>
      <w:textAlignment w:val="baseline"/>
    </w:pPr>
    <w:rPr>
      <w:rFonts w:eastAsia="黑体"/>
      <w:kern w:val="0"/>
      <w:sz w:val="72"/>
      <w:szCs w:val="28"/>
    </w:rPr>
  </w:style>
  <w:style w:type="paragraph" w:customStyle="1" w:styleId="177">
    <w:name w:val="付标题"/>
    <w:basedOn w:val="1"/>
    <w:qFormat/>
    <w:uiPriority w:val="0"/>
    <w:pPr>
      <w:widowControl w:val="0"/>
      <w:numPr>
        <w:ilvl w:val="0"/>
        <w:numId w:val="4"/>
      </w:numPr>
      <w:tabs>
        <w:tab w:val="clear" w:pos="620"/>
      </w:tabs>
      <w:adjustRightInd w:val="0"/>
      <w:spacing w:before="360"/>
      <w:ind w:left="0" w:firstLine="0"/>
      <w:jc w:val="center"/>
      <w:textAlignment w:val="baseline"/>
    </w:pPr>
    <w:rPr>
      <w:rFonts w:eastAsia="黑体"/>
      <w:kern w:val="0"/>
      <w:sz w:val="48"/>
      <w:szCs w:val="28"/>
    </w:rPr>
  </w:style>
  <w:style w:type="paragraph" w:customStyle="1" w:styleId="178">
    <w:name w:val="附表"/>
    <w:basedOn w:val="1"/>
    <w:qFormat/>
    <w:uiPriority w:val="0"/>
    <w:pPr>
      <w:widowControl w:val="0"/>
      <w:adjustRightInd w:val="0"/>
      <w:ind w:left="200" w:leftChars="200"/>
      <w:jc w:val="both"/>
      <w:textAlignment w:val="baseline"/>
    </w:pPr>
    <w:rPr>
      <w:rFonts w:eastAsia="黑体"/>
      <w:kern w:val="0"/>
      <w:sz w:val="28"/>
      <w:szCs w:val="28"/>
    </w:rPr>
  </w:style>
  <w:style w:type="character" w:customStyle="1" w:styleId="179">
    <w:name w:val="f表格字体 字符"/>
    <w:link w:val="180"/>
    <w:qFormat/>
    <w:locked/>
    <w:uiPriority w:val="0"/>
    <w:rPr>
      <w:rFonts w:ascii="Times New Roman" w:hAnsi="Times New Roman" w:eastAsia="宋体" w:cs="Times New Roman"/>
      <w:color w:val="000000"/>
      <w:sz w:val="21"/>
      <w:szCs w:val="24"/>
      <w:lang w:bidi="en-US"/>
    </w:rPr>
  </w:style>
  <w:style w:type="paragraph" w:customStyle="1" w:styleId="180">
    <w:name w:val="f表格字体"/>
    <w:link w:val="179"/>
    <w:qFormat/>
    <w:uiPriority w:val="0"/>
    <w:pPr>
      <w:adjustRightInd w:val="0"/>
      <w:snapToGrid w:val="0"/>
      <w:jc w:val="center"/>
    </w:pPr>
    <w:rPr>
      <w:rFonts w:ascii="Times New Roman" w:hAnsi="Times New Roman" w:eastAsia="宋体" w:cs="Times New Roman"/>
      <w:color w:val="000000"/>
      <w:sz w:val="21"/>
      <w:szCs w:val="24"/>
      <w:lang w:val="en-US" w:eastAsia="zh-CN" w:bidi="en-US"/>
    </w:rPr>
  </w:style>
  <w:style w:type="paragraph" w:styleId="181">
    <w:name w:val="List Paragraph"/>
    <w:basedOn w:val="1"/>
    <w:qFormat/>
    <w:uiPriority w:val="34"/>
    <w:pPr>
      <w:ind w:firstLine="420"/>
    </w:pPr>
  </w:style>
  <w:style w:type="character" w:customStyle="1" w:styleId="182">
    <w:name w:val="页码1"/>
    <w:basedOn w:val="44"/>
    <w:semiHidden/>
    <w:qFormat/>
    <w:uiPriority w:val="0"/>
  </w:style>
  <w:style w:type="paragraph" w:customStyle="1" w:styleId="183">
    <w:name w:val="1-正文"/>
    <w:basedOn w:val="1"/>
    <w:link w:val="184"/>
    <w:qFormat/>
    <w:uiPriority w:val="0"/>
    <w:pPr>
      <w:ind w:firstLine="480"/>
    </w:pPr>
    <w:rPr>
      <w:rFonts w:ascii="宋体" w:hAnsi="宋体"/>
      <w:kern w:val="0"/>
      <w:lang w:val="zh-CN"/>
    </w:rPr>
  </w:style>
  <w:style w:type="character" w:customStyle="1" w:styleId="184">
    <w:name w:val="1-正文 Char Char"/>
    <w:link w:val="183"/>
    <w:qFormat/>
    <w:uiPriority w:val="0"/>
    <w:rPr>
      <w:rFonts w:ascii="宋体" w:hAnsi="宋体"/>
      <w:sz w:val="24"/>
      <w:szCs w:val="21"/>
      <w:lang w:val="zh-CN"/>
    </w:rPr>
  </w:style>
  <w:style w:type="character" w:customStyle="1" w:styleId="185">
    <w:name w:val="明显参考111"/>
    <w:basedOn w:val="44"/>
    <w:qFormat/>
    <w:uiPriority w:val="32"/>
    <w:rPr>
      <w:b/>
      <w:bCs/>
      <w:smallCaps/>
      <w:color w:val="4F81BD" w:themeColor="accent1"/>
      <w:spacing w:val="5"/>
      <w14:textFill>
        <w14:solidFill>
          <w14:schemeClr w14:val="accent1"/>
        </w14:solidFill>
      </w14:textFill>
    </w:rPr>
  </w:style>
  <w:style w:type="character" w:customStyle="1" w:styleId="186">
    <w:name w:val="明显强调111"/>
    <w:basedOn w:val="44"/>
    <w:qFormat/>
    <w:uiPriority w:val="21"/>
    <w:rPr>
      <w:i/>
      <w:iCs/>
      <w:color w:val="4F81BD" w:themeColor="accent1"/>
      <w14:textFill>
        <w14:solidFill>
          <w14:schemeClr w14:val="accent1"/>
        </w14:solidFill>
      </w14:textFill>
    </w:rPr>
  </w:style>
  <w:style w:type="character" w:customStyle="1" w:styleId="187">
    <w:name w:val="批注主题 字符"/>
    <w:basedOn w:val="64"/>
    <w:link w:val="37"/>
    <w:semiHidden/>
    <w:qFormat/>
    <w:uiPriority w:val="0"/>
    <w:rPr>
      <w:rFonts w:ascii="Times New Roman" w:hAnsi="Times New Roman"/>
      <w:b/>
      <w:bCs/>
      <w:kern w:val="2"/>
      <w:sz w:val="24"/>
      <w:szCs w:val="21"/>
      <w:lang w:val="zh-CN" w:eastAsia="zh-CN"/>
    </w:rPr>
  </w:style>
  <w:style w:type="paragraph" w:customStyle="1" w:styleId="188">
    <w:name w:val="修订2"/>
    <w:hidden/>
    <w:semiHidden/>
    <w:qFormat/>
    <w:uiPriority w:val="99"/>
    <w:rPr>
      <w:rFonts w:ascii="Times New Roman" w:hAnsi="Times New Roman" w:eastAsiaTheme="minorEastAsia" w:cstheme="minorBidi"/>
      <w:kern w:val="2"/>
      <w:sz w:val="24"/>
      <w:szCs w:val="21"/>
      <w:lang w:val="en-US" w:eastAsia="zh-CN" w:bidi="ar-SA"/>
    </w:rPr>
  </w:style>
  <w:style w:type="paragraph" w:customStyle="1" w:styleId="189">
    <w:name w:val="表"/>
    <w:basedOn w:val="1"/>
    <w:qFormat/>
    <w:uiPriority w:val="0"/>
    <w:pPr>
      <w:widowControl w:val="0"/>
      <w:adjustRightInd w:val="0"/>
      <w:snapToGrid w:val="0"/>
      <w:jc w:val="center"/>
    </w:pPr>
    <w:rPr>
      <w:rFonts w:eastAsia="宋体" w:cs="Times New Roman"/>
      <w:spacing w:val="2"/>
      <w:szCs w:val="20"/>
    </w:rPr>
  </w:style>
  <w:style w:type="paragraph" w:customStyle="1" w:styleId="190">
    <w:name w:val="正文内容"/>
    <w:basedOn w:val="1"/>
    <w:next w:val="1"/>
    <w:link w:val="191"/>
    <w:qFormat/>
    <w:uiPriority w:val="0"/>
    <w:pPr>
      <w:widowControl w:val="0"/>
      <w:snapToGrid w:val="0"/>
      <w:spacing w:beforeLines="25" w:afterLines="25" w:line="440" w:lineRule="exact"/>
      <w:jc w:val="both"/>
    </w:pPr>
    <w:rPr>
      <w:kern w:val="0"/>
    </w:rPr>
  </w:style>
  <w:style w:type="character" w:customStyle="1" w:styleId="191">
    <w:name w:val="正文内容 Char Char"/>
    <w:link w:val="190"/>
    <w:qFormat/>
    <w:uiPriority w:val="0"/>
    <w:rPr>
      <w:rFonts w:ascii="Times New Roman" w:hAnsi="Times New Roman"/>
      <w:sz w:val="24"/>
      <w:szCs w:val="21"/>
    </w:rPr>
  </w:style>
  <w:style w:type="character" w:customStyle="1" w:styleId="192">
    <w:name w:val="明显参考11"/>
    <w:basedOn w:val="44"/>
    <w:qFormat/>
    <w:uiPriority w:val="32"/>
    <w:rPr>
      <w:b/>
      <w:bCs/>
      <w:smallCaps/>
      <w:color w:val="4F81BD" w:themeColor="accent1"/>
      <w:spacing w:val="5"/>
      <w14:textFill>
        <w14:solidFill>
          <w14:schemeClr w14:val="accent1"/>
        </w14:solidFill>
      </w14:textFill>
    </w:rPr>
  </w:style>
  <w:style w:type="character" w:customStyle="1" w:styleId="193">
    <w:name w:val="明显强调11"/>
    <w:basedOn w:val="44"/>
    <w:qFormat/>
    <w:uiPriority w:val="21"/>
    <w:rPr>
      <w:i/>
      <w:iCs/>
      <w:color w:val="4F81BD" w:themeColor="accent1"/>
      <w14:textFill>
        <w14:solidFill>
          <w14:schemeClr w14:val="accent1"/>
        </w14:solidFill>
      </w14:textFill>
    </w:rPr>
  </w:style>
  <w:style w:type="paragraph" w:customStyle="1" w:styleId="194">
    <w:name w:val="表号"/>
    <w:basedOn w:val="1"/>
    <w:qFormat/>
    <w:uiPriority w:val="0"/>
    <w:pPr>
      <w:widowControl w:val="0"/>
      <w:ind w:firstLine="0" w:firstLineChars="0"/>
      <w:jc w:val="center"/>
    </w:pPr>
    <w:rPr>
      <w:rFonts w:eastAsia="宋体" w:cs="Times New Roman"/>
      <w:b/>
      <w:bCs/>
      <w:szCs w:val="24"/>
    </w:rPr>
  </w:style>
  <w:style w:type="paragraph" w:customStyle="1" w:styleId="195">
    <w:name w:val="表格内容"/>
    <w:basedOn w:val="1"/>
    <w:next w:val="1"/>
    <w:qFormat/>
    <w:uiPriority w:val="0"/>
    <w:pPr>
      <w:widowControl w:val="0"/>
      <w:spacing w:line="240" w:lineRule="auto"/>
      <w:ind w:firstLine="0" w:firstLineChars="0"/>
      <w:jc w:val="center"/>
    </w:pPr>
    <w:rPr>
      <w:rFonts w:eastAsia="宋体" w:cs="Times New Roman"/>
      <w:sz w:val="21"/>
    </w:rPr>
  </w:style>
  <w:style w:type="paragraph" w:customStyle="1" w:styleId="196">
    <w:name w:val="f表格文字"/>
    <w:basedOn w:val="23"/>
    <w:link w:val="197"/>
    <w:qFormat/>
    <w:uiPriority w:val="0"/>
    <w:pPr>
      <w:widowControl w:val="0"/>
      <w:spacing w:line="240" w:lineRule="auto"/>
      <w:ind w:firstLine="0" w:firstLineChars="0"/>
      <w:jc w:val="center"/>
    </w:pPr>
    <w:rPr>
      <w:rFonts w:ascii="Times New Roman" w:hAnsi="Times New Roman" w:eastAsia="宋体" w:cs="Courier New"/>
      <w:kern w:val="2"/>
      <w:sz w:val="21"/>
      <w:szCs w:val="22"/>
    </w:rPr>
  </w:style>
  <w:style w:type="character" w:customStyle="1" w:styleId="197">
    <w:name w:val="f表格文字 字符"/>
    <w:basedOn w:val="68"/>
    <w:link w:val="196"/>
    <w:qFormat/>
    <w:uiPriority w:val="0"/>
    <w:rPr>
      <w:rFonts w:ascii="Times New Roman" w:hAnsi="Times New Roman" w:eastAsia="宋体" w:cs="Courier New"/>
      <w:kern w:val="2"/>
      <w:sz w:val="21"/>
      <w:szCs w:val="22"/>
      <w:lang w:val="zh-CN" w:eastAsia="zh-CN"/>
    </w:rPr>
  </w:style>
  <w:style w:type="character" w:customStyle="1" w:styleId="198">
    <w:name w:val="未处理的提及1"/>
    <w:basedOn w:val="44"/>
    <w:semiHidden/>
    <w:unhideWhenUsed/>
    <w:qFormat/>
    <w:uiPriority w:val="99"/>
    <w:rPr>
      <w:color w:val="605E5C"/>
      <w:shd w:val="clear" w:color="auto" w:fill="E1DFDD"/>
    </w:rPr>
  </w:style>
  <w:style w:type="paragraph" w:customStyle="1" w:styleId="199">
    <w:name w:val="lf正文"/>
    <w:basedOn w:val="1"/>
    <w:link w:val="200"/>
    <w:semiHidden/>
    <w:qFormat/>
    <w:uiPriority w:val="0"/>
    <w:pPr>
      <w:wordWrap w:val="0"/>
      <w:ind w:firstLine="480"/>
      <w:jc w:val="both"/>
    </w:pPr>
    <w:rPr>
      <w:rFonts w:cs="Times New Roman"/>
      <w:kern w:val="0"/>
      <w:lang w:val="zh-CN"/>
    </w:rPr>
  </w:style>
  <w:style w:type="character" w:customStyle="1" w:styleId="200">
    <w:name w:val="lf正文 字符"/>
    <w:link w:val="199"/>
    <w:semiHidden/>
    <w:qFormat/>
    <w:uiPriority w:val="0"/>
    <w:rPr>
      <w:rFonts w:ascii="Times New Roman" w:hAnsi="Times New Roman" w:cs="Times New Roman"/>
      <w:sz w:val="24"/>
      <w:szCs w:val="21"/>
      <w:lang w:val="zh-CN"/>
    </w:rPr>
  </w:style>
  <w:style w:type="table" w:customStyle="1" w:styleId="201">
    <w:name w:val="网格型1"/>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2">
    <w:name w:val="网格型2"/>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3">
    <w:name w:val="网格型3"/>
    <w:basedOn w:val="3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网格型4"/>
    <w:basedOn w:val="3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5">
    <w:name w:val="文字"/>
    <w:basedOn w:val="1"/>
    <w:qFormat/>
    <w:uiPriority w:val="0"/>
    <w:pPr>
      <w:widowControl w:val="0"/>
      <w:jc w:val="both"/>
    </w:pPr>
    <w:rPr>
      <w:rFonts w:eastAsia="宋体" w:cs="Times New Roman"/>
      <w:szCs w:val="24"/>
    </w:rPr>
  </w:style>
  <w:style w:type="paragraph" w:customStyle="1" w:styleId="206">
    <w:name w:val="表格内文字"/>
    <w:basedOn w:val="1"/>
    <w:qFormat/>
    <w:uiPriority w:val="0"/>
    <w:pPr>
      <w:widowControl w:val="0"/>
      <w:adjustRightInd w:val="0"/>
      <w:snapToGrid w:val="0"/>
      <w:spacing w:line="240" w:lineRule="auto"/>
      <w:ind w:firstLine="0" w:firstLineChars="0"/>
      <w:jc w:val="center"/>
    </w:pPr>
    <w:rPr>
      <w:rFonts w:eastAsia="仿宋_GB2312" w:cs="Times New Roman"/>
      <w:szCs w:val="24"/>
    </w:rPr>
  </w:style>
  <w:style w:type="character" w:customStyle="1" w:styleId="207">
    <w:name w:val="正文文本缩进 字符"/>
    <w:basedOn w:val="44"/>
    <w:link w:val="20"/>
    <w:qFormat/>
    <w:uiPriority w:val="99"/>
    <w:rPr>
      <w:rFonts w:ascii="Bookman Old Style" w:hAnsi="Bookman Old Style" w:eastAsia="宋体" w:cs="Times New Roman"/>
      <w:kern w:val="2"/>
      <w:sz w:val="24"/>
      <w:szCs w:val="24"/>
    </w:rPr>
  </w:style>
  <w:style w:type="paragraph" w:customStyle="1" w:styleId="208">
    <w:name w:val="公正文"/>
    <w:basedOn w:val="14"/>
    <w:qFormat/>
    <w:uiPriority w:val="0"/>
    <w:pPr>
      <w:adjustRightInd w:val="0"/>
      <w:snapToGrid w:val="0"/>
      <w:spacing w:line="352" w:lineRule="auto"/>
    </w:pPr>
    <w:rPr>
      <w:rFonts w:ascii="宋体" w:hAnsi="宋体" w:eastAsia="仿宋_GB2312"/>
      <w:sz w:val="28"/>
      <w:szCs w:val="28"/>
    </w:rPr>
  </w:style>
  <w:style w:type="paragraph" w:customStyle="1" w:styleId="209">
    <w:name w:val="正文-报告书"/>
    <w:basedOn w:val="1"/>
    <w:qFormat/>
    <w:uiPriority w:val="0"/>
    <w:pPr>
      <w:widowControl w:val="0"/>
      <w:adjustRightInd w:val="0"/>
      <w:snapToGrid w:val="0"/>
      <w:spacing w:line="500" w:lineRule="exact"/>
      <w:ind w:firstLine="480"/>
      <w:jc w:val="both"/>
    </w:pPr>
    <w:rPr>
      <w:rFonts w:eastAsia="宋体" w:cs="Times New Roman"/>
      <w:kern w:val="0"/>
      <w:szCs w:val="24"/>
    </w:rPr>
  </w:style>
  <w:style w:type="character" w:customStyle="1" w:styleId="210">
    <w:name w:val="正文文本 字符"/>
    <w:basedOn w:val="44"/>
    <w:link w:val="19"/>
    <w:qFormat/>
    <w:uiPriority w:val="99"/>
    <w:rPr>
      <w:rFonts w:ascii="Times New Roman" w:hAnsi="Times New Roman" w:eastAsia="宋体" w:cs="Times New Roman"/>
      <w:kern w:val="2"/>
      <w:sz w:val="21"/>
      <w:szCs w:val="21"/>
    </w:rPr>
  </w:style>
  <w:style w:type="paragraph" w:customStyle="1" w:styleId="211">
    <w:name w:val="样式5"/>
    <w:basedOn w:val="19"/>
    <w:qFormat/>
    <w:uiPriority w:val="0"/>
    <w:pPr>
      <w:spacing w:before="100" w:beforeAutospacing="1" w:after="100" w:afterAutospacing="1"/>
      <w:ind w:right="-105" w:rightChars="-50"/>
      <w:jc w:val="center"/>
    </w:pPr>
    <w:rPr>
      <w:rFonts w:ascii="宋体" w:cs="宋体"/>
    </w:rPr>
  </w:style>
  <w:style w:type="character" w:customStyle="1" w:styleId="212">
    <w:name w:val="正文文本缩进 2 字符"/>
    <w:basedOn w:val="44"/>
    <w:link w:val="24"/>
    <w:semiHidden/>
    <w:qFormat/>
    <w:uiPriority w:val="99"/>
    <w:rPr>
      <w:rFonts w:ascii="Times New Roman" w:hAnsi="Times New Roman"/>
      <w:kern w:val="2"/>
      <w:sz w:val="24"/>
      <w:szCs w:val="21"/>
    </w:rPr>
  </w:style>
  <w:style w:type="paragraph" w:customStyle="1" w:styleId="213">
    <w:name w:val="zwb_正文"/>
    <w:basedOn w:val="1"/>
    <w:qFormat/>
    <w:uiPriority w:val="0"/>
    <w:pPr>
      <w:widowControl w:val="0"/>
      <w:ind w:firstLine="480"/>
      <w:jc w:val="both"/>
    </w:pPr>
    <w:rPr>
      <w:rFonts w:eastAsia="宋体" w:cs="Times New Roman"/>
      <w:color w:val="000000"/>
      <w:szCs w:val="24"/>
    </w:rPr>
  </w:style>
  <w:style w:type="paragraph" w:customStyle="1" w:styleId="214">
    <w:name w:val="表格内"/>
    <w:basedOn w:val="1"/>
    <w:link w:val="251"/>
    <w:qFormat/>
    <w:uiPriority w:val="0"/>
    <w:pPr>
      <w:widowControl w:val="0"/>
      <w:autoSpaceDE w:val="0"/>
      <w:autoSpaceDN w:val="0"/>
      <w:spacing w:before="1" w:after="100" w:afterAutospacing="1" w:line="240" w:lineRule="auto"/>
      <w:ind w:right="-29" w:firstLine="0" w:firstLineChars="0"/>
    </w:pPr>
    <w:rPr>
      <w:rFonts w:eastAsia="宋体" w:cs="Times New Roman"/>
      <w:spacing w:val="-3"/>
      <w:kern w:val="0"/>
      <w:sz w:val="21"/>
    </w:rPr>
  </w:style>
  <w:style w:type="paragraph" w:customStyle="1" w:styleId="215">
    <w:name w:val="zwb_图表标题"/>
    <w:basedOn w:val="1"/>
    <w:next w:val="1"/>
    <w:qFormat/>
    <w:uiPriority w:val="0"/>
    <w:pPr>
      <w:widowControl w:val="0"/>
      <w:ind w:firstLine="0" w:firstLineChars="0"/>
      <w:jc w:val="center"/>
    </w:pPr>
    <w:rPr>
      <w:rFonts w:eastAsia="宋体" w:cs="Times New Roman"/>
      <w:b/>
      <w:color w:val="000000"/>
      <w:szCs w:val="24"/>
    </w:rPr>
  </w:style>
  <w:style w:type="paragraph" w:customStyle="1" w:styleId="216">
    <w:name w:val="zwb_默认"/>
    <w:basedOn w:val="1"/>
    <w:qFormat/>
    <w:uiPriority w:val="0"/>
    <w:pPr>
      <w:widowControl w:val="0"/>
      <w:spacing w:line="240" w:lineRule="auto"/>
      <w:ind w:firstLine="0" w:firstLineChars="0"/>
      <w:jc w:val="both"/>
    </w:pPr>
    <w:rPr>
      <w:rFonts w:eastAsia="宋体" w:cs="Times New Roman"/>
      <w:color w:val="000000"/>
      <w:sz w:val="21"/>
    </w:rPr>
  </w:style>
  <w:style w:type="paragraph" w:customStyle="1" w:styleId="217">
    <w:name w:val="正文首行缩进1"/>
    <w:basedOn w:val="19"/>
    <w:semiHidden/>
    <w:qFormat/>
    <w:uiPriority w:val="0"/>
    <w:pPr>
      <w:spacing w:before="100" w:beforeAutospacing="1" w:after="120" w:line="360" w:lineRule="auto"/>
      <w:ind w:firstLine="420" w:firstLineChars="100"/>
      <w:jc w:val="both"/>
    </w:pPr>
    <w:rPr>
      <w:color w:val="000000"/>
      <w:sz w:val="24"/>
      <w:szCs w:val="24"/>
    </w:rPr>
  </w:style>
  <w:style w:type="paragraph" w:customStyle="1" w:styleId="218">
    <w:name w:val="f表格正文hong"/>
    <w:basedOn w:val="1"/>
    <w:next w:val="1"/>
    <w:qFormat/>
    <w:uiPriority w:val="0"/>
    <w:pPr>
      <w:widowControl w:val="0"/>
      <w:spacing w:line="240" w:lineRule="auto"/>
      <w:ind w:firstLine="0" w:firstLineChars="0"/>
      <w:jc w:val="center"/>
    </w:pPr>
    <w:rPr>
      <w:rFonts w:eastAsia="宋体" w:cs="Calibri"/>
      <w:color w:val="FF0000"/>
      <w:sz w:val="21"/>
    </w:rPr>
  </w:style>
  <w:style w:type="paragraph" w:customStyle="1" w:styleId="219">
    <w:name w:val="表格文字"/>
    <w:basedOn w:val="1"/>
    <w:qFormat/>
    <w:uiPriority w:val="0"/>
    <w:pPr>
      <w:widowControl w:val="0"/>
      <w:spacing w:line="240" w:lineRule="auto"/>
      <w:ind w:firstLine="0" w:firstLineChars="0"/>
      <w:jc w:val="center"/>
    </w:pPr>
    <w:rPr>
      <w:rFonts w:eastAsia="宋体" w:cs="Times New Roman"/>
      <w:color w:val="000000"/>
      <w:sz w:val="21"/>
    </w:rPr>
  </w:style>
  <w:style w:type="paragraph" w:customStyle="1" w:styleId="220">
    <w:name w:val="纯文本1"/>
    <w:basedOn w:val="1"/>
    <w:qFormat/>
    <w:uiPriority w:val="0"/>
    <w:pPr>
      <w:widowControl w:val="0"/>
      <w:adjustRightInd w:val="0"/>
      <w:jc w:val="both"/>
      <w:textAlignment w:val="baseline"/>
    </w:pPr>
    <w:rPr>
      <w:rFonts w:ascii="宋体" w:hAnsi="Courier New" w:eastAsia="宋体" w:cs="宋体"/>
      <w:color w:val="000000"/>
      <w:szCs w:val="24"/>
    </w:rPr>
  </w:style>
  <w:style w:type="paragraph" w:customStyle="1" w:styleId="221">
    <w:name w:val="样式35"/>
    <w:basedOn w:val="1"/>
    <w:next w:val="1"/>
    <w:qFormat/>
    <w:uiPriority w:val="0"/>
    <w:pPr>
      <w:widowControl w:val="0"/>
      <w:spacing w:line="312" w:lineRule="auto"/>
      <w:ind w:firstLine="567"/>
      <w:jc w:val="both"/>
    </w:pPr>
    <w:rPr>
      <w:rFonts w:ascii="宋体" w:hAnsi="宋体" w:eastAsia="宋体" w:cs="宋体"/>
      <w:color w:val="000000"/>
      <w:sz w:val="28"/>
      <w:szCs w:val="28"/>
    </w:rPr>
  </w:style>
  <w:style w:type="paragraph" w:customStyle="1" w:styleId="222">
    <w:name w:val="目录 21"/>
    <w:basedOn w:val="1"/>
    <w:next w:val="1"/>
    <w:semiHidden/>
    <w:qFormat/>
    <w:uiPriority w:val="0"/>
    <w:pPr>
      <w:widowControl w:val="0"/>
      <w:spacing w:before="100" w:beforeAutospacing="1" w:after="100" w:afterAutospacing="1"/>
      <w:ind w:left="480" w:leftChars="200" w:firstLine="0" w:firstLineChars="0"/>
      <w:jc w:val="both"/>
    </w:pPr>
    <w:rPr>
      <w:rFonts w:eastAsia="宋体" w:cs="Times New Roman"/>
      <w:color w:val="000000"/>
      <w:szCs w:val="24"/>
    </w:rPr>
  </w:style>
  <w:style w:type="paragraph" w:customStyle="1" w:styleId="223">
    <w:name w:val="表格标题"/>
    <w:basedOn w:val="30"/>
    <w:next w:val="195"/>
    <w:qFormat/>
    <w:uiPriority w:val="0"/>
    <w:pPr>
      <w:widowControl w:val="0"/>
      <w:spacing w:before="100" w:beforeAutospacing="1" w:after="100" w:afterAutospacing="1" w:line="360" w:lineRule="auto"/>
      <w:ind w:left="200" w:firstLine="0" w:firstLineChars="0"/>
      <w:contextualSpacing/>
    </w:pPr>
    <w:rPr>
      <w:rFonts w:ascii="Times New Roman" w:eastAsia="宋体" w:cs="Times New Roman"/>
      <w:b/>
      <w:szCs w:val="24"/>
      <w:lang w:val="en-US"/>
    </w:rPr>
  </w:style>
  <w:style w:type="paragraph" w:customStyle="1" w:styleId="224">
    <w:name w:val="正文首行缩进 21"/>
    <w:basedOn w:val="20"/>
    <w:next w:val="1"/>
    <w:qFormat/>
    <w:uiPriority w:val="0"/>
    <w:pPr>
      <w:spacing w:before="100" w:beforeLines="0" w:beforeAutospacing="1" w:after="120" w:afterLines="0"/>
      <w:ind w:left="420" w:leftChars="200" w:firstLine="420" w:firstLineChars="200"/>
    </w:pPr>
    <w:rPr>
      <w:rFonts w:ascii="Times New Roman" w:hAnsi="Times New Roman"/>
      <w:color w:val="000000"/>
    </w:rPr>
  </w:style>
  <w:style w:type="paragraph" w:customStyle="1" w:styleId="225">
    <w:name w:val="图表"/>
    <w:basedOn w:val="33"/>
    <w:qFormat/>
    <w:uiPriority w:val="0"/>
    <w:pPr>
      <w:wordWrap w:val="0"/>
      <w:topLinePunct/>
      <w:spacing w:line="240" w:lineRule="atLeast"/>
      <w:ind w:left="0" w:leftChars="0" w:firstLine="0" w:firstLineChars="0"/>
    </w:pPr>
    <w:rPr>
      <w:rFonts w:eastAsia="楷体_GB2312"/>
      <w:color w:val="auto"/>
    </w:rPr>
  </w:style>
  <w:style w:type="character" w:customStyle="1" w:styleId="226">
    <w:name w:val="正文文本缩进 3 字符"/>
    <w:basedOn w:val="44"/>
    <w:link w:val="32"/>
    <w:semiHidden/>
    <w:qFormat/>
    <w:uiPriority w:val="99"/>
    <w:rPr>
      <w:rFonts w:ascii="Times New Roman" w:hAnsi="Times New Roman" w:eastAsia="宋体" w:cs="Times New Roman"/>
      <w:kern w:val="2"/>
      <w:sz w:val="16"/>
      <w:szCs w:val="16"/>
    </w:rPr>
  </w:style>
  <w:style w:type="paragraph" w:customStyle="1" w:styleId="227">
    <w:name w:val="表格1"/>
    <w:basedOn w:val="1"/>
    <w:next w:val="1"/>
    <w:qFormat/>
    <w:uiPriority w:val="0"/>
    <w:pPr>
      <w:widowControl w:val="0"/>
      <w:jc w:val="center"/>
    </w:pPr>
    <w:rPr>
      <w:rFonts w:ascii="宋体" w:hAnsi="宋体" w:eastAsia="宋体" w:cs="宋体"/>
      <w:color w:val="000000"/>
      <w:szCs w:val="24"/>
    </w:rPr>
  </w:style>
  <w:style w:type="paragraph" w:customStyle="1" w:styleId="228">
    <w:name w:val="表格中文字"/>
    <w:basedOn w:val="1"/>
    <w:qFormat/>
    <w:uiPriority w:val="0"/>
    <w:pPr>
      <w:widowControl w:val="0"/>
      <w:spacing w:line="240" w:lineRule="auto"/>
      <w:ind w:firstLine="0" w:firstLineChars="0"/>
      <w:jc w:val="center"/>
    </w:pPr>
    <w:rPr>
      <w:rFonts w:eastAsia="宋体" w:cs="Times New Roman"/>
      <w:kern w:val="18"/>
      <w:sz w:val="21"/>
    </w:rPr>
  </w:style>
  <w:style w:type="paragraph" w:customStyle="1" w:styleId="229">
    <w:name w:val="样式 正文缩进正文缩进2正文缩进 Char Char正文缩进 Char Char Char Char正文缩进 Char ..."/>
    <w:basedOn w:val="14"/>
    <w:qFormat/>
    <w:uiPriority w:val="0"/>
    <w:pPr>
      <w:widowControl/>
      <w:spacing w:line="360" w:lineRule="auto"/>
      <w:ind w:firstLine="200"/>
      <w:jc w:val="left"/>
      <w:outlineLvl w:val="2"/>
    </w:pPr>
    <w:rPr>
      <w:rFonts w:ascii="宋体" w:hAnsi="宋体" w:cs="宋体"/>
      <w:b/>
      <w:bCs/>
      <w:sz w:val="28"/>
      <w:szCs w:val="28"/>
    </w:rPr>
  </w:style>
  <w:style w:type="paragraph" w:customStyle="1" w:styleId="230">
    <w:name w:val="表头"/>
    <w:basedOn w:val="1"/>
    <w:qFormat/>
    <w:uiPriority w:val="0"/>
    <w:pPr>
      <w:widowControl w:val="0"/>
      <w:spacing w:line="320" w:lineRule="atLeast"/>
      <w:ind w:firstLine="0" w:firstLineChars="0"/>
      <w:jc w:val="center"/>
      <w:textAlignment w:val="baseline"/>
    </w:pPr>
    <w:rPr>
      <w:rFonts w:ascii="Tahoma" w:hAnsi="Tahoma" w:eastAsia="黑体" w:cs="Times New Roman"/>
      <w:color w:val="000000"/>
      <w:spacing w:val="-10"/>
      <w:kern w:val="0"/>
      <w:sz w:val="21"/>
    </w:rPr>
  </w:style>
  <w:style w:type="paragraph" w:customStyle="1" w:styleId="231">
    <w:name w:val="正文 New New New New New New New New New New New New New New New New New New New New New"/>
    <w:basedOn w:val="1"/>
    <w:qFormat/>
    <w:uiPriority w:val="0"/>
    <w:pPr>
      <w:widowControl w:val="0"/>
      <w:spacing w:line="240" w:lineRule="auto"/>
      <w:ind w:firstLine="0" w:firstLineChars="0"/>
      <w:jc w:val="both"/>
    </w:pPr>
    <w:rPr>
      <w:rFonts w:eastAsia="宋体" w:cs="Times New Roman"/>
      <w:sz w:val="21"/>
    </w:rPr>
  </w:style>
  <w:style w:type="paragraph" w:customStyle="1" w:styleId="232">
    <w:name w:val="正文hy 首行缩进:  2 字符1 + (西文) Times New Roman 首行缩进:  2 字符"/>
    <w:basedOn w:val="1"/>
    <w:qFormat/>
    <w:uiPriority w:val="0"/>
    <w:pPr>
      <w:widowControl w:val="0"/>
      <w:spacing w:line="560" w:lineRule="exact"/>
      <w:ind w:firstLine="560"/>
      <w:jc w:val="both"/>
    </w:pPr>
    <w:rPr>
      <w:rFonts w:ascii="仿宋_GB2312" w:eastAsia="仿宋_GB2312" w:cs="宋体"/>
      <w:color w:val="000000"/>
      <w:sz w:val="28"/>
      <w:szCs w:val="28"/>
    </w:rPr>
  </w:style>
  <w:style w:type="paragraph" w:customStyle="1" w:styleId="233">
    <w:name w:val="标题5"/>
    <w:basedOn w:val="7"/>
    <w:next w:val="1"/>
    <w:qFormat/>
    <w:uiPriority w:val="0"/>
    <w:pPr>
      <w:keepNext w:val="0"/>
      <w:keepLines w:val="0"/>
      <w:widowControl w:val="0"/>
      <w:spacing w:before="0" w:after="0" w:line="360" w:lineRule="auto"/>
      <w:ind w:left="480" w:firstLine="0" w:firstLineChars="0"/>
      <w:jc w:val="both"/>
    </w:pPr>
    <w:rPr>
      <w:rFonts w:eastAsia="宋体" w:cs="Times New Roman"/>
      <w:kern w:val="2"/>
      <w:sz w:val="24"/>
      <w:szCs w:val="24"/>
      <w:lang w:val="en-US"/>
    </w:rPr>
  </w:style>
  <w:style w:type="paragraph" w:customStyle="1" w:styleId="234">
    <w:name w:val="表格首行字体"/>
    <w:basedOn w:val="1"/>
    <w:qFormat/>
    <w:uiPriority w:val="0"/>
    <w:pPr>
      <w:widowControl w:val="0"/>
      <w:spacing w:line="240" w:lineRule="auto"/>
      <w:ind w:firstLine="0" w:firstLineChars="0"/>
      <w:jc w:val="center"/>
    </w:pPr>
    <w:rPr>
      <w:rFonts w:ascii="Calibri" w:hAnsi="Calibri" w:eastAsia="宋体" w:cs="宋体"/>
      <w:b/>
      <w:sz w:val="21"/>
    </w:rPr>
  </w:style>
  <w:style w:type="paragraph" w:customStyle="1" w:styleId="235">
    <w:name w:val="[正文格式]"/>
    <w:basedOn w:val="1"/>
    <w:qFormat/>
    <w:uiPriority w:val="0"/>
    <w:pPr>
      <w:widowControl w:val="0"/>
      <w:jc w:val="both"/>
    </w:pPr>
    <w:rPr>
      <w:rFonts w:eastAsia="宋体" w:cs="宋体"/>
      <w:color w:val="000000"/>
      <w:szCs w:val="24"/>
    </w:rPr>
  </w:style>
  <w:style w:type="paragraph" w:customStyle="1" w:styleId="236">
    <w:name w:val="正本文字"/>
    <w:basedOn w:val="1"/>
    <w:qFormat/>
    <w:uiPriority w:val="0"/>
    <w:pPr>
      <w:widowControl w:val="0"/>
      <w:ind w:firstLine="480"/>
    </w:pPr>
    <w:rPr>
      <w:rFonts w:eastAsia="宋体" w:cs="宋体"/>
      <w:kern w:val="18"/>
      <w:szCs w:val="24"/>
    </w:rPr>
  </w:style>
  <w:style w:type="paragraph" w:customStyle="1" w:styleId="237">
    <w:name w:val="正文 + 首行缩进:  2 字符"/>
    <w:basedOn w:val="1"/>
    <w:qFormat/>
    <w:uiPriority w:val="0"/>
    <w:pPr>
      <w:widowControl w:val="0"/>
      <w:spacing w:line="480" w:lineRule="exact"/>
    </w:pPr>
    <w:rPr>
      <w:rFonts w:eastAsia="宋体" w:cs="Times New Roman"/>
      <w:kern w:val="0"/>
      <w:szCs w:val="24"/>
    </w:rPr>
  </w:style>
  <w:style w:type="character" w:customStyle="1" w:styleId="238">
    <w:name w:val="15"/>
    <w:basedOn w:val="44"/>
    <w:qFormat/>
    <w:uiPriority w:val="0"/>
    <w:rPr>
      <w:rFonts w:hint="default" w:ascii="Times New Roman" w:hAnsi="Times New Roman" w:cs="Times New Roman"/>
      <w:color w:val="0000FF"/>
      <w:u w:val="single"/>
    </w:rPr>
  </w:style>
  <w:style w:type="character" w:customStyle="1" w:styleId="239">
    <w:name w:val="16"/>
    <w:basedOn w:val="44"/>
    <w:qFormat/>
    <w:uiPriority w:val="0"/>
    <w:rPr>
      <w:rFonts w:hint="eastAsia" w:ascii="宋体" w:hAnsi="宋体" w:eastAsia="宋体"/>
      <w:color w:val="FF0000"/>
      <w:sz w:val="22"/>
      <w:szCs w:val="22"/>
    </w:rPr>
  </w:style>
  <w:style w:type="character" w:customStyle="1" w:styleId="240">
    <w:name w:val="17"/>
    <w:basedOn w:val="44"/>
    <w:qFormat/>
    <w:uiPriority w:val="0"/>
    <w:rPr>
      <w:rFonts w:hint="default" w:ascii="Times New Roman" w:hAnsi="Times New Roman" w:cs="Times New Roman"/>
      <w:color w:val="231F20"/>
      <w:sz w:val="20"/>
      <w:szCs w:val="20"/>
    </w:rPr>
  </w:style>
  <w:style w:type="paragraph" w:customStyle="1" w:styleId="241">
    <w:name w:val="样式 首行缩进:  2 字符"/>
    <w:basedOn w:val="1"/>
    <w:qFormat/>
    <w:uiPriority w:val="0"/>
    <w:pPr>
      <w:widowControl w:val="0"/>
      <w:ind w:firstLine="560"/>
      <w:jc w:val="both"/>
    </w:pPr>
    <w:rPr>
      <w:rFonts w:ascii="仿宋_GB2312" w:eastAsia="宋体" w:cs="Times New Roman"/>
      <w:sz w:val="28"/>
      <w:szCs w:val="28"/>
      <w14:ligatures w14:val="standardContextual"/>
    </w:rPr>
  </w:style>
  <w:style w:type="paragraph" w:customStyle="1" w:styleId="242">
    <w:name w:val="付标题1"/>
    <w:basedOn w:val="1"/>
    <w:next w:val="1"/>
    <w:qFormat/>
    <w:uiPriority w:val="0"/>
    <w:pPr>
      <w:ind w:firstLine="0" w:firstLineChars="0"/>
      <w:outlineLvl w:val="0"/>
    </w:pPr>
    <w:rPr>
      <w:rFonts w:cs="Times New Roman"/>
      <w:b/>
      <w:sz w:val="44"/>
      <w:szCs w:val="48"/>
      <w:lang w:val="zh-CN"/>
    </w:rPr>
  </w:style>
  <w:style w:type="paragraph" w:customStyle="1" w:styleId="243">
    <w:name w:val="付标题2"/>
    <w:basedOn w:val="1"/>
    <w:next w:val="1"/>
    <w:qFormat/>
    <w:uiPriority w:val="0"/>
    <w:pPr>
      <w:keepNext/>
      <w:keepLines/>
      <w:adjustRightInd w:val="0"/>
      <w:snapToGrid w:val="0"/>
      <w:spacing w:before="240"/>
      <w:ind w:firstLine="0" w:firstLineChars="0"/>
      <w:outlineLvl w:val="1"/>
    </w:pPr>
    <w:rPr>
      <w:b/>
      <w:sz w:val="32"/>
      <w:szCs w:val="32"/>
      <w:lang w:val="zh-CN"/>
    </w:rPr>
  </w:style>
  <w:style w:type="paragraph" w:customStyle="1" w:styleId="244">
    <w:name w:val="付标题3"/>
    <w:basedOn w:val="1"/>
    <w:next w:val="1"/>
    <w:qFormat/>
    <w:uiPriority w:val="0"/>
    <w:pPr>
      <w:keepNext/>
      <w:keepLines/>
      <w:ind w:firstLine="0" w:firstLineChars="0"/>
      <w:outlineLvl w:val="2"/>
    </w:pPr>
    <w:rPr>
      <w:rFonts w:cs="Times New Roman"/>
      <w:b/>
      <w:sz w:val="28"/>
      <w:szCs w:val="30"/>
      <w:lang w:val="zh-CN"/>
    </w:rPr>
  </w:style>
  <w:style w:type="paragraph" w:customStyle="1" w:styleId="245">
    <w:name w:val="付标题4"/>
    <w:basedOn w:val="1"/>
    <w:next w:val="1"/>
    <w:qFormat/>
    <w:uiPriority w:val="0"/>
    <w:pPr>
      <w:keepNext/>
      <w:keepLines/>
      <w:ind w:firstLine="0" w:firstLineChars="0"/>
      <w:outlineLvl w:val="3"/>
    </w:pPr>
    <w:rPr>
      <w:rFonts w:cs="Times New Roman"/>
      <w:b/>
      <w:sz w:val="28"/>
      <w:szCs w:val="28"/>
      <w:lang w:val="zh-CN"/>
    </w:rPr>
  </w:style>
  <w:style w:type="paragraph" w:customStyle="1" w:styleId="246">
    <w:name w:val="付表头文字"/>
    <w:basedOn w:val="1"/>
    <w:next w:val="1"/>
    <w:link w:val="247"/>
    <w:qFormat/>
    <w:uiPriority w:val="0"/>
    <w:pPr>
      <w:keepNext/>
      <w:spacing w:before="20"/>
      <w:ind w:firstLine="0"/>
      <w:jc w:val="center"/>
    </w:pPr>
    <w:rPr>
      <w:b/>
      <w:lang w:val="zh-CN"/>
    </w:rPr>
  </w:style>
  <w:style w:type="character" w:customStyle="1" w:styleId="247">
    <w:name w:val="付表头文字 字符"/>
    <w:link w:val="246"/>
    <w:qFormat/>
    <w:uiPriority w:val="0"/>
    <w:rPr>
      <w:rFonts w:ascii="Times New Roman" w:hAnsi="Times New Roman"/>
      <w:b/>
      <w:kern w:val="2"/>
      <w:sz w:val="24"/>
      <w:szCs w:val="21"/>
      <w:lang w:val="zh-CN"/>
    </w:rPr>
  </w:style>
  <w:style w:type="paragraph" w:customStyle="1" w:styleId="248">
    <w:name w:val="付格中内容"/>
    <w:basedOn w:val="1"/>
    <w:next w:val="1"/>
    <w:link w:val="249"/>
    <w:autoRedefine/>
    <w:qFormat/>
    <w:uiPriority w:val="0"/>
    <w:pPr>
      <w:widowControl w:val="0"/>
      <w:wordWrap w:val="0"/>
      <w:adjustRightInd w:val="0"/>
      <w:snapToGrid w:val="0"/>
      <w:spacing w:line="240" w:lineRule="auto"/>
      <w:ind w:firstLine="0" w:firstLineChars="0"/>
      <w:jc w:val="center"/>
    </w:pPr>
    <w:rPr>
      <w:rFonts w:eastAsia="宋体" w:cs="Times New Roman"/>
      <w:kern w:val="0"/>
      <w:sz w:val="21"/>
    </w:rPr>
  </w:style>
  <w:style w:type="character" w:customStyle="1" w:styleId="249">
    <w:name w:val="付格中内容 字符"/>
    <w:link w:val="248"/>
    <w:qFormat/>
    <w:uiPriority w:val="0"/>
    <w:rPr>
      <w:rFonts w:ascii="Times New Roman" w:hAnsi="Times New Roman" w:eastAsia="宋体" w:cs="Times New Roman"/>
      <w:sz w:val="21"/>
      <w:szCs w:val="21"/>
    </w:rPr>
  </w:style>
  <w:style w:type="paragraph" w:customStyle="1" w:styleId="250">
    <w:name w:val="样式 表格文字 + 居中"/>
    <w:basedOn w:val="219"/>
    <w:qFormat/>
    <w:uiPriority w:val="0"/>
    <w:pPr>
      <w:spacing w:line="400" w:lineRule="exact"/>
      <w:ind w:right="-80" w:rightChars="-38"/>
    </w:pPr>
    <w:rPr>
      <w:color w:val="0070C0"/>
      <w:spacing w:val="-6"/>
    </w:rPr>
  </w:style>
  <w:style w:type="character" w:customStyle="1" w:styleId="251">
    <w:name w:val="表格内 Char"/>
    <w:basedOn w:val="44"/>
    <w:link w:val="214"/>
    <w:qFormat/>
    <w:uiPriority w:val="0"/>
    <w:rPr>
      <w:rFonts w:ascii="Times New Roman" w:hAnsi="Times New Roman" w:eastAsia="宋体" w:cs="Times New Roman"/>
      <w:spacing w:val="-3"/>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76.wmf"/><Relationship Id="rId98" Type="http://schemas.openxmlformats.org/officeDocument/2006/relationships/oleObject" Target="embeddings/oleObject10.bin"/><Relationship Id="rId97" Type="http://schemas.openxmlformats.org/officeDocument/2006/relationships/image" Target="media/image75.wmf"/><Relationship Id="rId96" Type="http://schemas.openxmlformats.org/officeDocument/2006/relationships/oleObject" Target="embeddings/oleObject9.bin"/><Relationship Id="rId95" Type="http://schemas.openxmlformats.org/officeDocument/2006/relationships/image" Target="media/image74.wmf"/><Relationship Id="rId94" Type="http://schemas.openxmlformats.org/officeDocument/2006/relationships/oleObject" Target="embeddings/oleObject8.bin"/><Relationship Id="rId93" Type="http://schemas.openxmlformats.org/officeDocument/2006/relationships/image" Target="media/image73.wmf"/><Relationship Id="rId92" Type="http://schemas.openxmlformats.org/officeDocument/2006/relationships/oleObject" Target="embeddings/oleObject7.bin"/><Relationship Id="rId91" Type="http://schemas.openxmlformats.org/officeDocument/2006/relationships/image" Target="media/image72.wmf"/><Relationship Id="rId90" Type="http://schemas.openxmlformats.org/officeDocument/2006/relationships/oleObject" Target="embeddings/oleObject6.bin"/><Relationship Id="rId9" Type="http://schemas.openxmlformats.org/officeDocument/2006/relationships/footer" Target="footer2.xml"/><Relationship Id="rId89" Type="http://schemas.openxmlformats.org/officeDocument/2006/relationships/image" Target="media/image71.wmf"/><Relationship Id="rId88" Type="http://schemas.openxmlformats.org/officeDocument/2006/relationships/oleObject" Target="embeddings/oleObject5.bin"/><Relationship Id="rId87" Type="http://schemas.openxmlformats.org/officeDocument/2006/relationships/image" Target="media/image70.wmf"/><Relationship Id="rId86" Type="http://schemas.openxmlformats.org/officeDocument/2006/relationships/oleObject" Target="embeddings/oleObject4.bin"/><Relationship Id="rId85" Type="http://schemas.openxmlformats.org/officeDocument/2006/relationships/image" Target="media/image69.wmf"/><Relationship Id="rId84" Type="http://schemas.openxmlformats.org/officeDocument/2006/relationships/oleObject" Target="embeddings/oleObject3.bin"/><Relationship Id="rId83" Type="http://schemas.openxmlformats.org/officeDocument/2006/relationships/image" Target="media/image68.wmf"/><Relationship Id="rId82" Type="http://schemas.openxmlformats.org/officeDocument/2006/relationships/oleObject" Target="embeddings/oleObject2.bin"/><Relationship Id="rId81" Type="http://schemas.openxmlformats.org/officeDocument/2006/relationships/image" Target="media/image67.wmf"/><Relationship Id="rId80" Type="http://schemas.openxmlformats.org/officeDocument/2006/relationships/oleObject" Target="embeddings/oleObject1.bin"/><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jpeg"/><Relationship Id="rId76" Type="http://schemas.openxmlformats.org/officeDocument/2006/relationships/image" Target="media/image63.png"/><Relationship Id="rId75" Type="http://schemas.openxmlformats.org/officeDocument/2006/relationships/image" Target="media/image62.jpeg"/><Relationship Id="rId74" Type="http://schemas.openxmlformats.org/officeDocument/2006/relationships/image" Target="media/image61.png"/><Relationship Id="rId73" Type="http://schemas.openxmlformats.org/officeDocument/2006/relationships/image" Target="media/image60.jpe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jpeg"/><Relationship Id="rId7" Type="http://schemas.openxmlformats.org/officeDocument/2006/relationships/header" Target="header3.xml"/><Relationship Id="rId69" Type="http://schemas.openxmlformats.org/officeDocument/2006/relationships/image" Target="media/image56.jpeg"/><Relationship Id="rId68" Type="http://schemas.openxmlformats.org/officeDocument/2006/relationships/image" Target="media/image55.jpeg"/><Relationship Id="rId67" Type="http://schemas.openxmlformats.org/officeDocument/2006/relationships/image" Target="media/image54.jpeg"/><Relationship Id="rId66" Type="http://schemas.openxmlformats.org/officeDocument/2006/relationships/image" Target="media/image53.jpeg"/><Relationship Id="rId65" Type="http://schemas.openxmlformats.org/officeDocument/2006/relationships/image" Target="media/image52.png"/><Relationship Id="rId64" Type="http://schemas.openxmlformats.org/officeDocument/2006/relationships/image" Target="media/image51.jpeg"/><Relationship Id="rId63" Type="http://schemas.openxmlformats.org/officeDocument/2006/relationships/image" Target="media/image50.jpe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jpe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1" Type="http://schemas.openxmlformats.org/officeDocument/2006/relationships/fontTable" Target="fontTable.xml"/><Relationship Id="rId200"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9" Type="http://schemas.openxmlformats.org/officeDocument/2006/relationships/numbering" Target="numbering.xml"/><Relationship Id="rId198" Type="http://schemas.openxmlformats.org/officeDocument/2006/relationships/image" Target="media/image165.png"/><Relationship Id="rId197" Type="http://schemas.openxmlformats.org/officeDocument/2006/relationships/image" Target="media/image164.jpeg"/><Relationship Id="rId196" Type="http://schemas.openxmlformats.org/officeDocument/2006/relationships/image" Target="media/image163.jpeg"/><Relationship Id="rId195" Type="http://schemas.openxmlformats.org/officeDocument/2006/relationships/image" Target="media/image162.jpeg"/><Relationship Id="rId194" Type="http://schemas.openxmlformats.org/officeDocument/2006/relationships/image" Target="media/image161.jpeg"/><Relationship Id="rId193" Type="http://schemas.openxmlformats.org/officeDocument/2006/relationships/image" Target="media/image160.png"/><Relationship Id="rId192" Type="http://schemas.openxmlformats.org/officeDocument/2006/relationships/image" Target="media/image159.png"/><Relationship Id="rId191" Type="http://schemas.openxmlformats.org/officeDocument/2006/relationships/image" Target="media/image158.png"/><Relationship Id="rId190" Type="http://schemas.openxmlformats.org/officeDocument/2006/relationships/image" Target="media/image157.png"/><Relationship Id="rId19" Type="http://schemas.openxmlformats.org/officeDocument/2006/relationships/image" Target="media/image6.png"/><Relationship Id="rId189" Type="http://schemas.openxmlformats.org/officeDocument/2006/relationships/image" Target="media/image156.png"/><Relationship Id="rId188" Type="http://schemas.openxmlformats.org/officeDocument/2006/relationships/image" Target="media/image155.png"/><Relationship Id="rId187" Type="http://schemas.openxmlformats.org/officeDocument/2006/relationships/image" Target="media/image154.wmf"/><Relationship Id="rId186" Type="http://schemas.openxmlformats.org/officeDocument/2006/relationships/image" Target="media/image153.png"/><Relationship Id="rId185" Type="http://schemas.openxmlformats.org/officeDocument/2006/relationships/image" Target="media/image152.wmf"/><Relationship Id="rId184" Type="http://schemas.openxmlformats.org/officeDocument/2006/relationships/image" Target="media/image151.wmf"/><Relationship Id="rId183" Type="http://schemas.openxmlformats.org/officeDocument/2006/relationships/image" Target="media/image150.wmf"/><Relationship Id="rId182" Type="http://schemas.openxmlformats.org/officeDocument/2006/relationships/image" Target="media/image149.wmf"/><Relationship Id="rId181" Type="http://schemas.openxmlformats.org/officeDocument/2006/relationships/image" Target="media/image148.png"/><Relationship Id="rId180" Type="http://schemas.openxmlformats.org/officeDocument/2006/relationships/image" Target="media/image147.wmf"/><Relationship Id="rId18" Type="http://schemas.openxmlformats.org/officeDocument/2006/relationships/image" Target="media/image5.png"/><Relationship Id="rId179" Type="http://schemas.openxmlformats.org/officeDocument/2006/relationships/image" Target="media/image146.wmf"/><Relationship Id="rId178" Type="http://schemas.openxmlformats.org/officeDocument/2006/relationships/image" Target="media/image145.wmf"/><Relationship Id="rId177" Type="http://schemas.openxmlformats.org/officeDocument/2006/relationships/image" Target="media/image144.wmf"/><Relationship Id="rId176" Type="http://schemas.openxmlformats.org/officeDocument/2006/relationships/image" Target="media/image143.wmf"/><Relationship Id="rId175" Type="http://schemas.openxmlformats.org/officeDocument/2006/relationships/image" Target="media/image142.wmf"/><Relationship Id="rId174" Type="http://schemas.openxmlformats.org/officeDocument/2006/relationships/image" Target="media/image141.png"/><Relationship Id="rId173" Type="http://schemas.openxmlformats.org/officeDocument/2006/relationships/image" Target="media/image140.png"/><Relationship Id="rId172" Type="http://schemas.openxmlformats.org/officeDocument/2006/relationships/image" Target="media/image139.wmf"/><Relationship Id="rId171" Type="http://schemas.openxmlformats.org/officeDocument/2006/relationships/image" Target="media/image138.wmf"/><Relationship Id="rId170" Type="http://schemas.openxmlformats.org/officeDocument/2006/relationships/image" Target="media/image137.png"/><Relationship Id="rId17" Type="http://schemas.openxmlformats.org/officeDocument/2006/relationships/image" Target="media/image4.png"/><Relationship Id="rId169" Type="http://schemas.openxmlformats.org/officeDocument/2006/relationships/image" Target="media/image136.png"/><Relationship Id="rId168" Type="http://schemas.openxmlformats.org/officeDocument/2006/relationships/image" Target="media/image135.wmf"/><Relationship Id="rId167" Type="http://schemas.openxmlformats.org/officeDocument/2006/relationships/image" Target="media/image134.wmf"/><Relationship Id="rId166" Type="http://schemas.openxmlformats.org/officeDocument/2006/relationships/image" Target="media/image133.png"/><Relationship Id="rId165" Type="http://schemas.openxmlformats.org/officeDocument/2006/relationships/image" Target="media/image132.png"/><Relationship Id="rId164" Type="http://schemas.openxmlformats.org/officeDocument/2006/relationships/image" Target="media/image131.wmf"/><Relationship Id="rId163" Type="http://schemas.openxmlformats.org/officeDocument/2006/relationships/image" Target="media/image130.wmf"/><Relationship Id="rId162" Type="http://schemas.openxmlformats.org/officeDocument/2006/relationships/image" Target="media/image129.png"/><Relationship Id="rId161" Type="http://schemas.openxmlformats.org/officeDocument/2006/relationships/image" Target="media/image128.wmf"/><Relationship Id="rId160" Type="http://schemas.openxmlformats.org/officeDocument/2006/relationships/image" Target="media/image127.png"/><Relationship Id="rId16" Type="http://schemas.openxmlformats.org/officeDocument/2006/relationships/image" Target="media/image3.png"/><Relationship Id="rId159" Type="http://schemas.openxmlformats.org/officeDocument/2006/relationships/image" Target="media/image126.wmf"/><Relationship Id="rId158" Type="http://schemas.openxmlformats.org/officeDocument/2006/relationships/image" Target="media/image125.wmf"/><Relationship Id="rId157" Type="http://schemas.openxmlformats.org/officeDocument/2006/relationships/image" Target="media/image124.wmf"/><Relationship Id="rId156" Type="http://schemas.openxmlformats.org/officeDocument/2006/relationships/image" Target="media/image123.wmf"/><Relationship Id="rId155" Type="http://schemas.openxmlformats.org/officeDocument/2006/relationships/image" Target="media/image122.png"/><Relationship Id="rId154" Type="http://schemas.openxmlformats.org/officeDocument/2006/relationships/image" Target="media/image121.wmf"/><Relationship Id="rId153" Type="http://schemas.openxmlformats.org/officeDocument/2006/relationships/image" Target="media/image120.wmf"/><Relationship Id="rId152" Type="http://schemas.openxmlformats.org/officeDocument/2006/relationships/image" Target="media/image119.png"/><Relationship Id="rId151" Type="http://schemas.openxmlformats.org/officeDocument/2006/relationships/image" Target="media/image118.wmf"/><Relationship Id="rId150" Type="http://schemas.openxmlformats.org/officeDocument/2006/relationships/image" Target="media/image117.wmf"/><Relationship Id="rId15" Type="http://schemas.openxmlformats.org/officeDocument/2006/relationships/image" Target="media/image2.png"/><Relationship Id="rId149" Type="http://schemas.openxmlformats.org/officeDocument/2006/relationships/image" Target="media/image116.wmf"/><Relationship Id="rId148" Type="http://schemas.openxmlformats.org/officeDocument/2006/relationships/image" Target="media/image115.wmf"/><Relationship Id="rId147" Type="http://schemas.openxmlformats.org/officeDocument/2006/relationships/image" Target="media/image114.wmf"/><Relationship Id="rId146" Type="http://schemas.openxmlformats.org/officeDocument/2006/relationships/image" Target="media/image113.wmf"/><Relationship Id="rId145" Type="http://schemas.openxmlformats.org/officeDocument/2006/relationships/image" Target="media/image112.png"/><Relationship Id="rId144" Type="http://schemas.openxmlformats.org/officeDocument/2006/relationships/image" Target="media/image111.png"/><Relationship Id="rId143" Type="http://schemas.openxmlformats.org/officeDocument/2006/relationships/image" Target="media/image110.wmf"/><Relationship Id="rId142" Type="http://schemas.openxmlformats.org/officeDocument/2006/relationships/image" Target="media/image109.png"/><Relationship Id="rId141" Type="http://schemas.openxmlformats.org/officeDocument/2006/relationships/image" Target="media/image108.wmf"/><Relationship Id="rId140" Type="http://schemas.openxmlformats.org/officeDocument/2006/relationships/image" Target="media/image107.png"/><Relationship Id="rId14" Type="http://schemas.openxmlformats.org/officeDocument/2006/relationships/image" Target="media/image1.png"/><Relationship Id="rId139" Type="http://schemas.openxmlformats.org/officeDocument/2006/relationships/image" Target="media/image106.wmf"/><Relationship Id="rId138" Type="http://schemas.openxmlformats.org/officeDocument/2006/relationships/image" Target="media/image105.wmf"/><Relationship Id="rId137" Type="http://schemas.openxmlformats.org/officeDocument/2006/relationships/image" Target="media/image104.wmf"/><Relationship Id="rId136" Type="http://schemas.openxmlformats.org/officeDocument/2006/relationships/image" Target="media/image103.wmf"/><Relationship Id="rId135" Type="http://schemas.openxmlformats.org/officeDocument/2006/relationships/image" Target="media/image102.wmf"/><Relationship Id="rId134" Type="http://schemas.openxmlformats.org/officeDocument/2006/relationships/image" Target="media/image101.png"/><Relationship Id="rId133" Type="http://schemas.openxmlformats.org/officeDocument/2006/relationships/image" Target="media/image100.wmf"/><Relationship Id="rId132" Type="http://schemas.openxmlformats.org/officeDocument/2006/relationships/image" Target="media/image99.wmf"/><Relationship Id="rId131" Type="http://schemas.openxmlformats.org/officeDocument/2006/relationships/image" Target="media/image98.wmf"/><Relationship Id="rId130" Type="http://schemas.openxmlformats.org/officeDocument/2006/relationships/image" Target="media/image97.png"/><Relationship Id="rId13" Type="http://schemas.openxmlformats.org/officeDocument/2006/relationships/theme" Target="theme/theme1.xml"/><Relationship Id="rId129" Type="http://schemas.openxmlformats.org/officeDocument/2006/relationships/image" Target="media/image96.wmf"/><Relationship Id="rId128" Type="http://schemas.openxmlformats.org/officeDocument/2006/relationships/image" Target="media/image95.png"/><Relationship Id="rId127" Type="http://schemas.openxmlformats.org/officeDocument/2006/relationships/image" Target="media/image94.wmf"/><Relationship Id="rId126" Type="http://schemas.openxmlformats.org/officeDocument/2006/relationships/image" Target="media/image93.wmf"/><Relationship Id="rId125" Type="http://schemas.openxmlformats.org/officeDocument/2006/relationships/image" Target="media/image92.wmf"/><Relationship Id="rId124" Type="http://schemas.openxmlformats.org/officeDocument/2006/relationships/image" Target="media/image91.wmf"/><Relationship Id="rId123" Type="http://schemas.openxmlformats.org/officeDocument/2006/relationships/image" Target="media/image90.wmf"/><Relationship Id="rId122" Type="http://schemas.openxmlformats.org/officeDocument/2006/relationships/image" Target="media/image89.png"/><Relationship Id="rId121" Type="http://schemas.openxmlformats.org/officeDocument/2006/relationships/image" Target="media/image88.png"/><Relationship Id="rId120" Type="http://schemas.openxmlformats.org/officeDocument/2006/relationships/image" Target="media/image87.png"/><Relationship Id="rId12" Type="http://schemas.openxmlformats.org/officeDocument/2006/relationships/footer" Target="footer4.xml"/><Relationship Id="rId119" Type="http://schemas.openxmlformats.org/officeDocument/2006/relationships/image" Target="media/image86.wmf"/><Relationship Id="rId118" Type="http://schemas.openxmlformats.org/officeDocument/2006/relationships/oleObject" Target="embeddings/oleObject20.bin"/><Relationship Id="rId117" Type="http://schemas.openxmlformats.org/officeDocument/2006/relationships/image" Target="media/image85.wmf"/><Relationship Id="rId116" Type="http://schemas.openxmlformats.org/officeDocument/2006/relationships/oleObject" Target="embeddings/oleObject19.bin"/><Relationship Id="rId115" Type="http://schemas.openxmlformats.org/officeDocument/2006/relationships/image" Target="media/image84.wmf"/><Relationship Id="rId114" Type="http://schemas.openxmlformats.org/officeDocument/2006/relationships/oleObject" Target="embeddings/oleObject18.bin"/><Relationship Id="rId113" Type="http://schemas.openxmlformats.org/officeDocument/2006/relationships/image" Target="media/image83.wmf"/><Relationship Id="rId112" Type="http://schemas.openxmlformats.org/officeDocument/2006/relationships/oleObject" Target="embeddings/oleObject17.bin"/><Relationship Id="rId111" Type="http://schemas.openxmlformats.org/officeDocument/2006/relationships/image" Target="media/image82.wmf"/><Relationship Id="rId110" Type="http://schemas.openxmlformats.org/officeDocument/2006/relationships/oleObject" Target="embeddings/oleObject16.bin"/><Relationship Id="rId11" Type="http://schemas.openxmlformats.org/officeDocument/2006/relationships/header" Target="header4.xml"/><Relationship Id="rId109" Type="http://schemas.openxmlformats.org/officeDocument/2006/relationships/image" Target="media/image81.wmf"/><Relationship Id="rId108" Type="http://schemas.openxmlformats.org/officeDocument/2006/relationships/oleObject" Target="embeddings/oleObject15.bin"/><Relationship Id="rId107" Type="http://schemas.openxmlformats.org/officeDocument/2006/relationships/image" Target="media/image80.wmf"/><Relationship Id="rId106" Type="http://schemas.openxmlformats.org/officeDocument/2006/relationships/oleObject" Target="embeddings/oleObject14.bin"/><Relationship Id="rId105" Type="http://schemas.openxmlformats.org/officeDocument/2006/relationships/image" Target="media/image79.wmf"/><Relationship Id="rId104" Type="http://schemas.openxmlformats.org/officeDocument/2006/relationships/oleObject" Target="embeddings/oleObject13.bin"/><Relationship Id="rId103" Type="http://schemas.openxmlformats.org/officeDocument/2006/relationships/image" Target="media/image78.wmf"/><Relationship Id="rId102" Type="http://schemas.openxmlformats.org/officeDocument/2006/relationships/oleObject" Target="embeddings/oleObject12.bin"/><Relationship Id="rId101" Type="http://schemas.openxmlformats.org/officeDocument/2006/relationships/image" Target="media/image77.wmf"/><Relationship Id="rId100" Type="http://schemas.openxmlformats.org/officeDocument/2006/relationships/oleObject" Target="embeddings/oleObject11.bin"/><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自定义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077CE-5958-41C8-AD39-4668C3C24236}">
  <ds:schemaRefs/>
</ds:datastoreItem>
</file>

<file path=docProps/app.xml><?xml version="1.0" encoding="utf-8"?>
<Properties xmlns="http://schemas.openxmlformats.org/officeDocument/2006/extended-properties" xmlns:vt="http://schemas.openxmlformats.org/officeDocument/2006/docPropsVTypes">
  <Template>Normal.dotm</Template>
  <Pages>323</Pages>
  <Words>7621</Words>
  <Characters>8377</Characters>
  <Lines>1776</Lines>
  <Paragraphs>500</Paragraphs>
  <TotalTime>1147</TotalTime>
  <ScaleCrop>false</ScaleCrop>
  <LinksUpToDate>false</LinksUpToDate>
  <CharactersWithSpaces>8545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2024-09-29T22:35:00Z</dcterms:created>
  <dc:creator>hui</dc:creator>
  <cp:lastModifiedBy>a moon</cp:lastModifiedBy>
  <cp:lastPrinted>2024-11-28T06:36:00Z</cp:lastPrinted>
  <dcterms:modified xsi:type="dcterms:W3CDTF">2024-12-17T07:19:15Z</dcterms:modified>
  <cp:revision>162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067C1B32FCE548319C2C9FB3BB3BECE4_12</vt:lpwstr>
  </property>
</Properties>
</file>