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月份全县经济运行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增势向好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 xml:space="preserve">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1-3月份</w:t>
      </w:r>
      <w:r>
        <w:rPr>
          <w:rFonts w:hint="eastAsia" w:ascii="仿宋_GB2312" w:eastAsia="仿宋_GB2312"/>
          <w:sz w:val="32"/>
          <w:szCs w:val="32"/>
        </w:rPr>
        <w:t>，全县经济持续企稳回升，主要指标增势向好，经济运行实现良好开局。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一季度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9.22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81.16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11.7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99.08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增长8.4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工业生产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稳步上升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5.70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83.84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%；建筑安</w:t>
      </w:r>
      <w:r>
        <w:rPr>
          <w:rFonts w:hint="eastAsia" w:ascii="仿宋_GB2312" w:hAnsi="仿宋_GB2312" w:eastAsia="仿宋_GB2312" w:cs="仿宋_GB2312"/>
          <w:sz w:val="32"/>
          <w:szCs w:val="32"/>
        </w:rPr>
        <w:t>装工程投资同比增长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12.4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下降10.5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市场消费稳定复苏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67.43亿元，同比增长3.4%，全市排名第5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17.8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金融信贷稳健运行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。3</w:t>
      </w:r>
      <w:r>
        <w:rPr>
          <w:rFonts w:hint="eastAsia" w:ascii="仿宋_GB2312" w:hAnsi="仿宋_GB2312" w:eastAsia="仿宋_GB2312" w:cs="仿宋_GB2312"/>
          <w:sz w:val="32"/>
          <w:szCs w:val="32"/>
        </w:rPr>
        <w:t>月末，全县金融机构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844.34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668.41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居民收入稳步增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10705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%。其中，城镇居民人均可支配收入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11528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%；农村居民人均可支配收入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688A2-1274-4D5C-91D9-A1E680B29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DFA1FE-81B3-4EC7-9992-B2D99163D7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1A4A190-E470-4626-A4C0-A586393D0C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71DCA6-C9A7-4792-9205-46FC19D5F8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mRkYjM5MTRjYjJmNjg5ZjJmNmYxYzEzODM5YzkifQ=="/>
    <w:docVar w:name="KSO_WPS_MARK_KEY" w:val="3098faf2-95d6-492f-981f-508951d24b21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D867CB9"/>
    <w:rsid w:val="17FC0B79"/>
    <w:rsid w:val="1C413DAD"/>
    <w:rsid w:val="25C30B51"/>
    <w:rsid w:val="268E58E7"/>
    <w:rsid w:val="27DF6902"/>
    <w:rsid w:val="294C2719"/>
    <w:rsid w:val="35A46254"/>
    <w:rsid w:val="3B2E0A9A"/>
    <w:rsid w:val="3E955E77"/>
    <w:rsid w:val="40563253"/>
    <w:rsid w:val="41FD4D22"/>
    <w:rsid w:val="423A5B3F"/>
    <w:rsid w:val="483F4424"/>
    <w:rsid w:val="4CCB1252"/>
    <w:rsid w:val="58594C1C"/>
    <w:rsid w:val="5A0A3401"/>
    <w:rsid w:val="5C5843A2"/>
    <w:rsid w:val="5EE15D3E"/>
    <w:rsid w:val="641B7023"/>
    <w:rsid w:val="785E75C1"/>
    <w:rsid w:val="7A3C3932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659</Characters>
  <Lines>8</Lines>
  <Paragraphs>2</Paragraphs>
  <TotalTime>9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2022-01-27T01:30:00Z</cp:lastPrinted>
  <dcterms:modified xsi:type="dcterms:W3CDTF">2024-07-11T06:23:54Z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