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20" w:lineRule="atLeas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加快提升开放型经济水平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实施意见</w:t>
      </w:r>
    </w:p>
    <w:p>
      <w:pPr>
        <w:pStyle w:val="8"/>
        <w:spacing w:line="520" w:lineRule="atLeas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44"/>
        </w:rPr>
        <w:t>（征求意见稿）</w:t>
      </w:r>
    </w:p>
    <w:p>
      <w:pPr>
        <w:pStyle w:val="8"/>
        <w:spacing w:line="520" w:lineRule="atLeas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240" w:beforeAutospacing="0" w:after="0" w:afterAutospacing="0" w:line="480" w:lineRule="atLeast"/>
        <w:ind w:firstLine="42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稳住我县外贸外资基本盘，进一步调动外贸进出口企业积极性，增强发展后劲，扩大货物贸易总额规模；进一步促进外资扩增量、稳存量、提质量；积极走出去，加强对外经济技术合作。根据国务院办公厅《关于推动外贸稳规模优结构的意见》（国办发〔2023〕10号）、国务院《关于进一步优化外商投资环境 加大吸引外商投资力度的意见》（国发〔2023〕1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号）和省市关于支持外资外贸稳定增长的相关文件精神，结合涟水实际，制定本实施意见。</w:t>
      </w:r>
    </w:p>
    <w:p>
      <w:pPr>
        <w:pStyle w:val="8"/>
        <w:numPr>
          <w:ilvl w:val="0"/>
          <w:numId w:val="1"/>
        </w:numPr>
        <w:spacing w:line="520" w:lineRule="atLeas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支持现有外贸企业做大做强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对年进出口额首次达到300万美元、500万美元、1000万美元、3000万美元、5000万美元及以上的外贸企业，分别一次性给予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5万元、10万元、30万元、50万元、80万元奖励。</w:t>
      </w:r>
    </w:p>
    <w:p>
      <w:pPr>
        <w:pStyle w:val="8"/>
        <w:spacing w:line="5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对年进出口额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00万美元（含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00万美元）</w:t>
      </w:r>
      <w:r>
        <w:rPr>
          <w:rFonts w:hint="eastAsia" w:ascii="仿宋_GB2312" w:eastAsia="仿宋_GB2312"/>
          <w:sz w:val="32"/>
          <w:szCs w:val="32"/>
          <w:lang w:eastAsia="zh-CN"/>
        </w:rPr>
        <w:t>以上</w:t>
      </w:r>
      <w:r>
        <w:rPr>
          <w:rFonts w:hint="eastAsia" w:ascii="仿宋_GB2312" w:eastAsia="仿宋_GB2312"/>
          <w:sz w:val="32"/>
          <w:szCs w:val="32"/>
        </w:rPr>
        <w:t>的外贸企业，较上年度进出口额增幅10%以上的，增量部分按每100美元奖励</w:t>
      </w:r>
      <w:r>
        <w:rPr>
          <w:rFonts w:hint="eastAsia" w:ascii="仿宋_GB2312" w:eastAsia="仿宋_GB2312"/>
          <w:sz w:val="32"/>
          <w:szCs w:val="32"/>
          <w:lang w:eastAsia="zh-CN"/>
        </w:rPr>
        <w:t>不超过</w:t>
      </w:r>
      <w:r>
        <w:rPr>
          <w:rFonts w:hint="eastAsia" w:ascii="仿宋_GB2312" w:eastAsia="仿宋_GB2312"/>
          <w:sz w:val="32"/>
          <w:szCs w:val="32"/>
        </w:rPr>
        <w:t>5元。</w:t>
      </w:r>
    </w:p>
    <w:p>
      <w:pPr>
        <w:spacing w:line="120" w:lineRule="auto"/>
        <w:ind w:firstLine="633" w:firstLineChars="198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二、支持新增长点企业扩大规模</w:t>
      </w:r>
    </w:p>
    <w:p>
      <w:pPr>
        <w:spacing w:line="12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外贸供货企业和已备案无实绩企业开展自营进出口业务，积极培育新增长点企业。对当年新增且有进出口实绩企业（以市商务局及海关反馈数据为准），总量达50万美元、100万美元、200万美元的分别奖励1万元、 2万元、4万元。实绩部分按每100美元奖励</w:t>
      </w:r>
      <w:r>
        <w:rPr>
          <w:rFonts w:hint="eastAsia" w:ascii="仿宋_GB2312" w:eastAsia="仿宋_GB2312"/>
          <w:sz w:val="32"/>
          <w:szCs w:val="32"/>
          <w:lang w:eastAsia="zh-CN"/>
        </w:rPr>
        <w:t>不超过</w:t>
      </w:r>
      <w:r>
        <w:rPr>
          <w:rFonts w:hint="eastAsia" w:ascii="仿宋_GB2312" w:eastAsia="仿宋_GB2312"/>
          <w:sz w:val="32"/>
          <w:szCs w:val="32"/>
        </w:rPr>
        <w:t>5元。</w:t>
      </w:r>
    </w:p>
    <w:p>
      <w:pPr>
        <w:spacing w:line="360" w:lineRule="auto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三、支持知识密集型服务企业提质增效</w:t>
      </w:r>
    </w:p>
    <w:p>
      <w:pPr>
        <w:spacing w:line="12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鼓励外贸企业开展知识密集型服务业务。对知识密集型服务年进出口额首次达到10万美元、30万美元、50万美元、100万美元的服务贸易企业，分别一次性给予1万元、3万元、5万元、10万元奖励。对知识密集型服务进出口额10万美元以上的企业，每新增100美元奖励10元</w:t>
      </w:r>
      <w:r>
        <w:rPr>
          <w:rFonts w:hint="eastAsia" w:ascii="仿宋_GB2312" w:eastAsia="仿宋_GB2312"/>
          <w:sz w:val="32"/>
          <w:szCs w:val="32"/>
        </w:rPr>
        <w:t>（以商务部服务贸易统一业务平台填报数据及外汇收支BOP结算凭证数据为准），单个企业封顶100万元。</w:t>
      </w:r>
    </w:p>
    <w:p>
      <w:pPr>
        <w:spacing w:line="360" w:lineRule="auto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四、支持制造业项目到资</w:t>
      </w:r>
    </w:p>
    <w:p>
      <w:pPr>
        <w:spacing w:line="12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为鼓励项目加快建设，对总投资额500万美元（含）以上制造业项目，按实际到账外资每 100 万美元奖励8万元；已投产运营企业增资或以利润再投资形式增资扩股，参照新设立项目奖励。属高技术产业、台资奖励分别上浮10%。</w:t>
      </w:r>
    </w:p>
    <w:p>
      <w:pPr>
        <w:spacing w:line="360" w:lineRule="auto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五、支持服务业及农业项目到资</w:t>
      </w:r>
    </w:p>
    <w:p>
      <w:pPr>
        <w:spacing w:line="12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对总投资额300万美元（含）以上生产性服务业项目，按实际到账外资每 100 万美元奖励6万元；对总投资额1000万美元（含）以上生活性服务业及农业设施类项目，按实际到账外资每 100 万美元奖励5万元。属高技术产业、台资奖励分别上浮10%。</w:t>
      </w:r>
    </w:p>
    <w:p>
      <w:pPr>
        <w:spacing w:line="12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六、支持走出去开展对外直接投资</w:t>
      </w:r>
    </w:p>
    <w:p>
      <w:pPr>
        <w:spacing w:line="120" w:lineRule="auto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鼓励企业走出去，积极参与国际市场，开展直接对外投资。对外直接投资达200万美元、500万美元、1000万美元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，分别一次性给予10万元、30万元、60万元奖励。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奖励项目原则上按照“相关企业申请、</w:t>
      </w:r>
      <w:r>
        <w:rPr>
          <w:rFonts w:hint="eastAsia" w:ascii="仿宋_GB2312" w:eastAsia="仿宋_GB2312"/>
          <w:sz w:val="32"/>
          <w:szCs w:val="32"/>
        </w:rPr>
        <w:t>商务局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</w:rPr>
        <w:t>财政局</w:t>
      </w:r>
      <w:r>
        <w:rPr>
          <w:rFonts w:ascii="仿宋_GB2312" w:eastAsia="仿宋_GB2312"/>
          <w:sz w:val="32"/>
          <w:szCs w:val="32"/>
        </w:rPr>
        <w:t>初审、相关部门会同第三方复核、县政府审批、社会公示”的程序，办理兑现政策支持资金。奖补同一类事项按照“就高不就低”的原则，不重复奖补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eastAsia="方正仿宋_GBK" w:cs="Times New Roman"/>
          <w:sz w:val="32"/>
          <w:szCs w:val="32"/>
          <w:lang w:eastAsia="zh-CN"/>
        </w:rPr>
        <w:t>我县开放型经济发展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作出特殊贡献的企业，可采取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一企一策</w:t>
      </w:r>
      <w:r>
        <w:rPr>
          <w:rFonts w:hint="eastAsia" w:eastAsia="方正仿宋_GBK" w:cs="Times New Roman"/>
          <w:sz w:val="32"/>
          <w:szCs w:val="32"/>
          <w:lang w:eastAsia="zh-CN"/>
        </w:rPr>
        <w:t>”“一事一议”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等方式予以重点扶持。</w:t>
      </w:r>
      <w:r>
        <w:rPr>
          <w:rFonts w:hint="eastAsia" w:ascii="仿宋_GB2312" w:eastAsia="仿宋_GB2312"/>
          <w:sz w:val="32"/>
          <w:szCs w:val="32"/>
        </w:rPr>
        <w:t>所需奖励资金纳入县年度产业发展引导资金计划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国家、省、市奖补资金可以同时享受，进一步发挥奖补资金的叠加效应。凡当年度发生重大安 全生产事故、重大环境污染事故、严重失信纪录的、不得享受上述政策。</w:t>
      </w:r>
    </w:p>
    <w:p>
      <w:pPr>
        <w:spacing w:line="120" w:lineRule="auto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  <w:sz w:val="32"/>
          <w:szCs w:val="32"/>
        </w:rPr>
        <w:t xml:space="preserve"> 本意见自</w:t>
      </w:r>
      <w:r>
        <w:rPr>
          <w:rFonts w:hint="eastAsia" w:ascii="仿宋_GB2312" w:eastAsia="仿宋_GB2312"/>
          <w:sz w:val="32"/>
          <w:szCs w:val="32"/>
        </w:rPr>
        <w:t>2023年1月1</w:t>
      </w:r>
      <w:r>
        <w:rPr>
          <w:rFonts w:ascii="仿宋_GB2312" w:eastAsia="仿宋_GB2312"/>
          <w:sz w:val="32"/>
          <w:szCs w:val="32"/>
        </w:rPr>
        <w:t>日起执</w:t>
      </w:r>
      <w:r>
        <w:rPr>
          <w:rFonts w:hint="eastAsia" w:ascii="仿宋_GB2312" w:eastAsia="仿宋_GB2312"/>
          <w:sz w:val="32"/>
          <w:szCs w:val="32"/>
        </w:rPr>
        <w:t>行，暂定有效期三年。由县商务局负责解释并制定发布年度资金申报指南，明确具体支持标准、申报条件。执行过程中，如遇国家、省、市相关政策调整，将适时进行相应调整。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697E9"/>
    <w:multiLevelType w:val="singleLevel"/>
    <w:tmpl w:val="360697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zQzMjNmYmY1YmVmZDZkN2NkMDc3YzZkZGZmMTIifQ=="/>
  </w:docVars>
  <w:rsids>
    <w:rsidRoot w:val="1A130DA9"/>
    <w:rsid w:val="000876E5"/>
    <w:rsid w:val="00136858"/>
    <w:rsid w:val="00234386"/>
    <w:rsid w:val="002A6232"/>
    <w:rsid w:val="0045186B"/>
    <w:rsid w:val="004B25C5"/>
    <w:rsid w:val="009222A0"/>
    <w:rsid w:val="00AE4162"/>
    <w:rsid w:val="00C07A71"/>
    <w:rsid w:val="00DF01C3"/>
    <w:rsid w:val="00F7275A"/>
    <w:rsid w:val="075A5BA0"/>
    <w:rsid w:val="1A130DA9"/>
    <w:rsid w:val="2B372AF8"/>
    <w:rsid w:val="767505E6"/>
    <w:rsid w:val="79A052F8"/>
    <w:rsid w:val="79FFBB4D"/>
    <w:rsid w:val="FBBF620A"/>
    <w:rsid w:val="FFF58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rPr>
      <w:rFonts w:ascii="宋体" w:hAnsi="宋体" w:cs="宋体"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213</Words>
  <Characters>1216</Characters>
  <Lines>10</Lines>
  <Paragraphs>2</Paragraphs>
  <TotalTime>2</TotalTime>
  <ScaleCrop>false</ScaleCrop>
  <LinksUpToDate>false</LinksUpToDate>
  <CharactersWithSpaces>1427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2023-08-15T02:32:00Z</dcterms:created>
  <dc:creator>Administrator</dc:creator>
  <cp:lastModifiedBy>lsswj</cp:lastModifiedBy>
  <dcterms:modified xsi:type="dcterms:W3CDTF">2023-11-29T17:28:18Z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34EF6CF7163E8C49C7775D653E19E935</vt:lpwstr>
  </property>
</Properties>
</file>